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Default Extension="png" ContentType="image/png"/>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10"/>
          <w:szCs w:val="10"/>
        </w:rPr>
      </w:pPr>
    </w:p>
    <w:p>
      <w:pPr>
        <w:spacing w:line="3442" w:lineRule="exact"/>
        <w:ind w:left="2004"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68"/>
          <w:sz w:val="20"/>
          <w:szCs w:val="20"/>
        </w:rPr>
        <w:drawing>
          <wp:inline distT="0" distB="0" distL="0" distR="0">
            <wp:extent cx="3775234" cy="2185987"/>
            <wp:effectExtent l="0" t="0" r="0" b="0"/>
            <wp:docPr id="1" name="image2.jpeg" descr=""/>
            <wp:cNvGraphicFramePr>
              <a:graphicFrameLocks noChangeAspect="1"/>
            </wp:cNvGraphicFramePr>
            <a:graphic>
              <a:graphicData uri="http://schemas.openxmlformats.org/drawingml/2006/picture">
                <pic:pic>
                  <pic:nvPicPr>
                    <pic:cNvPr id="2" name="image2.jpeg"/>
                    <pic:cNvPicPr/>
                  </pic:nvPicPr>
                  <pic:blipFill>
                    <a:blip r:embed="rId7" cstate="print"/>
                    <a:stretch>
                      <a:fillRect/>
                    </a:stretch>
                  </pic:blipFill>
                  <pic:spPr>
                    <a:xfrm>
                      <a:off x="0" y="0"/>
                      <a:ext cx="3775234" cy="2185987"/>
                    </a:xfrm>
                    <a:prstGeom prst="rect">
                      <a:avLst/>
                    </a:prstGeom>
                  </pic:spPr>
                </pic:pic>
              </a:graphicData>
            </a:graphic>
          </wp:inline>
        </w:drawing>
      </w:r>
      <w:r>
        <w:rPr>
          <w:rFonts w:ascii="Times New Roman" w:hAnsi="Times New Roman" w:cs="Times New Roman" w:eastAsia="Times New Roman" w:hint="default"/>
          <w:position w:val="-68"/>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393" w:lineRule="auto" w:before="132"/>
        <w:ind w:left="2287" w:right="3297" w:firstLine="0"/>
        <w:jc w:val="center"/>
        <w:rPr>
          <w:rFonts w:ascii="Times New Roman" w:hAnsi="Times New Roman" w:cs="Times New Roman" w:eastAsia="Times New Roman" w:hint="default"/>
          <w:sz w:val="44"/>
          <w:szCs w:val="44"/>
        </w:rPr>
      </w:pPr>
      <w:r>
        <w:rPr>
          <w:rFonts w:ascii="宋体" w:hAnsi="宋体" w:cs="宋体" w:eastAsia="宋体" w:hint="default"/>
          <w:b/>
          <w:bCs/>
          <w:spacing w:val="2"/>
          <w:w w:val="95"/>
          <w:sz w:val="44"/>
          <w:szCs w:val="44"/>
        </w:rPr>
        <w:t>创业慧康科技股份有限公司</w:t>
      </w:r>
      <w:r>
        <w:rPr>
          <w:rFonts w:ascii="宋体" w:hAnsi="宋体" w:cs="宋体" w:eastAsia="宋体" w:hint="default"/>
          <w:b/>
          <w:bCs/>
          <w:spacing w:val="16"/>
          <w:w w:val="95"/>
          <w:sz w:val="44"/>
          <w:szCs w:val="44"/>
        </w:rPr>
        <w:t> </w:t>
      </w:r>
      <w:r>
        <w:rPr>
          <w:rFonts w:ascii="宋体" w:hAnsi="宋体" w:cs="宋体" w:eastAsia="宋体" w:hint="default"/>
          <w:b/>
          <w:bCs/>
          <w:spacing w:val="16"/>
          <w:w w:val="95"/>
          <w:sz w:val="44"/>
          <w:szCs w:val="44"/>
        </w:rPr>
      </w:r>
      <w:r>
        <w:rPr>
          <w:rFonts w:ascii="Times New Roman" w:hAnsi="Times New Roman" w:cs="Times New Roman" w:eastAsia="Times New Roman" w:hint="default"/>
          <w:b/>
          <w:bCs/>
          <w:sz w:val="44"/>
          <w:szCs w:val="44"/>
        </w:rPr>
        <w:t>2018</w:t>
      </w:r>
      <w:r>
        <w:rPr>
          <w:rFonts w:ascii="Times New Roman" w:hAnsi="Times New Roman" w:cs="Times New Roman" w:eastAsia="Times New Roman" w:hint="default"/>
          <w:b/>
          <w:bCs/>
          <w:spacing w:val="-2"/>
          <w:sz w:val="44"/>
          <w:szCs w:val="44"/>
        </w:rPr>
        <w:t> </w:t>
      </w:r>
      <w:r>
        <w:rPr>
          <w:rFonts w:ascii="宋体" w:hAnsi="宋体" w:cs="宋体" w:eastAsia="宋体" w:hint="default"/>
          <w:b/>
          <w:bCs/>
          <w:sz w:val="44"/>
          <w:szCs w:val="44"/>
        </w:rPr>
        <w:t>年年度报告</w:t>
      </w:r>
      <w:r>
        <w:rPr>
          <w:rFonts w:ascii="宋体" w:hAnsi="宋体" w:cs="宋体" w:eastAsia="宋体" w:hint="default"/>
          <w:b/>
          <w:bCs/>
          <w:w w:val="99"/>
          <w:sz w:val="44"/>
          <w:szCs w:val="44"/>
        </w:rPr>
        <w:t> </w:t>
      </w:r>
      <w:r>
        <w:rPr>
          <w:rFonts w:ascii="宋体" w:hAnsi="宋体" w:cs="宋体" w:eastAsia="宋体" w:hint="default"/>
          <w:b/>
          <w:bCs/>
          <w:sz w:val="44"/>
          <w:szCs w:val="44"/>
        </w:rPr>
        <w:t>公告编号：</w:t>
      </w:r>
      <w:r>
        <w:rPr>
          <w:rFonts w:ascii="Times New Roman" w:hAnsi="Times New Roman" w:cs="Times New Roman" w:eastAsia="Times New Roman" w:hint="default"/>
          <w:b/>
          <w:bCs/>
          <w:sz w:val="44"/>
          <w:szCs w:val="44"/>
        </w:rPr>
        <w:t>2019-024</w:t>
      </w:r>
      <w:r>
        <w:rPr>
          <w:rFonts w:ascii="Times New Roman" w:hAnsi="Times New Roman" w:cs="Times New Roman" w:eastAsia="Times New Roman" w:hint="default"/>
          <w:sz w:val="44"/>
          <w:szCs w:val="44"/>
        </w:rPr>
      </w:r>
    </w:p>
    <w:p>
      <w:pPr>
        <w:spacing w:line="240" w:lineRule="auto" w:before="0"/>
        <w:rPr>
          <w:rFonts w:ascii="Times New Roman" w:hAnsi="Times New Roman" w:cs="Times New Roman" w:eastAsia="Times New Roman" w:hint="default"/>
          <w:b/>
          <w:bCs/>
          <w:sz w:val="46"/>
          <w:szCs w:val="46"/>
        </w:rPr>
      </w:pPr>
    </w:p>
    <w:p>
      <w:pPr>
        <w:spacing w:line="240" w:lineRule="auto" w:before="0"/>
        <w:rPr>
          <w:rFonts w:ascii="Times New Roman" w:hAnsi="Times New Roman" w:cs="Times New Roman" w:eastAsia="Times New Roman" w:hint="default"/>
          <w:b/>
          <w:bCs/>
          <w:sz w:val="46"/>
          <w:szCs w:val="46"/>
        </w:rPr>
      </w:pPr>
    </w:p>
    <w:p>
      <w:pPr>
        <w:spacing w:line="240" w:lineRule="auto" w:before="0"/>
        <w:rPr>
          <w:rFonts w:ascii="Times New Roman" w:hAnsi="Times New Roman" w:cs="Times New Roman" w:eastAsia="Times New Roman" w:hint="default"/>
          <w:b/>
          <w:bCs/>
          <w:sz w:val="46"/>
          <w:szCs w:val="46"/>
        </w:rPr>
      </w:pPr>
    </w:p>
    <w:p>
      <w:pPr>
        <w:spacing w:line="240" w:lineRule="auto" w:before="0"/>
        <w:rPr>
          <w:rFonts w:ascii="Times New Roman" w:hAnsi="Times New Roman" w:cs="Times New Roman" w:eastAsia="Times New Roman" w:hint="default"/>
          <w:b/>
          <w:bCs/>
          <w:sz w:val="46"/>
          <w:szCs w:val="46"/>
        </w:rPr>
      </w:pPr>
    </w:p>
    <w:p>
      <w:pPr>
        <w:spacing w:line="240" w:lineRule="auto" w:before="0"/>
        <w:rPr>
          <w:rFonts w:ascii="Times New Roman" w:hAnsi="Times New Roman" w:cs="Times New Roman" w:eastAsia="Times New Roman" w:hint="default"/>
          <w:b/>
          <w:bCs/>
          <w:sz w:val="46"/>
          <w:szCs w:val="46"/>
        </w:rPr>
      </w:pPr>
    </w:p>
    <w:p>
      <w:pPr>
        <w:spacing w:line="240" w:lineRule="auto" w:before="0"/>
        <w:rPr>
          <w:rFonts w:ascii="Times New Roman" w:hAnsi="Times New Roman" w:cs="Times New Roman" w:eastAsia="Times New Roman" w:hint="default"/>
          <w:b/>
          <w:bCs/>
          <w:sz w:val="46"/>
          <w:szCs w:val="46"/>
        </w:rPr>
      </w:pPr>
    </w:p>
    <w:p>
      <w:pPr>
        <w:spacing w:line="240" w:lineRule="auto" w:before="2"/>
        <w:rPr>
          <w:rFonts w:ascii="Times New Roman" w:hAnsi="Times New Roman" w:cs="Times New Roman" w:eastAsia="Times New Roman" w:hint="default"/>
          <w:b/>
          <w:bCs/>
          <w:sz w:val="45"/>
          <w:szCs w:val="45"/>
        </w:rPr>
      </w:pPr>
    </w:p>
    <w:p>
      <w:pPr>
        <w:spacing w:before="0"/>
        <w:ind w:left="2277" w:right="3297"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2019</w:t>
      </w:r>
      <w:r>
        <w:rPr>
          <w:rFonts w:ascii="Times New Roman" w:hAnsi="Times New Roman" w:cs="Times New Roman" w:eastAsia="Times New Roman" w:hint="default"/>
          <w:b/>
          <w:bCs/>
          <w:spacing w:val="-3"/>
          <w:sz w:val="32"/>
          <w:szCs w:val="32"/>
        </w:rPr>
        <w:t> </w:t>
      </w:r>
      <w:r>
        <w:rPr>
          <w:rFonts w:ascii="宋体" w:hAnsi="宋体" w:cs="宋体" w:eastAsia="宋体" w:hint="default"/>
          <w:b/>
          <w:bCs/>
          <w:sz w:val="32"/>
          <w:szCs w:val="32"/>
        </w:rPr>
        <w:t>年</w:t>
      </w:r>
      <w:r>
        <w:rPr>
          <w:rFonts w:ascii="宋体" w:hAnsi="宋体" w:cs="宋体" w:eastAsia="宋体" w:hint="default"/>
          <w:b/>
          <w:bCs/>
          <w:spacing w:val="-83"/>
          <w:sz w:val="32"/>
          <w:szCs w:val="32"/>
        </w:rPr>
        <w:t> </w:t>
      </w:r>
      <w:r>
        <w:rPr>
          <w:rFonts w:ascii="Times New Roman" w:hAnsi="Times New Roman" w:cs="Times New Roman" w:eastAsia="Times New Roman" w:hint="default"/>
          <w:b/>
          <w:bCs/>
          <w:sz w:val="32"/>
          <w:szCs w:val="32"/>
        </w:rPr>
        <w:t>04</w:t>
      </w:r>
      <w:r>
        <w:rPr>
          <w:rFonts w:ascii="Times New Roman" w:hAnsi="Times New Roman" w:cs="Times New Roman" w:eastAsia="Times New Roman" w:hint="default"/>
          <w:b/>
          <w:bCs/>
          <w:spacing w:val="-5"/>
          <w:sz w:val="32"/>
          <w:szCs w:val="32"/>
        </w:rPr>
        <w:t> </w:t>
      </w:r>
      <w:r>
        <w:rPr>
          <w:rFonts w:ascii="宋体" w:hAnsi="宋体" w:cs="宋体" w:eastAsia="宋体" w:hint="default"/>
          <w:b/>
          <w:bCs/>
          <w:sz w:val="32"/>
          <w:szCs w:val="32"/>
        </w:rPr>
        <w:t>月</w:t>
      </w:r>
      <w:r>
        <w:rPr>
          <w:rFonts w:ascii="宋体" w:hAnsi="宋体" w:cs="宋体" w:eastAsia="宋体" w:hint="default"/>
          <w:sz w:val="32"/>
          <w:szCs w:val="32"/>
        </w:rPr>
      </w:r>
    </w:p>
    <w:p>
      <w:pPr>
        <w:spacing w:after="0"/>
        <w:jc w:val="center"/>
        <w:rPr>
          <w:rFonts w:ascii="宋体" w:hAnsi="宋体" w:cs="宋体" w:eastAsia="宋体" w:hint="default"/>
          <w:sz w:val="32"/>
          <w:szCs w:val="32"/>
        </w:rPr>
        <w:sectPr>
          <w:headerReference w:type="default" r:id="rId5"/>
          <w:footerReference w:type="default" r:id="rId6"/>
          <w:type w:val="continuous"/>
          <w:pgSz w:w="11910" w:h="16840"/>
          <w:pgMar w:header="787" w:footer="1016" w:top="1100" w:bottom="1200" w:left="102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0"/>
          <w:szCs w:val="20"/>
        </w:rPr>
      </w:pPr>
    </w:p>
    <w:p>
      <w:pPr>
        <w:pStyle w:val="Heading1"/>
        <w:spacing w:line="240" w:lineRule="auto"/>
        <w:ind w:left="2846" w:right="0"/>
        <w:jc w:val="left"/>
        <w:rPr>
          <w:b w:val="0"/>
          <w:bCs w:val="0"/>
        </w:rPr>
      </w:pPr>
      <w:bookmarkStart w:name="第一节重要提示、目录和释义" w:id="1"/>
      <w:bookmarkEnd w:id="1"/>
      <w:r>
        <w:rPr>
          <w:b w:val="0"/>
          <w:bCs w:val="0"/>
        </w:rPr>
      </w:r>
      <w:r>
        <w:rPr/>
        <w:t>第一节重要提示、目录和释义</w:t>
      </w:r>
      <w:r>
        <w:rPr>
          <w:b w:val="0"/>
          <w:bCs w:val="0"/>
        </w:rPr>
      </w:r>
    </w:p>
    <w:p>
      <w:pPr>
        <w:spacing w:line="240" w:lineRule="auto" w:before="0"/>
        <w:rPr>
          <w:rFonts w:ascii="宋体" w:hAnsi="宋体" w:cs="宋体" w:eastAsia="宋体" w:hint="default"/>
          <w:b/>
          <w:bCs/>
          <w:sz w:val="32"/>
          <w:szCs w:val="32"/>
        </w:rPr>
      </w:pPr>
    </w:p>
    <w:p>
      <w:pPr>
        <w:spacing w:line="408" w:lineRule="auto" w:before="212"/>
        <w:ind w:left="112" w:right="1128" w:firstLine="561"/>
        <w:jc w:val="both"/>
        <w:rPr>
          <w:rFonts w:ascii="宋体" w:hAnsi="宋体" w:cs="宋体" w:eastAsia="宋体" w:hint="default"/>
          <w:sz w:val="28"/>
          <w:szCs w:val="28"/>
        </w:rPr>
      </w:pPr>
      <w:r>
        <w:rPr>
          <w:rFonts w:ascii="宋体" w:hAnsi="宋体" w:cs="宋体" w:eastAsia="宋体" w:hint="default"/>
          <w:b/>
          <w:bCs/>
          <w:spacing w:val="2"/>
          <w:sz w:val="28"/>
          <w:szCs w:val="28"/>
        </w:rPr>
        <w:t>公司董事会、监事会及董事、监事、高级管理人员保证年度报告内容的真</w:t>
      </w:r>
      <w:r>
        <w:rPr>
          <w:rFonts w:ascii="宋体" w:hAnsi="宋体" w:cs="宋体" w:eastAsia="宋体" w:hint="default"/>
          <w:b/>
          <w:bCs/>
          <w:w w:val="99"/>
          <w:sz w:val="28"/>
          <w:szCs w:val="28"/>
        </w:rPr>
        <w:t> </w:t>
      </w:r>
      <w:r>
        <w:rPr>
          <w:rFonts w:ascii="宋体" w:hAnsi="宋体" w:cs="宋体" w:eastAsia="宋体" w:hint="default"/>
          <w:b/>
          <w:bCs/>
          <w:spacing w:val="2"/>
          <w:sz w:val="28"/>
          <w:szCs w:val="28"/>
        </w:rPr>
        <w:t>实、准确、完整，不存在虚假记载、误导性陈述或重大遗漏，并承担个别和连</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带的法律责任。</w:t>
      </w:r>
      <w:r>
        <w:rPr>
          <w:rFonts w:ascii="宋体" w:hAnsi="宋体" w:cs="宋体" w:eastAsia="宋体" w:hint="default"/>
          <w:sz w:val="28"/>
          <w:szCs w:val="28"/>
        </w:rPr>
      </w:r>
    </w:p>
    <w:p>
      <w:pPr>
        <w:spacing w:line="386" w:lineRule="auto" w:before="160"/>
        <w:ind w:left="112" w:right="1127" w:firstLine="561"/>
        <w:jc w:val="both"/>
        <w:rPr>
          <w:rFonts w:ascii="宋体" w:hAnsi="宋体" w:cs="宋体" w:eastAsia="宋体" w:hint="default"/>
          <w:sz w:val="28"/>
          <w:szCs w:val="28"/>
        </w:rPr>
      </w:pPr>
      <w:r>
        <w:rPr>
          <w:rFonts w:ascii="宋体" w:hAnsi="宋体" w:cs="宋体" w:eastAsia="宋体" w:hint="default"/>
          <w:b/>
          <w:bCs/>
          <w:spacing w:val="-1"/>
          <w:sz w:val="28"/>
          <w:szCs w:val="28"/>
        </w:rPr>
        <w:t>公司负责人葛航、主管会计工作负责人郁燕萍及会计机构负责人</w:t>
      </w:r>
      <w:r>
        <w:rPr>
          <w:rFonts w:ascii="Times New Roman" w:hAnsi="Times New Roman" w:cs="Times New Roman" w:eastAsia="Times New Roman" w:hint="default"/>
          <w:b/>
          <w:bCs/>
          <w:spacing w:val="-1"/>
          <w:sz w:val="28"/>
          <w:szCs w:val="28"/>
        </w:rPr>
        <w:t>(</w:t>
      </w:r>
      <w:r>
        <w:rPr>
          <w:rFonts w:ascii="宋体" w:hAnsi="宋体" w:cs="宋体" w:eastAsia="宋体" w:hint="default"/>
          <w:b/>
          <w:bCs/>
          <w:spacing w:val="-1"/>
          <w:sz w:val="28"/>
          <w:szCs w:val="28"/>
        </w:rPr>
        <w:t>会计主管</w:t>
      </w:r>
      <w:r>
        <w:rPr>
          <w:rFonts w:ascii="宋体" w:hAnsi="宋体" w:cs="宋体" w:eastAsia="宋体" w:hint="default"/>
          <w:b/>
          <w:bCs/>
          <w:w w:val="99"/>
          <w:sz w:val="28"/>
          <w:szCs w:val="28"/>
        </w:rPr>
        <w:t> </w:t>
      </w:r>
      <w:r>
        <w:rPr>
          <w:rFonts w:ascii="宋体" w:hAnsi="宋体" w:cs="宋体" w:eastAsia="宋体" w:hint="default"/>
          <w:b/>
          <w:bCs/>
          <w:sz w:val="28"/>
          <w:szCs w:val="28"/>
        </w:rPr>
        <w:t>人员</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李军声明：保证年度报告中财务报告的真实、准确、完整。</w:t>
      </w:r>
      <w:r>
        <w:rPr>
          <w:rFonts w:ascii="宋体" w:hAnsi="宋体" w:cs="宋体" w:eastAsia="宋体" w:hint="default"/>
          <w:sz w:val="28"/>
          <w:szCs w:val="28"/>
        </w:rPr>
      </w:r>
    </w:p>
    <w:p>
      <w:pPr>
        <w:spacing w:line="475" w:lineRule="auto" w:before="148"/>
        <w:ind w:left="674" w:right="0" w:firstLine="0"/>
        <w:jc w:val="left"/>
        <w:rPr>
          <w:rFonts w:ascii="宋体" w:hAnsi="宋体" w:cs="宋体" w:eastAsia="宋体" w:hint="default"/>
          <w:sz w:val="28"/>
          <w:szCs w:val="28"/>
        </w:rPr>
      </w:pPr>
      <w:r>
        <w:rPr>
          <w:rFonts w:ascii="宋体" w:hAnsi="宋体" w:cs="宋体" w:eastAsia="宋体" w:hint="default"/>
          <w:b/>
          <w:bCs/>
          <w:sz w:val="28"/>
          <w:szCs w:val="28"/>
        </w:rPr>
        <w:t>所有董事均已出席了审议本报告的董事会会议。</w:t>
      </w:r>
      <w:r>
        <w:rPr>
          <w:rFonts w:ascii="宋体" w:hAnsi="宋体" w:cs="宋体" w:eastAsia="宋体" w:hint="default"/>
          <w:b/>
          <w:bCs/>
          <w:w w:val="99"/>
          <w:sz w:val="28"/>
          <w:szCs w:val="28"/>
        </w:rPr>
        <w:t> </w:t>
      </w:r>
      <w:r>
        <w:rPr>
          <w:rFonts w:ascii="宋体" w:hAnsi="宋体" w:cs="宋体" w:eastAsia="宋体" w:hint="default"/>
          <w:b/>
          <w:bCs/>
          <w:spacing w:val="2"/>
          <w:sz w:val="28"/>
          <w:szCs w:val="28"/>
        </w:rPr>
        <w:t>本报告所包含的前瞻性分析系基于各种假设，不同假设可能导致分析结果</w:t>
      </w:r>
      <w:r>
        <w:rPr>
          <w:rFonts w:ascii="宋体" w:hAnsi="宋体" w:cs="宋体" w:eastAsia="宋体" w:hint="default"/>
          <w:spacing w:val="2"/>
          <w:sz w:val="28"/>
          <w:szCs w:val="28"/>
        </w:rPr>
      </w:r>
    </w:p>
    <w:p>
      <w:pPr>
        <w:spacing w:line="350" w:lineRule="exact" w:before="0"/>
        <w:ind w:left="112" w:right="0" w:firstLine="0"/>
        <w:jc w:val="both"/>
        <w:rPr>
          <w:rFonts w:ascii="宋体" w:hAnsi="宋体" w:cs="宋体" w:eastAsia="宋体" w:hint="default"/>
          <w:sz w:val="28"/>
          <w:szCs w:val="28"/>
        </w:rPr>
      </w:pPr>
      <w:r>
        <w:rPr>
          <w:rFonts w:ascii="宋体" w:hAnsi="宋体" w:cs="宋体" w:eastAsia="宋体" w:hint="default"/>
          <w:b/>
          <w:bCs/>
          <w:spacing w:val="2"/>
          <w:sz w:val="28"/>
          <w:szCs w:val="28"/>
        </w:rPr>
        <w:t>出现重大不同。报告中的内容和意见仅供参考，并不构成对本公司股票买卖的</w:t>
      </w:r>
      <w:r>
        <w:rPr>
          <w:rFonts w:ascii="宋体" w:hAnsi="宋体" w:cs="宋体" w:eastAsia="宋体" w:hint="default"/>
          <w:spacing w:val="2"/>
          <w:sz w:val="28"/>
          <w:szCs w:val="28"/>
        </w:rPr>
      </w:r>
    </w:p>
    <w:p>
      <w:pPr>
        <w:spacing w:line="240" w:lineRule="auto" w:before="9"/>
        <w:rPr>
          <w:rFonts w:ascii="宋体" w:hAnsi="宋体" w:cs="宋体" w:eastAsia="宋体" w:hint="default"/>
          <w:b/>
          <w:bCs/>
          <w:sz w:val="19"/>
          <w:szCs w:val="19"/>
        </w:rPr>
      </w:pPr>
    </w:p>
    <w:p>
      <w:pPr>
        <w:spacing w:line="408" w:lineRule="auto" w:before="0"/>
        <w:ind w:left="112" w:right="1130" w:firstLine="0"/>
        <w:jc w:val="both"/>
        <w:rPr>
          <w:rFonts w:ascii="宋体" w:hAnsi="宋体" w:cs="宋体" w:eastAsia="宋体" w:hint="default"/>
          <w:sz w:val="28"/>
          <w:szCs w:val="28"/>
        </w:rPr>
      </w:pPr>
      <w:r>
        <w:rPr>
          <w:rFonts w:ascii="宋体" w:hAnsi="宋体" w:cs="宋体" w:eastAsia="宋体" w:hint="default"/>
          <w:b/>
          <w:bCs/>
          <w:spacing w:val="2"/>
          <w:sz w:val="28"/>
          <w:szCs w:val="28"/>
        </w:rPr>
        <w:t>建议，在任何情况下，本报告中的前瞻性描述和分析信息或所表述的意见并不</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构成对任何人的投资建议。除法律或规则规定必须承担的责任外，本公司不对</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使用本报告及其内容所引发的任何直接或间接损失负任何责任。</w:t>
      </w:r>
      <w:r>
        <w:rPr>
          <w:rFonts w:ascii="宋体" w:hAnsi="宋体" w:cs="宋体" w:eastAsia="宋体" w:hint="default"/>
          <w:sz w:val="28"/>
          <w:szCs w:val="28"/>
        </w:rPr>
      </w:r>
    </w:p>
    <w:p>
      <w:pPr>
        <w:spacing w:line="448" w:lineRule="auto" w:before="160"/>
        <w:ind w:left="674" w:right="0" w:firstLine="139"/>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1</w:t>
      </w:r>
      <w:r>
        <w:rPr>
          <w:rFonts w:ascii="宋体" w:hAnsi="宋体" w:cs="宋体" w:eastAsia="宋体" w:hint="default"/>
          <w:b/>
          <w:bCs/>
          <w:sz w:val="28"/>
          <w:szCs w:val="28"/>
        </w:rPr>
        <w:t>、技术与产品开发风险</w:t>
      </w:r>
      <w:r>
        <w:rPr>
          <w:rFonts w:ascii="宋体" w:hAnsi="宋体" w:cs="宋体" w:eastAsia="宋体" w:hint="default"/>
          <w:b/>
          <w:bCs/>
          <w:w w:val="99"/>
          <w:sz w:val="28"/>
          <w:szCs w:val="28"/>
        </w:rPr>
        <w:t> </w:t>
      </w:r>
      <w:r>
        <w:rPr>
          <w:rFonts w:ascii="宋体" w:hAnsi="宋体" w:cs="宋体" w:eastAsia="宋体" w:hint="default"/>
          <w:b/>
          <w:bCs/>
          <w:spacing w:val="2"/>
          <w:sz w:val="28"/>
          <w:szCs w:val="28"/>
        </w:rPr>
        <w:t>软件产品和技术不断加速的更新换代决定了产品和技术的开发创新是一个</w:t>
      </w:r>
      <w:r>
        <w:rPr>
          <w:rFonts w:ascii="宋体" w:hAnsi="宋体" w:cs="宋体" w:eastAsia="宋体" w:hint="default"/>
          <w:spacing w:val="2"/>
          <w:sz w:val="28"/>
          <w:szCs w:val="28"/>
        </w:rPr>
      </w:r>
    </w:p>
    <w:p>
      <w:pPr>
        <w:spacing w:line="408" w:lineRule="auto" w:before="14"/>
        <w:ind w:left="112" w:right="992" w:firstLine="0"/>
        <w:jc w:val="both"/>
        <w:rPr>
          <w:rFonts w:ascii="宋体" w:hAnsi="宋体" w:cs="宋体" w:eastAsia="宋体" w:hint="default"/>
          <w:sz w:val="28"/>
          <w:szCs w:val="28"/>
        </w:rPr>
      </w:pPr>
      <w:r>
        <w:rPr>
          <w:rFonts w:ascii="宋体" w:hAnsi="宋体" w:cs="宋体" w:eastAsia="宋体" w:hint="default"/>
          <w:b/>
          <w:bCs/>
          <w:spacing w:val="2"/>
          <w:sz w:val="28"/>
          <w:szCs w:val="28"/>
        </w:rPr>
        <w:t>持续、繁杂的系统性工程，其间涉及的不确定因素较多，公司如不能准确把握</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技术发展趋势和市场需求变化情况，从而导致技术和产品开发推广决策出现失</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3"/>
          <w:sz w:val="28"/>
          <w:szCs w:val="28"/>
        </w:rPr>
        <w:t>误，将可能导致公司丧失技术和市场优势，使公司面临技术与产品开发的风险。</w:t>
      </w:r>
      <w:r>
        <w:rPr>
          <w:rFonts w:ascii="宋体" w:hAnsi="宋体" w:cs="宋体" w:eastAsia="宋体" w:hint="default"/>
          <w:spacing w:val="-3"/>
          <w:sz w:val="28"/>
          <w:szCs w:val="28"/>
        </w:rPr>
      </w:r>
    </w:p>
    <w:p>
      <w:pPr>
        <w:spacing w:line="398" w:lineRule="auto" w:before="162"/>
        <w:ind w:left="112" w:right="1128" w:firstLine="561"/>
        <w:jc w:val="both"/>
        <w:rPr>
          <w:rFonts w:ascii="Times New Roman" w:hAnsi="Times New Roman" w:cs="Times New Roman" w:eastAsia="Times New Roman" w:hint="default"/>
          <w:sz w:val="28"/>
          <w:szCs w:val="28"/>
        </w:rPr>
      </w:pPr>
      <w:r>
        <w:rPr>
          <w:rFonts w:ascii="宋体" w:hAnsi="宋体" w:cs="宋体" w:eastAsia="宋体" w:hint="default"/>
          <w:b/>
          <w:bCs/>
          <w:spacing w:val="2"/>
          <w:sz w:val="28"/>
          <w:szCs w:val="28"/>
        </w:rPr>
        <w:t>应对措施：拟从研发人力、资金投入和市场调研、开发等方面加大力度，</w:t>
      </w:r>
      <w:r>
        <w:rPr>
          <w:rFonts w:ascii="宋体" w:hAnsi="宋体" w:cs="宋体" w:eastAsia="宋体" w:hint="default"/>
          <w:b/>
          <w:bCs/>
          <w:w w:val="99"/>
          <w:sz w:val="28"/>
          <w:szCs w:val="28"/>
        </w:rPr>
        <w:t> </w:t>
      </w:r>
      <w:r>
        <w:rPr>
          <w:rFonts w:ascii="宋体" w:hAnsi="宋体" w:cs="宋体" w:eastAsia="宋体" w:hint="default"/>
          <w:b/>
          <w:bCs/>
          <w:sz w:val="28"/>
          <w:szCs w:val="28"/>
        </w:rPr>
        <w:t>同时加强与国内外著名高校和科研机构的合作</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共同研制开发新产品，从而保证</w:t>
      </w:r>
      <w:r>
        <w:rPr>
          <w:rFonts w:ascii="宋体" w:hAnsi="宋体" w:cs="宋体" w:eastAsia="宋体" w:hint="default"/>
          <w:b/>
          <w:bCs/>
          <w:w w:val="99"/>
          <w:sz w:val="28"/>
          <w:szCs w:val="28"/>
        </w:rPr>
        <w:t> </w:t>
      </w:r>
      <w:r>
        <w:rPr>
          <w:rFonts w:ascii="宋体" w:hAnsi="宋体" w:cs="宋体" w:eastAsia="宋体" w:hint="default"/>
          <w:b/>
          <w:bCs/>
          <w:sz w:val="28"/>
          <w:szCs w:val="28"/>
        </w:rPr>
        <w:t>了强大的技术后盾。对于已形成产业化的产品进行深度开发，加快其升级换代</w:t>
      </w:r>
      <w:r>
        <w:rPr>
          <w:rFonts w:ascii="Times New Roman" w:hAnsi="Times New Roman" w:cs="Times New Roman" w:eastAsia="Times New Roman" w:hint="default"/>
          <w:b/>
          <w:bCs/>
          <w:sz w:val="28"/>
          <w:szCs w:val="28"/>
        </w:rPr>
        <w:t>,</w:t>
      </w:r>
      <w:r>
        <w:rPr>
          <w:rFonts w:ascii="Times New Roman" w:hAnsi="Times New Roman" w:cs="Times New Roman" w:eastAsia="Times New Roman" w:hint="default"/>
          <w:sz w:val="28"/>
          <w:szCs w:val="28"/>
        </w:rPr>
      </w:r>
    </w:p>
    <w:p>
      <w:pPr>
        <w:spacing w:after="0" w:line="398" w:lineRule="auto"/>
        <w:jc w:val="both"/>
        <w:rPr>
          <w:rFonts w:ascii="Times New Roman" w:hAnsi="Times New Roman" w:cs="Times New Roman" w:eastAsia="Times New Roman" w:hint="default"/>
          <w:sz w:val="28"/>
          <w:szCs w:val="28"/>
        </w:rPr>
        <w:sectPr>
          <w:footerReference w:type="default" r:id="rId8"/>
          <w:pgSz w:w="11910" w:h="16840"/>
          <w:pgMar w:footer="1016" w:header="787" w:top="1100" w:bottom="1200" w:left="1020" w:right="0"/>
          <w:pgNumType w:start="2"/>
        </w:sectPr>
      </w:pPr>
    </w:p>
    <w:p>
      <w:pPr>
        <w:spacing w:line="240" w:lineRule="auto" w:before="0"/>
        <w:rPr>
          <w:rFonts w:ascii="Times New Roman" w:hAnsi="Times New Roman" w:cs="Times New Roman" w:eastAsia="Times New Roman" w:hint="default"/>
          <w:b/>
          <w:bCs/>
          <w:sz w:val="20"/>
          <w:szCs w:val="20"/>
        </w:rPr>
      </w:pPr>
    </w:p>
    <w:p>
      <w:pPr>
        <w:spacing w:before="190"/>
        <w:ind w:left="112" w:right="0" w:firstLine="0"/>
        <w:jc w:val="left"/>
        <w:rPr>
          <w:rFonts w:ascii="宋体" w:hAnsi="宋体" w:cs="宋体" w:eastAsia="宋体" w:hint="default"/>
          <w:sz w:val="28"/>
          <w:szCs w:val="28"/>
        </w:rPr>
      </w:pPr>
      <w:r>
        <w:rPr>
          <w:rFonts w:ascii="宋体" w:hAnsi="宋体" w:cs="宋体" w:eastAsia="宋体" w:hint="default"/>
          <w:b/>
          <w:bCs/>
          <w:sz w:val="28"/>
          <w:szCs w:val="28"/>
        </w:rPr>
        <w:t>保持技术优势。</w:t>
      </w:r>
      <w:r>
        <w:rPr>
          <w:rFonts w:ascii="宋体" w:hAnsi="宋体" w:cs="宋体" w:eastAsia="宋体" w:hint="default"/>
          <w:sz w:val="28"/>
          <w:szCs w:val="28"/>
        </w:rPr>
      </w:r>
    </w:p>
    <w:p>
      <w:pPr>
        <w:spacing w:line="240" w:lineRule="auto" w:before="3"/>
        <w:rPr>
          <w:rFonts w:ascii="宋体" w:hAnsi="宋体" w:cs="宋体" w:eastAsia="宋体" w:hint="default"/>
          <w:b/>
          <w:bCs/>
          <w:sz w:val="27"/>
          <w:szCs w:val="27"/>
        </w:rPr>
      </w:pPr>
    </w:p>
    <w:p>
      <w:pPr>
        <w:spacing w:line="448" w:lineRule="auto" w:before="0"/>
        <w:ind w:left="674" w:right="0" w:firstLine="139"/>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2</w:t>
      </w:r>
      <w:r>
        <w:rPr>
          <w:rFonts w:ascii="宋体" w:hAnsi="宋体" w:cs="宋体" w:eastAsia="宋体" w:hint="default"/>
          <w:b/>
          <w:bCs/>
          <w:sz w:val="28"/>
          <w:szCs w:val="28"/>
        </w:rPr>
        <w:t>、业务拓展风险</w:t>
      </w:r>
      <w:r>
        <w:rPr>
          <w:rFonts w:ascii="宋体" w:hAnsi="宋体" w:cs="宋体" w:eastAsia="宋体" w:hint="default"/>
          <w:b/>
          <w:bCs/>
          <w:w w:val="99"/>
          <w:sz w:val="28"/>
          <w:szCs w:val="28"/>
        </w:rPr>
        <w:t> </w:t>
      </w:r>
      <w:r>
        <w:rPr>
          <w:rFonts w:ascii="宋体" w:hAnsi="宋体" w:cs="宋体" w:eastAsia="宋体" w:hint="default"/>
          <w:b/>
          <w:bCs/>
          <w:spacing w:val="2"/>
          <w:sz w:val="28"/>
          <w:szCs w:val="28"/>
        </w:rPr>
        <w:t>为适应国内医疗健康服务市场需求的不断变化，公司主营业务将从以应用</w:t>
      </w:r>
      <w:r>
        <w:rPr>
          <w:rFonts w:ascii="宋体" w:hAnsi="宋体" w:cs="宋体" w:eastAsia="宋体" w:hint="default"/>
          <w:spacing w:val="2"/>
          <w:sz w:val="28"/>
          <w:szCs w:val="28"/>
        </w:rPr>
      </w:r>
    </w:p>
    <w:p>
      <w:pPr>
        <w:spacing w:line="408" w:lineRule="auto" w:before="14"/>
        <w:ind w:left="112" w:right="1130" w:firstLine="0"/>
        <w:jc w:val="both"/>
        <w:rPr>
          <w:rFonts w:ascii="宋体" w:hAnsi="宋体" w:cs="宋体" w:eastAsia="宋体" w:hint="default"/>
          <w:sz w:val="28"/>
          <w:szCs w:val="28"/>
        </w:rPr>
      </w:pPr>
      <w:r>
        <w:rPr>
          <w:rFonts w:ascii="宋体" w:hAnsi="宋体" w:cs="宋体" w:eastAsia="宋体" w:hint="default"/>
          <w:b/>
          <w:bCs/>
          <w:spacing w:val="2"/>
          <w:sz w:val="28"/>
          <w:szCs w:val="28"/>
        </w:rPr>
        <w:t>软件产品开发销售为主导逐渐向以信息系统的运维服务和区域医疗健康平台运</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营服务领域拓展，这需要公司从经营思路、营运模式、人员结构、产品开发等</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诸多方面进行相应的调整和提升。近年来，公司已在局部地区和特定项目上对</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业务转型进行了积极探索，并取得了有益的经验，有效降低了业务拓展过程中</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可能产生的风险。</w:t>
      </w:r>
      <w:r>
        <w:rPr>
          <w:rFonts w:ascii="宋体" w:hAnsi="宋体" w:cs="宋体" w:eastAsia="宋体" w:hint="default"/>
          <w:sz w:val="28"/>
          <w:szCs w:val="28"/>
        </w:rPr>
      </w:r>
    </w:p>
    <w:p>
      <w:pPr>
        <w:spacing w:line="408" w:lineRule="auto" w:before="162"/>
        <w:ind w:left="112" w:right="1128" w:firstLine="561"/>
        <w:jc w:val="both"/>
        <w:rPr>
          <w:rFonts w:ascii="宋体" w:hAnsi="宋体" w:cs="宋体" w:eastAsia="宋体" w:hint="default"/>
          <w:sz w:val="28"/>
          <w:szCs w:val="28"/>
        </w:rPr>
      </w:pPr>
      <w:r>
        <w:rPr>
          <w:rFonts w:ascii="宋体" w:hAnsi="宋体" w:cs="宋体" w:eastAsia="宋体" w:hint="default"/>
          <w:b/>
          <w:bCs/>
          <w:spacing w:val="2"/>
          <w:sz w:val="28"/>
          <w:szCs w:val="28"/>
        </w:rPr>
        <w:t>应对措施：产品及研发部预研各种技术，进行概念验证和典型用户示范，</w:t>
      </w:r>
      <w:r>
        <w:rPr>
          <w:rFonts w:ascii="宋体" w:hAnsi="宋体" w:cs="宋体" w:eastAsia="宋体" w:hint="default"/>
          <w:b/>
          <w:bCs/>
          <w:w w:val="99"/>
          <w:sz w:val="28"/>
          <w:szCs w:val="28"/>
        </w:rPr>
        <w:t> </w:t>
      </w:r>
      <w:r>
        <w:rPr>
          <w:rFonts w:ascii="宋体" w:hAnsi="宋体" w:cs="宋体" w:eastAsia="宋体" w:hint="default"/>
          <w:b/>
          <w:bCs/>
          <w:spacing w:val="2"/>
          <w:sz w:val="28"/>
          <w:szCs w:val="28"/>
        </w:rPr>
        <w:t>并与各高等院校、专业研究机构、客户及政府部门合作，将新技术、新需求有</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效应用于各个示范应用点，然后争取得到行业权威机构的支持和认可，进一步</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扩大推广应用范围。</w:t>
      </w:r>
      <w:r>
        <w:rPr>
          <w:rFonts w:ascii="宋体" w:hAnsi="宋体" w:cs="宋体" w:eastAsia="宋体" w:hint="default"/>
          <w:sz w:val="28"/>
          <w:szCs w:val="28"/>
        </w:rPr>
      </w:r>
    </w:p>
    <w:p>
      <w:pPr>
        <w:spacing w:line="448" w:lineRule="auto" w:before="160"/>
        <w:ind w:left="674" w:right="0" w:firstLine="139"/>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3</w:t>
      </w:r>
      <w:r>
        <w:rPr>
          <w:rFonts w:ascii="宋体" w:hAnsi="宋体" w:cs="宋体" w:eastAsia="宋体" w:hint="default"/>
          <w:b/>
          <w:bCs/>
          <w:sz w:val="28"/>
          <w:szCs w:val="28"/>
        </w:rPr>
        <w:t>、市场竞争加剧的风险</w:t>
      </w:r>
      <w:r>
        <w:rPr>
          <w:rFonts w:ascii="宋体" w:hAnsi="宋体" w:cs="宋体" w:eastAsia="宋体" w:hint="default"/>
          <w:b/>
          <w:bCs/>
          <w:w w:val="99"/>
          <w:sz w:val="28"/>
          <w:szCs w:val="28"/>
        </w:rPr>
        <w:t> </w:t>
      </w:r>
      <w:r>
        <w:rPr>
          <w:rFonts w:ascii="宋体" w:hAnsi="宋体" w:cs="宋体" w:eastAsia="宋体" w:hint="default"/>
          <w:b/>
          <w:bCs/>
          <w:spacing w:val="2"/>
          <w:sz w:val="28"/>
          <w:szCs w:val="28"/>
        </w:rPr>
        <w:t>近年来由于医疗卫生体制改革的深入推进，医疗卫生信息化领域市场空间</w:t>
      </w:r>
      <w:r>
        <w:rPr>
          <w:rFonts w:ascii="宋体" w:hAnsi="宋体" w:cs="宋体" w:eastAsia="宋体" w:hint="default"/>
          <w:spacing w:val="2"/>
          <w:sz w:val="28"/>
          <w:szCs w:val="28"/>
        </w:rPr>
      </w:r>
    </w:p>
    <w:p>
      <w:pPr>
        <w:spacing w:line="408" w:lineRule="auto" w:before="14"/>
        <w:ind w:left="112" w:right="0" w:firstLine="0"/>
        <w:jc w:val="left"/>
        <w:rPr>
          <w:rFonts w:ascii="宋体" w:hAnsi="宋体" w:cs="宋体" w:eastAsia="宋体" w:hint="default"/>
          <w:sz w:val="28"/>
          <w:szCs w:val="28"/>
        </w:rPr>
      </w:pPr>
      <w:r>
        <w:rPr>
          <w:rFonts w:ascii="宋体" w:hAnsi="宋体" w:cs="宋体" w:eastAsia="宋体" w:hint="default"/>
          <w:b/>
          <w:bCs/>
          <w:spacing w:val="-3"/>
          <w:sz w:val="28"/>
          <w:szCs w:val="28"/>
        </w:rPr>
        <w:t>不断扩大，一方面吸引了大量新的市场竞争者进入这一领域，加剧了市场竞争；</w:t>
      </w:r>
      <w:r>
        <w:rPr>
          <w:rFonts w:ascii="宋体" w:hAnsi="宋体" w:cs="宋体" w:eastAsia="宋体" w:hint="default"/>
          <w:b/>
          <w:bCs/>
          <w:spacing w:val="-115"/>
          <w:sz w:val="28"/>
          <w:szCs w:val="28"/>
        </w:rPr>
        <w:t> </w:t>
      </w:r>
      <w:r>
        <w:rPr>
          <w:rFonts w:ascii="宋体" w:hAnsi="宋体" w:cs="宋体" w:eastAsia="宋体" w:hint="default"/>
          <w:b/>
          <w:bCs/>
          <w:spacing w:val="-115"/>
          <w:sz w:val="28"/>
          <w:szCs w:val="28"/>
        </w:rPr>
      </w:r>
      <w:r>
        <w:rPr>
          <w:rFonts w:ascii="宋体" w:hAnsi="宋体" w:cs="宋体" w:eastAsia="宋体" w:hint="default"/>
          <w:b/>
          <w:bCs/>
          <w:spacing w:val="2"/>
          <w:sz w:val="28"/>
          <w:szCs w:val="28"/>
        </w:rPr>
        <w:t>另一方面原行业内的企业，特别是上市企业，依托资本市场的优势，通过业务</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重组、企业并购等方式在区域医疗卫生信息化领域展开激烈竞争。</w:t>
      </w:r>
      <w:r>
        <w:rPr>
          <w:rFonts w:ascii="宋体" w:hAnsi="宋体" w:cs="宋体" w:eastAsia="宋体" w:hint="default"/>
          <w:sz w:val="28"/>
          <w:szCs w:val="28"/>
        </w:rPr>
      </w:r>
    </w:p>
    <w:p>
      <w:pPr>
        <w:spacing w:line="408" w:lineRule="auto" w:before="162"/>
        <w:ind w:left="112" w:right="1128" w:firstLine="561"/>
        <w:jc w:val="both"/>
        <w:rPr>
          <w:rFonts w:ascii="宋体" w:hAnsi="宋体" w:cs="宋体" w:eastAsia="宋体" w:hint="default"/>
          <w:sz w:val="28"/>
          <w:szCs w:val="28"/>
        </w:rPr>
      </w:pPr>
      <w:r>
        <w:rPr>
          <w:rFonts w:ascii="宋体" w:hAnsi="宋体" w:cs="宋体" w:eastAsia="宋体" w:hint="default"/>
          <w:b/>
          <w:bCs/>
          <w:spacing w:val="2"/>
          <w:sz w:val="28"/>
          <w:szCs w:val="28"/>
        </w:rPr>
        <w:t>应对措施：公司需采取更加积极的经营管理措施，加大研发投入，密切跟</w:t>
      </w:r>
      <w:r>
        <w:rPr>
          <w:rFonts w:ascii="宋体" w:hAnsi="宋体" w:cs="宋体" w:eastAsia="宋体" w:hint="default"/>
          <w:b/>
          <w:bCs/>
          <w:w w:val="99"/>
          <w:sz w:val="28"/>
          <w:szCs w:val="28"/>
        </w:rPr>
        <w:t> </w:t>
      </w:r>
      <w:r>
        <w:rPr>
          <w:rFonts w:ascii="宋体" w:hAnsi="宋体" w:cs="宋体" w:eastAsia="宋体" w:hint="default"/>
          <w:b/>
          <w:bCs/>
          <w:spacing w:val="2"/>
          <w:sz w:val="28"/>
          <w:szCs w:val="28"/>
        </w:rPr>
        <w:t>踪行业发展趋势和前沿创新技术，并积极关注行业竞争所带来的整合机遇，从</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而维持并加强公司在用户数量、用户粘性及技术方面的核心竞争优势，促进公</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司持续健康发展。</w:t>
      </w:r>
      <w:r>
        <w:rPr>
          <w:rFonts w:ascii="宋体" w:hAnsi="宋体" w:cs="宋体" w:eastAsia="宋体" w:hint="default"/>
          <w:sz w:val="28"/>
          <w:szCs w:val="28"/>
        </w:rPr>
      </w:r>
    </w:p>
    <w:p>
      <w:pPr>
        <w:spacing w:after="0" w:line="408" w:lineRule="auto"/>
        <w:jc w:val="both"/>
        <w:rPr>
          <w:rFonts w:ascii="宋体" w:hAnsi="宋体" w:cs="宋体" w:eastAsia="宋体" w:hint="default"/>
          <w:sz w:val="28"/>
          <w:szCs w:val="28"/>
        </w:rPr>
        <w:sectPr>
          <w:pgSz w:w="11910" w:h="16840"/>
          <w:pgMar w:header="787" w:footer="1016" w:top="1100" w:bottom="1200" w:left="1020" w:right="0"/>
        </w:sectPr>
      </w:pPr>
    </w:p>
    <w:p>
      <w:pPr>
        <w:spacing w:line="240" w:lineRule="auto" w:before="0"/>
        <w:rPr>
          <w:rFonts w:ascii="宋体" w:hAnsi="宋体" w:cs="宋体" w:eastAsia="宋体" w:hint="default"/>
          <w:b/>
          <w:bCs/>
          <w:sz w:val="20"/>
          <w:szCs w:val="20"/>
        </w:rPr>
      </w:pPr>
    </w:p>
    <w:p>
      <w:pPr>
        <w:spacing w:line="446" w:lineRule="auto" w:before="158"/>
        <w:ind w:left="674" w:right="0" w:firstLine="139"/>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4</w:t>
      </w:r>
      <w:r>
        <w:rPr>
          <w:rFonts w:ascii="宋体" w:hAnsi="宋体" w:cs="宋体" w:eastAsia="宋体" w:hint="default"/>
          <w:b/>
          <w:bCs/>
          <w:sz w:val="28"/>
          <w:szCs w:val="28"/>
        </w:rPr>
        <w:t>、公司经营季节性波动的风险</w:t>
      </w:r>
      <w:r>
        <w:rPr>
          <w:rFonts w:ascii="宋体" w:hAnsi="宋体" w:cs="宋体" w:eastAsia="宋体" w:hint="default"/>
          <w:b/>
          <w:bCs/>
          <w:w w:val="99"/>
          <w:sz w:val="28"/>
          <w:szCs w:val="28"/>
        </w:rPr>
        <w:t> </w:t>
      </w:r>
      <w:r>
        <w:rPr>
          <w:rFonts w:ascii="宋体" w:hAnsi="宋体" w:cs="宋体" w:eastAsia="宋体" w:hint="default"/>
          <w:b/>
          <w:bCs/>
          <w:spacing w:val="2"/>
          <w:sz w:val="28"/>
          <w:szCs w:val="28"/>
        </w:rPr>
        <w:t>公司的医疗信息化行业客户主要为公立医院、卫生管理部门，这些客户执</w:t>
      </w:r>
      <w:r>
        <w:rPr>
          <w:rFonts w:ascii="宋体" w:hAnsi="宋体" w:cs="宋体" w:eastAsia="宋体" w:hint="default"/>
          <w:spacing w:val="2"/>
          <w:sz w:val="28"/>
          <w:szCs w:val="28"/>
        </w:rPr>
      </w:r>
    </w:p>
    <w:p>
      <w:pPr>
        <w:spacing w:line="408" w:lineRule="auto" w:before="16"/>
        <w:ind w:left="112" w:right="1130" w:firstLine="0"/>
        <w:jc w:val="both"/>
        <w:rPr>
          <w:rFonts w:ascii="宋体" w:hAnsi="宋体" w:cs="宋体" w:eastAsia="宋体" w:hint="default"/>
          <w:sz w:val="28"/>
          <w:szCs w:val="28"/>
        </w:rPr>
      </w:pPr>
      <w:r>
        <w:rPr>
          <w:rFonts w:ascii="宋体" w:hAnsi="宋体" w:cs="宋体" w:eastAsia="宋体" w:hint="default"/>
          <w:b/>
          <w:bCs/>
          <w:spacing w:val="2"/>
          <w:sz w:val="28"/>
          <w:szCs w:val="28"/>
        </w:rPr>
        <w:t>行严格的预算管理和集中采购制度。由于政府财政预算体制的原因，客户的信</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息化产品采购需要经过立项、审批、招标等流程。一般项目的验收和回款主要</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集中在每年下半年，尤其在第四季度更为集中。由于公司的人力成本、差旅费</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用和研发投入等费用在年度内较为均衡地发生，造成公司的经营指标呈现明显</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的季节性波动。</w:t>
      </w:r>
      <w:r>
        <w:rPr>
          <w:rFonts w:ascii="宋体" w:hAnsi="宋体" w:cs="宋体" w:eastAsia="宋体" w:hint="default"/>
          <w:sz w:val="28"/>
          <w:szCs w:val="28"/>
        </w:rPr>
      </w:r>
    </w:p>
    <w:p>
      <w:pPr>
        <w:spacing w:line="408" w:lineRule="auto" w:before="162"/>
        <w:ind w:left="112" w:right="1128" w:firstLine="561"/>
        <w:jc w:val="both"/>
        <w:rPr>
          <w:rFonts w:ascii="宋体" w:hAnsi="宋体" w:cs="宋体" w:eastAsia="宋体" w:hint="default"/>
          <w:sz w:val="28"/>
          <w:szCs w:val="28"/>
        </w:rPr>
      </w:pPr>
      <w:r>
        <w:rPr>
          <w:rFonts w:ascii="宋体" w:hAnsi="宋体" w:cs="宋体" w:eastAsia="宋体" w:hint="default"/>
          <w:b/>
          <w:bCs/>
          <w:spacing w:val="2"/>
          <w:sz w:val="28"/>
          <w:szCs w:val="28"/>
        </w:rPr>
        <w:t>应对措施：公司将加大市场工作力度，及时了解、掌握和引导客户的投资</w:t>
      </w:r>
      <w:r>
        <w:rPr>
          <w:rFonts w:ascii="宋体" w:hAnsi="宋体" w:cs="宋体" w:eastAsia="宋体" w:hint="default"/>
          <w:b/>
          <w:bCs/>
          <w:w w:val="99"/>
          <w:sz w:val="28"/>
          <w:szCs w:val="28"/>
        </w:rPr>
        <w:t> </w:t>
      </w:r>
      <w:r>
        <w:rPr>
          <w:rFonts w:ascii="宋体" w:hAnsi="宋体" w:cs="宋体" w:eastAsia="宋体" w:hint="default"/>
          <w:b/>
          <w:bCs/>
          <w:spacing w:val="2"/>
          <w:sz w:val="28"/>
          <w:szCs w:val="28"/>
        </w:rPr>
        <w:t>计划，在不违反相关规定的前提下尽早介入项目前期规划工作，同时合理调配</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人力资源，使得项目实施尽量能够均衡开展，减少因自身因素造成的项目实施</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时间集中问题；同时，加大收款考核力度，与客户保持及时有效沟通，减少因</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人为因素造成的收款时间集中问题。</w:t>
      </w:r>
      <w:r>
        <w:rPr>
          <w:rFonts w:ascii="宋体" w:hAnsi="宋体" w:cs="宋体" w:eastAsia="宋体" w:hint="default"/>
          <w:sz w:val="28"/>
          <w:szCs w:val="28"/>
        </w:rPr>
      </w:r>
    </w:p>
    <w:p>
      <w:pPr>
        <w:spacing w:before="162"/>
        <w:ind w:left="813" w:right="0" w:firstLine="0"/>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5</w:t>
      </w:r>
      <w:r>
        <w:rPr>
          <w:rFonts w:ascii="宋体" w:hAnsi="宋体" w:cs="宋体" w:eastAsia="宋体" w:hint="default"/>
          <w:b/>
          <w:bCs/>
          <w:sz w:val="28"/>
          <w:szCs w:val="28"/>
        </w:rPr>
        <w:t>、人才流失的风险</w:t>
      </w:r>
      <w:r>
        <w:rPr>
          <w:rFonts w:ascii="宋体" w:hAnsi="宋体" w:cs="宋体" w:eastAsia="宋体" w:hint="default"/>
          <w:sz w:val="28"/>
          <w:szCs w:val="28"/>
        </w:rPr>
      </w:r>
    </w:p>
    <w:p>
      <w:pPr>
        <w:spacing w:line="240" w:lineRule="auto" w:before="8"/>
        <w:rPr>
          <w:rFonts w:ascii="宋体" w:hAnsi="宋体" w:cs="宋体" w:eastAsia="宋体" w:hint="default"/>
          <w:b/>
          <w:bCs/>
          <w:sz w:val="25"/>
          <w:szCs w:val="25"/>
        </w:rPr>
      </w:pPr>
    </w:p>
    <w:p>
      <w:pPr>
        <w:spacing w:line="405" w:lineRule="auto" w:before="0"/>
        <w:ind w:left="112" w:right="0" w:firstLine="561"/>
        <w:jc w:val="left"/>
        <w:rPr>
          <w:rFonts w:ascii="宋体" w:hAnsi="宋体" w:cs="宋体" w:eastAsia="宋体" w:hint="default"/>
          <w:sz w:val="28"/>
          <w:szCs w:val="28"/>
        </w:rPr>
      </w:pPr>
      <w:r>
        <w:rPr>
          <w:rFonts w:ascii="宋体" w:hAnsi="宋体" w:cs="宋体" w:eastAsia="宋体" w:hint="default"/>
          <w:b/>
          <w:bCs/>
          <w:spacing w:val="6"/>
          <w:sz w:val="28"/>
          <w:szCs w:val="28"/>
        </w:rPr>
        <w:t>医疗卫生信息化行业需要大量具有医疗卫生与</w:t>
      </w:r>
      <w:r>
        <w:rPr>
          <w:rFonts w:ascii="宋体" w:hAnsi="宋体" w:cs="宋体" w:eastAsia="宋体" w:hint="default"/>
          <w:b/>
          <w:bCs/>
          <w:spacing w:val="-60"/>
          <w:sz w:val="28"/>
          <w:szCs w:val="28"/>
        </w:rPr>
        <w:t> </w:t>
      </w:r>
      <w:r>
        <w:rPr>
          <w:rFonts w:ascii="Times New Roman" w:hAnsi="Times New Roman" w:cs="Times New Roman" w:eastAsia="Times New Roman" w:hint="default"/>
          <w:b/>
          <w:bCs/>
          <w:sz w:val="28"/>
          <w:szCs w:val="28"/>
        </w:rPr>
        <w:t>IT</w:t>
      </w:r>
      <w:r>
        <w:rPr>
          <w:rFonts w:ascii="Times New Roman" w:hAnsi="Times New Roman" w:cs="Times New Roman" w:eastAsia="Times New Roman" w:hint="default"/>
          <w:b/>
          <w:bCs/>
          <w:spacing w:val="9"/>
          <w:sz w:val="28"/>
          <w:szCs w:val="28"/>
        </w:rPr>
        <w:t> </w:t>
      </w:r>
      <w:r>
        <w:rPr>
          <w:rFonts w:ascii="宋体" w:hAnsi="宋体" w:cs="宋体" w:eastAsia="宋体" w:hint="default"/>
          <w:b/>
          <w:bCs/>
          <w:spacing w:val="6"/>
          <w:sz w:val="28"/>
          <w:szCs w:val="28"/>
        </w:rPr>
        <w:t>双重知识背景的技术人</w:t>
      </w:r>
      <w:r>
        <w:rPr>
          <w:rFonts w:ascii="宋体" w:hAnsi="宋体" w:cs="宋体" w:eastAsia="宋体" w:hint="default"/>
          <w:b/>
          <w:bCs/>
          <w:w w:val="99"/>
          <w:sz w:val="28"/>
          <w:szCs w:val="28"/>
        </w:rPr>
        <w:t> </w:t>
      </w:r>
      <w:r>
        <w:rPr>
          <w:rFonts w:ascii="宋体" w:hAnsi="宋体" w:cs="宋体" w:eastAsia="宋体" w:hint="default"/>
          <w:b/>
          <w:bCs/>
          <w:spacing w:val="2"/>
          <w:sz w:val="28"/>
          <w:szCs w:val="28"/>
        </w:rPr>
        <w:t>才，培养一名优秀的了解医疗卫生知识的软件开发人才是一个较漫长的过程。</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同时，医疗卫生信息化行业的人才竞争非常激烈，人员流动较为频繁。因此，</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若出现核心技术人员外流情况，将可能在一定程度上影响公司的产品研发能力</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和技术创新能力。高质量的软件产品是医疗卫生信息化行业竞争力的主要决定</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因素。同时，要将高质量的产品介绍给用户，使其真正转换为公司的竞争力，</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3"/>
          <w:sz w:val="28"/>
          <w:szCs w:val="28"/>
        </w:rPr>
        <w:t>形成公司的营业收入和利润，市场营销的作用非常重要。因此，营销人才队伍，</w:t>
      </w:r>
      <w:r>
        <w:rPr>
          <w:rFonts w:ascii="宋体" w:hAnsi="宋体" w:cs="宋体" w:eastAsia="宋体" w:hint="default"/>
          <w:b/>
          <w:bCs/>
          <w:spacing w:val="-116"/>
          <w:sz w:val="28"/>
          <w:szCs w:val="28"/>
        </w:rPr>
        <w:t> </w:t>
      </w:r>
      <w:r>
        <w:rPr>
          <w:rFonts w:ascii="宋体" w:hAnsi="宋体" w:cs="宋体" w:eastAsia="宋体" w:hint="default"/>
          <w:b/>
          <w:bCs/>
          <w:spacing w:val="-116"/>
          <w:sz w:val="28"/>
          <w:szCs w:val="28"/>
        </w:rPr>
      </w:r>
      <w:r>
        <w:rPr>
          <w:rFonts w:ascii="宋体" w:hAnsi="宋体" w:cs="宋体" w:eastAsia="宋体" w:hint="default"/>
          <w:b/>
          <w:bCs/>
          <w:spacing w:val="2"/>
          <w:sz w:val="28"/>
          <w:szCs w:val="28"/>
        </w:rPr>
        <w:t>尤其是核心营销人才队伍的稳定对公司的持续发展非常重要，公司可能面临竞</w:t>
      </w:r>
      <w:r>
        <w:rPr>
          <w:rFonts w:ascii="宋体" w:hAnsi="宋体" w:cs="宋体" w:eastAsia="宋体" w:hint="default"/>
          <w:spacing w:val="2"/>
          <w:sz w:val="28"/>
          <w:szCs w:val="28"/>
        </w:rPr>
      </w:r>
    </w:p>
    <w:p>
      <w:pPr>
        <w:spacing w:after="0" w:line="405" w:lineRule="auto"/>
        <w:jc w:val="left"/>
        <w:rPr>
          <w:rFonts w:ascii="宋体" w:hAnsi="宋体" w:cs="宋体" w:eastAsia="宋体" w:hint="default"/>
          <w:sz w:val="28"/>
          <w:szCs w:val="28"/>
        </w:rPr>
        <w:sectPr>
          <w:headerReference w:type="default" r:id="rId9"/>
          <w:pgSz w:w="11910" w:h="16840"/>
          <w:pgMar w:header="907" w:footer="1016" w:top="1100" w:bottom="1200" w:left="1020" w:right="0"/>
        </w:sectPr>
      </w:pPr>
    </w:p>
    <w:p>
      <w:pPr>
        <w:spacing w:line="240" w:lineRule="auto" w:before="0"/>
        <w:rPr>
          <w:rFonts w:ascii="宋体" w:hAnsi="宋体" w:cs="宋体" w:eastAsia="宋体" w:hint="default"/>
          <w:b/>
          <w:bCs/>
          <w:sz w:val="20"/>
          <w:szCs w:val="20"/>
        </w:rPr>
      </w:pPr>
    </w:p>
    <w:p>
      <w:pPr>
        <w:spacing w:line="472" w:lineRule="auto" w:before="158"/>
        <w:ind w:left="674" w:right="0" w:hanging="562"/>
        <w:jc w:val="left"/>
        <w:rPr>
          <w:rFonts w:ascii="宋体" w:hAnsi="宋体" w:cs="宋体" w:eastAsia="宋体" w:hint="default"/>
          <w:sz w:val="28"/>
          <w:szCs w:val="28"/>
        </w:rPr>
      </w:pPr>
      <w:r>
        <w:rPr>
          <w:rFonts w:ascii="宋体" w:hAnsi="宋体" w:cs="宋体" w:eastAsia="宋体" w:hint="default"/>
          <w:b/>
          <w:bCs/>
          <w:sz w:val="28"/>
          <w:szCs w:val="28"/>
        </w:rPr>
        <w:t>争对手争夺核心营销人才的风险。</w:t>
      </w:r>
      <w:r>
        <w:rPr>
          <w:rFonts w:ascii="宋体" w:hAnsi="宋体" w:cs="宋体" w:eastAsia="宋体" w:hint="default"/>
          <w:b/>
          <w:bCs/>
          <w:w w:val="99"/>
          <w:sz w:val="28"/>
          <w:szCs w:val="28"/>
        </w:rPr>
        <w:t> </w:t>
      </w:r>
      <w:r>
        <w:rPr>
          <w:rFonts w:ascii="宋体" w:hAnsi="宋体" w:cs="宋体" w:eastAsia="宋体" w:hint="default"/>
          <w:b/>
          <w:bCs/>
          <w:spacing w:val="-7"/>
          <w:sz w:val="28"/>
          <w:szCs w:val="28"/>
        </w:rPr>
        <w:t>应对措施：人力资源一直是公司的核心战略资源，未来公司将继续坚持“以</w:t>
      </w:r>
      <w:r>
        <w:rPr>
          <w:rFonts w:ascii="宋体" w:hAnsi="宋体" w:cs="宋体" w:eastAsia="宋体" w:hint="default"/>
          <w:spacing w:val="-7"/>
          <w:sz w:val="28"/>
          <w:szCs w:val="28"/>
        </w:rPr>
      </w:r>
    </w:p>
    <w:p>
      <w:pPr>
        <w:spacing w:line="398" w:lineRule="auto" w:before="0"/>
        <w:ind w:left="112" w:right="0" w:firstLine="0"/>
        <w:jc w:val="left"/>
        <w:rPr>
          <w:rFonts w:ascii="宋体" w:hAnsi="宋体" w:cs="宋体" w:eastAsia="宋体" w:hint="default"/>
          <w:sz w:val="28"/>
          <w:szCs w:val="28"/>
        </w:rPr>
      </w:pPr>
      <w:r>
        <w:rPr>
          <w:rFonts w:ascii="宋体" w:hAnsi="宋体" w:cs="宋体" w:eastAsia="宋体" w:hint="default"/>
          <w:b/>
          <w:bCs/>
          <w:spacing w:val="-3"/>
          <w:sz w:val="28"/>
          <w:szCs w:val="28"/>
        </w:rPr>
        <w:t>人为本”的人才方针，根据发展战略和业务需要，不断完善人力资源建设计划，</w:t>
      </w:r>
      <w:r>
        <w:rPr>
          <w:rFonts w:ascii="宋体" w:hAnsi="宋体" w:cs="宋体" w:eastAsia="宋体" w:hint="default"/>
          <w:b/>
          <w:bCs/>
          <w:spacing w:val="-115"/>
          <w:sz w:val="28"/>
          <w:szCs w:val="28"/>
        </w:rPr>
        <w:t> </w:t>
      </w:r>
      <w:r>
        <w:rPr>
          <w:rFonts w:ascii="宋体" w:hAnsi="宋体" w:cs="宋体" w:eastAsia="宋体" w:hint="default"/>
          <w:b/>
          <w:bCs/>
          <w:spacing w:val="-115"/>
          <w:sz w:val="28"/>
          <w:szCs w:val="28"/>
        </w:rPr>
      </w:r>
      <w:r>
        <w:rPr>
          <w:rFonts w:ascii="宋体" w:hAnsi="宋体" w:cs="宋体" w:eastAsia="宋体" w:hint="default"/>
          <w:b/>
          <w:bCs/>
          <w:spacing w:val="-3"/>
          <w:sz w:val="28"/>
          <w:szCs w:val="28"/>
        </w:rPr>
        <w:t>重点做好高端人才的培养与引进工作，继续开展与全国</w:t>
      </w:r>
      <w:r>
        <w:rPr>
          <w:rFonts w:ascii="宋体" w:hAnsi="宋体" w:cs="宋体" w:eastAsia="宋体" w:hint="default"/>
          <w:b/>
          <w:bCs/>
          <w:spacing w:val="-73"/>
          <w:sz w:val="28"/>
          <w:szCs w:val="28"/>
        </w:rPr>
        <w:t> </w:t>
      </w:r>
      <w:r>
        <w:rPr>
          <w:rFonts w:ascii="Times New Roman" w:hAnsi="Times New Roman" w:cs="Times New Roman" w:eastAsia="Times New Roman" w:hint="default"/>
          <w:b/>
          <w:bCs/>
          <w:sz w:val="28"/>
          <w:szCs w:val="28"/>
        </w:rPr>
        <w:t>20</w:t>
      </w:r>
      <w:r>
        <w:rPr>
          <w:rFonts w:ascii="Times New Roman" w:hAnsi="Times New Roman" w:cs="Times New Roman" w:eastAsia="Times New Roman" w:hint="default"/>
          <w:b/>
          <w:bCs/>
          <w:spacing w:val="-3"/>
          <w:sz w:val="28"/>
          <w:szCs w:val="28"/>
        </w:rPr>
        <w:t> </w:t>
      </w:r>
      <w:r>
        <w:rPr>
          <w:rFonts w:ascii="宋体" w:hAnsi="宋体" w:cs="宋体" w:eastAsia="宋体" w:hint="default"/>
          <w:b/>
          <w:bCs/>
          <w:sz w:val="28"/>
          <w:szCs w:val="28"/>
        </w:rPr>
        <w:t>多所高等院校的校企</w:t>
      </w:r>
      <w:r>
        <w:rPr>
          <w:rFonts w:ascii="宋体" w:hAnsi="宋体" w:cs="宋体" w:eastAsia="宋体" w:hint="default"/>
          <w:b/>
          <w:bCs/>
          <w:w w:val="99"/>
          <w:sz w:val="28"/>
          <w:szCs w:val="28"/>
        </w:rPr>
        <w:t> </w:t>
      </w:r>
      <w:r>
        <w:rPr>
          <w:rFonts w:ascii="宋体" w:hAnsi="宋体" w:cs="宋体" w:eastAsia="宋体" w:hint="default"/>
          <w:b/>
          <w:bCs/>
          <w:sz w:val="28"/>
          <w:szCs w:val="28"/>
        </w:rPr>
        <w:t>人才合作，进一步优化人员结构，并积极探索新形势下员工激励机制。</w:t>
      </w:r>
      <w:r>
        <w:rPr>
          <w:rFonts w:ascii="宋体" w:hAnsi="宋体" w:cs="宋体" w:eastAsia="宋体" w:hint="default"/>
          <w:sz w:val="28"/>
          <w:szCs w:val="28"/>
        </w:rPr>
      </w:r>
    </w:p>
    <w:p>
      <w:pPr>
        <w:spacing w:line="448" w:lineRule="auto" w:before="173"/>
        <w:ind w:left="674" w:right="0" w:firstLine="139"/>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6</w:t>
      </w:r>
      <w:r>
        <w:rPr>
          <w:rFonts w:ascii="宋体" w:hAnsi="宋体" w:cs="宋体" w:eastAsia="宋体" w:hint="default"/>
          <w:b/>
          <w:bCs/>
          <w:sz w:val="28"/>
          <w:szCs w:val="28"/>
        </w:rPr>
        <w:t>、对外并购重组所形成商誉的减值风险</w:t>
      </w:r>
      <w:r>
        <w:rPr>
          <w:rFonts w:ascii="宋体" w:hAnsi="宋体" w:cs="宋体" w:eastAsia="宋体" w:hint="default"/>
          <w:b/>
          <w:bCs/>
          <w:w w:val="99"/>
          <w:sz w:val="28"/>
          <w:szCs w:val="28"/>
        </w:rPr>
        <w:t> </w:t>
      </w:r>
      <w:r>
        <w:rPr>
          <w:rFonts w:ascii="宋体" w:hAnsi="宋体" w:cs="宋体" w:eastAsia="宋体" w:hint="default"/>
          <w:b/>
          <w:bCs/>
          <w:spacing w:val="2"/>
          <w:sz w:val="28"/>
          <w:szCs w:val="28"/>
        </w:rPr>
        <w:t>公司上市后进行了收购、并购等外延式拓展，形成了多家非同一控制下的</w:t>
      </w:r>
      <w:r>
        <w:rPr>
          <w:rFonts w:ascii="宋体" w:hAnsi="宋体" w:cs="宋体" w:eastAsia="宋体" w:hint="default"/>
          <w:spacing w:val="2"/>
          <w:sz w:val="28"/>
          <w:szCs w:val="28"/>
        </w:rPr>
      </w:r>
    </w:p>
    <w:p>
      <w:pPr>
        <w:spacing w:line="408" w:lineRule="auto" w:before="14"/>
        <w:ind w:left="112" w:right="0" w:firstLine="0"/>
        <w:jc w:val="left"/>
        <w:rPr>
          <w:rFonts w:ascii="宋体" w:hAnsi="宋体" w:cs="宋体" w:eastAsia="宋体" w:hint="default"/>
          <w:sz w:val="28"/>
          <w:szCs w:val="28"/>
        </w:rPr>
      </w:pPr>
      <w:r>
        <w:rPr>
          <w:rFonts w:ascii="宋体" w:hAnsi="宋体" w:cs="宋体" w:eastAsia="宋体" w:hint="default"/>
          <w:b/>
          <w:bCs/>
          <w:spacing w:val="-3"/>
          <w:sz w:val="28"/>
          <w:szCs w:val="28"/>
        </w:rPr>
        <w:t>企业合并的情况。若未来宏观经济形势变化，或被合并企业经营出现不利变化，</w:t>
      </w:r>
      <w:r>
        <w:rPr>
          <w:rFonts w:ascii="宋体" w:hAnsi="宋体" w:cs="宋体" w:eastAsia="宋体" w:hint="default"/>
          <w:b/>
          <w:bCs/>
          <w:spacing w:val="-115"/>
          <w:sz w:val="28"/>
          <w:szCs w:val="28"/>
        </w:rPr>
        <w:t> </w:t>
      </w:r>
      <w:r>
        <w:rPr>
          <w:rFonts w:ascii="宋体" w:hAnsi="宋体" w:cs="宋体" w:eastAsia="宋体" w:hint="default"/>
          <w:b/>
          <w:bCs/>
          <w:spacing w:val="-115"/>
          <w:sz w:val="28"/>
          <w:szCs w:val="28"/>
        </w:rPr>
      </w:r>
      <w:r>
        <w:rPr>
          <w:rFonts w:ascii="宋体" w:hAnsi="宋体" w:cs="宋体" w:eastAsia="宋体" w:hint="default"/>
          <w:b/>
          <w:bCs/>
          <w:sz w:val="28"/>
          <w:szCs w:val="28"/>
        </w:rPr>
        <w:t>则存在商誉减值的风险，这也将会对上市公司当期的损益造成不利影响。</w:t>
      </w:r>
      <w:r>
        <w:rPr>
          <w:rFonts w:ascii="宋体" w:hAnsi="宋体" w:cs="宋体" w:eastAsia="宋体" w:hint="default"/>
          <w:sz w:val="28"/>
          <w:szCs w:val="28"/>
        </w:rPr>
      </w:r>
    </w:p>
    <w:p>
      <w:pPr>
        <w:spacing w:line="408" w:lineRule="auto" w:before="160"/>
        <w:ind w:left="112" w:right="1130" w:firstLine="0"/>
        <w:jc w:val="both"/>
        <w:rPr>
          <w:rFonts w:ascii="宋体" w:hAnsi="宋体" w:cs="宋体" w:eastAsia="宋体" w:hint="default"/>
          <w:sz w:val="28"/>
          <w:szCs w:val="28"/>
        </w:rPr>
      </w:pPr>
      <w:r>
        <w:rPr>
          <w:rFonts w:ascii="宋体" w:hAnsi="宋体" w:cs="宋体" w:eastAsia="宋体" w:hint="default"/>
          <w:b/>
          <w:bCs/>
          <w:spacing w:val="2"/>
          <w:sz w:val="28"/>
          <w:szCs w:val="28"/>
        </w:rPr>
        <w:t>应对措施：公司将对被合并企业施行完善的投后管理，并与被合并企业进行资</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源整合，以发挥公司间的协同增益效果，保证被合并企业的市场竞争力及持续</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稳定发展，以最大限度地降低商誉减值风险。</w:t>
      </w:r>
      <w:r>
        <w:rPr>
          <w:rFonts w:ascii="宋体" w:hAnsi="宋体" w:cs="宋体" w:eastAsia="宋体" w:hint="default"/>
          <w:sz w:val="28"/>
          <w:szCs w:val="28"/>
        </w:rPr>
      </w:r>
    </w:p>
    <w:p>
      <w:pPr>
        <w:spacing w:line="448" w:lineRule="auto" w:before="162"/>
        <w:ind w:left="674" w:right="0" w:firstLine="139"/>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7</w:t>
      </w:r>
      <w:r>
        <w:rPr>
          <w:rFonts w:ascii="宋体" w:hAnsi="宋体" w:cs="宋体" w:eastAsia="宋体" w:hint="default"/>
          <w:b/>
          <w:bCs/>
          <w:sz w:val="28"/>
          <w:szCs w:val="28"/>
        </w:rPr>
        <w:t>、外延式收购整合导致的上市公司经营管理风险</w:t>
      </w:r>
      <w:r>
        <w:rPr>
          <w:rFonts w:ascii="宋体" w:hAnsi="宋体" w:cs="宋体" w:eastAsia="宋体" w:hint="default"/>
          <w:b/>
          <w:bCs/>
          <w:w w:val="99"/>
          <w:sz w:val="28"/>
          <w:szCs w:val="28"/>
        </w:rPr>
        <w:t> </w:t>
      </w:r>
      <w:r>
        <w:rPr>
          <w:rFonts w:ascii="宋体" w:hAnsi="宋体" w:cs="宋体" w:eastAsia="宋体" w:hint="default"/>
          <w:b/>
          <w:bCs/>
          <w:spacing w:val="2"/>
          <w:sz w:val="28"/>
          <w:szCs w:val="28"/>
        </w:rPr>
        <w:t>公司上市后，公司利用资本市场进行并购重组，与产业链上下游的优势企</w:t>
      </w:r>
      <w:r>
        <w:rPr>
          <w:rFonts w:ascii="宋体" w:hAnsi="宋体" w:cs="宋体" w:eastAsia="宋体" w:hint="default"/>
          <w:spacing w:val="2"/>
          <w:sz w:val="28"/>
          <w:szCs w:val="28"/>
        </w:rPr>
      </w:r>
    </w:p>
    <w:p>
      <w:pPr>
        <w:spacing w:line="408" w:lineRule="auto" w:before="14"/>
        <w:ind w:left="112" w:right="1130" w:firstLine="0"/>
        <w:jc w:val="both"/>
        <w:rPr>
          <w:rFonts w:ascii="宋体" w:hAnsi="宋体" w:cs="宋体" w:eastAsia="宋体" w:hint="default"/>
          <w:sz w:val="28"/>
          <w:szCs w:val="28"/>
        </w:rPr>
      </w:pPr>
      <w:r>
        <w:rPr>
          <w:rFonts w:ascii="宋体" w:hAnsi="宋体" w:cs="宋体" w:eastAsia="宋体" w:hint="default"/>
          <w:b/>
          <w:bCs/>
          <w:spacing w:val="2"/>
          <w:sz w:val="28"/>
          <w:szCs w:val="28"/>
        </w:rPr>
        <w:t>业进行整合，使公司在经营规模上快速扩大，自然对公司的综合管理水平提出</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了更大挑战。公司和被合并企业之间能否通过整合既保证公司对被合并企业的</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控制力又保持被合并企业原有竞争优势并充分发挥交易的协同效应，具有不确</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定性，整合结果可能未能充分发挥交易的协同效应，并可能会对标的公司的经</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营产生不利影响，从而给公司及股东利益造成一定的影响。</w:t>
      </w:r>
      <w:r>
        <w:rPr>
          <w:rFonts w:ascii="宋体" w:hAnsi="宋体" w:cs="宋体" w:eastAsia="宋体" w:hint="default"/>
          <w:sz w:val="28"/>
          <w:szCs w:val="28"/>
        </w:rPr>
      </w:r>
    </w:p>
    <w:p>
      <w:pPr>
        <w:spacing w:line="408" w:lineRule="auto" w:before="160"/>
        <w:ind w:left="112" w:right="0" w:firstLine="561"/>
        <w:jc w:val="left"/>
        <w:rPr>
          <w:rFonts w:ascii="宋体" w:hAnsi="宋体" w:cs="宋体" w:eastAsia="宋体" w:hint="default"/>
          <w:sz w:val="28"/>
          <w:szCs w:val="28"/>
        </w:rPr>
      </w:pPr>
      <w:r>
        <w:rPr>
          <w:rFonts w:ascii="宋体" w:hAnsi="宋体" w:cs="宋体" w:eastAsia="宋体" w:hint="default"/>
          <w:b/>
          <w:bCs/>
          <w:spacing w:val="2"/>
          <w:sz w:val="28"/>
          <w:szCs w:val="28"/>
        </w:rPr>
        <w:t>应对措施：公司将进一步完善管理制度，整合科研、生产、人才、市场、</w:t>
      </w:r>
      <w:r>
        <w:rPr>
          <w:rFonts w:ascii="宋体" w:hAnsi="宋体" w:cs="宋体" w:eastAsia="宋体" w:hint="default"/>
          <w:b/>
          <w:bCs/>
          <w:w w:val="99"/>
          <w:sz w:val="28"/>
          <w:szCs w:val="28"/>
        </w:rPr>
        <w:t> </w:t>
      </w:r>
      <w:r>
        <w:rPr>
          <w:rFonts w:ascii="宋体" w:hAnsi="宋体" w:cs="宋体" w:eastAsia="宋体" w:hint="default"/>
          <w:b/>
          <w:bCs/>
          <w:spacing w:val="2"/>
          <w:sz w:val="28"/>
          <w:szCs w:val="28"/>
        </w:rPr>
        <w:t>技术和财务等各个方面资源，积累经营管理经验，使公司管理水平得到整体提</w:t>
      </w:r>
      <w:r>
        <w:rPr>
          <w:rFonts w:ascii="宋体" w:hAnsi="宋体" w:cs="宋体" w:eastAsia="宋体" w:hint="default"/>
          <w:spacing w:val="2"/>
          <w:sz w:val="28"/>
          <w:szCs w:val="28"/>
        </w:rPr>
      </w:r>
    </w:p>
    <w:p>
      <w:pPr>
        <w:spacing w:after="0" w:line="408" w:lineRule="auto"/>
        <w:jc w:val="left"/>
        <w:rPr>
          <w:rFonts w:ascii="宋体" w:hAnsi="宋体" w:cs="宋体" w:eastAsia="宋体" w:hint="default"/>
          <w:sz w:val="28"/>
          <w:szCs w:val="28"/>
        </w:rPr>
        <w:sectPr>
          <w:pgSz w:w="11910" w:h="16840"/>
          <w:pgMar w:header="907" w:footer="1016" w:top="1100" w:bottom="1200" w:left="1020" w:right="0"/>
        </w:sectPr>
      </w:pPr>
    </w:p>
    <w:p>
      <w:pPr>
        <w:spacing w:line="240" w:lineRule="auto" w:before="0"/>
        <w:rPr>
          <w:rFonts w:ascii="宋体" w:hAnsi="宋体" w:cs="宋体" w:eastAsia="宋体" w:hint="default"/>
          <w:b/>
          <w:bCs/>
          <w:sz w:val="20"/>
          <w:szCs w:val="20"/>
        </w:rPr>
      </w:pPr>
    </w:p>
    <w:p>
      <w:pPr>
        <w:spacing w:line="408" w:lineRule="auto" w:before="158"/>
        <w:ind w:left="112" w:right="1130" w:firstLine="0"/>
        <w:jc w:val="both"/>
        <w:rPr>
          <w:rFonts w:ascii="宋体" w:hAnsi="宋体" w:cs="宋体" w:eastAsia="宋体" w:hint="default"/>
          <w:sz w:val="28"/>
          <w:szCs w:val="28"/>
        </w:rPr>
      </w:pPr>
      <w:r>
        <w:rPr>
          <w:rFonts w:ascii="宋体" w:hAnsi="宋体" w:cs="宋体" w:eastAsia="宋体" w:hint="default"/>
          <w:b/>
          <w:bCs/>
          <w:spacing w:val="2"/>
          <w:sz w:val="28"/>
          <w:szCs w:val="28"/>
        </w:rPr>
        <w:t>升。并拟向被合并企业增派董事、财务负责人等高级管理人员，同时维持被合</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并企业目前管理层与治理层的基本稳定，以保障被合并企业后续经营的平稳发</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展，通过完善管理来降低经营管理风险。</w:t>
      </w:r>
      <w:r>
        <w:rPr>
          <w:rFonts w:ascii="宋体" w:hAnsi="宋体" w:cs="宋体" w:eastAsia="宋体" w:hint="default"/>
          <w:sz w:val="28"/>
          <w:szCs w:val="28"/>
        </w:rPr>
      </w:r>
    </w:p>
    <w:p>
      <w:pPr>
        <w:spacing w:line="448" w:lineRule="auto" w:before="160"/>
        <w:ind w:left="674" w:right="0" w:firstLine="139"/>
        <w:jc w:val="left"/>
        <w:rPr>
          <w:rFonts w:ascii="宋体" w:hAnsi="宋体" w:cs="宋体" w:eastAsia="宋体" w:hint="default"/>
          <w:sz w:val="28"/>
          <w:szCs w:val="28"/>
        </w:rPr>
      </w:pPr>
      <w:r>
        <w:rPr>
          <w:rFonts w:ascii="Times New Roman" w:hAnsi="Times New Roman" w:cs="Times New Roman" w:eastAsia="Times New Roman" w:hint="default"/>
          <w:b/>
          <w:bCs/>
          <w:sz w:val="28"/>
          <w:szCs w:val="28"/>
        </w:rPr>
        <w:t>8</w:t>
      </w:r>
      <w:r>
        <w:rPr>
          <w:rFonts w:ascii="宋体" w:hAnsi="宋体" w:cs="宋体" w:eastAsia="宋体" w:hint="default"/>
          <w:b/>
          <w:bCs/>
          <w:sz w:val="28"/>
          <w:szCs w:val="28"/>
        </w:rPr>
        <w:t>、国家政策调整和宏观经济环境变化风险</w:t>
      </w:r>
      <w:r>
        <w:rPr>
          <w:rFonts w:ascii="宋体" w:hAnsi="宋体" w:cs="宋体" w:eastAsia="宋体" w:hint="default"/>
          <w:b/>
          <w:bCs/>
          <w:w w:val="99"/>
          <w:sz w:val="28"/>
          <w:szCs w:val="28"/>
        </w:rPr>
        <w:t> </w:t>
      </w:r>
      <w:r>
        <w:rPr>
          <w:rFonts w:ascii="宋体" w:hAnsi="宋体" w:cs="宋体" w:eastAsia="宋体" w:hint="default"/>
          <w:b/>
          <w:bCs/>
          <w:spacing w:val="2"/>
          <w:sz w:val="28"/>
          <w:szCs w:val="28"/>
        </w:rPr>
        <w:t>国务院发布的新医改政策和原卫生部“十二五”医疗事业规划都将医疗卫</w:t>
      </w:r>
      <w:r>
        <w:rPr>
          <w:rFonts w:ascii="宋体" w:hAnsi="宋体" w:cs="宋体" w:eastAsia="宋体" w:hint="default"/>
          <w:spacing w:val="2"/>
          <w:sz w:val="28"/>
          <w:szCs w:val="28"/>
        </w:rPr>
      </w:r>
    </w:p>
    <w:p>
      <w:pPr>
        <w:spacing w:line="408" w:lineRule="auto" w:before="14"/>
        <w:ind w:left="112" w:right="1130" w:firstLine="0"/>
        <w:jc w:val="both"/>
        <w:rPr>
          <w:rFonts w:ascii="宋体" w:hAnsi="宋体" w:cs="宋体" w:eastAsia="宋体" w:hint="default"/>
          <w:sz w:val="28"/>
          <w:szCs w:val="28"/>
        </w:rPr>
      </w:pPr>
      <w:r>
        <w:rPr>
          <w:rFonts w:ascii="宋体" w:hAnsi="宋体" w:cs="宋体" w:eastAsia="宋体" w:hint="default"/>
          <w:b/>
          <w:bCs/>
          <w:spacing w:val="2"/>
          <w:sz w:val="28"/>
          <w:szCs w:val="28"/>
        </w:rPr>
        <w:t>生信息化建设作为确保新医改顺利实施的支柱之一。国家政策的支持为医疗卫</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生信息化发展提供了难得的机遇，医改方案明确将加强卫生信息化建设作为深</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化医改的重要内容。中央财政持续投入专项经费支持卫生信息化建设，各地也</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紧跟深化医改的方案，加大资金投入力度，并结合自身实际情况研究制订本地</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的医疗卫生信息化建设规划，保障医疗卫生信息化的健康快速发展。各级政府</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的大力支持为发行人业务较快发展创造了良好的政策环境。如果未来几年国家</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宏观经济出现增速大幅放缓等重大变化，导致对医疗卫生信息化领域投资规模</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减少，公司主营业务将因整体市场规模萎缩而受到不利影响。</w:t>
      </w:r>
      <w:r>
        <w:rPr>
          <w:rFonts w:ascii="宋体" w:hAnsi="宋体" w:cs="宋体" w:eastAsia="宋体" w:hint="default"/>
          <w:sz w:val="28"/>
          <w:szCs w:val="28"/>
        </w:rPr>
      </w:r>
    </w:p>
    <w:p>
      <w:pPr>
        <w:spacing w:line="408" w:lineRule="auto" w:before="162"/>
        <w:ind w:left="112" w:right="1128" w:firstLine="561"/>
        <w:jc w:val="both"/>
        <w:rPr>
          <w:rFonts w:ascii="宋体" w:hAnsi="宋体" w:cs="宋体" w:eastAsia="宋体" w:hint="default"/>
          <w:sz w:val="28"/>
          <w:szCs w:val="28"/>
        </w:rPr>
      </w:pPr>
      <w:r>
        <w:rPr>
          <w:rFonts w:ascii="宋体" w:hAnsi="宋体" w:cs="宋体" w:eastAsia="宋体" w:hint="default"/>
          <w:b/>
          <w:bCs/>
          <w:spacing w:val="2"/>
          <w:sz w:val="28"/>
          <w:szCs w:val="28"/>
        </w:rPr>
        <w:t>应对措施：公司积极应对国家经济和产业环境的新形势，以市场为导向，</w:t>
      </w:r>
      <w:r>
        <w:rPr>
          <w:rFonts w:ascii="宋体" w:hAnsi="宋体" w:cs="宋体" w:eastAsia="宋体" w:hint="default"/>
          <w:b/>
          <w:bCs/>
          <w:w w:val="99"/>
          <w:sz w:val="28"/>
          <w:szCs w:val="28"/>
        </w:rPr>
        <w:t> </w:t>
      </w:r>
      <w:r>
        <w:rPr>
          <w:rFonts w:ascii="宋体" w:hAnsi="宋体" w:cs="宋体" w:eastAsia="宋体" w:hint="default"/>
          <w:b/>
          <w:bCs/>
          <w:spacing w:val="2"/>
          <w:sz w:val="28"/>
          <w:szCs w:val="28"/>
        </w:rPr>
        <w:t>持续推进新产品研发和技术创新，同时进一步加强市场开拓力度及全国销售网</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pacing w:val="2"/>
          <w:sz w:val="28"/>
          <w:szCs w:val="28"/>
        </w:rPr>
        <w:t>络建设，巩固公司市场地位，强化产业核心竞争力，努力拓宽产品线及健康服</w:t>
      </w:r>
      <w:r>
        <w:rPr>
          <w:rFonts w:ascii="宋体" w:hAnsi="宋体" w:cs="宋体" w:eastAsia="宋体" w:hint="default"/>
          <w:b/>
          <w:bCs/>
          <w:spacing w:val="-135"/>
          <w:sz w:val="28"/>
          <w:szCs w:val="28"/>
        </w:rPr>
        <w:t> </w:t>
      </w:r>
      <w:r>
        <w:rPr>
          <w:rFonts w:ascii="宋体" w:hAnsi="宋体" w:cs="宋体" w:eastAsia="宋体" w:hint="default"/>
          <w:b/>
          <w:bCs/>
          <w:spacing w:val="-135"/>
          <w:sz w:val="28"/>
          <w:szCs w:val="28"/>
        </w:rPr>
      </w:r>
      <w:r>
        <w:rPr>
          <w:rFonts w:ascii="宋体" w:hAnsi="宋体" w:cs="宋体" w:eastAsia="宋体" w:hint="default"/>
          <w:b/>
          <w:bCs/>
          <w:sz w:val="28"/>
          <w:szCs w:val="28"/>
        </w:rPr>
        <w:t>务生态圈，提升公司的盈利方式。</w:t>
      </w:r>
      <w:r>
        <w:rPr>
          <w:rFonts w:ascii="宋体" w:hAnsi="宋体" w:cs="宋体" w:eastAsia="宋体" w:hint="default"/>
          <w:sz w:val="28"/>
          <w:szCs w:val="28"/>
        </w:rPr>
      </w:r>
    </w:p>
    <w:p>
      <w:pPr>
        <w:spacing w:before="160"/>
        <w:ind w:left="674" w:right="0" w:firstLine="0"/>
        <w:jc w:val="left"/>
        <w:rPr>
          <w:rFonts w:ascii="宋体" w:hAnsi="宋体" w:cs="宋体" w:eastAsia="宋体" w:hint="default"/>
          <w:sz w:val="28"/>
          <w:szCs w:val="28"/>
        </w:rPr>
      </w:pPr>
      <w:r>
        <w:rPr>
          <w:rFonts w:ascii="宋体" w:hAnsi="宋体" w:cs="宋体" w:eastAsia="宋体" w:hint="default"/>
          <w:b/>
          <w:bCs/>
          <w:sz w:val="28"/>
          <w:szCs w:val="28"/>
        </w:rPr>
        <w:t>公司经本次董事会审议通过的利润分配预案为：以</w:t>
      </w:r>
      <w:r>
        <w:rPr>
          <w:rFonts w:ascii="宋体" w:hAnsi="宋体" w:cs="宋体" w:eastAsia="宋体" w:hint="default"/>
          <w:b/>
          <w:bCs/>
          <w:spacing w:val="-83"/>
          <w:sz w:val="28"/>
          <w:szCs w:val="28"/>
        </w:rPr>
        <w:t> </w:t>
      </w:r>
      <w:r>
        <w:rPr>
          <w:rFonts w:ascii="Times New Roman" w:hAnsi="Times New Roman" w:cs="Times New Roman" w:eastAsia="Times New Roman" w:hint="default"/>
          <w:b/>
          <w:bCs/>
          <w:sz w:val="28"/>
          <w:szCs w:val="28"/>
        </w:rPr>
        <w:t>485,538,774</w:t>
      </w:r>
      <w:r>
        <w:rPr>
          <w:rFonts w:ascii="Times New Roman" w:hAnsi="Times New Roman" w:cs="Times New Roman" w:eastAsia="Times New Roman" w:hint="default"/>
          <w:b/>
          <w:bCs/>
          <w:spacing w:val="-9"/>
          <w:sz w:val="28"/>
          <w:szCs w:val="28"/>
        </w:rPr>
        <w:t> </w:t>
      </w:r>
      <w:r>
        <w:rPr>
          <w:rFonts w:ascii="宋体" w:hAnsi="宋体" w:cs="宋体" w:eastAsia="宋体" w:hint="default"/>
          <w:b/>
          <w:bCs/>
          <w:sz w:val="28"/>
          <w:szCs w:val="28"/>
        </w:rPr>
        <w:t>股为基数，</w:t>
      </w:r>
      <w:r>
        <w:rPr>
          <w:rFonts w:ascii="宋体" w:hAnsi="宋体" w:cs="宋体" w:eastAsia="宋体" w:hint="default"/>
          <w:sz w:val="28"/>
          <w:szCs w:val="28"/>
        </w:rPr>
      </w:r>
    </w:p>
    <w:p>
      <w:pPr>
        <w:spacing w:before="236"/>
        <w:ind w:left="112" w:right="0" w:firstLine="0"/>
        <w:jc w:val="both"/>
        <w:rPr>
          <w:rFonts w:ascii="宋体" w:hAnsi="宋体" w:cs="宋体" w:eastAsia="宋体" w:hint="default"/>
          <w:sz w:val="28"/>
          <w:szCs w:val="28"/>
        </w:rPr>
      </w:pPr>
      <w:r>
        <w:rPr>
          <w:rFonts w:ascii="宋体" w:hAnsi="宋体" w:cs="宋体" w:eastAsia="宋体" w:hint="default"/>
          <w:b/>
          <w:bCs/>
          <w:spacing w:val="-1"/>
          <w:w w:val="99"/>
          <w:sz w:val="28"/>
          <w:szCs w:val="28"/>
        </w:rPr>
        <w:t>向全</w:t>
      </w:r>
      <w:r>
        <w:rPr>
          <w:rFonts w:ascii="宋体" w:hAnsi="宋体" w:cs="宋体" w:eastAsia="宋体" w:hint="default"/>
          <w:b/>
          <w:bCs/>
          <w:spacing w:val="2"/>
          <w:w w:val="99"/>
          <w:sz w:val="28"/>
          <w:szCs w:val="28"/>
        </w:rPr>
        <w:t>体</w:t>
      </w:r>
      <w:r>
        <w:rPr>
          <w:rFonts w:ascii="宋体" w:hAnsi="宋体" w:cs="宋体" w:eastAsia="宋体" w:hint="default"/>
          <w:b/>
          <w:bCs/>
          <w:spacing w:val="-1"/>
          <w:w w:val="99"/>
          <w:sz w:val="28"/>
          <w:szCs w:val="28"/>
        </w:rPr>
        <w:t>股东</w:t>
      </w:r>
      <w:r>
        <w:rPr>
          <w:rFonts w:ascii="宋体" w:hAnsi="宋体" w:cs="宋体" w:eastAsia="宋体" w:hint="default"/>
          <w:b/>
          <w:bCs/>
          <w:w w:val="99"/>
          <w:sz w:val="28"/>
          <w:szCs w:val="28"/>
        </w:rPr>
        <w:t>每</w:t>
      </w:r>
      <w:r>
        <w:rPr>
          <w:rFonts w:ascii="宋体" w:hAnsi="宋体" w:cs="宋体" w:eastAsia="宋体" w:hint="default"/>
          <w:b/>
          <w:bCs/>
          <w:spacing w:val="-70"/>
          <w:sz w:val="28"/>
          <w:szCs w:val="28"/>
        </w:rPr>
        <w:t> </w:t>
      </w:r>
      <w:r>
        <w:rPr>
          <w:rFonts w:ascii="Times New Roman" w:hAnsi="Times New Roman" w:cs="Times New Roman" w:eastAsia="Times New Roman" w:hint="default"/>
          <w:b/>
          <w:bCs/>
          <w:spacing w:val="-2"/>
          <w:w w:val="100"/>
          <w:sz w:val="28"/>
          <w:szCs w:val="28"/>
        </w:rPr>
        <w:t>1</w:t>
      </w:r>
      <w:r>
        <w:rPr>
          <w:rFonts w:ascii="Times New Roman" w:hAnsi="Times New Roman" w:cs="Times New Roman" w:eastAsia="Times New Roman" w:hint="default"/>
          <w:b/>
          <w:bCs/>
          <w:w w:val="100"/>
          <w:sz w:val="28"/>
          <w:szCs w:val="28"/>
        </w:rPr>
        <w:t>0</w:t>
      </w:r>
      <w:r>
        <w:rPr>
          <w:rFonts w:ascii="Times New Roman" w:hAnsi="Times New Roman" w:cs="Times New Roman" w:eastAsia="Times New Roman" w:hint="default"/>
          <w:b/>
          <w:bCs/>
          <w:sz w:val="28"/>
          <w:szCs w:val="28"/>
        </w:rPr>
        <w:t> </w:t>
      </w:r>
      <w:r>
        <w:rPr>
          <w:rFonts w:ascii="宋体" w:hAnsi="宋体" w:cs="宋体" w:eastAsia="宋体" w:hint="default"/>
          <w:b/>
          <w:bCs/>
          <w:spacing w:val="-1"/>
          <w:w w:val="99"/>
          <w:sz w:val="28"/>
          <w:szCs w:val="28"/>
        </w:rPr>
        <w:t>股派</w:t>
      </w:r>
      <w:r>
        <w:rPr>
          <w:rFonts w:ascii="宋体" w:hAnsi="宋体" w:cs="宋体" w:eastAsia="宋体" w:hint="default"/>
          <w:b/>
          <w:bCs/>
          <w:spacing w:val="2"/>
          <w:w w:val="99"/>
          <w:sz w:val="28"/>
          <w:szCs w:val="28"/>
        </w:rPr>
        <w:t>发</w:t>
      </w:r>
      <w:r>
        <w:rPr>
          <w:rFonts w:ascii="宋体" w:hAnsi="宋体" w:cs="宋体" w:eastAsia="宋体" w:hint="default"/>
          <w:b/>
          <w:bCs/>
          <w:spacing w:val="-1"/>
          <w:w w:val="99"/>
          <w:sz w:val="28"/>
          <w:szCs w:val="28"/>
        </w:rPr>
        <w:t>现金红</w:t>
      </w:r>
      <w:r>
        <w:rPr>
          <w:rFonts w:ascii="宋体" w:hAnsi="宋体" w:cs="宋体" w:eastAsia="宋体" w:hint="default"/>
          <w:b/>
          <w:bCs/>
          <w:w w:val="99"/>
          <w:sz w:val="28"/>
          <w:szCs w:val="28"/>
        </w:rPr>
        <w:t>利</w:t>
      </w:r>
      <w:r>
        <w:rPr>
          <w:rFonts w:ascii="宋体" w:hAnsi="宋体" w:cs="宋体" w:eastAsia="宋体" w:hint="default"/>
          <w:b/>
          <w:bCs/>
          <w:spacing w:val="-72"/>
          <w:sz w:val="28"/>
          <w:szCs w:val="28"/>
        </w:rPr>
        <w:t> </w:t>
      </w:r>
      <w:r>
        <w:rPr>
          <w:rFonts w:ascii="Times New Roman" w:hAnsi="Times New Roman" w:cs="Times New Roman" w:eastAsia="Times New Roman" w:hint="default"/>
          <w:b/>
          <w:bCs/>
          <w:spacing w:val="1"/>
          <w:w w:val="100"/>
          <w:sz w:val="28"/>
          <w:szCs w:val="28"/>
        </w:rPr>
        <w:t>0</w:t>
      </w:r>
      <w:r>
        <w:rPr>
          <w:rFonts w:ascii="Times New Roman" w:hAnsi="Times New Roman" w:cs="Times New Roman" w:eastAsia="Times New Roman" w:hint="default"/>
          <w:b/>
          <w:bCs/>
          <w:spacing w:val="-1"/>
          <w:w w:val="100"/>
          <w:sz w:val="28"/>
          <w:szCs w:val="28"/>
        </w:rPr>
        <w:t>.</w:t>
      </w:r>
      <w:r>
        <w:rPr>
          <w:rFonts w:ascii="Times New Roman" w:hAnsi="Times New Roman" w:cs="Times New Roman" w:eastAsia="Times New Roman" w:hint="default"/>
          <w:b/>
          <w:bCs/>
          <w:spacing w:val="-2"/>
          <w:w w:val="100"/>
          <w:sz w:val="28"/>
          <w:szCs w:val="28"/>
        </w:rPr>
        <w:t>5</w:t>
      </w:r>
      <w:r>
        <w:rPr>
          <w:rFonts w:ascii="Times New Roman" w:hAnsi="Times New Roman" w:cs="Times New Roman" w:eastAsia="Times New Roman" w:hint="default"/>
          <w:b/>
          <w:bCs/>
          <w:w w:val="100"/>
          <w:sz w:val="28"/>
          <w:szCs w:val="28"/>
        </w:rPr>
        <w:t>0</w:t>
      </w:r>
      <w:r>
        <w:rPr>
          <w:rFonts w:ascii="Times New Roman" w:hAnsi="Times New Roman" w:cs="Times New Roman" w:eastAsia="Times New Roman" w:hint="default"/>
          <w:b/>
          <w:bCs/>
          <w:sz w:val="28"/>
          <w:szCs w:val="28"/>
        </w:rPr>
        <w:t> </w:t>
      </w:r>
      <w:r>
        <w:rPr>
          <w:rFonts w:ascii="宋体" w:hAnsi="宋体" w:cs="宋体" w:eastAsia="宋体" w:hint="default"/>
          <w:b/>
          <w:bCs/>
          <w:spacing w:val="-32"/>
          <w:w w:val="99"/>
          <w:sz w:val="28"/>
          <w:szCs w:val="28"/>
        </w:rPr>
        <w:t>元</w:t>
      </w:r>
      <w:r>
        <w:rPr>
          <w:rFonts w:ascii="宋体" w:hAnsi="宋体" w:cs="宋体" w:eastAsia="宋体" w:hint="default"/>
          <w:b/>
          <w:bCs/>
          <w:spacing w:val="-1"/>
          <w:w w:val="99"/>
          <w:sz w:val="28"/>
          <w:szCs w:val="28"/>
        </w:rPr>
        <w:t>（含</w:t>
      </w:r>
      <w:r>
        <w:rPr>
          <w:rFonts w:ascii="宋体" w:hAnsi="宋体" w:cs="宋体" w:eastAsia="宋体" w:hint="default"/>
          <w:b/>
          <w:bCs/>
          <w:spacing w:val="2"/>
          <w:w w:val="99"/>
          <w:sz w:val="28"/>
          <w:szCs w:val="28"/>
        </w:rPr>
        <w:t>税</w:t>
      </w:r>
      <w:r>
        <w:rPr>
          <w:rFonts w:ascii="宋体" w:hAnsi="宋体" w:cs="宋体" w:eastAsia="宋体" w:hint="default"/>
          <w:b/>
          <w:bCs/>
          <w:spacing w:val="-142"/>
          <w:w w:val="99"/>
          <w:sz w:val="28"/>
          <w:szCs w:val="28"/>
        </w:rPr>
        <w:t>）</w:t>
      </w:r>
      <w:r>
        <w:rPr>
          <w:rFonts w:ascii="宋体" w:hAnsi="宋体" w:cs="宋体" w:eastAsia="宋体" w:hint="default"/>
          <w:b/>
          <w:bCs/>
          <w:spacing w:val="-32"/>
          <w:w w:val="99"/>
          <w:sz w:val="28"/>
          <w:szCs w:val="28"/>
        </w:rPr>
        <w:t>，</w:t>
      </w:r>
      <w:r>
        <w:rPr>
          <w:rFonts w:ascii="宋体" w:hAnsi="宋体" w:cs="宋体" w:eastAsia="宋体" w:hint="default"/>
          <w:b/>
          <w:bCs/>
          <w:spacing w:val="-1"/>
          <w:w w:val="99"/>
          <w:sz w:val="28"/>
          <w:szCs w:val="28"/>
        </w:rPr>
        <w:t>送红</w:t>
      </w:r>
      <w:r>
        <w:rPr>
          <w:rFonts w:ascii="宋体" w:hAnsi="宋体" w:cs="宋体" w:eastAsia="宋体" w:hint="default"/>
          <w:b/>
          <w:bCs/>
          <w:w w:val="99"/>
          <w:sz w:val="28"/>
          <w:szCs w:val="28"/>
        </w:rPr>
        <w:t>股</w:t>
      </w:r>
      <w:r>
        <w:rPr>
          <w:rFonts w:ascii="宋体" w:hAnsi="宋体" w:cs="宋体" w:eastAsia="宋体" w:hint="default"/>
          <w:b/>
          <w:bCs/>
          <w:spacing w:val="-70"/>
          <w:sz w:val="28"/>
          <w:szCs w:val="28"/>
        </w:rPr>
        <w:t> </w:t>
      </w:r>
      <w:r>
        <w:rPr>
          <w:rFonts w:ascii="Times New Roman" w:hAnsi="Times New Roman" w:cs="Times New Roman" w:eastAsia="Times New Roman" w:hint="default"/>
          <w:b/>
          <w:bCs/>
          <w:w w:val="100"/>
          <w:sz w:val="28"/>
          <w:szCs w:val="28"/>
        </w:rPr>
        <w:t>0</w:t>
      </w:r>
      <w:r>
        <w:rPr>
          <w:rFonts w:ascii="Times New Roman" w:hAnsi="Times New Roman" w:cs="Times New Roman" w:eastAsia="Times New Roman" w:hint="default"/>
          <w:b/>
          <w:bCs/>
          <w:sz w:val="28"/>
          <w:szCs w:val="28"/>
        </w:rPr>
        <w:t> </w:t>
      </w:r>
      <w:r>
        <w:rPr>
          <w:rFonts w:ascii="宋体" w:hAnsi="宋体" w:cs="宋体" w:eastAsia="宋体" w:hint="default"/>
          <w:b/>
          <w:bCs/>
          <w:spacing w:val="-32"/>
          <w:w w:val="99"/>
          <w:sz w:val="28"/>
          <w:szCs w:val="28"/>
        </w:rPr>
        <w:t>股</w:t>
      </w:r>
      <w:r>
        <w:rPr>
          <w:rFonts w:ascii="宋体" w:hAnsi="宋体" w:cs="宋体" w:eastAsia="宋体" w:hint="default"/>
          <w:b/>
          <w:bCs/>
          <w:spacing w:val="-1"/>
          <w:w w:val="99"/>
          <w:sz w:val="28"/>
          <w:szCs w:val="28"/>
        </w:rPr>
        <w:t>（含</w:t>
      </w:r>
      <w:r>
        <w:rPr>
          <w:rFonts w:ascii="宋体" w:hAnsi="宋体" w:cs="宋体" w:eastAsia="宋体" w:hint="default"/>
          <w:b/>
          <w:bCs/>
          <w:spacing w:val="2"/>
          <w:w w:val="99"/>
          <w:sz w:val="28"/>
          <w:szCs w:val="28"/>
        </w:rPr>
        <w:t>税</w:t>
      </w:r>
      <w:r>
        <w:rPr>
          <w:rFonts w:ascii="宋体" w:hAnsi="宋体" w:cs="宋体" w:eastAsia="宋体" w:hint="default"/>
          <w:b/>
          <w:bCs/>
          <w:spacing w:val="-142"/>
          <w:w w:val="99"/>
          <w:sz w:val="28"/>
          <w:szCs w:val="28"/>
        </w:rPr>
        <w:t>）</w:t>
      </w:r>
      <w:r>
        <w:rPr>
          <w:rFonts w:ascii="宋体" w:hAnsi="宋体" w:cs="宋体" w:eastAsia="宋体" w:hint="default"/>
          <w:b/>
          <w:bCs/>
          <w:spacing w:val="-29"/>
          <w:w w:val="99"/>
          <w:sz w:val="28"/>
          <w:szCs w:val="28"/>
        </w:rPr>
        <w:t>，</w:t>
      </w:r>
      <w:r>
        <w:rPr>
          <w:rFonts w:ascii="宋体" w:hAnsi="宋体" w:cs="宋体" w:eastAsia="宋体" w:hint="default"/>
          <w:b/>
          <w:bCs/>
          <w:spacing w:val="-1"/>
          <w:w w:val="99"/>
          <w:sz w:val="28"/>
          <w:szCs w:val="28"/>
        </w:rPr>
        <w:t>以资</w:t>
      </w:r>
      <w:r>
        <w:rPr>
          <w:rFonts w:ascii="宋体" w:hAnsi="宋体" w:cs="宋体" w:eastAsia="宋体" w:hint="default"/>
          <w:b/>
          <w:bCs/>
          <w:w w:val="99"/>
          <w:sz w:val="28"/>
          <w:szCs w:val="28"/>
        </w:rPr>
        <w:t>本</w:t>
      </w:r>
      <w:r>
        <w:rPr>
          <w:rFonts w:ascii="宋体" w:hAnsi="宋体" w:cs="宋体" w:eastAsia="宋体" w:hint="default"/>
          <w:sz w:val="28"/>
          <w:szCs w:val="28"/>
        </w:rPr>
      </w:r>
    </w:p>
    <w:p>
      <w:pPr>
        <w:spacing w:before="236"/>
        <w:ind w:left="112" w:right="0" w:firstLine="0"/>
        <w:jc w:val="both"/>
        <w:rPr>
          <w:rFonts w:ascii="宋体" w:hAnsi="宋体" w:cs="宋体" w:eastAsia="宋体" w:hint="default"/>
          <w:sz w:val="28"/>
          <w:szCs w:val="28"/>
        </w:rPr>
      </w:pPr>
      <w:r>
        <w:rPr>
          <w:rFonts w:ascii="宋体" w:hAnsi="宋体" w:cs="宋体" w:eastAsia="宋体" w:hint="default"/>
          <w:b/>
          <w:bCs/>
          <w:sz w:val="28"/>
          <w:szCs w:val="28"/>
        </w:rPr>
        <w:t>公积金向全体股东每</w:t>
      </w:r>
      <w:r>
        <w:rPr>
          <w:rFonts w:ascii="宋体" w:hAnsi="宋体" w:cs="宋体" w:eastAsia="宋体" w:hint="default"/>
          <w:b/>
          <w:bCs/>
          <w:spacing w:val="-74"/>
          <w:sz w:val="28"/>
          <w:szCs w:val="28"/>
        </w:rPr>
        <w:t> </w:t>
      </w:r>
      <w:r>
        <w:rPr>
          <w:rFonts w:ascii="Times New Roman" w:hAnsi="Times New Roman" w:cs="Times New Roman" w:eastAsia="Times New Roman" w:hint="default"/>
          <w:b/>
          <w:bCs/>
          <w:sz w:val="28"/>
          <w:szCs w:val="28"/>
        </w:rPr>
        <w:t>10</w:t>
      </w:r>
      <w:r>
        <w:rPr>
          <w:rFonts w:ascii="Times New Roman" w:hAnsi="Times New Roman" w:cs="Times New Roman" w:eastAsia="Times New Roman" w:hint="default"/>
          <w:b/>
          <w:bCs/>
          <w:spacing w:val="-4"/>
          <w:sz w:val="28"/>
          <w:szCs w:val="28"/>
        </w:rPr>
        <w:t> </w:t>
      </w:r>
      <w:r>
        <w:rPr>
          <w:rFonts w:ascii="宋体" w:hAnsi="宋体" w:cs="宋体" w:eastAsia="宋体" w:hint="default"/>
          <w:b/>
          <w:bCs/>
          <w:sz w:val="28"/>
          <w:szCs w:val="28"/>
        </w:rPr>
        <w:t>股转增</w:t>
      </w:r>
      <w:r>
        <w:rPr>
          <w:rFonts w:ascii="宋体" w:hAnsi="宋体" w:cs="宋体" w:eastAsia="宋体" w:hint="default"/>
          <w:b/>
          <w:bCs/>
          <w:spacing w:val="-72"/>
          <w:sz w:val="28"/>
          <w:szCs w:val="28"/>
        </w:rPr>
        <w:t> </w:t>
      </w:r>
      <w:r>
        <w:rPr>
          <w:rFonts w:ascii="Times New Roman" w:hAnsi="Times New Roman" w:cs="Times New Roman" w:eastAsia="Times New Roman" w:hint="default"/>
          <w:b/>
          <w:bCs/>
          <w:sz w:val="28"/>
          <w:szCs w:val="28"/>
        </w:rPr>
        <w:t>5</w:t>
      </w:r>
      <w:r>
        <w:rPr>
          <w:rFonts w:ascii="Times New Roman" w:hAnsi="Times New Roman" w:cs="Times New Roman" w:eastAsia="Times New Roman" w:hint="default"/>
          <w:b/>
          <w:bCs/>
          <w:spacing w:val="-2"/>
          <w:sz w:val="28"/>
          <w:szCs w:val="28"/>
        </w:rPr>
        <w:t> </w:t>
      </w:r>
      <w:r>
        <w:rPr>
          <w:rFonts w:ascii="宋体" w:hAnsi="宋体" w:cs="宋体" w:eastAsia="宋体" w:hint="default"/>
          <w:b/>
          <w:bCs/>
          <w:sz w:val="28"/>
          <w:szCs w:val="28"/>
        </w:rPr>
        <w:t>股。</w:t>
      </w:r>
      <w:r>
        <w:rPr>
          <w:rFonts w:ascii="宋体" w:hAnsi="宋体" w:cs="宋体" w:eastAsia="宋体" w:hint="default"/>
          <w:sz w:val="28"/>
          <w:szCs w:val="28"/>
        </w:rPr>
      </w:r>
    </w:p>
    <w:p>
      <w:pPr>
        <w:spacing w:after="0"/>
        <w:jc w:val="both"/>
        <w:rPr>
          <w:rFonts w:ascii="宋体" w:hAnsi="宋体" w:cs="宋体" w:eastAsia="宋体" w:hint="default"/>
          <w:sz w:val="28"/>
          <w:szCs w:val="28"/>
        </w:rPr>
        <w:sectPr>
          <w:pgSz w:w="11910" w:h="16840"/>
          <w:pgMar w:header="907" w:footer="1016" w:top="1100" w:bottom="1200" w:left="102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7"/>
          <w:szCs w:val="27"/>
        </w:rPr>
      </w:pPr>
    </w:p>
    <w:p>
      <w:pPr>
        <w:spacing w:line="460" w:lineRule="exact" w:before="0"/>
        <w:ind w:left="2280" w:right="3297" w:firstLine="0"/>
        <w:jc w:val="center"/>
        <w:rPr>
          <w:rFonts w:ascii="宋体" w:hAnsi="宋体" w:cs="宋体" w:eastAsia="宋体" w:hint="default"/>
          <w:sz w:val="36"/>
          <w:szCs w:val="36"/>
        </w:rPr>
      </w:pPr>
      <w:r>
        <w:rPr>
          <w:rFonts w:ascii="宋体" w:hAnsi="宋体" w:cs="宋体" w:eastAsia="宋体" w:hint="default"/>
          <w:b/>
          <w:bCs/>
          <w:sz w:val="36"/>
          <w:szCs w:val="36"/>
        </w:rPr>
        <w:t>目录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4"/>
        <w:rPr>
          <w:rFonts w:ascii="宋体" w:hAnsi="宋体" w:cs="宋体" w:eastAsia="宋体" w:hint="default"/>
          <w:b/>
          <w:bCs/>
          <w:sz w:val="42"/>
          <w:szCs w:val="42"/>
        </w:rPr>
      </w:pPr>
    </w:p>
    <w:sdt>
      <w:sdtPr>
        <w:docPartObj>
          <w:docPartGallery w:val="Table of Contents"/>
          <w:docPartUnique/>
        </w:docPartObj>
      </w:sdtPr>
      <w:sdtEndPr/>
      <w:sdtContent>
        <w:p>
          <w:pPr>
            <w:pStyle w:val="TOC1"/>
            <w:tabs>
              <w:tab w:pos="9741" w:val="right" w:leader="dot"/>
            </w:tabs>
            <w:spacing w:line="240" w:lineRule="auto" w:before="0"/>
            <w:ind w:right="0"/>
            <w:jc w:val="left"/>
            <w:rPr>
              <w:rFonts w:ascii="Times New Roman" w:hAnsi="Times New Roman" w:cs="Times New Roman" w:eastAsia="Times New Roman" w:hint="default"/>
              <w:b w:val="0"/>
              <w:bCs w:val="0"/>
            </w:rPr>
          </w:pPr>
          <w:hyperlink w:history="true" w:anchor="_bookmark0">
            <w:r>
              <w:rPr/>
              <w:t>第一节重要提示、目录和释义</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10</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bookmark1">
            <w:r>
              <w:rPr/>
              <w:t>第二节公司简介和主要财务指标</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14</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bookmark2">
            <w:r>
              <w:rPr/>
              <w:t>第三节公司业务概要</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27</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bookmark3">
            <w:r>
              <w:rPr/>
              <w:t>第四节经营情况讨论与分析</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44</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bookmark4">
            <w:r>
              <w:rPr/>
              <w:t>第五节重要事项</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65</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bookmark5">
            <w:r>
              <w:rPr/>
              <w:t>第六节股份变动及股东情况</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76</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bookmark5">
            <w:r>
              <w:rPr/>
              <w:t>第七节优先股相关情况</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76</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bookmark6">
            <w:r>
              <w:rPr/>
              <w:t>第八节董事、监事、高级管理人员和员工情况</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77</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bookmark7">
            <w:r>
              <w:rPr/>
              <w:t>第九节公司治理</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85</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bookmark8">
            <w:r>
              <w:rPr/>
              <w:t>第十节公司债券相关情况</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91</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bookmark9">
            <w:r>
              <w:rPr/>
              <w:t>第十一节财务报告</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92</w:t>
            </w:r>
            <w:r>
              <w:rPr>
                <w:rFonts w:ascii="Times New Roman" w:hAnsi="Times New Roman" w:cs="Times New Roman" w:eastAsia="Times New Roman" w:hint="default"/>
                <w:b w:val="0"/>
                <w:bCs w:val="0"/>
              </w:rPr>
            </w:r>
          </w:hyperlink>
        </w:p>
        <w:p>
          <w:pPr>
            <w:pStyle w:val="TOC1"/>
            <w:tabs>
              <w:tab w:pos="9741" w:val="right" w:leader="dot"/>
            </w:tabs>
            <w:spacing w:line="240" w:lineRule="auto"/>
            <w:ind w:right="0"/>
            <w:jc w:val="left"/>
            <w:rPr>
              <w:rFonts w:ascii="Times New Roman" w:hAnsi="Times New Roman" w:cs="Times New Roman" w:eastAsia="Times New Roman" w:hint="default"/>
              <w:b w:val="0"/>
              <w:bCs w:val="0"/>
            </w:rPr>
          </w:pPr>
          <w:hyperlink w:history="true" w:anchor="_bookmark10">
            <w:r>
              <w:rPr/>
              <w:t>第十二节备查文件目录</w:t>
            </w:r>
            <w:r>
              <w:rPr>
                <w:rFonts w:ascii="Times New Roman" w:hAnsi="Times New Roman" w:cs="Times New Roman" w:eastAsia="Times New Roman" w:hint="default"/>
                <w:b w:val="0"/>
                <w:bCs w:val="0"/>
              </w:rPr>
              <w:tab/>
            </w:r>
            <w:r>
              <w:rPr>
                <w:rFonts w:ascii="Times New Roman" w:hAnsi="Times New Roman" w:cs="Times New Roman" w:eastAsia="Times New Roman" w:hint="default"/>
              </w:rPr>
              <w:t>196</w:t>
            </w:r>
            <w:r>
              <w:rPr>
                <w:rFonts w:ascii="Times New Roman" w:hAnsi="Times New Roman" w:cs="Times New Roman" w:eastAsia="Times New Roman" w:hint="default"/>
                <w:b w:val="0"/>
                <w:bCs w:val="0"/>
              </w:rPr>
            </w:r>
          </w:hyperlink>
        </w:p>
      </w:sdtContent>
    </w:sdt>
    <w:p>
      <w:pPr>
        <w:spacing w:after="0" w:line="240" w:lineRule="auto"/>
        <w:jc w:val="left"/>
        <w:rPr>
          <w:rFonts w:ascii="Times New Roman" w:hAnsi="Times New Roman" w:cs="Times New Roman" w:eastAsia="Times New Roman" w:hint="default"/>
        </w:rPr>
        <w:sectPr>
          <w:pgSz w:w="11910" w:h="16840"/>
          <w:pgMar w:header="907" w:footer="1016" w:top="1100" w:bottom="1200" w:left="1020" w:right="0"/>
        </w:sectPr>
      </w:pPr>
    </w:p>
    <w:p>
      <w:pPr>
        <w:spacing w:before="908"/>
        <w:ind w:left="2280" w:right="3297"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4"/>
          <w:szCs w:val="24"/>
        </w:rPr>
      </w:pPr>
    </w:p>
    <w:tbl>
      <w:tblPr>
        <w:tblW w:w="0" w:type="auto"/>
        <w:jc w:val="left"/>
        <w:tblInd w:w="109" w:type="dxa"/>
        <w:tblLayout w:type="fixed"/>
        <w:tblCellMar>
          <w:top w:w="0" w:type="dxa"/>
          <w:left w:w="0" w:type="dxa"/>
          <w:bottom w:w="0" w:type="dxa"/>
          <w:right w:w="0" w:type="dxa"/>
        </w:tblCellMar>
        <w:tblLook w:val="01E0"/>
      </w:tblPr>
      <w:tblGrid>
        <w:gridCol w:w="3524"/>
        <w:gridCol w:w="621"/>
        <w:gridCol w:w="5424"/>
      </w:tblGrid>
      <w:tr>
        <w:trPr>
          <w:trHeight w:val="402" w:hRule="exact"/>
        </w:trPr>
        <w:tc>
          <w:tcPr>
            <w:tcW w:w="35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释义项</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本公司、公司、股份公司、创业慧康</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创业慧康科技股份有限公司，原创业软件股份有限公司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控股股东、实际控制人</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葛航</w:t>
            </w:r>
          </w:p>
        </w:tc>
      </w:tr>
      <w:tr>
        <w:trPr>
          <w:trHeight w:val="714"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70"/>
              <w:jc w:val="left"/>
              <w:rPr>
                <w:rFonts w:ascii="宋体" w:hAnsi="宋体" w:cs="宋体" w:eastAsia="宋体" w:hint="default"/>
                <w:sz w:val="18"/>
                <w:szCs w:val="18"/>
              </w:rPr>
            </w:pPr>
            <w:r>
              <w:rPr>
                <w:rFonts w:ascii="宋体" w:hAnsi="宋体" w:cs="宋体" w:eastAsia="宋体" w:hint="default"/>
                <w:sz w:val="18"/>
                <w:szCs w:val="18"/>
              </w:rPr>
              <w:t>国元证券、主承销商、保荐人、独立财务 顾问</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4" w:right="0"/>
              <w:jc w:val="left"/>
              <w:rPr>
                <w:rFonts w:ascii="宋体" w:hAnsi="宋体" w:cs="宋体" w:eastAsia="宋体" w:hint="default"/>
                <w:sz w:val="18"/>
                <w:szCs w:val="18"/>
              </w:rPr>
            </w:pPr>
            <w:r>
              <w:rPr>
                <w:rFonts w:ascii="宋体" w:hAnsi="宋体" w:cs="宋体" w:eastAsia="宋体" w:hint="default"/>
                <w:sz w:val="18"/>
                <w:szCs w:val="18"/>
              </w:rPr>
              <w:t>国元证券股份有限公司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会计师、天健会计师事务所</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天健会计师事务所（特殊普通合伙）</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律师、北京天元</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北京市天元律师事务所</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慧康物联</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杭州慧康物联网科技有限公司，原杭州博泰信息技术服务有限公司</w:t>
            </w:r>
          </w:p>
        </w:tc>
      </w:tr>
      <w:tr>
        <w:trPr>
          <w:trHeight w:val="714"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鑫粟科技、鑫粟投资</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4" w:right="100"/>
              <w:jc w:val="left"/>
              <w:rPr>
                <w:rFonts w:ascii="宋体" w:hAnsi="宋体" w:cs="宋体" w:eastAsia="宋体" w:hint="default"/>
                <w:sz w:val="18"/>
                <w:szCs w:val="18"/>
              </w:rPr>
            </w:pPr>
            <w:r>
              <w:rPr>
                <w:rFonts w:ascii="宋体" w:hAnsi="宋体" w:cs="宋体" w:eastAsia="宋体" w:hint="default"/>
                <w:spacing w:val="-1"/>
                <w:sz w:val="18"/>
                <w:szCs w:val="18"/>
              </w:rPr>
              <w:t>浙江鑫粟科技有限公司，原杭州鑫粟科技有限公司、杭州鑫粟投资</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管理有限公司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铜粟投资</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宁波铜粟投资管理有限公司，原杭州铜粟投资管理有限公司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阜康投资</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杭州阜康投资有限公司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中宇信息</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浙江中宇信息科技有限公司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蓝天电脑</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中山市蓝天电脑有限公司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中拓信息</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广东中拓信息技术有限公司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杭州惟勤</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杭州惟勤科技有限公司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新疆创什</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新疆创什信息科技有限公司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创业亿康</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苏州创业亿康信息科技有限公司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重庆创易</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重庆创易康软件有限公司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天津创津</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天津创津科技有限公司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创业南京</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创业软件南京有限公司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中山杭创</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中山市杭创科技有限公司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上海创航</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上海创航软件有限公司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杭州联旗</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杭州联旗科技有限公司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医康数据</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浙江医康数据科技研究院有限公司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宁海杭创</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宁海杭创网络科技有限公司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卓腾信息</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杭州卓腾信息技术有限公司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美诺泰科</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杭州美诺泰科科技有限公司</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梅清数码</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杭州梅清数码科技有限公司</w:t>
            </w:r>
          </w:p>
        </w:tc>
      </w:tr>
      <w:tr>
        <w:trPr>
          <w:trHeight w:val="400"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合美物业</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杭州合美物业管理有限公司</w:t>
            </w:r>
          </w:p>
        </w:tc>
      </w:tr>
    </w:tbl>
    <w:p>
      <w:pPr>
        <w:spacing w:after="0" w:line="240"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3524"/>
        <w:gridCol w:w="621"/>
        <w:gridCol w:w="5424"/>
      </w:tblGrid>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重大资产重组</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创业慧康科技股份有限公司发行股份及支付现金购买博泰服务</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股东大会</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创业慧康科技股份有限公司股东大会</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董事会</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创业慧康科技股份有限公司董事会</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监事会</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创业慧康科技股份有限公司监事会</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中国证监会</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中国证券监督管理委员会</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深交所</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《公司法》</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《中华人民共和国公司法》</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《证券法》</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《中华人民共和国证券法》</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《公司章程》</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《创业慧康科技股份有限公司章程》</w:t>
            </w:r>
          </w:p>
        </w:tc>
      </w:tr>
      <w:tr>
        <w:trPr>
          <w:trHeight w:val="402" w:hRule="exact"/>
        </w:trPr>
        <w:tc>
          <w:tcPr>
            <w:tcW w:w="35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报告期</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p>
        </w:tc>
      </w:tr>
    </w:tbl>
    <w:p>
      <w:pPr>
        <w:spacing w:after="0" w:line="240"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5"/>
          <w:szCs w:val="25"/>
        </w:rPr>
      </w:pPr>
    </w:p>
    <w:p>
      <w:pPr>
        <w:pStyle w:val="Heading1"/>
        <w:spacing w:line="240" w:lineRule="auto"/>
        <w:ind w:left="2685" w:right="0"/>
        <w:jc w:val="left"/>
        <w:rPr>
          <w:b w:val="0"/>
          <w:bCs w:val="0"/>
        </w:rPr>
      </w:pPr>
      <w:bookmarkStart w:name="第二节公司简介和主要财务指标" w:id="2"/>
      <w:bookmarkEnd w:id="2"/>
      <w:r>
        <w:rPr>
          <w:b w:val="0"/>
          <w:bCs w:val="0"/>
        </w:rPr>
      </w:r>
      <w:bookmarkStart w:name="_bookmark0" w:id="3"/>
      <w:bookmarkEnd w:id="3"/>
      <w:r>
        <w:rPr>
          <w:b w:val="0"/>
          <w:bCs w:val="0"/>
        </w:rPr>
      </w:r>
      <w:r>
        <w:rPr/>
        <w:t>第二节公司简介和主要财务指标</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pStyle w:val="Heading2"/>
        <w:spacing w:line="240" w:lineRule="auto" w:before="26"/>
        <w:ind w:right="0"/>
        <w:jc w:val="left"/>
        <w:rPr>
          <w:b w:val="0"/>
          <w:bCs w:val="0"/>
        </w:rPr>
      </w:pPr>
      <w:bookmarkStart w:name="一、公司信息" w:id="4"/>
      <w:bookmarkEnd w:id="4"/>
      <w:r>
        <w:rPr>
          <w:b w:val="0"/>
          <w:bCs w:val="0"/>
        </w:rPr>
      </w:r>
      <w:r>
        <w:rPr/>
        <w:t>一、公司信息</w:t>
      </w:r>
      <w:r>
        <w:rPr>
          <w:b w:val="0"/>
          <w:bCs w:val="0"/>
        </w:rPr>
      </w:r>
    </w:p>
    <w:p>
      <w:pPr>
        <w:spacing w:line="240" w:lineRule="auto" w:before="11"/>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2284"/>
        <w:gridCol w:w="2953"/>
        <w:gridCol w:w="2156"/>
        <w:gridCol w:w="2176"/>
      </w:tblGrid>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创业慧康</w:t>
            </w:r>
          </w:p>
        </w:tc>
        <w:tc>
          <w:tcPr>
            <w:tcW w:w="21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4"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300451</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创业慧康科技股份有限公司</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创业慧康</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B-SOFTCo.,Ltd.</w:t>
            </w:r>
          </w:p>
        </w:tc>
      </w:tr>
      <w:tr>
        <w:trPr>
          <w:trHeight w:val="714"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1" w:right="190"/>
              <w:jc w:val="left"/>
              <w:rPr>
                <w:rFonts w:ascii="宋体" w:hAnsi="宋体" w:cs="宋体" w:eastAsia="宋体" w:hint="default"/>
                <w:sz w:val="18"/>
                <w:szCs w:val="18"/>
              </w:rPr>
            </w:pPr>
            <w:r>
              <w:rPr>
                <w:rFonts w:ascii="宋体" w:hAnsi="宋体" w:cs="宋体" w:eastAsia="宋体" w:hint="default"/>
                <w:sz w:val="18"/>
                <w:szCs w:val="18"/>
              </w:rPr>
              <w:t>公司的外文名称缩写（如 有）</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B-SOFT</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葛航</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杭州市滨江区长河街道越达巷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号创业智慧大厦五楼</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310052</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杭州市滨江区长河街道越达巷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号创业智慧大厦五楼</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310052</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公司国际互联网网址</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https://</w:t>
            </w:r>
            <w:hyperlink r:id="rId11">
              <w:r>
                <w:rPr>
                  <w:rFonts w:ascii="Times New Roman"/>
                  <w:sz w:val="18"/>
                </w:rPr>
                <w:t>www.bsoft.com.cn/</w:t>
              </w:r>
            </w:hyperlink>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85"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hyperlink r:id="rId12">
              <w:r>
                <w:rPr>
                  <w:rFonts w:ascii="Times New Roman"/>
                  <w:sz w:val="18"/>
                </w:rPr>
                <w:t>bsoft@bsoft.com.cn</w:t>
              </w:r>
            </w:hyperlink>
          </w:p>
        </w:tc>
      </w:tr>
    </w:tbl>
    <w:p>
      <w:pPr>
        <w:spacing w:line="240" w:lineRule="auto" w:before="1"/>
        <w:rPr>
          <w:rFonts w:ascii="宋体" w:hAnsi="宋体" w:cs="宋体" w:eastAsia="宋体" w:hint="default"/>
          <w:b/>
          <w:bCs/>
          <w:sz w:val="18"/>
          <w:szCs w:val="18"/>
        </w:rPr>
      </w:pPr>
    </w:p>
    <w:p>
      <w:pPr>
        <w:pStyle w:val="Heading2"/>
        <w:spacing w:line="240" w:lineRule="auto" w:before="26"/>
        <w:ind w:right="0"/>
        <w:jc w:val="left"/>
        <w:rPr>
          <w:b w:val="0"/>
          <w:bCs w:val="0"/>
        </w:rPr>
      </w:pPr>
      <w:bookmarkStart w:name="二、联系人和联系方式" w:id="5"/>
      <w:bookmarkEnd w:id="5"/>
      <w:r>
        <w:rPr>
          <w:b w:val="0"/>
          <w:bCs w:val="0"/>
        </w:rPr>
      </w:r>
      <w:r>
        <w:rPr/>
        <w:t>二、联系人和联系方式</w:t>
      </w:r>
      <w:r>
        <w:rPr>
          <w:b w:val="0"/>
          <w:bCs w:val="0"/>
        </w:rPr>
      </w:r>
    </w:p>
    <w:p>
      <w:pPr>
        <w:spacing w:line="240" w:lineRule="auto" w:before="10"/>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50"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胡燕</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徐胜</w:t>
            </w:r>
          </w:p>
        </w:tc>
      </w:tr>
      <w:tr>
        <w:trPr>
          <w:trHeight w:val="714"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0"/>
              <w:ind w:left="102" w:right="104"/>
              <w:jc w:val="left"/>
              <w:rPr>
                <w:rFonts w:ascii="宋体" w:hAnsi="宋体" w:cs="宋体" w:eastAsia="宋体" w:hint="default"/>
                <w:sz w:val="18"/>
                <w:szCs w:val="18"/>
              </w:rPr>
            </w:pPr>
            <w:r>
              <w:rPr>
                <w:rFonts w:ascii="宋体" w:hAnsi="宋体" w:cs="宋体" w:eastAsia="宋体" w:hint="default"/>
                <w:sz w:val="18"/>
                <w:szCs w:val="18"/>
              </w:rPr>
              <w:t>杭州市滨江区长河街道越达巷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号创 业智慧大厦五楼</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0"/>
              <w:ind w:left="102" w:right="105"/>
              <w:jc w:val="left"/>
              <w:rPr>
                <w:rFonts w:ascii="宋体" w:hAnsi="宋体" w:cs="宋体" w:eastAsia="宋体" w:hint="default"/>
                <w:sz w:val="18"/>
                <w:szCs w:val="18"/>
              </w:rPr>
            </w:pPr>
            <w:r>
              <w:rPr>
                <w:rFonts w:ascii="宋体" w:hAnsi="宋体" w:cs="宋体" w:eastAsia="宋体" w:hint="default"/>
                <w:sz w:val="18"/>
                <w:szCs w:val="18"/>
              </w:rPr>
              <w:t>杭州市滨江区长河街道越达巷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号创 业智慧大厦五楼</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0571-88925701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0571-88925701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2" w:right="0"/>
              <w:jc w:val="left"/>
              <w:rPr>
                <w:rFonts w:ascii="Times New Roman" w:hAnsi="Times New Roman" w:cs="Times New Roman" w:eastAsia="Times New Roman" w:hint="default"/>
                <w:sz w:val="18"/>
                <w:szCs w:val="18"/>
              </w:rPr>
            </w:pPr>
            <w:r>
              <w:rPr>
                <w:rFonts w:ascii="Times New Roman"/>
                <w:sz w:val="18"/>
              </w:rPr>
              <w:t>0571-88217703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2" w:right="0"/>
              <w:jc w:val="left"/>
              <w:rPr>
                <w:rFonts w:ascii="Times New Roman" w:hAnsi="Times New Roman" w:cs="Times New Roman" w:eastAsia="Times New Roman" w:hint="default"/>
                <w:sz w:val="18"/>
                <w:szCs w:val="18"/>
              </w:rPr>
            </w:pPr>
            <w:r>
              <w:rPr>
                <w:rFonts w:ascii="Times New Roman"/>
                <w:sz w:val="18"/>
              </w:rPr>
              <w:t>0571-88217703</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hyperlink r:id="rId13">
              <w:r>
                <w:rPr>
                  <w:rFonts w:ascii="Times New Roman"/>
                  <w:sz w:val="18"/>
                </w:rPr>
                <w:t>huy@bsoft.com.cn</w:t>
              </w:r>
            </w:hyperlink>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hyperlink r:id="rId14">
              <w:r>
                <w:rPr>
                  <w:rFonts w:ascii="Times New Roman"/>
                  <w:sz w:val="18"/>
                </w:rPr>
                <w:t>xus@bsoft.com.cn</w:t>
              </w:r>
            </w:hyperlink>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bookmarkStart w:name="三、信息披露及备置地点" w:id="6"/>
      <w:bookmarkEnd w:id="6"/>
      <w:r>
        <w:rPr>
          <w:b w:val="0"/>
          <w:bCs w:val="0"/>
        </w:rPr>
      </w:r>
      <w:r>
        <w:rPr/>
        <w:t>三、信息披露及备置地点</w:t>
      </w:r>
      <w:r>
        <w:rPr>
          <w:b w:val="0"/>
          <w:bCs w:val="0"/>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992"/>
        <w:gridCol w:w="5576"/>
      </w:tblGrid>
      <w:tr>
        <w:trPr>
          <w:trHeight w:val="402" w:hRule="exact"/>
        </w:trPr>
        <w:tc>
          <w:tcPr>
            <w:tcW w:w="3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92"/>
                <w:sz w:val="18"/>
                <w:szCs w:val="18"/>
              </w:rPr>
              <w:t>》</w:t>
            </w:r>
            <w:r>
              <w:rPr>
                <w:rFonts w:ascii="宋体" w:hAnsi="宋体" w:cs="宋体" w:eastAsia="宋体" w:hint="default"/>
                <w:spacing w:val="-89"/>
                <w:sz w:val="18"/>
                <w:szCs w:val="18"/>
              </w:rPr>
              <w:t>、</w:t>
            </w:r>
            <w:r>
              <w:rPr>
                <w:rFonts w:ascii="宋体" w:hAnsi="宋体" w:cs="宋体" w:eastAsia="宋体" w:hint="default"/>
                <w:sz w:val="18"/>
                <w:szCs w:val="18"/>
              </w:rPr>
              <w:t>《证券时报</w:t>
            </w:r>
            <w:r>
              <w:rPr>
                <w:rFonts w:ascii="宋体" w:hAnsi="宋体" w:cs="宋体" w:eastAsia="宋体" w:hint="default"/>
                <w:spacing w:val="-92"/>
                <w:sz w:val="18"/>
                <w:szCs w:val="18"/>
              </w:rPr>
              <w:t>》</w:t>
            </w:r>
            <w:r>
              <w:rPr>
                <w:rFonts w:ascii="宋体" w:hAnsi="宋体" w:cs="宋体" w:eastAsia="宋体" w:hint="default"/>
                <w:spacing w:val="-89"/>
                <w:sz w:val="18"/>
                <w:szCs w:val="18"/>
              </w:rPr>
              <w:t>、</w:t>
            </w:r>
            <w:r>
              <w:rPr>
                <w:rFonts w:ascii="宋体" w:hAnsi="宋体" w:cs="宋体" w:eastAsia="宋体" w:hint="default"/>
                <w:sz w:val="18"/>
                <w:szCs w:val="18"/>
              </w:rPr>
              <w:t>《证券日报</w:t>
            </w:r>
            <w:r>
              <w:rPr>
                <w:rFonts w:ascii="宋体" w:hAnsi="宋体" w:cs="宋体" w:eastAsia="宋体" w:hint="default"/>
                <w:spacing w:val="-92"/>
                <w:sz w:val="18"/>
                <w:szCs w:val="18"/>
              </w:rPr>
              <w:t>》</w:t>
            </w:r>
            <w:r>
              <w:rPr>
                <w:rFonts w:ascii="宋体" w:hAnsi="宋体" w:cs="宋体" w:eastAsia="宋体" w:hint="default"/>
                <w:spacing w:val="-89"/>
                <w:sz w:val="18"/>
                <w:szCs w:val="18"/>
              </w:rPr>
              <w:t>、</w:t>
            </w:r>
            <w:r>
              <w:rPr>
                <w:rFonts w:ascii="宋体" w:hAnsi="宋体" w:cs="宋体" w:eastAsia="宋体" w:hint="default"/>
                <w:sz w:val="18"/>
                <w:szCs w:val="18"/>
              </w:rPr>
              <w:t>《上海证券报》</w:t>
            </w:r>
          </w:p>
        </w:tc>
      </w:tr>
      <w:tr>
        <w:trPr>
          <w:trHeight w:val="402" w:hRule="exact"/>
        </w:trPr>
        <w:tc>
          <w:tcPr>
            <w:tcW w:w="3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hyperlink r:id="rId15">
              <w:r>
                <w:rPr>
                  <w:rFonts w:ascii="Times New Roman"/>
                  <w:sz w:val="18"/>
                </w:rPr>
                <w:t>http://www.cninfo.com.cn</w:t>
              </w:r>
            </w:hyperlink>
          </w:p>
        </w:tc>
      </w:tr>
      <w:tr>
        <w:trPr>
          <w:trHeight w:val="402" w:hRule="exact"/>
        </w:trPr>
        <w:tc>
          <w:tcPr>
            <w:tcW w:w="3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公司证券部办公室</w:t>
            </w:r>
          </w:p>
        </w:tc>
      </w:tr>
    </w:tbl>
    <w:p>
      <w:pPr>
        <w:spacing w:after="0" w:line="240" w:lineRule="auto"/>
        <w:jc w:val="left"/>
        <w:rPr>
          <w:rFonts w:ascii="宋体" w:hAnsi="宋体" w:cs="宋体" w:eastAsia="宋体" w:hint="default"/>
          <w:sz w:val="18"/>
          <w:szCs w:val="18"/>
        </w:rPr>
        <w:sectPr>
          <w:footerReference w:type="default" r:id="rId10"/>
          <w:pgSz w:w="11910" w:h="16840"/>
          <w:pgMar w:footer="1016" w:header="907" w:top="1100" w:bottom="1200" w:left="1020" w:right="0"/>
          <w:pgNumType w:start="10"/>
        </w:sectPr>
      </w:pPr>
    </w:p>
    <w:p>
      <w:pPr>
        <w:spacing w:line="240" w:lineRule="auto" w:before="9"/>
        <w:rPr>
          <w:rFonts w:ascii="宋体" w:hAnsi="宋体" w:cs="宋体" w:eastAsia="宋体" w:hint="default"/>
          <w:b/>
          <w:bCs/>
          <w:sz w:val="20"/>
          <w:szCs w:val="20"/>
        </w:rPr>
      </w:pPr>
    </w:p>
    <w:p>
      <w:pPr>
        <w:pStyle w:val="Heading2"/>
        <w:spacing w:line="240" w:lineRule="auto" w:before="26"/>
        <w:ind w:right="0"/>
        <w:jc w:val="left"/>
        <w:rPr>
          <w:b w:val="0"/>
          <w:bCs w:val="0"/>
        </w:rPr>
      </w:pPr>
      <w:bookmarkStart w:name="四、其他有关资料" w:id="7"/>
      <w:bookmarkEnd w:id="7"/>
      <w:r>
        <w:rPr>
          <w:b w:val="0"/>
          <w:bCs w:val="0"/>
        </w:rPr>
      </w:r>
      <w:r>
        <w:rPr/>
        <w:t>四、其他有关资料</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公司聘请的会计师事务所</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662"/>
        <w:gridCol w:w="6906"/>
      </w:tblGrid>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天健会计师事务所（特殊普通合伙）</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杭州市江干区钱江路</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1366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号华润大厦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B</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座</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王强、李鸿霞</w:t>
            </w:r>
          </w:p>
        </w:tc>
      </w:tr>
    </w:tbl>
    <w:p>
      <w:pPr>
        <w:pStyle w:val="BodyText"/>
        <w:spacing w:line="240" w:lineRule="auto" w:before="51"/>
        <w:ind w:right="0"/>
        <w:jc w:val="left"/>
      </w:pPr>
      <w:r>
        <w:rPr/>
        <w:t>公司聘请的报告期内履行持续督导职责的保荐机构</w:t>
      </w:r>
    </w:p>
    <w:p>
      <w:pPr>
        <w:pStyle w:val="BodyText"/>
        <w:spacing w:line="240" w:lineRule="auto" w:before="117"/>
        <w:ind w:right="0"/>
        <w:jc w:val="left"/>
      </w:pPr>
      <w:r>
        <w:rPr/>
        <w:t>√ 适用 </w:t>
      </w:r>
      <w:r>
        <w:rPr>
          <w:spacing w:val="1"/>
        </w:rPr>
        <w:t> </w:t>
      </w:r>
      <w:r>
        <w:rPr/>
        <w:t>□不适用</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51" w:right="0"/>
              <w:jc w:val="left"/>
              <w:rPr>
                <w:rFonts w:ascii="宋体" w:hAnsi="宋体" w:cs="宋体" w:eastAsia="宋体" w:hint="default"/>
                <w:sz w:val="18"/>
                <w:szCs w:val="18"/>
              </w:rPr>
            </w:pPr>
            <w:r>
              <w:rPr>
                <w:rFonts w:ascii="宋体" w:hAnsi="宋体" w:cs="宋体" w:eastAsia="宋体" w:hint="default"/>
                <w:sz w:val="18"/>
                <w:szCs w:val="18"/>
              </w:rPr>
              <w:t>保荐机构名称</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9" w:right="0"/>
              <w:jc w:val="left"/>
              <w:rPr>
                <w:rFonts w:ascii="宋体" w:hAnsi="宋体" w:cs="宋体" w:eastAsia="宋体" w:hint="default"/>
                <w:sz w:val="18"/>
                <w:szCs w:val="18"/>
              </w:rPr>
            </w:pPr>
            <w:r>
              <w:rPr>
                <w:rFonts w:ascii="宋体" w:hAnsi="宋体" w:cs="宋体" w:eastAsia="宋体" w:hint="default"/>
                <w:sz w:val="18"/>
                <w:szCs w:val="18"/>
              </w:rPr>
              <w:t>保荐机构办公地址</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62" w:right="0"/>
              <w:jc w:val="left"/>
              <w:rPr>
                <w:rFonts w:ascii="宋体" w:hAnsi="宋体" w:cs="宋体" w:eastAsia="宋体" w:hint="default"/>
                <w:sz w:val="18"/>
                <w:szCs w:val="18"/>
              </w:rPr>
            </w:pPr>
            <w:r>
              <w:rPr>
                <w:rFonts w:ascii="宋体" w:hAnsi="宋体" w:cs="宋体" w:eastAsia="宋体" w:hint="default"/>
                <w:sz w:val="18"/>
                <w:szCs w:val="18"/>
              </w:rPr>
              <w:t>保荐代表人姓名</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51" w:right="0"/>
              <w:jc w:val="left"/>
              <w:rPr>
                <w:rFonts w:ascii="宋体" w:hAnsi="宋体" w:cs="宋体" w:eastAsia="宋体" w:hint="default"/>
                <w:sz w:val="18"/>
                <w:szCs w:val="18"/>
              </w:rPr>
            </w:pPr>
            <w:r>
              <w:rPr>
                <w:rFonts w:ascii="宋体" w:hAnsi="宋体" w:cs="宋体" w:eastAsia="宋体" w:hint="default"/>
                <w:sz w:val="18"/>
                <w:szCs w:val="18"/>
              </w:rPr>
              <w:t>持续督导期间</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国元证券股份有限公司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2" w:right="100"/>
              <w:jc w:val="left"/>
              <w:rPr>
                <w:rFonts w:ascii="宋体" w:hAnsi="宋体" w:cs="宋体" w:eastAsia="宋体" w:hint="default"/>
                <w:sz w:val="18"/>
                <w:szCs w:val="18"/>
              </w:rPr>
            </w:pPr>
            <w:r>
              <w:rPr>
                <w:rFonts w:ascii="宋体" w:hAnsi="宋体" w:cs="宋体" w:eastAsia="宋体" w:hint="default"/>
                <w:sz w:val="18"/>
                <w:szCs w:val="18"/>
              </w:rPr>
              <w:t>安徽省合肥市梅山路</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 安徽国际金融中心</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座国元 证券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戚科仁、甘宁</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日</w:t>
            </w:r>
          </w:p>
        </w:tc>
      </w:tr>
    </w:tbl>
    <w:p>
      <w:pPr>
        <w:pStyle w:val="BodyText"/>
        <w:spacing w:line="240" w:lineRule="auto" w:before="50"/>
        <w:ind w:right="0"/>
        <w:jc w:val="left"/>
      </w:pPr>
      <w:r>
        <w:rPr/>
        <w:t>公司聘请的报告期内履行持续督导职责的财务顾问</w:t>
      </w:r>
    </w:p>
    <w:p>
      <w:pPr>
        <w:pStyle w:val="BodyText"/>
        <w:spacing w:line="240" w:lineRule="auto" w:before="117"/>
        <w:ind w:right="0"/>
        <w:jc w:val="left"/>
      </w:pPr>
      <w:r>
        <w:rPr/>
        <w:t>√ 适用 </w:t>
      </w:r>
      <w:r>
        <w:rPr>
          <w:spacing w:val="1"/>
        </w:rPr>
        <w:t> </w:t>
      </w:r>
      <w:r>
        <w:rPr/>
        <w:t>□不适用</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51" w:right="0"/>
              <w:jc w:val="left"/>
              <w:rPr>
                <w:rFonts w:ascii="宋体" w:hAnsi="宋体" w:cs="宋体" w:eastAsia="宋体" w:hint="default"/>
                <w:sz w:val="18"/>
                <w:szCs w:val="18"/>
              </w:rPr>
            </w:pPr>
            <w:r>
              <w:rPr>
                <w:rFonts w:ascii="宋体" w:hAnsi="宋体" w:cs="宋体" w:eastAsia="宋体" w:hint="default"/>
                <w:sz w:val="18"/>
                <w:szCs w:val="18"/>
              </w:rPr>
              <w:t>财务顾问名称</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9" w:right="0"/>
              <w:jc w:val="left"/>
              <w:rPr>
                <w:rFonts w:ascii="宋体" w:hAnsi="宋体" w:cs="宋体" w:eastAsia="宋体" w:hint="default"/>
                <w:sz w:val="18"/>
                <w:szCs w:val="18"/>
              </w:rPr>
            </w:pPr>
            <w:r>
              <w:rPr>
                <w:rFonts w:ascii="宋体" w:hAnsi="宋体" w:cs="宋体" w:eastAsia="宋体" w:hint="default"/>
                <w:sz w:val="18"/>
                <w:szCs w:val="18"/>
              </w:rPr>
              <w:t>财务顾问办公地址</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82" w:right="0"/>
              <w:jc w:val="left"/>
              <w:rPr>
                <w:rFonts w:ascii="宋体" w:hAnsi="宋体" w:cs="宋体" w:eastAsia="宋体" w:hint="default"/>
                <w:sz w:val="18"/>
                <w:szCs w:val="18"/>
              </w:rPr>
            </w:pPr>
            <w:r>
              <w:rPr>
                <w:rFonts w:ascii="宋体" w:hAnsi="宋体" w:cs="宋体" w:eastAsia="宋体" w:hint="default"/>
                <w:sz w:val="18"/>
                <w:szCs w:val="18"/>
              </w:rPr>
              <w:t>财务顾问主办人姓名</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51" w:right="0"/>
              <w:jc w:val="left"/>
              <w:rPr>
                <w:rFonts w:ascii="宋体" w:hAnsi="宋体" w:cs="宋体" w:eastAsia="宋体" w:hint="default"/>
                <w:sz w:val="18"/>
                <w:szCs w:val="18"/>
              </w:rPr>
            </w:pPr>
            <w:r>
              <w:rPr>
                <w:rFonts w:ascii="宋体" w:hAnsi="宋体" w:cs="宋体" w:eastAsia="宋体" w:hint="default"/>
                <w:sz w:val="18"/>
                <w:szCs w:val="18"/>
              </w:rPr>
              <w:t>持续督导期间</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国元证券股份有限公司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2" w:right="100"/>
              <w:jc w:val="left"/>
              <w:rPr>
                <w:rFonts w:ascii="宋体" w:hAnsi="宋体" w:cs="宋体" w:eastAsia="宋体" w:hint="default"/>
                <w:sz w:val="18"/>
                <w:szCs w:val="18"/>
              </w:rPr>
            </w:pPr>
            <w:r>
              <w:rPr>
                <w:rFonts w:ascii="宋体" w:hAnsi="宋体" w:cs="宋体" w:eastAsia="宋体" w:hint="default"/>
                <w:sz w:val="18"/>
                <w:szCs w:val="18"/>
              </w:rPr>
              <w:t>安徽省合肥市梅山路</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 安徽国际金融中心</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座国元 证券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103" w:right="0"/>
              <w:jc w:val="left"/>
              <w:rPr>
                <w:rFonts w:ascii="宋体" w:hAnsi="宋体" w:cs="宋体" w:eastAsia="宋体" w:hint="default"/>
                <w:sz w:val="18"/>
                <w:szCs w:val="18"/>
              </w:rPr>
            </w:pPr>
            <w:r>
              <w:rPr>
                <w:rFonts w:ascii="宋体" w:hAnsi="宋体" w:cs="宋体" w:eastAsia="宋体" w:hint="default"/>
                <w:sz w:val="18"/>
                <w:szCs w:val="18"/>
              </w:rPr>
              <w:t>戚科仁，佘超，赵佶阳</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日至</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63"/>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bl>
    <w:p>
      <w:pPr>
        <w:spacing w:line="240" w:lineRule="auto" w:before="2"/>
        <w:rPr>
          <w:rFonts w:ascii="宋体" w:hAnsi="宋体" w:cs="宋体" w:eastAsia="宋体" w:hint="default"/>
          <w:sz w:val="18"/>
          <w:szCs w:val="18"/>
        </w:rPr>
      </w:pPr>
    </w:p>
    <w:p>
      <w:pPr>
        <w:pStyle w:val="Heading2"/>
        <w:spacing w:line="240" w:lineRule="auto" w:before="26"/>
        <w:ind w:right="0"/>
        <w:jc w:val="left"/>
        <w:rPr>
          <w:b w:val="0"/>
          <w:bCs w:val="0"/>
        </w:rPr>
      </w:pPr>
      <w:bookmarkStart w:name="五、主要会计数据和财务指标" w:id="8"/>
      <w:bookmarkEnd w:id="8"/>
      <w:r>
        <w:rPr>
          <w:b w:val="0"/>
          <w:bCs w:val="0"/>
        </w:rPr>
      </w:r>
      <w:r>
        <w:rPr/>
        <w:t>五、主要会计数据和财务指标</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公司是否需追溯调整或重述以前年度会计数据</w:t>
      </w:r>
    </w:p>
    <w:p>
      <w:pPr>
        <w:pStyle w:val="BodyText"/>
        <w:spacing w:line="240" w:lineRule="auto" w:before="117"/>
        <w:ind w:left="204" w:right="0"/>
        <w:jc w:val="left"/>
      </w:pPr>
      <w:r>
        <w:rPr/>
        <w:t>□是</w:t>
      </w:r>
      <w:r>
        <w:rPr>
          <w:spacing w:val="-2"/>
        </w:rPr>
        <w:t> </w:t>
      </w:r>
      <w:r>
        <w:rPr/>
        <w:t>√否</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621"/>
        <w:gridCol w:w="1738"/>
        <w:gridCol w:w="1737"/>
        <w:gridCol w:w="1737"/>
        <w:gridCol w:w="1736"/>
      </w:tblGrid>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7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tc>
        <w:tc>
          <w:tcPr>
            <w:tcW w:w="1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tc>
        <w:tc>
          <w:tcPr>
            <w:tcW w:w="1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3"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7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1,290,288,361.43</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1,152,952,938.09</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2"/>
                <w:sz w:val="18"/>
              </w:rPr>
              <w:t>11.91%</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548,645,307.54</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212,681,116.27</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163,244,227.81</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30.28%</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63,003,453.15</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67"/>
              <w:jc w:val="left"/>
              <w:rPr>
                <w:rFonts w:ascii="宋体" w:hAnsi="宋体" w:cs="宋体" w:eastAsia="宋体" w:hint="default"/>
                <w:sz w:val="18"/>
                <w:szCs w:val="18"/>
              </w:rPr>
            </w:pPr>
            <w:r>
              <w:rPr>
                <w:rFonts w:ascii="宋体" w:hAnsi="宋体" w:cs="宋体" w:eastAsia="宋体" w:hint="default"/>
                <w:sz w:val="18"/>
                <w:szCs w:val="18"/>
              </w:rPr>
              <w:t>归属于上市公司股东的扣除非 经常性损益的净利润（元）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199,612,997.19</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154,230,633.21</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29.43%</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51,891,600.83</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169,697,618.08</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175,466,341.65</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-3.29%</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118,987,534.37</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0.45</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0.35</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28.57%</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0.15</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0.44</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0.35</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25.71%</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0.15</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z w:val="18"/>
              </w:rPr>
              <w:t>9.78%</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z w:val="18"/>
              </w:rPr>
              <w:t>8.74%</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z w:val="18"/>
              </w:rPr>
              <w:t>1.04%</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z w:val="18"/>
              </w:rPr>
              <w:t>9.74%</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773" w:right="142" w:hanging="632"/>
              <w:jc w:val="left"/>
              <w:rPr>
                <w:rFonts w:ascii="宋体" w:hAnsi="宋体" w:cs="宋体" w:eastAsia="宋体" w:hint="default"/>
                <w:sz w:val="18"/>
                <w:szCs w:val="18"/>
              </w:rPr>
            </w:pPr>
            <w:r>
              <w:rPr>
                <w:rFonts w:ascii="宋体" w:hAnsi="宋体" w:cs="宋体" w:eastAsia="宋体" w:hint="default"/>
                <w:sz w:val="18"/>
                <w:szCs w:val="18"/>
              </w:rPr>
              <w:t>本年末比上年末增 减</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7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资产总额（元）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3,078,548,332.90</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2,698,990,624.51</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14.06%</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1,133,125,134.31</w:t>
            </w:r>
          </w:p>
        </w:tc>
      </w:tr>
      <w:tr>
        <w:trPr>
          <w:trHeight w:val="410"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0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2,321,067,725.25</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2,037,912,061.46</w:t>
            </w:r>
          </w:p>
        </w:tc>
        <w:tc>
          <w:tcPr>
            <w:tcW w:w="1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13.89%</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724,868,612.49</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621"/>
        <w:gridCol w:w="1738"/>
        <w:gridCol w:w="1737"/>
        <w:gridCol w:w="1737"/>
        <w:gridCol w:w="1736"/>
      </w:tblGrid>
      <w:tr>
        <w:trPr>
          <w:trHeight w:val="36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8" w:type="dxa"/>
            <w:tcBorders>
              <w:top w:val="single" w:sz="4" w:space="0" w:color="000000"/>
              <w:left w:val="single" w:sz="4" w:space="0" w:color="000000"/>
              <w:bottom w:val="single" w:sz="4" w:space="0" w:color="000000"/>
              <w:right w:val="single" w:sz="4" w:space="0" w:color="000000"/>
            </w:tcBorders>
          </w:tcPr>
          <w:p>
            <w:pPr/>
          </w:p>
        </w:tc>
        <w:tc>
          <w:tcPr>
            <w:tcW w:w="1737" w:type="dxa"/>
            <w:tcBorders>
              <w:top w:val="single" w:sz="4" w:space="0" w:color="000000"/>
              <w:left w:val="single" w:sz="4" w:space="0" w:color="000000"/>
              <w:bottom w:val="single" w:sz="4" w:space="0" w:color="000000"/>
              <w:right w:val="single" w:sz="4" w:space="0" w:color="000000"/>
            </w:tcBorders>
          </w:tcPr>
          <w:p>
            <w:pPr/>
          </w:p>
        </w:tc>
        <w:tc>
          <w:tcPr>
            <w:tcW w:w="1737" w:type="dxa"/>
            <w:tcBorders>
              <w:top w:val="single" w:sz="4" w:space="0" w:color="000000"/>
              <w:left w:val="single" w:sz="4" w:space="0" w:color="000000"/>
              <w:bottom w:val="single" w:sz="4" w:space="0" w:color="000000"/>
              <w:right w:val="single" w:sz="4" w:space="0" w:color="000000"/>
            </w:tcBorders>
          </w:tcPr>
          <w:p>
            <w:pPr/>
          </w:p>
        </w:tc>
        <w:tc>
          <w:tcPr>
            <w:tcW w:w="1736"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0"/>
        <w:ind w:right="0"/>
        <w:jc w:val="left"/>
      </w:pPr>
      <w:r>
        <w:rPr/>
        <w:t>√是</w:t>
      </w:r>
      <w:r>
        <w:rPr>
          <w:spacing w:val="1"/>
        </w:rPr>
        <w:t> </w:t>
      </w:r>
      <w:r>
        <w:rPr/>
        <w:t>□否</w:t>
      </w:r>
    </w:p>
    <w:p>
      <w:pPr>
        <w:spacing w:line="240" w:lineRule="auto" w:before="10"/>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4pt;height:20.85pt;mso-position-horizontal-relative:char;mso-position-vertical-relative:line" coordorigin="0,0" coordsize="9588,417">
            <v:group style="position:absolute;left:13;top:13;width:4518;height:397" coordorigin="13,13" coordsize="4518,397">
              <v:shape style="position:absolute;left:13;top:13;width:4518;height:397" coordorigin="13,13" coordsize="4518,397" path="m13,13l4531,13,4531,410,13,410,13,13xe" filled="true" fillcolor="#d2d2d2"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533;top:5;width:2;height:402" coordorigin="4533,5" coordsize="2,402">
              <v:shape style="position:absolute;left:4533;top:5;width:2;height:402" coordorigin="4533,5" coordsize="0,402" path="m4533,5l4533,407e" filled="false" stroked="true" strokeweight=".48pt" strokecolor="#000000">
                <v:path arrowok="t"/>
              </v:shape>
            </v:group>
            <v:group style="position:absolute;left:9578;top:5;width:2;height:402" coordorigin="9578,5" coordsize="2,402">
              <v:shape style="position:absolute;left:9578;top:5;width:2;height:402" coordorigin="9578,5" coordsize="0,402" path="m9578,5l9578,407e" filled="false" stroked="true" strokeweight=".48pt" strokecolor="#000000">
                <v:path arrowok="t"/>
              </v:shape>
              <v:shape style="position:absolute;left:10;top:10;width:4523;height:402" type="#_x0000_t202" filled="false" stroked="false">
                <v:textbox inset="0,0,0,0">
                  <w:txbxContent>
                    <w:p>
                      <w:pPr>
                        <w:spacing w:before="56"/>
                        <w:ind w:left="106" w:right="0" w:firstLine="0"/>
                        <w:jc w:val="left"/>
                        <w:rPr>
                          <w:rFonts w:ascii="宋体" w:hAnsi="宋体" w:cs="宋体" w:eastAsia="宋体" w:hint="default"/>
                          <w:sz w:val="18"/>
                          <w:szCs w:val="18"/>
                        </w:rPr>
                      </w:pPr>
                      <w:r>
                        <w:rPr>
                          <w:rFonts w:ascii="宋体" w:hAnsi="宋体" w:cs="宋体" w:eastAsia="宋体" w:hint="default"/>
                          <w:sz w:val="18"/>
                          <w:szCs w:val="18"/>
                        </w:rPr>
                        <w:t>用最新股本计算的全面摊薄每股收益（元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xbxContent>
                </v:textbox>
                <w10:wrap type="none"/>
              </v:shape>
              <v:shape style="position:absolute;left:8975;top:129;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0.4380</w:t>
                      </w:r>
                    </w:p>
                  </w:txbxContent>
                </v:textbox>
                <w10:wrap type="none"/>
              </v:shape>
            </v:group>
          </v:group>
        </w:pict>
      </w:r>
      <w:r>
        <w:rPr>
          <w:rFonts w:ascii="宋体" w:hAnsi="宋体" w:cs="宋体" w:eastAsia="宋体" w:hint="default"/>
          <w:position w:val="-7"/>
          <w:sz w:val="20"/>
          <w:szCs w:val="20"/>
        </w:rPr>
      </w:r>
    </w:p>
    <w:p>
      <w:pPr>
        <w:spacing w:line="240" w:lineRule="auto" w:before="2"/>
        <w:rPr>
          <w:rFonts w:ascii="宋体" w:hAnsi="宋体" w:cs="宋体" w:eastAsia="宋体" w:hint="default"/>
          <w:sz w:val="18"/>
          <w:szCs w:val="18"/>
        </w:rPr>
      </w:pPr>
    </w:p>
    <w:p>
      <w:pPr>
        <w:pStyle w:val="Heading2"/>
        <w:spacing w:line="240" w:lineRule="auto" w:before="26"/>
        <w:ind w:right="0"/>
        <w:jc w:val="left"/>
        <w:rPr>
          <w:b w:val="0"/>
          <w:bCs w:val="0"/>
        </w:rPr>
      </w:pPr>
      <w:bookmarkStart w:name="六、分季度主要财务指标" w:id="9"/>
      <w:bookmarkEnd w:id="9"/>
      <w:r>
        <w:rPr>
          <w:b w:val="0"/>
          <w:bCs w:val="0"/>
        </w:rPr>
      </w:r>
      <w:r>
        <w:rPr/>
        <w:t>六、分季度主要财务指标</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621"/>
        <w:gridCol w:w="1740"/>
        <w:gridCol w:w="1739"/>
        <w:gridCol w:w="1739"/>
        <w:gridCol w:w="1730"/>
      </w:tblGrid>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5"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5"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3"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254,321,521.27</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272,496,554.92</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01" w:right="0"/>
              <w:jc w:val="left"/>
              <w:rPr>
                <w:rFonts w:ascii="Times New Roman" w:hAnsi="Times New Roman" w:cs="Times New Roman" w:eastAsia="Times New Roman" w:hint="default"/>
                <w:sz w:val="18"/>
                <w:szCs w:val="18"/>
              </w:rPr>
            </w:pPr>
            <w:r>
              <w:rPr>
                <w:rFonts w:ascii="Times New Roman"/>
                <w:sz w:val="18"/>
              </w:rPr>
              <w:t>273,160,594.19</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92" w:right="0"/>
              <w:jc w:val="left"/>
              <w:rPr>
                <w:rFonts w:ascii="Times New Roman" w:hAnsi="Times New Roman" w:cs="Times New Roman" w:eastAsia="Times New Roman" w:hint="default"/>
                <w:sz w:val="18"/>
                <w:szCs w:val="18"/>
              </w:rPr>
            </w:pPr>
            <w:r>
              <w:rPr>
                <w:rFonts w:ascii="Times New Roman"/>
                <w:sz w:val="18"/>
              </w:rPr>
              <w:t>490,309,691.05</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44,172,840.29</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16,989,041.47</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90" w:right="0"/>
              <w:jc w:val="left"/>
              <w:rPr>
                <w:rFonts w:ascii="Times New Roman" w:hAnsi="Times New Roman" w:cs="Times New Roman" w:eastAsia="Times New Roman" w:hint="default"/>
                <w:sz w:val="18"/>
                <w:szCs w:val="18"/>
              </w:rPr>
            </w:pPr>
            <w:r>
              <w:rPr>
                <w:rFonts w:ascii="Times New Roman"/>
                <w:sz w:val="18"/>
              </w:rPr>
              <w:t>50,664,426.91</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92" w:right="0"/>
              <w:jc w:val="left"/>
              <w:rPr>
                <w:rFonts w:ascii="Times New Roman" w:hAnsi="Times New Roman" w:cs="Times New Roman" w:eastAsia="Times New Roman" w:hint="default"/>
                <w:sz w:val="18"/>
                <w:szCs w:val="18"/>
              </w:rPr>
            </w:pPr>
            <w:r>
              <w:rPr>
                <w:rFonts w:ascii="Times New Roman"/>
                <w:sz w:val="18"/>
              </w:rPr>
              <w:t>100,854,807.60</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67"/>
              <w:jc w:val="left"/>
              <w:rPr>
                <w:rFonts w:ascii="宋体" w:hAnsi="宋体" w:cs="宋体" w:eastAsia="宋体" w:hint="default"/>
                <w:sz w:val="18"/>
                <w:szCs w:val="18"/>
              </w:rPr>
            </w:pPr>
            <w:r>
              <w:rPr>
                <w:rFonts w:ascii="宋体" w:hAnsi="宋体" w:cs="宋体" w:eastAsia="宋体" w:hint="default"/>
                <w:sz w:val="18"/>
                <w:szCs w:val="18"/>
              </w:rPr>
              <w:t>归属于上市公司股东的扣除非 经常性损益的净利润</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34,444,506.52</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16,272,788.90</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90" w:right="0"/>
              <w:jc w:val="left"/>
              <w:rPr>
                <w:rFonts w:ascii="Times New Roman" w:hAnsi="Times New Roman" w:cs="Times New Roman" w:eastAsia="Times New Roman" w:hint="default"/>
                <w:sz w:val="18"/>
                <w:szCs w:val="18"/>
              </w:rPr>
            </w:pPr>
            <w:r>
              <w:rPr>
                <w:rFonts w:ascii="Times New Roman"/>
                <w:sz w:val="18"/>
              </w:rPr>
              <w:t>47,821,431.07</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92" w:right="0"/>
              <w:jc w:val="left"/>
              <w:rPr>
                <w:rFonts w:ascii="Times New Roman" w:hAnsi="Times New Roman" w:cs="Times New Roman" w:eastAsia="Times New Roman" w:hint="default"/>
                <w:sz w:val="18"/>
                <w:szCs w:val="18"/>
              </w:rPr>
            </w:pPr>
            <w:r>
              <w:rPr>
                <w:rFonts w:ascii="Times New Roman"/>
                <w:sz w:val="18"/>
              </w:rPr>
              <w:t>101,074,270.70</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-191,742,724.08</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1,965,943.76</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39" w:right="0"/>
              <w:jc w:val="left"/>
              <w:rPr>
                <w:rFonts w:ascii="Times New Roman" w:hAnsi="Times New Roman" w:cs="Times New Roman" w:eastAsia="Times New Roman" w:hint="default"/>
                <w:sz w:val="18"/>
                <w:szCs w:val="18"/>
              </w:rPr>
            </w:pPr>
            <w:r>
              <w:rPr>
                <w:rFonts w:ascii="Times New Roman"/>
                <w:sz w:val="18"/>
              </w:rPr>
              <w:t>-11,743,586.27</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92" w:right="0"/>
              <w:jc w:val="left"/>
              <w:rPr>
                <w:rFonts w:ascii="Times New Roman" w:hAnsi="Times New Roman" w:cs="Times New Roman" w:eastAsia="Times New Roman" w:hint="default"/>
                <w:sz w:val="18"/>
                <w:szCs w:val="18"/>
              </w:rPr>
            </w:pPr>
            <w:r>
              <w:rPr>
                <w:rFonts w:ascii="Times New Roman"/>
                <w:sz w:val="18"/>
              </w:rPr>
              <w:t>371,217,984.67</w:t>
            </w:r>
          </w:p>
        </w:tc>
      </w:tr>
    </w:tbl>
    <w:p>
      <w:pPr>
        <w:pStyle w:val="BodyText"/>
        <w:spacing w:line="240" w:lineRule="auto" w:before="51"/>
        <w:ind w:right="0"/>
        <w:jc w:val="left"/>
      </w:pPr>
      <w:r>
        <w:rPr/>
        <w:t>上述财务指标或其加总数是否与公司已披露季度报告、半年度报告相关财务指标存在重大差异</w:t>
      </w:r>
    </w:p>
    <w:p>
      <w:pPr>
        <w:pStyle w:val="BodyText"/>
        <w:spacing w:line="240" w:lineRule="auto" w:before="117"/>
        <w:ind w:left="204" w:right="0"/>
        <w:jc w:val="left"/>
      </w:pPr>
      <w:r>
        <w:rPr/>
        <w:t>□是</w:t>
      </w:r>
      <w:r>
        <w:rPr>
          <w:spacing w:val="-2"/>
        </w:rPr>
        <w:t> </w:t>
      </w:r>
      <w:r>
        <w:rPr/>
        <w:t>√否</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bookmarkStart w:name="七、境内外会计准则下会计数据差异" w:id="10"/>
      <w:bookmarkEnd w:id="10"/>
      <w:r>
        <w:rPr>
          <w:b w:val="0"/>
          <w:bCs w:val="0"/>
        </w:rPr>
      </w:r>
      <w:r>
        <w:rPr/>
        <w:t>七、境内外会计准则下会计数据差异</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同时按照国际会计准则与按照中国会计准则披露的财务报告中净利润和净资产差异情况" w:id="11"/>
      <w:bookmarkEnd w:id="11"/>
      <w:r>
        <w:rPr>
          <w:b w:val="0"/>
          <w:bCs w:val="0"/>
        </w:rPr>
      </w:r>
      <w:r>
        <w:rPr>
          <w:rFonts w:ascii="Times New Roman" w:hAnsi="Times New Roman" w:cs="Times New Roman" w:eastAsia="Times New Roman" w:hint="default"/>
        </w:rPr>
        <w:t>1</w:t>
      </w:r>
      <w:r>
        <w:rPr/>
        <w:t>、同时按照国际会计准则与按照中国会计准则披露的财务报告中净利润和净资产差异情况</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1120" w:firstLine="91"/>
        <w:jc w:val="left"/>
      </w:pPr>
      <w:r>
        <w:rPr/>
        <w:t>□ 适用 √</w:t>
      </w:r>
      <w:r>
        <w:rPr>
          <w:spacing w:val="-3"/>
        </w:rPr>
        <w:t> </w:t>
      </w:r>
      <w:r>
        <w:rPr/>
        <w:t>不适用</w:t>
      </w:r>
      <w:r>
        <w:rPr/>
        <w:t> 公司报告期不存在按照国际会计准则与按照中国会计准则披露的财务报告中净利润和净资产差异情况。</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bookmarkStart w:name="2、同时按照境外会计准则与按照中国会计准则披露的财务报告中净利润和净资产差异情况" w:id="12"/>
      <w:bookmarkEnd w:id="12"/>
      <w:r>
        <w:rPr>
          <w:b w:val="0"/>
          <w:bCs w:val="0"/>
        </w:rPr>
      </w: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2654" w:firstLine="91"/>
        <w:jc w:val="left"/>
      </w:pPr>
      <w:r>
        <w:rPr/>
        <w:t>□ 适用 √</w:t>
      </w:r>
      <w:r>
        <w:rPr>
          <w:spacing w:val="-3"/>
        </w:rPr>
        <w:t> </w:t>
      </w:r>
      <w:r>
        <w:rPr/>
        <w:t>不适用</w:t>
      </w:r>
      <w:r>
        <w:rPr/>
        <w:t> 公司报告期不存在按照境外会计准则与按照中国会计准则披露的财务报告中净利润和净资产差异情况。</w:t>
      </w:r>
    </w:p>
    <w:p>
      <w:pPr>
        <w:spacing w:line="240" w:lineRule="auto" w:before="2"/>
        <w:rPr>
          <w:rFonts w:ascii="宋体" w:hAnsi="宋体" w:cs="宋体" w:eastAsia="宋体" w:hint="default"/>
          <w:sz w:val="18"/>
          <w:szCs w:val="18"/>
        </w:rPr>
      </w:pPr>
    </w:p>
    <w:p>
      <w:pPr>
        <w:pStyle w:val="Heading2"/>
        <w:spacing w:line="240" w:lineRule="auto"/>
        <w:ind w:right="0"/>
        <w:jc w:val="left"/>
        <w:rPr>
          <w:b w:val="0"/>
          <w:bCs w:val="0"/>
        </w:rPr>
      </w:pPr>
      <w:bookmarkStart w:name="八、非经常性损益项目及金额" w:id="13"/>
      <w:bookmarkEnd w:id="13"/>
      <w:r>
        <w:rPr>
          <w:b w:val="0"/>
          <w:bCs w:val="0"/>
        </w:rPr>
      </w:r>
      <w:r>
        <w:rPr/>
        <w:t>八、非经常性损益项目及金额</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 适用</w:t>
      </w:r>
      <w:r>
        <w:rPr>
          <w:spacing w:val="-1"/>
        </w:rPr>
        <w:t> </w:t>
      </w:r>
      <w:r>
        <w:rPr/>
        <w:t>□不适用</w:t>
      </w:r>
    </w:p>
    <w:p>
      <w:pPr>
        <w:pStyle w:val="BodyText"/>
        <w:spacing w:line="240" w:lineRule="auto" w:before="117"/>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296"/>
        <w:gridCol w:w="1520"/>
        <w:gridCol w:w="1520"/>
        <w:gridCol w:w="1522"/>
        <w:gridCol w:w="1710"/>
      </w:tblGrid>
      <w:tr>
        <w:trPr>
          <w:trHeight w:val="402"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年金额</w:t>
            </w:r>
          </w:p>
        </w:tc>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714"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22"/>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 减值准备的冲销部分）</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1,106,734.64</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359,795.05</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-3,400.00</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302"/>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 还、减免</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183,842.01</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303,280.35</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1024"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22"/>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 密切相关，按照国家统一标准定额或定 量享受的政府补助除外）</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13,292,713.02</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9,025,781.87</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10,880,705.53</w:t>
            </w:r>
          </w:p>
        </w:tc>
        <w:tc>
          <w:tcPr>
            <w:tcW w:w="171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296"/>
        <w:gridCol w:w="1520"/>
        <w:gridCol w:w="1520"/>
        <w:gridCol w:w="1522"/>
        <w:gridCol w:w="1710"/>
      </w:tblGrid>
      <w:tr>
        <w:trPr>
          <w:trHeight w:val="402"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1,259,059.44</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1,161,069.00</w:t>
            </w: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22"/>
              <w:jc w:val="both"/>
              <w:rPr>
                <w:rFonts w:ascii="宋体" w:hAnsi="宋体" w:cs="宋体" w:eastAsia="宋体" w:hint="default"/>
                <w:sz w:val="18"/>
                <w:szCs w:val="18"/>
              </w:rPr>
            </w:pPr>
            <w:r>
              <w:rPr>
                <w:rFonts w:ascii="宋体" w:hAnsi="宋体" w:cs="宋体" w:eastAsia="宋体" w:hint="default"/>
                <w:sz w:val="18"/>
                <w:szCs w:val="18"/>
              </w:rPr>
              <w:t>根据税收、会计等法律、法规的要求对 当期损益进行一次性调整对当期损益的 影响</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1,723,274.33</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22"/>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 出</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-519,468.44</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-516,484.79</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-253,030.48</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1,785,802.24</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1,159,239.42</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1,299,490.57</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2"/>
                <w:sz w:val="18"/>
              </w:rPr>
              <w:t>285,117.34</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41,169.12</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239,486.84</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13,068,119.08</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9,013,594.60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2"/>
                <w:sz w:val="18"/>
              </w:rPr>
              <w:t>11,111,852.32</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0"/>
        <w:ind w:right="0"/>
        <w:jc w:val="left"/>
      </w:pPr>
      <w:r>
        <w:rPr>
          <w:spacing w:val="-3"/>
        </w:rPr>
        <w:t>对公司根据《公开发行证券的公司信息披露解释性公告第</w:t>
      </w:r>
      <w:r>
        <w:rPr>
          <w:spacing w:val="-38"/>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spacing w:val="-7"/>
        </w:rPr>
        <w:t>号——非经常性损益》定义界定的非经常性损益项目，以及把《公</w:t>
      </w:r>
    </w:p>
    <w:p>
      <w:pPr>
        <w:pStyle w:val="BodyText"/>
        <w:spacing w:line="300" w:lineRule="auto" w:before="63"/>
        <w:ind w:right="1120"/>
        <w:jc w:val="left"/>
      </w:pPr>
      <w:r>
        <w:rPr/>
        <w:t>开发行证券的公司信息披露解释性公告第</w:t>
      </w:r>
      <w:r>
        <w:rPr>
          <w:spacing w:val="-35"/>
        </w:rPr>
        <w:t> </w:t>
      </w:r>
      <w:r>
        <w:rPr>
          <w:rFonts w:ascii="Times New Roman" w:hAnsi="Times New Roman" w:cs="Times New Roman" w:eastAsia="Times New Roman" w:hint="default"/>
        </w:rPr>
        <w:t>1</w:t>
      </w:r>
      <w:r>
        <w:rPr>
          <w:rFonts w:ascii="Times New Roman" w:hAnsi="Times New Roman" w:cs="Times New Roman" w:eastAsia="Times New Roman" w:hint="default"/>
          <w:spacing w:val="9"/>
        </w:rPr>
        <w:t> </w:t>
      </w:r>
      <w:r>
        <w:rPr>
          <w:spacing w:val="-3"/>
        </w:rPr>
        <w:t>号——非经常性损益》中列举的非经常性损益项目界定为经常性损益的项目，应</w:t>
      </w:r>
      <w:r>
        <w:rPr>
          <w:spacing w:val="-88"/>
        </w:rPr>
        <w:t> </w:t>
      </w:r>
      <w:r>
        <w:rPr>
          <w:spacing w:val="-88"/>
        </w:rPr>
      </w:r>
      <w:r>
        <w:rPr/>
        <w:t>说明原因</w:t>
      </w:r>
    </w:p>
    <w:p>
      <w:pPr>
        <w:pStyle w:val="BodyText"/>
        <w:spacing w:line="240" w:lineRule="auto" w:before="72"/>
        <w:ind w:left="204" w:right="0"/>
        <w:jc w:val="left"/>
      </w:pPr>
      <w:r>
        <w:rPr/>
        <w:t>□ 适用 √</w:t>
      </w:r>
      <w:r>
        <w:rPr>
          <w:spacing w:val="-3"/>
        </w:rPr>
        <w:t> </w:t>
      </w:r>
      <w:r>
        <w:rPr/>
        <w:t>不适用</w:t>
      </w:r>
    </w:p>
    <w:p>
      <w:pPr>
        <w:pStyle w:val="BodyText"/>
        <w:spacing w:line="300" w:lineRule="auto" w:before="117"/>
        <w:ind w:right="1117"/>
        <w:jc w:val="left"/>
      </w:pPr>
      <w:r>
        <w:rPr/>
        <w:t>公司报告期不存在将根据《公开发行证券的公司信息披露解释性公告第</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9"/>
        </w:rPr>
        <w:t> </w:t>
      </w:r>
      <w:r>
        <w:rPr>
          <w:spacing w:val="-3"/>
        </w:rPr>
        <w:t>号——非经常性损益》定义、列举的非经常性损益</w:t>
      </w:r>
      <w:r>
        <w:rPr/>
        <w:t> 项目界定为经常性损益的项目的情形。</w:t>
      </w:r>
    </w:p>
    <w:p>
      <w:pPr>
        <w:spacing w:after="0" w:line="300" w:lineRule="auto"/>
        <w:jc w:val="left"/>
        <w:sectPr>
          <w:pgSz w:w="11910" w:h="16840"/>
          <w:pgMar w:header="907" w:footer="1016"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right="3297"/>
        <w:jc w:val="center"/>
        <w:rPr>
          <w:b w:val="0"/>
          <w:bCs w:val="0"/>
        </w:rPr>
      </w:pPr>
      <w:bookmarkStart w:name="第三节公司业务概要" w:id="14"/>
      <w:bookmarkEnd w:id="14"/>
      <w:r>
        <w:rPr>
          <w:b w:val="0"/>
          <w:bCs w:val="0"/>
        </w:rPr>
      </w:r>
      <w:bookmarkStart w:name="_bookmark1" w:id="15"/>
      <w:bookmarkEnd w:id="15"/>
      <w:r>
        <w:rPr>
          <w:b w:val="0"/>
          <w:bCs w:val="0"/>
        </w:rPr>
      </w:r>
      <w:r>
        <w:rPr/>
        <w:t>第三节公司业务概要</w:t>
      </w:r>
      <w:r>
        <w:rPr>
          <w:b w:val="0"/>
          <w:bCs w:val="0"/>
        </w:rPr>
      </w:r>
    </w:p>
    <w:p>
      <w:pPr>
        <w:spacing w:line="240" w:lineRule="auto" w:before="10"/>
        <w:rPr>
          <w:rFonts w:ascii="宋体" w:hAnsi="宋体" w:cs="宋体" w:eastAsia="宋体" w:hint="default"/>
          <w:b/>
          <w:bCs/>
          <w:sz w:val="38"/>
          <w:szCs w:val="38"/>
        </w:rPr>
      </w:pPr>
    </w:p>
    <w:p>
      <w:pPr>
        <w:pStyle w:val="Heading2"/>
        <w:spacing w:line="240" w:lineRule="auto"/>
        <w:ind w:right="0"/>
        <w:jc w:val="left"/>
        <w:rPr>
          <w:b w:val="0"/>
          <w:bCs w:val="0"/>
        </w:rPr>
      </w:pPr>
      <w:bookmarkStart w:name="一、报告期内公司从事的主要业务" w:id="16"/>
      <w:bookmarkEnd w:id="16"/>
      <w:r>
        <w:rPr>
          <w:b w:val="0"/>
          <w:bCs w:val="0"/>
        </w:rPr>
      </w:r>
      <w:r>
        <w:rPr/>
        <w:t>一、报告期内公司从事的主要业务</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7694"/>
        <w:jc w:val="left"/>
      </w:pPr>
      <w:r>
        <w:rPr/>
        <w:t>公司是否需要遵守特殊行业的披露要求 是</w:t>
      </w:r>
    </w:p>
    <w:p>
      <w:pPr>
        <w:pStyle w:val="BodyText"/>
        <w:spacing w:line="240" w:lineRule="auto" w:before="27"/>
        <w:ind w:right="0"/>
        <w:jc w:val="left"/>
      </w:pPr>
      <w:r>
        <w:rPr/>
        <w:t>软件与信息技术服务业</w:t>
      </w:r>
    </w:p>
    <w:p>
      <w:pPr>
        <w:pStyle w:val="BodyText"/>
        <w:spacing w:line="350" w:lineRule="auto" w:before="115"/>
        <w:ind w:left="472" w:right="1034" w:hanging="360"/>
        <w:jc w:val="left"/>
      </w:pPr>
      <w:r>
        <w:rPr/>
        <w:t>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号——上市公司从事软件与信息技术服务业务》的披露要求 </w:t>
      </w:r>
      <w:bookmarkStart w:name="一、主要业务概况" w:id="17"/>
      <w:bookmarkEnd w:id="17"/>
      <w:r>
        <w:rPr/>
      </w:r>
      <w:r>
        <w:rPr>
          <w:rFonts w:ascii="宋体" w:hAnsi="宋体" w:cs="宋体" w:eastAsia="宋体" w:hint="default"/>
          <w:b/>
          <w:bCs/>
        </w:rPr>
        <w:t>一、主要业务概况</w:t>
      </w:r>
      <w:r>
        <w:rPr>
          <w:rFonts w:ascii="宋体" w:hAnsi="宋体" w:cs="宋体" w:eastAsia="宋体" w:hint="default"/>
          <w:b/>
          <w:bCs/>
          <w:w w:val="99"/>
        </w:rPr>
        <w:t> </w:t>
      </w:r>
      <w:r>
        <w:rPr>
          <w:spacing w:val="-4"/>
        </w:rPr>
        <w:t>公司成立以来始终秉承“创造智慧医卫，服务健康事业”的企业宗旨，专注于医疗卫生信息化的建设、研发及服务创新，</w:t>
      </w:r>
    </w:p>
    <w:p>
      <w:pPr>
        <w:pStyle w:val="BodyText"/>
        <w:spacing w:line="229" w:lineRule="exact"/>
        <w:ind w:right="0"/>
        <w:jc w:val="left"/>
      </w:pPr>
      <w:r>
        <w:rPr/>
        <w:t>公司始终坚持以市场为导向，以客户需求为出发点，不断深化拓展医疗卫生信息化行业市场。</w:t>
      </w:r>
    </w:p>
    <w:p>
      <w:pPr>
        <w:pStyle w:val="BodyText"/>
        <w:spacing w:line="312" w:lineRule="auto" w:before="115"/>
        <w:ind w:right="1132" w:firstLine="360"/>
        <w:jc w:val="both"/>
      </w:pPr>
      <w:r>
        <w:rPr>
          <w:spacing w:val="-9"/>
        </w:rPr>
        <w:t>近年，在《“健康中国</w:t>
      </w:r>
      <w:r>
        <w:rPr>
          <w:spacing w:val="-29"/>
        </w:rPr>
        <w:t> </w:t>
      </w:r>
      <w:r>
        <w:rPr>
          <w:rFonts w:ascii="Times New Roman" w:hAnsi="Times New Roman" w:cs="Times New Roman" w:eastAsia="Times New Roman" w:hint="default"/>
          <w:spacing w:val="-7"/>
        </w:rPr>
        <w:t>2030</w:t>
      </w:r>
      <w:r>
        <w:rPr>
          <w:spacing w:val="-7"/>
        </w:rPr>
        <w:t>”规划纲要》、《“十三五”全国人口健康信息化发展规划》等新政策导向下，公司紧跟产业</w:t>
      </w:r>
      <w:r>
        <w:rPr/>
        <w:t> </w:t>
      </w:r>
      <w:r>
        <w:rPr>
          <w:spacing w:val="-2"/>
        </w:rPr>
        <w:t>步伐，顺应行业的发展，结合自身市场拓展、业务特点及产品服务优势，组建了医卫信息化事业群、医卫物联网事业群、医</w:t>
      </w:r>
      <w:r>
        <w:rPr>
          <w:spacing w:val="-66"/>
        </w:rPr>
        <w:t> </w:t>
      </w:r>
      <w:r>
        <w:rPr>
          <w:spacing w:val="-66"/>
        </w:rPr>
      </w:r>
      <w:r>
        <w:rPr>
          <w:spacing w:val="-2"/>
        </w:rPr>
        <w:t>卫互联网事业群，形成了“一体两翼”的公司业务格局，为公司医疗健康大数据运营、健康城市建设运营、互联网医院建设</w:t>
      </w:r>
      <w:r>
        <w:rPr>
          <w:spacing w:val="-66"/>
        </w:rPr>
        <w:t> </w:t>
      </w:r>
      <w:r>
        <w:rPr>
          <w:spacing w:val="-66"/>
        </w:rPr>
      </w:r>
      <w:r>
        <w:rPr/>
        <w:t>运营、智慧医疗物联网服务运维等创新业务进一步发展奠定了坚实的基础。</w:t>
      </w:r>
    </w:p>
    <w:p>
      <w:pPr>
        <w:spacing w:line="240" w:lineRule="auto" w:before="3"/>
        <w:rPr>
          <w:rFonts w:ascii="宋体" w:hAnsi="宋体" w:cs="宋体" w:eastAsia="宋体" w:hint="default"/>
          <w:sz w:val="12"/>
          <w:szCs w:val="12"/>
        </w:rPr>
      </w:pPr>
    </w:p>
    <w:p>
      <w:pPr>
        <w:spacing w:line="3827" w:lineRule="exact"/>
        <w:ind w:left="475" w:right="0" w:firstLine="0"/>
        <w:rPr>
          <w:rFonts w:ascii="宋体" w:hAnsi="宋体" w:cs="宋体" w:eastAsia="宋体" w:hint="default"/>
          <w:sz w:val="20"/>
          <w:szCs w:val="20"/>
        </w:rPr>
      </w:pPr>
      <w:r>
        <w:rPr>
          <w:rFonts w:ascii="宋体" w:hAnsi="宋体" w:cs="宋体" w:eastAsia="宋体" w:hint="default"/>
          <w:position w:val="-76"/>
          <w:sz w:val="20"/>
          <w:szCs w:val="20"/>
        </w:rPr>
        <w:drawing>
          <wp:inline distT="0" distB="0" distL="0" distR="0">
            <wp:extent cx="5546084" cy="2430494"/>
            <wp:effectExtent l="0" t="0" r="0" b="0"/>
            <wp:docPr id="3" name="image3.jpeg" descr=""/>
            <wp:cNvGraphicFramePr>
              <a:graphicFrameLocks noChangeAspect="1"/>
            </wp:cNvGraphicFramePr>
            <a:graphic>
              <a:graphicData uri="http://schemas.openxmlformats.org/drawingml/2006/picture">
                <pic:pic>
                  <pic:nvPicPr>
                    <pic:cNvPr id="4" name="image3.jpeg"/>
                    <pic:cNvPicPr/>
                  </pic:nvPicPr>
                  <pic:blipFill>
                    <a:blip r:embed="rId16" cstate="print"/>
                    <a:stretch>
                      <a:fillRect/>
                    </a:stretch>
                  </pic:blipFill>
                  <pic:spPr>
                    <a:xfrm>
                      <a:off x="0" y="0"/>
                      <a:ext cx="5546084" cy="2430494"/>
                    </a:xfrm>
                    <a:prstGeom prst="rect">
                      <a:avLst/>
                    </a:prstGeom>
                  </pic:spPr>
                </pic:pic>
              </a:graphicData>
            </a:graphic>
          </wp:inline>
        </w:drawing>
      </w:r>
      <w:r>
        <w:rPr>
          <w:rFonts w:ascii="宋体" w:hAnsi="宋体" w:cs="宋体" w:eastAsia="宋体" w:hint="default"/>
          <w:position w:val="-76"/>
          <w:sz w:val="20"/>
          <w:szCs w:val="20"/>
        </w:rPr>
      </w:r>
    </w:p>
    <w:p>
      <w:pPr>
        <w:spacing w:line="240" w:lineRule="auto" w:before="3"/>
        <w:rPr>
          <w:rFonts w:ascii="宋体" w:hAnsi="宋体" w:cs="宋体" w:eastAsia="宋体" w:hint="default"/>
          <w:sz w:val="13"/>
          <w:szCs w:val="13"/>
        </w:rPr>
      </w:pPr>
    </w:p>
    <w:p>
      <w:pPr>
        <w:pStyle w:val="BodyText"/>
        <w:spacing w:line="357" w:lineRule="auto"/>
        <w:ind w:left="472" w:right="0"/>
        <w:jc w:val="left"/>
      </w:pPr>
      <w:bookmarkStart w:name="二、公司主要产品及服务" w:id="18"/>
      <w:bookmarkEnd w:id="18"/>
      <w:r>
        <w:rPr/>
      </w:r>
      <w:r>
        <w:rPr>
          <w:rFonts w:ascii="宋体" w:hAnsi="宋体" w:cs="宋体" w:eastAsia="宋体" w:hint="default"/>
          <w:b/>
          <w:bCs/>
        </w:rPr>
        <w:t>二、公司主要产品及服务</w:t>
      </w:r>
      <w:r>
        <w:rPr>
          <w:rFonts w:ascii="宋体" w:hAnsi="宋体" w:cs="宋体" w:eastAsia="宋体" w:hint="default"/>
          <w:b/>
          <w:bCs/>
          <w:w w:val="99"/>
        </w:rPr>
        <w:t> </w:t>
      </w:r>
      <w:r>
        <w:rPr>
          <w:spacing w:val="-2"/>
        </w:rPr>
        <w:t>基于三大事业群的划分，公司产品及服务可以划分为“一体两翼”三大产品服务板块，以针对不同的客户类型和应用场</w:t>
      </w:r>
    </w:p>
    <w:p>
      <w:pPr>
        <w:pStyle w:val="BodyText"/>
        <w:spacing w:line="224" w:lineRule="exact"/>
        <w:ind w:right="0"/>
        <w:jc w:val="left"/>
      </w:pPr>
      <w:r>
        <w:rPr/>
        <w:t>景的需要。</w:t>
      </w:r>
    </w:p>
    <w:p>
      <w:pPr>
        <w:spacing w:line="360" w:lineRule="auto" w:before="117"/>
        <w:ind w:left="472" w:right="1119" w:firstLine="0"/>
        <w:jc w:val="left"/>
        <w:rPr>
          <w:rFonts w:ascii="宋体" w:hAnsi="宋体" w:cs="宋体" w:eastAsia="宋体" w:hint="default"/>
          <w:sz w:val="18"/>
          <w:szCs w:val="18"/>
        </w:rPr>
      </w:pPr>
      <w:bookmarkStart w:name="（一）医疗卫生信息化应用软件产品服务板块" w:id="19"/>
      <w:bookmarkEnd w:id="19"/>
      <w:r>
        <w:rPr/>
      </w:r>
      <w:r>
        <w:rPr>
          <w:rFonts w:ascii="宋体" w:hAnsi="宋体" w:cs="宋体" w:eastAsia="宋体" w:hint="default"/>
          <w:b/>
          <w:bCs/>
          <w:sz w:val="18"/>
          <w:szCs w:val="18"/>
        </w:rPr>
        <w:t>（一）医疗卫生信息化应用软件产品服务板块</w:t>
      </w:r>
      <w:r>
        <w:rPr>
          <w:rFonts w:ascii="宋体" w:hAnsi="宋体" w:cs="宋体" w:eastAsia="宋体" w:hint="default"/>
          <w:b/>
          <w:bCs/>
          <w:w w:val="99"/>
          <w:sz w:val="18"/>
          <w:szCs w:val="18"/>
        </w:rPr>
        <w:t> </w:t>
      </w:r>
      <w:r>
        <w:rPr>
          <w:rFonts w:ascii="宋体" w:hAnsi="宋体" w:cs="宋体" w:eastAsia="宋体" w:hint="default"/>
          <w:spacing w:val="-2"/>
          <w:sz w:val="18"/>
          <w:szCs w:val="18"/>
        </w:rPr>
        <w:t>经过多年的研发，公司医疗卫生信息化应用软件产品服务板块已建立了较为完整的产品体系，拥有</w:t>
      </w:r>
      <w:r>
        <w:rPr>
          <w:rFonts w:ascii="宋体" w:hAnsi="宋体" w:cs="宋体" w:eastAsia="宋体" w:hint="default"/>
          <w:spacing w:val="-42"/>
          <w:sz w:val="18"/>
          <w:szCs w:val="18"/>
        </w:rPr>
        <w:t> </w:t>
      </w:r>
      <w:r>
        <w:rPr>
          <w:rFonts w:ascii="Times New Roman" w:hAnsi="Times New Roman" w:cs="Times New Roman" w:eastAsia="Times New Roman" w:hint="default"/>
          <w:spacing w:val="-1"/>
          <w:sz w:val="18"/>
          <w:szCs w:val="18"/>
        </w:rPr>
        <w:t>300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多个自主研发产</w:t>
      </w:r>
    </w:p>
    <w:p>
      <w:pPr>
        <w:pStyle w:val="BodyText"/>
        <w:spacing w:line="199" w:lineRule="exact"/>
        <w:ind w:right="0"/>
        <w:jc w:val="left"/>
      </w:pPr>
      <w:r>
        <w:rPr/>
        <w:t>品，可以满足各大中型医院和县级以上卫生管理机构的信息化需求。</w:t>
      </w:r>
    </w:p>
    <w:p>
      <w:pPr>
        <w:pStyle w:val="BodyText"/>
        <w:spacing w:line="340" w:lineRule="auto" w:before="115"/>
        <w:ind w:left="472" w:right="1138"/>
        <w:jc w:val="left"/>
      </w:pPr>
      <w:r>
        <w:rPr>
          <w:rFonts w:ascii="Times New Roman" w:hAnsi="Times New Roman" w:cs="Times New Roman" w:eastAsia="Times New Roman" w:hint="default"/>
        </w:rPr>
        <w:t>1</w:t>
      </w:r>
      <w:r>
        <w:rPr/>
        <w:t>、医院信息化应用软件系列 医院信息化应用软件是以病人为中心，以电子病历为核心，以全面集成为手段，采用先进的</w:t>
      </w:r>
      <w:r>
        <w:rPr>
          <w:spacing w:val="-46"/>
        </w:rPr>
        <w:t> </w:t>
      </w:r>
      <w:r>
        <w:rPr>
          <w:rFonts w:ascii="Times New Roman" w:hAnsi="Times New Roman" w:cs="Times New Roman" w:eastAsia="Times New Roman" w:hint="default"/>
        </w:rPr>
        <w:t>IT</w:t>
      </w:r>
      <w:r>
        <w:rPr>
          <w:rFonts w:ascii="Times New Roman" w:hAnsi="Times New Roman" w:cs="Times New Roman" w:eastAsia="Times New Roman" w:hint="default"/>
          <w:spacing w:val="-3"/>
        </w:rPr>
        <w:t> </w:t>
      </w:r>
      <w:r>
        <w:rPr/>
        <w:t>技术框架，遵循国内外</w:t>
      </w:r>
    </w:p>
    <w:p>
      <w:pPr>
        <w:pStyle w:val="BodyText"/>
        <w:spacing w:line="215" w:lineRule="exact"/>
        <w:ind w:right="0"/>
        <w:jc w:val="left"/>
      </w:pPr>
      <w:r>
        <w:rPr/>
        <w:t>通用标准和规范，支持医院内部医疗信息和管理信息的数据采集、处理、存储、传输和共享，实现病人信息数字化、医疗过</w:t>
      </w:r>
    </w:p>
    <w:p>
      <w:pPr>
        <w:pStyle w:val="BodyText"/>
        <w:spacing w:line="316" w:lineRule="auto" w:before="76"/>
        <w:ind w:right="1132"/>
        <w:jc w:val="both"/>
      </w:pPr>
      <w:r>
        <w:rPr>
          <w:spacing w:val="-2"/>
        </w:rPr>
        <w:t>程数字化、管理流程数字化、医疗服务数字化、信息交互数字化，在价值链上实现病人、医院、供应商的信息集成；在管理</w:t>
      </w:r>
      <w:r>
        <w:rPr>
          <w:spacing w:val="-64"/>
        </w:rPr>
        <w:t> </w:t>
      </w:r>
      <w:r>
        <w:rPr>
          <w:spacing w:val="-64"/>
        </w:rPr>
      </w:r>
      <w:r>
        <w:rPr>
          <w:spacing w:val="-2"/>
        </w:rPr>
        <w:t>链上实现人、财、物、药、设备等的管理与战略目标的集成，内容涵盖医院临床、医技、护理、科研、教学、管理等多个方</w:t>
      </w:r>
      <w:r>
        <w:rPr>
          <w:spacing w:val="-70"/>
        </w:rPr>
        <w:t> </w:t>
      </w:r>
      <w:r>
        <w:rPr>
          <w:spacing w:val="-70"/>
        </w:rPr>
      </w:r>
      <w:r>
        <w:rPr/>
        <w:t>面。</w:t>
      </w:r>
    </w:p>
    <w:p>
      <w:pPr>
        <w:spacing w:after="0" w:line="316" w:lineRule="auto"/>
        <w:jc w:val="both"/>
        <w:sectPr>
          <w:pgSz w:w="11910" w:h="16840"/>
          <w:pgMar w:header="907" w:footer="1016" w:top="1100" w:bottom="1200" w:left="1020" w:right="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1"/>
          <w:szCs w:val="11"/>
        </w:rPr>
      </w:pPr>
    </w:p>
    <w:p>
      <w:pPr>
        <w:spacing w:line="4824" w:lineRule="exact"/>
        <w:ind w:left="1476" w:right="0" w:firstLine="0"/>
        <w:rPr>
          <w:rFonts w:ascii="宋体" w:hAnsi="宋体" w:cs="宋体" w:eastAsia="宋体" w:hint="default"/>
          <w:sz w:val="20"/>
          <w:szCs w:val="20"/>
        </w:rPr>
      </w:pPr>
      <w:r>
        <w:rPr>
          <w:rFonts w:ascii="宋体" w:hAnsi="宋体" w:cs="宋体" w:eastAsia="宋体" w:hint="default"/>
          <w:position w:val="-95"/>
          <w:sz w:val="20"/>
          <w:szCs w:val="20"/>
        </w:rPr>
        <w:drawing>
          <wp:inline distT="0" distB="0" distL="0" distR="0">
            <wp:extent cx="4611411" cy="3063621"/>
            <wp:effectExtent l="0" t="0" r="0" b="0"/>
            <wp:docPr id="5" name="image4.jpeg" descr=""/>
            <wp:cNvGraphicFramePr>
              <a:graphicFrameLocks noChangeAspect="1"/>
            </wp:cNvGraphicFramePr>
            <a:graphic>
              <a:graphicData uri="http://schemas.openxmlformats.org/drawingml/2006/picture">
                <pic:pic>
                  <pic:nvPicPr>
                    <pic:cNvPr id="6" name="image4.jpeg"/>
                    <pic:cNvPicPr/>
                  </pic:nvPicPr>
                  <pic:blipFill>
                    <a:blip r:embed="rId17" cstate="print"/>
                    <a:stretch>
                      <a:fillRect/>
                    </a:stretch>
                  </pic:blipFill>
                  <pic:spPr>
                    <a:xfrm>
                      <a:off x="0" y="0"/>
                      <a:ext cx="4611411" cy="3063621"/>
                    </a:xfrm>
                    <a:prstGeom prst="rect">
                      <a:avLst/>
                    </a:prstGeom>
                  </pic:spPr>
                </pic:pic>
              </a:graphicData>
            </a:graphic>
          </wp:inline>
        </w:drawing>
      </w:r>
      <w:r>
        <w:rPr>
          <w:rFonts w:ascii="宋体" w:hAnsi="宋体" w:cs="宋体" w:eastAsia="宋体" w:hint="default"/>
          <w:position w:val="-95"/>
          <w:sz w:val="20"/>
          <w:szCs w:val="20"/>
        </w:rPr>
      </w:r>
    </w:p>
    <w:p>
      <w:pPr>
        <w:spacing w:line="240" w:lineRule="auto" w:before="3"/>
        <w:rPr>
          <w:rFonts w:ascii="宋体" w:hAnsi="宋体" w:cs="宋体" w:eastAsia="宋体" w:hint="default"/>
          <w:sz w:val="7"/>
          <w:szCs w:val="7"/>
        </w:rPr>
      </w:pPr>
    </w:p>
    <w:p>
      <w:pPr>
        <w:pStyle w:val="BodyText"/>
        <w:spacing w:line="240" w:lineRule="auto" w:before="44"/>
        <w:ind w:left="472" w:right="0"/>
        <w:jc w:val="left"/>
      </w:pPr>
      <w:r>
        <w:rPr/>
        <w:t>公司医院信息化应用软件产品主要分为医院管理信息系统和医院临床信息系统二类。</w:t>
      </w:r>
    </w:p>
    <w:p>
      <w:pPr>
        <w:pStyle w:val="BodyText"/>
        <w:spacing w:line="340" w:lineRule="auto" w:before="117"/>
        <w:ind w:left="472" w:right="0"/>
        <w:jc w:val="left"/>
      </w:pPr>
      <w:r>
        <w:rPr/>
        <w:t>（</w:t>
      </w:r>
      <w:r>
        <w:rPr>
          <w:rFonts w:ascii="Times New Roman" w:hAnsi="Times New Roman" w:cs="Times New Roman" w:eastAsia="Times New Roman" w:hint="default"/>
        </w:rPr>
        <w:t>1</w:t>
      </w:r>
      <w:r>
        <w:rPr/>
        <w:t>）医院管理信息系统 </w:t>
      </w:r>
      <w:r>
        <w:rPr>
          <w:spacing w:val="-2"/>
        </w:rPr>
        <w:t>医院管理信息系统的主要目的是支持医院的行政管理与事务处理业务，减轻医院事务处理人员劳动强度，辅助医院管理</w:t>
      </w:r>
    </w:p>
    <w:p>
      <w:pPr>
        <w:pStyle w:val="BodyText"/>
        <w:spacing w:line="240" w:lineRule="auto" w:before="1"/>
        <w:ind w:right="0"/>
        <w:jc w:val="left"/>
      </w:pPr>
      <w:r>
        <w:rPr/>
        <w:t>和领导决策，提高医院工作效率。</w:t>
      </w:r>
    </w:p>
    <w:p>
      <w:pPr>
        <w:spacing w:line="240" w:lineRule="auto" w:before="0"/>
        <w:rPr>
          <w:rFonts w:ascii="宋体" w:hAnsi="宋体" w:cs="宋体" w:eastAsia="宋体" w:hint="default"/>
          <w:sz w:val="8"/>
          <w:szCs w:val="8"/>
        </w:rPr>
      </w:pPr>
    </w:p>
    <w:tbl>
      <w:tblPr>
        <w:tblW w:w="0" w:type="auto"/>
        <w:jc w:val="left"/>
        <w:tblInd w:w="661" w:type="dxa"/>
        <w:tblLayout w:type="fixed"/>
        <w:tblCellMar>
          <w:top w:w="0" w:type="dxa"/>
          <w:left w:w="0" w:type="dxa"/>
          <w:bottom w:w="0" w:type="dxa"/>
          <w:right w:w="0" w:type="dxa"/>
        </w:tblCellMar>
        <w:tblLook w:val="01E0"/>
      </w:tblPr>
      <w:tblGrid>
        <w:gridCol w:w="1663"/>
        <w:gridCol w:w="1257"/>
        <w:gridCol w:w="5593"/>
      </w:tblGrid>
      <w:tr>
        <w:trPr>
          <w:trHeight w:val="505" w:hRule="exact"/>
        </w:trPr>
        <w:tc>
          <w:tcPr>
            <w:tcW w:w="1663"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96"/>
              <w:ind w:right="3"/>
              <w:jc w:val="center"/>
              <w:rPr>
                <w:rFonts w:ascii="宋体" w:hAnsi="宋体" w:cs="宋体" w:eastAsia="宋体" w:hint="default"/>
                <w:sz w:val="18"/>
                <w:szCs w:val="18"/>
              </w:rPr>
            </w:pPr>
            <w:r>
              <w:rPr>
                <w:rFonts w:ascii="宋体" w:hAnsi="宋体" w:cs="宋体" w:eastAsia="宋体" w:hint="default"/>
                <w:b/>
                <w:bCs/>
                <w:sz w:val="18"/>
                <w:szCs w:val="18"/>
              </w:rPr>
              <w:t>产品类别</w:t>
            </w:r>
            <w:r>
              <w:rPr>
                <w:rFonts w:ascii="宋体" w:hAnsi="宋体" w:cs="宋体" w:eastAsia="宋体" w:hint="default"/>
                <w:sz w:val="18"/>
                <w:szCs w:val="18"/>
              </w:rPr>
            </w:r>
          </w:p>
        </w:tc>
        <w:tc>
          <w:tcPr>
            <w:tcW w:w="6850" w:type="dxa"/>
            <w:gridSpan w:val="2"/>
            <w:tcBorders>
              <w:top w:val="single" w:sz="12" w:space="0" w:color="000000"/>
              <w:left w:val="single" w:sz="6" w:space="0" w:color="000000"/>
              <w:bottom w:val="single" w:sz="6" w:space="0" w:color="000000"/>
              <w:right w:val="single" w:sz="12" w:space="0" w:color="000000"/>
            </w:tcBorders>
          </w:tcPr>
          <w:p>
            <w:pPr>
              <w:pStyle w:val="TableParagraph"/>
              <w:spacing w:line="240" w:lineRule="auto" w:before="96"/>
              <w:ind w:left="13" w:right="0"/>
              <w:jc w:val="center"/>
              <w:rPr>
                <w:rFonts w:ascii="宋体" w:hAnsi="宋体" w:cs="宋体" w:eastAsia="宋体" w:hint="default"/>
                <w:sz w:val="18"/>
                <w:szCs w:val="18"/>
              </w:rPr>
            </w:pPr>
            <w:r>
              <w:rPr>
                <w:rFonts w:ascii="宋体" w:hAnsi="宋体" w:cs="宋体" w:eastAsia="宋体" w:hint="default"/>
                <w:b/>
                <w:bCs/>
                <w:sz w:val="18"/>
                <w:szCs w:val="18"/>
              </w:rPr>
              <w:t>医院管理信息系统</w:t>
            </w:r>
            <w:r>
              <w:rPr>
                <w:rFonts w:ascii="宋体" w:hAnsi="宋体" w:cs="宋体" w:eastAsia="宋体" w:hint="default"/>
                <w:sz w:val="18"/>
                <w:szCs w:val="18"/>
              </w:rPr>
            </w:r>
          </w:p>
        </w:tc>
      </w:tr>
      <w:tr>
        <w:trPr>
          <w:trHeight w:val="497" w:hRule="exact"/>
        </w:trPr>
        <w:tc>
          <w:tcPr>
            <w:tcW w:w="1663" w:type="dxa"/>
            <w:vMerge w:val="restart"/>
            <w:tcBorders>
              <w:top w:val="single" w:sz="6" w:space="0" w:color="000000"/>
              <w:left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456" w:right="0"/>
              <w:jc w:val="left"/>
              <w:rPr>
                <w:rFonts w:ascii="宋体" w:hAnsi="宋体" w:cs="宋体" w:eastAsia="宋体" w:hint="default"/>
                <w:sz w:val="18"/>
                <w:szCs w:val="18"/>
              </w:rPr>
            </w:pPr>
            <w:r>
              <w:rPr>
                <w:rFonts w:ascii="宋体" w:hAnsi="宋体" w:cs="宋体" w:eastAsia="宋体" w:hint="default"/>
                <w:sz w:val="18"/>
                <w:szCs w:val="18"/>
              </w:rPr>
              <w:t>主要内容</w:t>
            </w:r>
          </w:p>
        </w:tc>
        <w:tc>
          <w:tcPr>
            <w:tcW w:w="12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5"/>
              <w:ind w:right="0"/>
              <w:jc w:val="center"/>
              <w:rPr>
                <w:rFonts w:ascii="宋体" w:hAnsi="宋体" w:cs="宋体" w:eastAsia="宋体" w:hint="default"/>
                <w:sz w:val="18"/>
                <w:szCs w:val="18"/>
              </w:rPr>
            </w:pPr>
            <w:r>
              <w:rPr>
                <w:rFonts w:ascii="宋体" w:hAnsi="宋体" w:cs="宋体" w:eastAsia="宋体" w:hint="default"/>
                <w:sz w:val="18"/>
                <w:szCs w:val="18"/>
              </w:rPr>
              <w:t>子系统</w:t>
            </w:r>
          </w:p>
        </w:tc>
        <w:tc>
          <w:tcPr>
            <w:tcW w:w="55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5"/>
              <w:ind w:left="4" w:right="0"/>
              <w:jc w:val="center"/>
              <w:rPr>
                <w:rFonts w:ascii="宋体" w:hAnsi="宋体" w:cs="宋体" w:eastAsia="宋体" w:hint="default"/>
                <w:sz w:val="18"/>
                <w:szCs w:val="18"/>
              </w:rPr>
            </w:pPr>
            <w:r>
              <w:rPr>
                <w:rFonts w:ascii="宋体" w:hAnsi="宋体" w:cs="宋体" w:eastAsia="宋体" w:hint="default"/>
                <w:sz w:val="18"/>
                <w:szCs w:val="18"/>
              </w:rPr>
              <w:t>主要功能模块</w:t>
            </w:r>
          </w:p>
        </w:tc>
      </w:tr>
      <w:tr>
        <w:trPr>
          <w:trHeight w:val="350" w:hRule="exact"/>
        </w:trPr>
        <w:tc>
          <w:tcPr>
            <w:tcW w:w="1663" w:type="dxa"/>
            <w:vMerge/>
            <w:tcBorders>
              <w:left w:val="single" w:sz="12" w:space="0" w:color="000000"/>
              <w:right w:val="single" w:sz="6" w:space="0" w:color="000000"/>
            </w:tcBorders>
          </w:tcPr>
          <w:p>
            <w:pPr/>
          </w:p>
        </w:tc>
        <w:tc>
          <w:tcPr>
            <w:tcW w:w="1257" w:type="dxa"/>
            <w:tcBorders>
              <w:top w:val="single" w:sz="6" w:space="0" w:color="000000"/>
              <w:left w:val="single" w:sz="6" w:space="0" w:color="000000"/>
              <w:bottom w:val="nil" w:sz="6" w:space="0" w:color="auto"/>
              <w:right w:val="single" w:sz="6" w:space="0" w:color="000000"/>
            </w:tcBorders>
          </w:tcPr>
          <w:p>
            <w:pPr/>
          </w:p>
        </w:tc>
        <w:tc>
          <w:tcPr>
            <w:tcW w:w="5593" w:type="dxa"/>
            <w:tcBorders>
              <w:top w:val="single" w:sz="6" w:space="0" w:color="000000"/>
              <w:left w:val="single" w:sz="6" w:space="0" w:color="000000"/>
              <w:bottom w:val="nil" w:sz="6" w:space="0" w:color="auto"/>
              <w:right w:val="single" w:sz="12" w:space="0" w:color="000000"/>
            </w:tcBorders>
          </w:tcPr>
          <w:p>
            <w:pPr>
              <w:pStyle w:val="TableParagraph"/>
              <w:spacing w:line="240" w:lineRule="auto" w:before="52"/>
              <w:ind w:left="99" w:right="0"/>
              <w:jc w:val="left"/>
              <w:rPr>
                <w:rFonts w:ascii="宋体" w:hAnsi="宋体" w:cs="宋体" w:eastAsia="宋体" w:hint="default"/>
                <w:sz w:val="18"/>
                <w:szCs w:val="18"/>
              </w:rPr>
            </w:pPr>
            <w:r>
              <w:rPr>
                <w:rFonts w:ascii="宋体" w:hAnsi="宋体" w:cs="宋体" w:eastAsia="宋体" w:hint="default"/>
                <w:sz w:val="18"/>
                <w:szCs w:val="18"/>
              </w:rPr>
              <w:t>多媒体导医服务系统、就诊卡及账户管理系统、预约挂号系统、门急</w:t>
            </w:r>
          </w:p>
        </w:tc>
      </w:tr>
      <w:tr>
        <w:trPr>
          <w:trHeight w:val="323" w:hRule="exact"/>
        </w:trPr>
        <w:tc>
          <w:tcPr>
            <w:tcW w:w="1663" w:type="dxa"/>
            <w:vMerge/>
            <w:tcBorders>
              <w:left w:val="single" w:sz="12" w:space="0" w:color="000000"/>
              <w:right w:val="single" w:sz="6" w:space="0" w:color="000000"/>
            </w:tcBorders>
          </w:tcPr>
          <w:p>
            <w:pPr/>
          </w:p>
        </w:tc>
        <w:tc>
          <w:tcPr>
            <w:tcW w:w="1257" w:type="dxa"/>
            <w:tcBorders>
              <w:top w:val="nil" w:sz="6" w:space="0" w:color="auto"/>
              <w:left w:val="single" w:sz="6" w:space="0" w:color="000000"/>
              <w:bottom w:val="nil" w:sz="6" w:space="0" w:color="auto"/>
              <w:right w:val="single" w:sz="6" w:space="0" w:color="000000"/>
            </w:tcBorders>
          </w:tcPr>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门诊管理</w:t>
            </w:r>
          </w:p>
        </w:tc>
        <w:tc>
          <w:tcPr>
            <w:tcW w:w="5593" w:type="dxa"/>
            <w:tcBorders>
              <w:top w:val="nil" w:sz="6" w:space="0" w:color="auto"/>
              <w:left w:val="single" w:sz="6" w:space="0" w:color="000000"/>
              <w:bottom w:val="nil" w:sz="6" w:space="0" w:color="auto"/>
              <w:right w:val="single" w:sz="12" w:space="0" w:color="000000"/>
            </w:tcBorders>
          </w:tcPr>
          <w:p>
            <w:pPr>
              <w:pStyle w:val="TableParagraph"/>
              <w:spacing w:line="240" w:lineRule="auto" w:before="21"/>
              <w:ind w:left="99" w:right="0"/>
              <w:jc w:val="left"/>
              <w:rPr>
                <w:rFonts w:ascii="宋体" w:hAnsi="宋体" w:cs="宋体" w:eastAsia="宋体" w:hint="default"/>
                <w:sz w:val="18"/>
                <w:szCs w:val="18"/>
              </w:rPr>
            </w:pPr>
            <w:r>
              <w:rPr>
                <w:rFonts w:ascii="宋体" w:hAnsi="宋体" w:cs="宋体" w:eastAsia="宋体" w:hint="default"/>
                <w:sz w:val="18"/>
                <w:szCs w:val="18"/>
              </w:rPr>
              <w:t>诊挂号收费系统、门急诊留观系统、分诊排队叫号系统、门诊医生工</w:t>
            </w:r>
          </w:p>
        </w:tc>
      </w:tr>
      <w:tr>
        <w:trPr>
          <w:trHeight w:val="322" w:hRule="exact"/>
        </w:trPr>
        <w:tc>
          <w:tcPr>
            <w:tcW w:w="1663" w:type="dxa"/>
            <w:vMerge/>
            <w:tcBorders>
              <w:left w:val="single" w:sz="12" w:space="0" w:color="000000"/>
              <w:right w:val="single" w:sz="6" w:space="0" w:color="000000"/>
            </w:tcBorders>
          </w:tcPr>
          <w:p>
            <w:pPr/>
          </w:p>
        </w:tc>
        <w:tc>
          <w:tcPr>
            <w:tcW w:w="1257" w:type="dxa"/>
            <w:tcBorders>
              <w:top w:val="nil" w:sz="6" w:space="0" w:color="auto"/>
              <w:left w:val="single" w:sz="6" w:space="0" w:color="000000"/>
              <w:bottom w:val="nil" w:sz="6" w:space="0" w:color="auto"/>
              <w:right w:val="single" w:sz="6"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系统</w:t>
            </w:r>
          </w:p>
        </w:tc>
        <w:tc>
          <w:tcPr>
            <w:tcW w:w="5593" w:type="dxa"/>
            <w:tcBorders>
              <w:top w:val="nil" w:sz="6" w:space="0" w:color="auto"/>
              <w:left w:val="single" w:sz="6" w:space="0" w:color="000000"/>
              <w:bottom w:val="nil" w:sz="6" w:space="0" w:color="auto"/>
              <w:right w:val="single" w:sz="12" w:space="0" w:color="000000"/>
            </w:tcBorders>
          </w:tcPr>
          <w:p>
            <w:pPr>
              <w:pStyle w:val="TableParagraph"/>
              <w:spacing w:line="240" w:lineRule="auto" w:before="10"/>
              <w:ind w:left="99" w:right="0"/>
              <w:jc w:val="left"/>
              <w:rPr>
                <w:rFonts w:ascii="宋体" w:hAnsi="宋体" w:cs="宋体" w:eastAsia="宋体" w:hint="default"/>
                <w:sz w:val="18"/>
                <w:szCs w:val="18"/>
              </w:rPr>
            </w:pPr>
            <w:r>
              <w:rPr>
                <w:rFonts w:ascii="宋体" w:hAnsi="宋体" w:cs="宋体" w:eastAsia="宋体" w:hint="default"/>
                <w:spacing w:val="-4"/>
                <w:sz w:val="18"/>
                <w:szCs w:val="18"/>
              </w:rPr>
              <w:t>作站系统、门诊注射室管理系统、门诊输液系统、门诊医技收费系统、</w:t>
            </w:r>
          </w:p>
        </w:tc>
      </w:tr>
      <w:tr>
        <w:trPr>
          <w:trHeight w:val="348" w:hRule="exact"/>
        </w:trPr>
        <w:tc>
          <w:tcPr>
            <w:tcW w:w="1663" w:type="dxa"/>
            <w:vMerge/>
            <w:tcBorders>
              <w:left w:val="single" w:sz="12" w:space="0" w:color="000000"/>
              <w:right w:val="single" w:sz="6" w:space="0" w:color="000000"/>
            </w:tcBorders>
          </w:tcPr>
          <w:p>
            <w:pPr/>
          </w:p>
        </w:tc>
        <w:tc>
          <w:tcPr>
            <w:tcW w:w="1257" w:type="dxa"/>
            <w:tcBorders>
              <w:top w:val="nil" w:sz="6" w:space="0" w:color="auto"/>
              <w:left w:val="single" w:sz="6" w:space="0" w:color="000000"/>
              <w:bottom w:val="single" w:sz="6" w:space="0" w:color="000000"/>
              <w:right w:val="single" w:sz="6" w:space="0" w:color="000000"/>
            </w:tcBorders>
          </w:tcPr>
          <w:p>
            <w:pPr/>
          </w:p>
        </w:tc>
        <w:tc>
          <w:tcPr>
            <w:tcW w:w="5593" w:type="dxa"/>
            <w:tcBorders>
              <w:top w:val="nil" w:sz="6" w:space="0" w:color="auto"/>
              <w:left w:val="single" w:sz="6" w:space="0" w:color="000000"/>
              <w:bottom w:val="single" w:sz="6" w:space="0" w:color="000000"/>
              <w:right w:val="single" w:sz="12" w:space="0" w:color="000000"/>
            </w:tcBorders>
          </w:tcPr>
          <w:p>
            <w:pPr>
              <w:pStyle w:val="TableParagraph"/>
              <w:spacing w:line="240" w:lineRule="auto" w:before="1"/>
              <w:ind w:left="99" w:right="0"/>
              <w:jc w:val="left"/>
              <w:rPr>
                <w:rFonts w:ascii="宋体" w:hAnsi="宋体" w:cs="宋体" w:eastAsia="宋体" w:hint="default"/>
                <w:sz w:val="18"/>
                <w:szCs w:val="18"/>
              </w:rPr>
            </w:pPr>
            <w:r>
              <w:rPr>
                <w:rFonts w:ascii="宋体" w:hAnsi="宋体" w:cs="宋体" w:eastAsia="宋体" w:hint="default"/>
                <w:sz w:val="18"/>
                <w:szCs w:val="18"/>
              </w:rPr>
              <w:t>“银医通”系统</w:t>
            </w:r>
          </w:p>
        </w:tc>
      </w:tr>
      <w:tr>
        <w:trPr>
          <w:trHeight w:val="604" w:hRule="exact"/>
        </w:trPr>
        <w:tc>
          <w:tcPr>
            <w:tcW w:w="1663" w:type="dxa"/>
            <w:vMerge/>
            <w:tcBorders>
              <w:left w:val="single" w:sz="12" w:space="0" w:color="000000"/>
              <w:right w:val="single" w:sz="6" w:space="0" w:color="000000"/>
            </w:tcBorders>
          </w:tcPr>
          <w:p>
            <w:pPr/>
          </w:p>
        </w:tc>
        <w:tc>
          <w:tcPr>
            <w:tcW w:w="1257"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住院管理</w:t>
            </w:r>
          </w:p>
        </w:tc>
        <w:tc>
          <w:tcPr>
            <w:tcW w:w="5593" w:type="dxa"/>
            <w:tcBorders>
              <w:top w:val="single" w:sz="6" w:space="0" w:color="000000"/>
              <w:left w:val="single" w:sz="6" w:space="0" w:color="000000"/>
              <w:bottom w:val="nil" w:sz="6" w:space="0" w:color="auto"/>
              <w:right w:val="single" w:sz="12" w:space="0" w:color="000000"/>
            </w:tcBorders>
          </w:tcPr>
          <w:p>
            <w:pPr>
              <w:pStyle w:val="TableParagraph"/>
              <w:spacing w:line="312" w:lineRule="exact" w:before="11"/>
              <w:ind w:left="99" w:right="92"/>
              <w:jc w:val="left"/>
              <w:rPr>
                <w:rFonts w:ascii="宋体" w:hAnsi="宋体" w:cs="宋体" w:eastAsia="宋体" w:hint="default"/>
                <w:sz w:val="18"/>
                <w:szCs w:val="18"/>
              </w:rPr>
            </w:pPr>
            <w:r>
              <w:rPr>
                <w:rFonts w:ascii="宋体" w:hAnsi="宋体" w:cs="宋体" w:eastAsia="宋体" w:hint="default"/>
                <w:spacing w:val="-1"/>
                <w:sz w:val="18"/>
                <w:szCs w:val="18"/>
              </w:rPr>
              <w:t>住院结算管理系统、病区护士工作站系统、住院医生工作站系统、手</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1"/>
                <w:sz w:val="18"/>
                <w:szCs w:val="18"/>
              </w:rPr>
              <w:t>术麻醉管理系统、营养膳食管理系统、住院医技收费系统、静脉用药</w:t>
            </w:r>
          </w:p>
        </w:tc>
      </w:tr>
      <w:tr>
        <w:trPr>
          <w:trHeight w:val="427" w:hRule="exact"/>
        </w:trPr>
        <w:tc>
          <w:tcPr>
            <w:tcW w:w="1663" w:type="dxa"/>
            <w:vMerge/>
            <w:tcBorders>
              <w:left w:val="single" w:sz="12" w:space="0" w:color="000000"/>
              <w:right w:val="single" w:sz="6" w:space="0" w:color="000000"/>
            </w:tcBorders>
          </w:tcPr>
          <w:p>
            <w:pPr/>
          </w:p>
        </w:tc>
        <w:tc>
          <w:tcPr>
            <w:tcW w:w="1257" w:type="dxa"/>
            <w:tcBorders>
              <w:top w:val="nil" w:sz="6" w:space="0" w:color="auto"/>
              <w:left w:val="single" w:sz="6" w:space="0" w:color="000000"/>
              <w:bottom w:val="single" w:sz="6" w:space="0" w:color="000000"/>
              <w:right w:val="single" w:sz="6" w:space="0" w:color="000000"/>
            </w:tcBorders>
          </w:tcPr>
          <w:p>
            <w:pPr>
              <w:pStyle w:val="TableParagraph"/>
              <w:spacing w:line="179" w:lineRule="exact"/>
              <w:ind w:right="0"/>
              <w:jc w:val="center"/>
              <w:rPr>
                <w:rFonts w:ascii="宋体" w:hAnsi="宋体" w:cs="宋体" w:eastAsia="宋体" w:hint="default"/>
                <w:sz w:val="18"/>
                <w:szCs w:val="18"/>
              </w:rPr>
            </w:pPr>
            <w:r>
              <w:rPr>
                <w:rFonts w:ascii="宋体" w:hAnsi="宋体" w:cs="宋体" w:eastAsia="宋体" w:hint="default"/>
                <w:sz w:val="18"/>
                <w:szCs w:val="18"/>
              </w:rPr>
              <w:t>系统</w:t>
            </w:r>
          </w:p>
        </w:tc>
        <w:tc>
          <w:tcPr>
            <w:tcW w:w="5593" w:type="dxa"/>
            <w:tcBorders>
              <w:top w:val="nil" w:sz="6" w:space="0" w:color="auto"/>
              <w:left w:val="single" w:sz="6" w:space="0" w:color="000000"/>
              <w:bottom w:val="single" w:sz="6" w:space="0" w:color="000000"/>
              <w:right w:val="single" w:sz="12" w:space="0" w:color="000000"/>
            </w:tcBorders>
          </w:tcPr>
          <w:p>
            <w:pPr>
              <w:pStyle w:val="TableParagraph"/>
              <w:spacing w:line="240" w:lineRule="auto" w:before="77"/>
              <w:ind w:left="99" w:right="0"/>
              <w:jc w:val="left"/>
              <w:rPr>
                <w:rFonts w:ascii="宋体" w:hAnsi="宋体" w:cs="宋体" w:eastAsia="宋体" w:hint="default"/>
                <w:sz w:val="18"/>
                <w:szCs w:val="18"/>
              </w:rPr>
            </w:pPr>
            <w:r>
              <w:rPr>
                <w:rFonts w:ascii="宋体" w:hAnsi="宋体" w:cs="宋体" w:eastAsia="宋体" w:hint="default"/>
                <w:sz w:val="18"/>
                <w:szCs w:val="18"/>
              </w:rPr>
              <w:t>调配系统、院内感染管理系统、病案管理系统、统计管理系统</w:t>
            </w:r>
          </w:p>
        </w:tc>
      </w:tr>
      <w:tr>
        <w:trPr>
          <w:trHeight w:val="380" w:hRule="exact"/>
        </w:trPr>
        <w:tc>
          <w:tcPr>
            <w:tcW w:w="1663" w:type="dxa"/>
            <w:vMerge/>
            <w:tcBorders>
              <w:left w:val="single" w:sz="12" w:space="0" w:color="000000"/>
              <w:right w:val="single" w:sz="6" w:space="0" w:color="000000"/>
            </w:tcBorders>
          </w:tcPr>
          <w:p>
            <w:pPr/>
          </w:p>
        </w:tc>
        <w:tc>
          <w:tcPr>
            <w:tcW w:w="1257"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药品管理</w:t>
            </w:r>
          </w:p>
        </w:tc>
        <w:tc>
          <w:tcPr>
            <w:tcW w:w="5593" w:type="dxa"/>
            <w:tcBorders>
              <w:top w:val="single" w:sz="6" w:space="0" w:color="000000"/>
              <w:left w:val="single" w:sz="6" w:space="0" w:color="000000"/>
              <w:bottom w:val="nil" w:sz="6" w:space="0" w:color="auto"/>
              <w:right w:val="single" w:sz="12" w:space="0" w:color="000000"/>
            </w:tcBorders>
          </w:tcPr>
          <w:p>
            <w:pPr>
              <w:pStyle w:val="TableParagraph"/>
              <w:spacing w:line="240" w:lineRule="auto" w:before="71"/>
              <w:ind w:left="99" w:right="0"/>
              <w:jc w:val="left"/>
              <w:rPr>
                <w:rFonts w:ascii="宋体" w:hAnsi="宋体" w:cs="宋体" w:eastAsia="宋体" w:hint="default"/>
                <w:sz w:val="18"/>
                <w:szCs w:val="18"/>
              </w:rPr>
            </w:pPr>
            <w:r>
              <w:rPr>
                <w:rFonts w:ascii="宋体" w:hAnsi="宋体" w:cs="宋体" w:eastAsia="宋体" w:hint="default"/>
                <w:sz w:val="18"/>
                <w:szCs w:val="18"/>
              </w:rPr>
              <w:t>西药库管理系统、中药库管理系统、门急诊中药房管理系统、门急诊</w:t>
            </w:r>
          </w:p>
        </w:tc>
      </w:tr>
      <w:tr>
        <w:trPr>
          <w:trHeight w:val="379" w:hRule="exact"/>
        </w:trPr>
        <w:tc>
          <w:tcPr>
            <w:tcW w:w="1663" w:type="dxa"/>
            <w:vMerge/>
            <w:tcBorders>
              <w:left w:val="single" w:sz="12" w:space="0" w:color="000000"/>
              <w:right w:val="single" w:sz="6" w:space="0" w:color="000000"/>
            </w:tcBorders>
          </w:tcPr>
          <w:p>
            <w:pPr/>
          </w:p>
        </w:tc>
        <w:tc>
          <w:tcPr>
            <w:tcW w:w="1257"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系统</w:t>
            </w:r>
          </w:p>
        </w:tc>
        <w:tc>
          <w:tcPr>
            <w:tcW w:w="5593" w:type="dxa"/>
            <w:tcBorders>
              <w:top w:val="nil" w:sz="6" w:space="0" w:color="auto"/>
              <w:left w:val="single" w:sz="6" w:space="0" w:color="000000"/>
              <w:bottom w:val="single" w:sz="6" w:space="0" w:color="000000"/>
              <w:right w:val="single" w:sz="12" w:space="0" w:color="000000"/>
            </w:tcBorders>
          </w:tcPr>
          <w:p>
            <w:pPr>
              <w:pStyle w:val="TableParagraph"/>
              <w:spacing w:line="240" w:lineRule="auto" w:before="10"/>
              <w:ind w:left="99" w:right="0"/>
              <w:jc w:val="left"/>
              <w:rPr>
                <w:rFonts w:ascii="宋体" w:hAnsi="宋体" w:cs="宋体" w:eastAsia="宋体" w:hint="default"/>
                <w:sz w:val="18"/>
                <w:szCs w:val="18"/>
              </w:rPr>
            </w:pPr>
            <w:r>
              <w:rPr>
                <w:rFonts w:ascii="宋体" w:hAnsi="宋体" w:cs="宋体" w:eastAsia="宋体" w:hint="default"/>
                <w:sz w:val="18"/>
                <w:szCs w:val="18"/>
              </w:rPr>
              <w:t>西药房管理系统、病区药房管理系统、制剂室管理系统</w:t>
            </w:r>
          </w:p>
        </w:tc>
      </w:tr>
      <w:tr>
        <w:trPr>
          <w:trHeight w:val="759" w:hRule="exact"/>
        </w:trPr>
        <w:tc>
          <w:tcPr>
            <w:tcW w:w="1663" w:type="dxa"/>
            <w:vMerge/>
            <w:tcBorders>
              <w:left w:val="single" w:sz="12" w:space="0" w:color="000000"/>
              <w:right w:val="single" w:sz="6" w:space="0" w:color="000000"/>
            </w:tcBorders>
          </w:tcPr>
          <w:p>
            <w:pPr/>
          </w:p>
        </w:tc>
        <w:tc>
          <w:tcPr>
            <w:tcW w:w="1257" w:type="dxa"/>
            <w:tcBorders>
              <w:top w:val="single" w:sz="6" w:space="0" w:color="000000"/>
              <w:left w:val="single" w:sz="6" w:space="0" w:color="000000"/>
              <w:bottom w:val="single" w:sz="6" w:space="0" w:color="000000"/>
              <w:right w:val="single" w:sz="6" w:space="0" w:color="000000"/>
            </w:tcBorders>
          </w:tcPr>
          <w:p>
            <w:pPr>
              <w:pStyle w:val="TableParagraph"/>
              <w:spacing w:line="360" w:lineRule="auto" w:before="51"/>
              <w:ind w:left="440" w:right="260" w:hanging="180"/>
              <w:jc w:val="left"/>
              <w:rPr>
                <w:rFonts w:ascii="宋体" w:hAnsi="宋体" w:cs="宋体" w:eastAsia="宋体" w:hint="default"/>
                <w:sz w:val="18"/>
                <w:szCs w:val="18"/>
              </w:rPr>
            </w:pPr>
            <w:r>
              <w:rPr>
                <w:rFonts w:ascii="宋体" w:hAnsi="宋体" w:cs="宋体" w:eastAsia="宋体" w:hint="default"/>
                <w:sz w:val="18"/>
                <w:szCs w:val="18"/>
              </w:rPr>
              <w:t>后勤管理 系统</w:t>
            </w:r>
          </w:p>
        </w:tc>
        <w:tc>
          <w:tcPr>
            <w:tcW w:w="559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99" w:right="0"/>
              <w:jc w:val="left"/>
              <w:rPr>
                <w:rFonts w:ascii="宋体" w:hAnsi="宋体" w:cs="宋体" w:eastAsia="宋体" w:hint="default"/>
                <w:sz w:val="18"/>
                <w:szCs w:val="18"/>
              </w:rPr>
            </w:pPr>
            <w:r>
              <w:rPr>
                <w:rFonts w:ascii="宋体" w:hAnsi="宋体" w:cs="宋体" w:eastAsia="宋体" w:hint="default"/>
                <w:sz w:val="18"/>
                <w:szCs w:val="18"/>
              </w:rPr>
              <w:t>设备管理系统、物资管理系统、固定资产管理系统、供应室管理系统</w:t>
            </w:r>
          </w:p>
        </w:tc>
      </w:tr>
      <w:tr>
        <w:trPr>
          <w:trHeight w:val="359" w:hRule="exact"/>
        </w:trPr>
        <w:tc>
          <w:tcPr>
            <w:tcW w:w="1663" w:type="dxa"/>
            <w:vMerge/>
            <w:tcBorders>
              <w:left w:val="single" w:sz="12" w:space="0" w:color="000000"/>
              <w:right w:val="single" w:sz="6" w:space="0" w:color="000000"/>
            </w:tcBorders>
          </w:tcPr>
          <w:p>
            <w:pPr/>
          </w:p>
        </w:tc>
        <w:tc>
          <w:tcPr>
            <w:tcW w:w="1257" w:type="dxa"/>
            <w:tcBorders>
              <w:top w:val="single" w:sz="6" w:space="0" w:color="000000"/>
              <w:left w:val="single" w:sz="6" w:space="0" w:color="000000"/>
              <w:bottom w:val="nil" w:sz="6" w:space="0" w:color="auto"/>
              <w:right w:val="single" w:sz="6" w:space="0" w:color="000000"/>
            </w:tcBorders>
          </w:tcPr>
          <w:p>
            <w:pPr/>
          </w:p>
        </w:tc>
        <w:tc>
          <w:tcPr>
            <w:tcW w:w="5593" w:type="dxa"/>
            <w:tcBorders>
              <w:top w:val="single" w:sz="6" w:space="0" w:color="000000"/>
              <w:left w:val="single" w:sz="6" w:space="0" w:color="000000"/>
              <w:bottom w:val="nil" w:sz="6" w:space="0" w:color="auto"/>
              <w:right w:val="single" w:sz="12" w:space="0" w:color="000000"/>
            </w:tcBorders>
          </w:tcPr>
          <w:p>
            <w:pPr>
              <w:pStyle w:val="TableParagraph"/>
              <w:spacing w:line="240" w:lineRule="auto" w:before="50"/>
              <w:ind w:left="99" w:right="0"/>
              <w:jc w:val="left"/>
              <w:rPr>
                <w:rFonts w:ascii="宋体" w:hAnsi="宋体" w:cs="宋体" w:eastAsia="宋体" w:hint="default"/>
                <w:sz w:val="18"/>
                <w:szCs w:val="18"/>
              </w:rPr>
            </w:pPr>
            <w:r>
              <w:rPr>
                <w:rFonts w:ascii="宋体" w:hAnsi="宋体" w:cs="宋体" w:eastAsia="宋体" w:hint="default"/>
                <w:sz w:val="18"/>
                <w:szCs w:val="18"/>
              </w:rPr>
              <w:t>科教管理系统、护理部管理系统、医务管理系统、档案管理系统、医</w:t>
            </w:r>
          </w:p>
        </w:tc>
      </w:tr>
      <w:tr>
        <w:trPr>
          <w:trHeight w:val="557" w:hRule="exact"/>
        </w:trPr>
        <w:tc>
          <w:tcPr>
            <w:tcW w:w="1663" w:type="dxa"/>
            <w:vMerge/>
            <w:tcBorders>
              <w:left w:val="single" w:sz="12" w:space="0" w:color="000000"/>
              <w:right w:val="single" w:sz="6" w:space="0" w:color="000000"/>
            </w:tcBorders>
          </w:tcPr>
          <w:p>
            <w:pPr/>
          </w:p>
        </w:tc>
        <w:tc>
          <w:tcPr>
            <w:tcW w:w="1257" w:type="dxa"/>
            <w:tcBorders>
              <w:top w:val="nil" w:sz="6" w:space="0" w:color="auto"/>
              <w:left w:val="single" w:sz="6" w:space="0" w:color="000000"/>
              <w:bottom w:val="nil" w:sz="6" w:space="0" w:color="auto"/>
              <w:right w:val="single" w:sz="6" w:space="0" w:color="000000"/>
            </w:tcBorders>
          </w:tcPr>
          <w:p>
            <w:pPr>
              <w:pStyle w:val="TableParagraph"/>
              <w:spacing w:line="240" w:lineRule="auto" w:before="147"/>
              <w:ind w:right="0"/>
              <w:jc w:val="center"/>
              <w:rPr>
                <w:rFonts w:ascii="宋体" w:hAnsi="宋体" w:cs="宋体" w:eastAsia="宋体" w:hint="default"/>
                <w:sz w:val="18"/>
                <w:szCs w:val="18"/>
              </w:rPr>
            </w:pPr>
            <w:r>
              <w:rPr>
                <w:rFonts w:ascii="宋体" w:hAnsi="宋体" w:cs="宋体" w:eastAsia="宋体" w:hint="default"/>
                <w:sz w:val="18"/>
                <w:szCs w:val="18"/>
              </w:rPr>
              <w:t>行政管理</w:t>
            </w:r>
          </w:p>
        </w:tc>
        <w:tc>
          <w:tcPr>
            <w:tcW w:w="5593" w:type="dxa"/>
            <w:tcBorders>
              <w:top w:val="nil" w:sz="6" w:space="0" w:color="auto"/>
              <w:left w:val="single" w:sz="6" w:space="0" w:color="000000"/>
              <w:bottom w:val="nil" w:sz="6" w:space="0" w:color="auto"/>
              <w:right w:val="single" w:sz="12" w:space="0" w:color="000000"/>
            </w:tcBorders>
          </w:tcPr>
          <w:p>
            <w:pPr>
              <w:pStyle w:val="TableParagraph"/>
              <w:spacing w:line="300" w:lineRule="auto" w:before="10"/>
              <w:ind w:left="99" w:right="16"/>
              <w:jc w:val="left"/>
              <w:rPr>
                <w:rFonts w:ascii="宋体" w:hAnsi="宋体" w:cs="宋体" w:eastAsia="宋体" w:hint="default"/>
                <w:sz w:val="18"/>
                <w:szCs w:val="18"/>
              </w:rPr>
            </w:pPr>
            <w:r>
              <w:rPr>
                <w:rFonts w:ascii="宋体" w:hAnsi="宋体" w:cs="宋体" w:eastAsia="宋体" w:hint="default"/>
                <w:sz w:val="18"/>
                <w:szCs w:val="18"/>
              </w:rPr>
              <w:t>德医风管理系统、人事工资管理系统、预算管理系统</w:t>
            </w:r>
            <w:r>
              <w:rPr>
                <w:rFonts w:ascii="Times New Roman" w:hAnsi="Times New Roman" w:cs="Times New Roman" w:eastAsia="Times New Roman" w:hint="default"/>
                <w:sz w:val="18"/>
                <w:szCs w:val="18"/>
              </w:rPr>
              <w:t>\</w:t>
            </w:r>
            <w:r>
              <w:rPr>
                <w:rFonts w:ascii="宋体" w:hAnsi="宋体" w:cs="宋体" w:eastAsia="宋体" w:hint="default"/>
                <w:sz w:val="18"/>
                <w:szCs w:val="18"/>
              </w:rPr>
              <w:t>财务管理系统、 成本核算系统、绩效考核与薪酬分配系统、全面质量管理系统、办公</w:t>
            </w:r>
          </w:p>
        </w:tc>
      </w:tr>
      <w:tr>
        <w:trPr>
          <w:trHeight w:val="379" w:hRule="exact"/>
        </w:trPr>
        <w:tc>
          <w:tcPr>
            <w:tcW w:w="1663" w:type="dxa"/>
            <w:vMerge/>
            <w:tcBorders>
              <w:left w:val="single" w:sz="12" w:space="0" w:color="000000"/>
              <w:right w:val="single" w:sz="6" w:space="0" w:color="000000"/>
            </w:tcBorders>
          </w:tcPr>
          <w:p>
            <w:pPr/>
          </w:p>
        </w:tc>
        <w:tc>
          <w:tcPr>
            <w:tcW w:w="1257" w:type="dxa"/>
            <w:tcBorders>
              <w:top w:val="nil" w:sz="6" w:space="0" w:color="auto"/>
              <w:left w:val="single" w:sz="6" w:space="0" w:color="000000"/>
              <w:bottom w:val="nil" w:sz="6" w:space="0" w:color="auto"/>
              <w:right w:val="single" w:sz="6" w:space="0" w:color="000000"/>
            </w:tcBorders>
          </w:tcPr>
          <w:p>
            <w:pPr>
              <w:pStyle w:val="TableParagraph"/>
              <w:spacing w:line="179" w:lineRule="exact"/>
              <w:ind w:right="0"/>
              <w:jc w:val="center"/>
              <w:rPr>
                <w:rFonts w:ascii="宋体" w:hAnsi="宋体" w:cs="宋体" w:eastAsia="宋体" w:hint="default"/>
                <w:sz w:val="18"/>
                <w:szCs w:val="18"/>
              </w:rPr>
            </w:pPr>
            <w:r>
              <w:rPr>
                <w:rFonts w:ascii="宋体" w:hAnsi="宋体" w:cs="宋体" w:eastAsia="宋体" w:hint="default"/>
                <w:sz w:val="18"/>
                <w:szCs w:val="18"/>
              </w:rPr>
              <w:t>系统</w:t>
            </w:r>
          </w:p>
        </w:tc>
        <w:tc>
          <w:tcPr>
            <w:tcW w:w="5593" w:type="dxa"/>
            <w:tcBorders>
              <w:top w:val="nil" w:sz="6" w:space="0" w:color="auto"/>
              <w:left w:val="single" w:sz="6" w:space="0" w:color="000000"/>
              <w:bottom w:val="nil" w:sz="6" w:space="0" w:color="auto"/>
              <w:right w:val="single" w:sz="12" w:space="0" w:color="000000"/>
            </w:tcBorders>
          </w:tcPr>
          <w:p>
            <w:pPr>
              <w:pStyle w:val="TableParagraph"/>
              <w:spacing w:line="240" w:lineRule="auto" w:before="77"/>
              <w:ind w:left="99" w:right="0"/>
              <w:jc w:val="left"/>
              <w:rPr>
                <w:rFonts w:ascii="宋体" w:hAnsi="宋体" w:cs="宋体" w:eastAsia="宋体" w:hint="default"/>
                <w:sz w:val="18"/>
                <w:szCs w:val="18"/>
              </w:rPr>
            </w:pPr>
            <w:r>
              <w:rPr>
                <w:rFonts w:ascii="宋体" w:hAnsi="宋体" w:cs="宋体" w:eastAsia="宋体" w:hint="default"/>
                <w:spacing w:val="-4"/>
                <w:sz w:val="18"/>
                <w:szCs w:val="18"/>
              </w:rPr>
              <w:t>自动管理系统、医院内部信息网站、图书馆管理系统、食堂管理系统、</w:t>
            </w:r>
          </w:p>
        </w:tc>
      </w:tr>
      <w:tr>
        <w:trPr>
          <w:trHeight w:val="360" w:hRule="exact"/>
        </w:trPr>
        <w:tc>
          <w:tcPr>
            <w:tcW w:w="1663" w:type="dxa"/>
            <w:vMerge/>
            <w:tcBorders>
              <w:left w:val="single" w:sz="12" w:space="0" w:color="000000"/>
              <w:bottom w:val="single" w:sz="6" w:space="0" w:color="000000"/>
              <w:right w:val="single" w:sz="6" w:space="0" w:color="000000"/>
            </w:tcBorders>
          </w:tcPr>
          <w:p>
            <w:pPr/>
          </w:p>
        </w:tc>
        <w:tc>
          <w:tcPr>
            <w:tcW w:w="1257" w:type="dxa"/>
            <w:tcBorders>
              <w:top w:val="nil" w:sz="6" w:space="0" w:color="auto"/>
              <w:left w:val="single" w:sz="6" w:space="0" w:color="000000"/>
              <w:bottom w:val="single" w:sz="6" w:space="0" w:color="000000"/>
              <w:right w:val="single" w:sz="6" w:space="0" w:color="000000"/>
            </w:tcBorders>
          </w:tcPr>
          <w:p>
            <w:pPr/>
          </w:p>
        </w:tc>
        <w:tc>
          <w:tcPr>
            <w:tcW w:w="5593" w:type="dxa"/>
            <w:tcBorders>
              <w:top w:val="nil" w:sz="6" w:space="0" w:color="auto"/>
              <w:left w:val="single" w:sz="6" w:space="0" w:color="000000"/>
              <w:bottom w:val="single" w:sz="6" w:space="0" w:color="000000"/>
              <w:right w:val="single" w:sz="12" w:space="0" w:color="000000"/>
            </w:tcBorders>
          </w:tcPr>
          <w:p>
            <w:pPr>
              <w:pStyle w:val="TableParagraph"/>
              <w:spacing w:line="240" w:lineRule="auto" w:before="10"/>
              <w:ind w:left="99" w:right="0"/>
              <w:jc w:val="left"/>
              <w:rPr>
                <w:rFonts w:ascii="宋体" w:hAnsi="宋体" w:cs="宋体" w:eastAsia="宋体" w:hint="default"/>
                <w:sz w:val="18"/>
                <w:szCs w:val="18"/>
              </w:rPr>
            </w:pPr>
            <w:r>
              <w:rPr>
                <w:rFonts w:ascii="宋体" w:hAnsi="宋体" w:cs="宋体" w:eastAsia="宋体" w:hint="default"/>
                <w:sz w:val="18"/>
                <w:szCs w:val="18"/>
              </w:rPr>
              <w:t>患者关系管理系统、院长查询管理系统</w:t>
            </w:r>
          </w:p>
        </w:tc>
      </w:tr>
      <w:tr>
        <w:trPr>
          <w:trHeight w:val="495" w:hRule="exact"/>
        </w:trPr>
        <w:tc>
          <w:tcPr>
            <w:tcW w:w="166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7"/>
              <w:ind w:right="5"/>
              <w:jc w:val="center"/>
              <w:rPr>
                <w:rFonts w:ascii="宋体" w:hAnsi="宋体" w:cs="宋体" w:eastAsia="宋体" w:hint="default"/>
                <w:sz w:val="18"/>
                <w:szCs w:val="18"/>
              </w:rPr>
            </w:pPr>
            <w:r>
              <w:rPr>
                <w:rFonts w:ascii="宋体" w:hAnsi="宋体" w:cs="宋体" w:eastAsia="宋体" w:hint="default"/>
                <w:sz w:val="18"/>
                <w:szCs w:val="18"/>
              </w:rPr>
              <w:t>应用领域</w:t>
            </w:r>
          </w:p>
        </w:tc>
        <w:tc>
          <w:tcPr>
            <w:tcW w:w="6850"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before="97"/>
              <w:ind w:left="101" w:right="0"/>
              <w:jc w:val="left"/>
              <w:rPr>
                <w:rFonts w:ascii="宋体" w:hAnsi="宋体" w:cs="宋体" w:eastAsia="宋体" w:hint="default"/>
                <w:sz w:val="18"/>
                <w:szCs w:val="18"/>
              </w:rPr>
            </w:pPr>
            <w:r>
              <w:rPr>
                <w:rFonts w:ascii="宋体" w:hAnsi="宋体" w:cs="宋体" w:eastAsia="宋体" w:hint="default"/>
                <w:sz w:val="18"/>
                <w:szCs w:val="18"/>
              </w:rPr>
              <w:t>医院行政管理、事务处理</w:t>
            </w:r>
          </w:p>
        </w:tc>
      </w:tr>
    </w:tbl>
    <w:p>
      <w:pPr>
        <w:spacing w:after="0" w:line="240"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661" w:type="dxa"/>
        <w:tblLayout w:type="fixed"/>
        <w:tblCellMar>
          <w:top w:w="0" w:type="dxa"/>
          <w:left w:w="0" w:type="dxa"/>
          <w:bottom w:w="0" w:type="dxa"/>
          <w:right w:w="0" w:type="dxa"/>
        </w:tblCellMar>
        <w:tblLook w:val="01E0"/>
      </w:tblPr>
      <w:tblGrid>
        <w:gridCol w:w="1663"/>
        <w:gridCol w:w="6850"/>
      </w:tblGrid>
      <w:tr>
        <w:trPr>
          <w:trHeight w:val="719" w:hRule="exact"/>
        </w:trPr>
        <w:tc>
          <w:tcPr>
            <w:tcW w:w="166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作用</w:t>
            </w:r>
          </w:p>
        </w:tc>
        <w:tc>
          <w:tcPr>
            <w:tcW w:w="6850"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52"/>
              <w:ind w:left="101" w:right="92"/>
              <w:jc w:val="left"/>
              <w:rPr>
                <w:rFonts w:ascii="宋体" w:hAnsi="宋体" w:cs="宋体" w:eastAsia="宋体" w:hint="default"/>
                <w:sz w:val="18"/>
                <w:szCs w:val="18"/>
              </w:rPr>
            </w:pPr>
            <w:r>
              <w:rPr>
                <w:rFonts w:ascii="宋体" w:hAnsi="宋体" w:cs="宋体" w:eastAsia="宋体" w:hint="default"/>
                <w:spacing w:val="-1"/>
                <w:sz w:val="18"/>
                <w:szCs w:val="18"/>
              </w:rPr>
              <w:t>支持医院的行政管理与事务处理业务，减轻医院事务处理人员劳动强度，辅助医院管</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理和领导决策，提高医院工作效率</w:t>
            </w:r>
          </w:p>
        </w:tc>
      </w:tr>
      <w:tr>
        <w:trPr>
          <w:trHeight w:val="504" w:hRule="exact"/>
        </w:trPr>
        <w:tc>
          <w:tcPr>
            <w:tcW w:w="1663"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96"/>
              <w:ind w:right="5"/>
              <w:jc w:val="center"/>
              <w:rPr>
                <w:rFonts w:ascii="宋体" w:hAnsi="宋体" w:cs="宋体" w:eastAsia="宋体" w:hint="default"/>
                <w:sz w:val="18"/>
                <w:szCs w:val="18"/>
              </w:rPr>
            </w:pPr>
            <w:r>
              <w:rPr>
                <w:rFonts w:ascii="宋体" w:hAnsi="宋体" w:cs="宋体" w:eastAsia="宋体" w:hint="default"/>
                <w:sz w:val="18"/>
                <w:szCs w:val="18"/>
              </w:rPr>
              <w:t>销售（服务）对象</w:t>
            </w:r>
          </w:p>
        </w:tc>
        <w:tc>
          <w:tcPr>
            <w:tcW w:w="685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6"/>
              <w:ind w:left="101" w:right="0"/>
              <w:jc w:val="left"/>
              <w:rPr>
                <w:rFonts w:ascii="宋体" w:hAnsi="宋体" w:cs="宋体" w:eastAsia="宋体" w:hint="default"/>
                <w:sz w:val="18"/>
                <w:szCs w:val="18"/>
              </w:rPr>
            </w:pPr>
            <w:r>
              <w:rPr>
                <w:rFonts w:ascii="宋体" w:hAnsi="宋体" w:cs="宋体" w:eastAsia="宋体" w:hint="default"/>
                <w:sz w:val="18"/>
                <w:szCs w:val="18"/>
              </w:rPr>
              <w:t>大、中、小各类医院及社区医疗机构等</w:t>
            </w:r>
          </w:p>
        </w:tc>
      </w:tr>
    </w:tbl>
    <w:p>
      <w:pPr>
        <w:pStyle w:val="BodyText"/>
        <w:spacing w:line="340" w:lineRule="auto" w:before="50"/>
        <w:ind w:left="472" w:right="0"/>
        <w:jc w:val="left"/>
      </w:pPr>
      <w:r>
        <w:rPr/>
        <w:t>（</w:t>
      </w:r>
      <w:r>
        <w:rPr>
          <w:rFonts w:ascii="Times New Roman" w:hAnsi="Times New Roman" w:cs="Times New Roman" w:eastAsia="Times New Roman" w:hint="default"/>
        </w:rPr>
        <w:t>2</w:t>
      </w:r>
      <w:r>
        <w:rPr/>
        <w:t>）医院临床信息系统 </w:t>
      </w:r>
      <w:r>
        <w:rPr>
          <w:spacing w:val="-2"/>
        </w:rPr>
        <w:t>医院临床信息系统的主要目的是支持医院医护人员的临床活动，收集和处理病人的临床医疗信息，提供临床咨询、辅助</w:t>
      </w:r>
    </w:p>
    <w:p>
      <w:pPr>
        <w:pStyle w:val="BodyText"/>
        <w:spacing w:line="240" w:lineRule="auto" w:before="1"/>
        <w:ind w:right="0"/>
        <w:jc w:val="left"/>
      </w:pPr>
      <w:r>
        <w:rPr/>
        <w:t>诊疗、辅助临床决策等功能，提高医护人员工作效率和诊疗质量。</w:t>
      </w:r>
    </w:p>
    <w:p>
      <w:pPr>
        <w:spacing w:line="240" w:lineRule="auto" w:before="1"/>
        <w:rPr>
          <w:rFonts w:ascii="宋体" w:hAnsi="宋体" w:cs="宋体" w:eastAsia="宋体" w:hint="default"/>
          <w:sz w:val="8"/>
          <w:szCs w:val="8"/>
        </w:rPr>
      </w:pPr>
    </w:p>
    <w:tbl>
      <w:tblPr>
        <w:tblW w:w="0" w:type="auto"/>
        <w:jc w:val="left"/>
        <w:tblInd w:w="681" w:type="dxa"/>
        <w:tblLayout w:type="fixed"/>
        <w:tblCellMar>
          <w:top w:w="0" w:type="dxa"/>
          <w:left w:w="0" w:type="dxa"/>
          <w:bottom w:w="0" w:type="dxa"/>
          <w:right w:w="0" w:type="dxa"/>
        </w:tblCellMar>
        <w:tblLook w:val="01E0"/>
      </w:tblPr>
      <w:tblGrid>
        <w:gridCol w:w="1659"/>
        <w:gridCol w:w="1234"/>
        <w:gridCol w:w="5580"/>
      </w:tblGrid>
      <w:tr>
        <w:trPr>
          <w:trHeight w:val="505" w:hRule="exact"/>
        </w:trPr>
        <w:tc>
          <w:tcPr>
            <w:tcW w:w="165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97"/>
              <w:ind w:right="5"/>
              <w:jc w:val="center"/>
              <w:rPr>
                <w:rFonts w:ascii="宋体" w:hAnsi="宋体" w:cs="宋体" w:eastAsia="宋体" w:hint="default"/>
                <w:sz w:val="18"/>
                <w:szCs w:val="18"/>
              </w:rPr>
            </w:pPr>
            <w:r>
              <w:rPr>
                <w:rFonts w:ascii="宋体" w:hAnsi="宋体" w:cs="宋体" w:eastAsia="宋体" w:hint="default"/>
                <w:b/>
                <w:bCs/>
                <w:sz w:val="18"/>
                <w:szCs w:val="18"/>
              </w:rPr>
              <w:t>产品类别</w:t>
            </w:r>
            <w:r>
              <w:rPr>
                <w:rFonts w:ascii="宋体" w:hAnsi="宋体" w:cs="宋体" w:eastAsia="宋体" w:hint="default"/>
                <w:sz w:val="18"/>
                <w:szCs w:val="18"/>
              </w:rPr>
            </w:r>
          </w:p>
        </w:tc>
        <w:tc>
          <w:tcPr>
            <w:tcW w:w="6814" w:type="dxa"/>
            <w:gridSpan w:val="2"/>
            <w:tcBorders>
              <w:top w:val="single" w:sz="12" w:space="0" w:color="000000"/>
              <w:left w:val="single" w:sz="6" w:space="0" w:color="000000"/>
              <w:bottom w:val="single" w:sz="6" w:space="0" w:color="000000"/>
              <w:right w:val="single" w:sz="12" w:space="0" w:color="000000"/>
            </w:tcBorders>
          </w:tcPr>
          <w:p>
            <w:pPr>
              <w:pStyle w:val="TableParagraph"/>
              <w:spacing w:line="240" w:lineRule="auto" w:before="97"/>
              <w:ind w:left="12" w:right="0"/>
              <w:jc w:val="center"/>
              <w:rPr>
                <w:rFonts w:ascii="宋体" w:hAnsi="宋体" w:cs="宋体" w:eastAsia="宋体" w:hint="default"/>
                <w:sz w:val="18"/>
                <w:szCs w:val="18"/>
              </w:rPr>
            </w:pPr>
            <w:r>
              <w:rPr>
                <w:rFonts w:ascii="宋体" w:hAnsi="宋体" w:cs="宋体" w:eastAsia="宋体" w:hint="default"/>
                <w:b/>
                <w:bCs/>
                <w:sz w:val="18"/>
                <w:szCs w:val="18"/>
              </w:rPr>
              <w:t>医院临床信息系统</w:t>
            </w:r>
            <w:r>
              <w:rPr>
                <w:rFonts w:ascii="宋体" w:hAnsi="宋体" w:cs="宋体" w:eastAsia="宋体" w:hint="default"/>
                <w:sz w:val="18"/>
                <w:szCs w:val="18"/>
              </w:rPr>
            </w:r>
          </w:p>
        </w:tc>
      </w:tr>
      <w:tr>
        <w:trPr>
          <w:trHeight w:val="497" w:hRule="exact"/>
        </w:trPr>
        <w:tc>
          <w:tcPr>
            <w:tcW w:w="1659" w:type="dxa"/>
            <w:vMerge w:val="restart"/>
            <w:tcBorders>
              <w:top w:val="single" w:sz="6" w:space="0" w:color="000000"/>
              <w:left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453" w:right="0"/>
              <w:jc w:val="left"/>
              <w:rPr>
                <w:rFonts w:ascii="宋体" w:hAnsi="宋体" w:cs="宋体" w:eastAsia="宋体" w:hint="default"/>
                <w:sz w:val="18"/>
                <w:szCs w:val="18"/>
              </w:rPr>
            </w:pPr>
            <w:r>
              <w:rPr>
                <w:rFonts w:ascii="宋体" w:hAnsi="宋体" w:cs="宋体" w:eastAsia="宋体" w:hint="default"/>
                <w:sz w:val="18"/>
                <w:szCs w:val="18"/>
              </w:rPr>
              <w:t>主要内容</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6"/>
              <w:ind w:right="0"/>
              <w:jc w:val="center"/>
              <w:rPr>
                <w:rFonts w:ascii="宋体" w:hAnsi="宋体" w:cs="宋体" w:eastAsia="宋体" w:hint="default"/>
                <w:sz w:val="18"/>
                <w:szCs w:val="18"/>
              </w:rPr>
            </w:pPr>
            <w:r>
              <w:rPr>
                <w:rFonts w:ascii="宋体" w:hAnsi="宋体" w:cs="宋体" w:eastAsia="宋体" w:hint="default"/>
                <w:sz w:val="18"/>
                <w:szCs w:val="18"/>
              </w:rPr>
              <w:t>子系统</w:t>
            </w:r>
          </w:p>
        </w:tc>
        <w:tc>
          <w:tcPr>
            <w:tcW w:w="558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6"/>
              <w:ind w:left="7" w:right="0"/>
              <w:jc w:val="center"/>
              <w:rPr>
                <w:rFonts w:ascii="宋体" w:hAnsi="宋体" w:cs="宋体" w:eastAsia="宋体" w:hint="default"/>
                <w:sz w:val="18"/>
                <w:szCs w:val="18"/>
              </w:rPr>
            </w:pPr>
            <w:r>
              <w:rPr>
                <w:rFonts w:ascii="宋体" w:hAnsi="宋体" w:cs="宋体" w:eastAsia="宋体" w:hint="default"/>
                <w:sz w:val="18"/>
                <w:szCs w:val="18"/>
              </w:rPr>
              <w:t>主要功能模块</w:t>
            </w:r>
          </w:p>
        </w:tc>
      </w:tr>
      <w:tr>
        <w:trPr>
          <w:trHeight w:val="719" w:hRule="exact"/>
        </w:trPr>
        <w:tc>
          <w:tcPr>
            <w:tcW w:w="1659" w:type="dxa"/>
            <w:vMerge/>
            <w:tcBorders>
              <w:left w:val="single" w:sz="12" w:space="0" w:color="000000"/>
              <w:right w:val="single" w:sz="6" w:space="0" w:color="000000"/>
            </w:tcBorders>
          </w:tcPr>
          <w:p>
            <w:pP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1"/>
              <w:ind w:left="520" w:right="157" w:hanging="360"/>
              <w:jc w:val="left"/>
              <w:rPr>
                <w:rFonts w:ascii="宋体" w:hAnsi="宋体" w:cs="宋体" w:eastAsia="宋体" w:hint="default"/>
                <w:sz w:val="18"/>
                <w:szCs w:val="18"/>
              </w:rPr>
            </w:pPr>
            <w:r>
              <w:rPr>
                <w:rFonts w:ascii="宋体" w:hAnsi="宋体" w:cs="宋体" w:eastAsia="宋体" w:hint="default"/>
                <w:sz w:val="18"/>
                <w:szCs w:val="18"/>
              </w:rPr>
              <w:t>电子病历系 统</w:t>
            </w:r>
          </w:p>
        </w:tc>
        <w:tc>
          <w:tcPr>
            <w:tcW w:w="5580"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51"/>
              <w:ind w:left="99" w:right="92"/>
              <w:jc w:val="left"/>
              <w:rPr>
                <w:rFonts w:ascii="宋体" w:hAnsi="宋体" w:cs="宋体" w:eastAsia="宋体" w:hint="default"/>
                <w:sz w:val="18"/>
                <w:szCs w:val="18"/>
              </w:rPr>
            </w:pPr>
            <w:r>
              <w:rPr>
                <w:rFonts w:ascii="宋体" w:hAnsi="宋体" w:cs="宋体" w:eastAsia="宋体" w:hint="default"/>
                <w:spacing w:val="-2"/>
                <w:sz w:val="18"/>
                <w:szCs w:val="18"/>
              </w:rPr>
              <w:t>门诊电子病历、住院电子病历、护理电子记录、病历质控系统、临床</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路径管理系统、抗菌药物管理系统、处方点评系统</w:t>
            </w:r>
          </w:p>
        </w:tc>
      </w:tr>
      <w:tr>
        <w:trPr>
          <w:trHeight w:val="1031" w:hRule="exact"/>
        </w:trPr>
        <w:tc>
          <w:tcPr>
            <w:tcW w:w="1659" w:type="dxa"/>
            <w:vMerge/>
            <w:tcBorders>
              <w:left w:val="single" w:sz="12" w:space="0" w:color="000000"/>
              <w:right w:val="single" w:sz="6" w:space="0" w:color="000000"/>
            </w:tcBorders>
          </w:tcPr>
          <w:p>
            <w:pP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检验系统</w:t>
            </w:r>
          </w:p>
        </w:tc>
        <w:tc>
          <w:tcPr>
            <w:tcW w:w="5580"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52"/>
              <w:ind w:left="99" w:right="56"/>
              <w:jc w:val="both"/>
              <w:rPr>
                <w:rFonts w:ascii="宋体" w:hAnsi="宋体" w:cs="宋体" w:eastAsia="宋体" w:hint="default"/>
                <w:sz w:val="18"/>
                <w:szCs w:val="18"/>
              </w:rPr>
            </w:pPr>
            <w:r>
              <w:rPr>
                <w:rFonts w:ascii="宋体" w:hAnsi="宋体" w:cs="宋体" w:eastAsia="宋体" w:hint="default"/>
                <w:sz w:val="18"/>
                <w:szCs w:val="18"/>
              </w:rPr>
              <w:t>检验业务管理系统、仪器设备接口系统、检验条码管理系统、血库管 理系统、试剂管理系统、微生物管理系统、检验报告外网发布系统、 实验室质控管理系统</w:t>
            </w:r>
          </w:p>
        </w:tc>
      </w:tr>
      <w:tr>
        <w:trPr>
          <w:trHeight w:val="1031" w:hRule="exact"/>
        </w:trPr>
        <w:tc>
          <w:tcPr>
            <w:tcW w:w="1659" w:type="dxa"/>
            <w:vMerge/>
            <w:tcBorders>
              <w:left w:val="single" w:sz="12" w:space="0" w:color="000000"/>
              <w:right w:val="single" w:sz="6" w:space="0" w:color="000000"/>
            </w:tcBorders>
          </w:tcPr>
          <w:p>
            <w:pP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520" w:right="157" w:hanging="360"/>
              <w:jc w:val="left"/>
              <w:rPr>
                <w:rFonts w:ascii="宋体" w:hAnsi="宋体" w:cs="宋体" w:eastAsia="宋体" w:hint="default"/>
                <w:sz w:val="18"/>
                <w:szCs w:val="18"/>
              </w:rPr>
            </w:pPr>
            <w:r>
              <w:rPr>
                <w:rFonts w:ascii="宋体" w:hAnsi="宋体" w:cs="宋体" w:eastAsia="宋体" w:hint="default"/>
                <w:sz w:val="18"/>
                <w:szCs w:val="18"/>
              </w:rPr>
              <w:t>医学影像系 统</w:t>
            </w:r>
          </w:p>
        </w:tc>
        <w:tc>
          <w:tcPr>
            <w:tcW w:w="558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99" w:right="0"/>
              <w:jc w:val="left"/>
              <w:rPr>
                <w:rFonts w:ascii="宋体" w:hAnsi="宋体" w:cs="宋体" w:eastAsia="宋体" w:hint="default"/>
                <w:sz w:val="18"/>
                <w:szCs w:val="18"/>
              </w:rPr>
            </w:pPr>
            <w:r>
              <w:rPr>
                <w:rFonts w:ascii="宋体" w:hAnsi="宋体" w:cs="宋体" w:eastAsia="宋体" w:hint="default"/>
                <w:sz w:val="18"/>
                <w:szCs w:val="18"/>
              </w:rPr>
              <w:t>医学影像存储与传输系统（</w:t>
            </w:r>
            <w:r>
              <w:rPr>
                <w:rFonts w:ascii="Times New Roman" w:hAnsi="Times New Roman" w:cs="Times New Roman" w:eastAsia="Times New Roman" w:hint="default"/>
                <w:sz w:val="18"/>
                <w:szCs w:val="18"/>
              </w:rPr>
              <w:t>PACS</w:t>
            </w:r>
            <w:r>
              <w:rPr>
                <w:rFonts w:ascii="宋体" w:hAnsi="宋体" w:cs="宋体" w:eastAsia="宋体" w:hint="default"/>
                <w:sz w:val="18"/>
                <w:szCs w:val="18"/>
              </w:rPr>
              <w:t>）、影像设备接口、放射信息系统</w:t>
            </w:r>
          </w:p>
          <w:p>
            <w:pPr>
              <w:pStyle w:val="TableParagraph"/>
              <w:spacing w:line="300" w:lineRule="auto" w:before="63"/>
              <w:ind w:left="99" w:right="92"/>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RIS</w:t>
            </w:r>
            <w:r>
              <w:rPr>
                <w:rFonts w:ascii="宋体" w:hAnsi="宋体" w:cs="宋体" w:eastAsia="宋体" w:hint="default"/>
                <w:sz w:val="18"/>
                <w:szCs w:val="18"/>
              </w:rPr>
              <w:t>）、超声管理信息系统、内镜管理信息系统、病理管理信息系</w:t>
            </w:r>
            <w:r>
              <w:rPr>
                <w:rFonts w:ascii="宋体" w:hAnsi="宋体" w:cs="宋体" w:eastAsia="宋体" w:hint="default"/>
                <w:spacing w:val="-55"/>
                <w:sz w:val="18"/>
                <w:szCs w:val="18"/>
              </w:rPr>
              <w:t> </w:t>
            </w:r>
            <w:r>
              <w:rPr>
                <w:rFonts w:ascii="宋体" w:hAnsi="宋体" w:cs="宋体" w:eastAsia="宋体" w:hint="default"/>
                <w:spacing w:val="-55"/>
                <w:sz w:val="18"/>
                <w:szCs w:val="18"/>
              </w:rPr>
            </w:r>
            <w:r>
              <w:rPr>
                <w:rFonts w:ascii="宋体" w:hAnsi="宋体" w:cs="宋体" w:eastAsia="宋体" w:hint="default"/>
                <w:sz w:val="18"/>
                <w:szCs w:val="18"/>
              </w:rPr>
              <w:t>统、心电管理信息系统</w:t>
            </w:r>
          </w:p>
        </w:tc>
      </w:tr>
      <w:tr>
        <w:trPr>
          <w:trHeight w:val="719" w:hRule="exact"/>
        </w:trPr>
        <w:tc>
          <w:tcPr>
            <w:tcW w:w="1659" w:type="dxa"/>
            <w:vMerge/>
            <w:tcBorders>
              <w:left w:val="single" w:sz="12" w:space="0" w:color="000000"/>
              <w:right w:val="single" w:sz="6" w:space="0" w:color="000000"/>
            </w:tcBorders>
          </w:tcPr>
          <w:p>
            <w:pP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1"/>
              <w:ind w:left="520" w:right="157" w:hanging="360"/>
              <w:jc w:val="left"/>
              <w:rPr>
                <w:rFonts w:ascii="宋体" w:hAnsi="宋体" w:cs="宋体" w:eastAsia="宋体" w:hint="default"/>
                <w:sz w:val="18"/>
                <w:szCs w:val="18"/>
              </w:rPr>
            </w:pPr>
            <w:r>
              <w:rPr>
                <w:rFonts w:ascii="宋体" w:hAnsi="宋体" w:cs="宋体" w:eastAsia="宋体" w:hint="default"/>
                <w:sz w:val="18"/>
                <w:szCs w:val="18"/>
              </w:rPr>
              <w:t>体检管理系 统</w:t>
            </w:r>
          </w:p>
        </w:tc>
        <w:tc>
          <w:tcPr>
            <w:tcW w:w="5580"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51"/>
              <w:ind w:left="99" w:right="1"/>
              <w:jc w:val="left"/>
              <w:rPr>
                <w:rFonts w:ascii="宋体" w:hAnsi="宋体" w:cs="宋体" w:eastAsia="宋体" w:hint="default"/>
                <w:sz w:val="18"/>
                <w:szCs w:val="18"/>
              </w:rPr>
            </w:pPr>
            <w:r>
              <w:rPr>
                <w:rFonts w:ascii="宋体" w:hAnsi="宋体" w:cs="宋体" w:eastAsia="宋体" w:hint="default"/>
                <w:spacing w:val="-10"/>
                <w:sz w:val="18"/>
                <w:szCs w:val="18"/>
              </w:rPr>
              <w:t>体检管理信息系统、健康评估与管理系统、自助体检系统（健康小屋）、</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检后异常跟踪系统</w:t>
            </w:r>
          </w:p>
        </w:tc>
      </w:tr>
      <w:tr>
        <w:trPr>
          <w:trHeight w:val="719" w:hRule="exact"/>
        </w:trPr>
        <w:tc>
          <w:tcPr>
            <w:tcW w:w="1659" w:type="dxa"/>
            <w:vMerge/>
            <w:tcBorders>
              <w:left w:val="single" w:sz="12" w:space="0" w:color="000000"/>
              <w:right w:val="single" w:sz="6" w:space="0" w:color="000000"/>
            </w:tcBorders>
          </w:tcPr>
          <w:p>
            <w:pP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0"/>
              <w:ind w:left="520" w:right="157" w:hanging="360"/>
              <w:jc w:val="left"/>
              <w:rPr>
                <w:rFonts w:ascii="宋体" w:hAnsi="宋体" w:cs="宋体" w:eastAsia="宋体" w:hint="default"/>
                <w:sz w:val="18"/>
                <w:szCs w:val="18"/>
              </w:rPr>
            </w:pPr>
            <w:r>
              <w:rPr>
                <w:rFonts w:ascii="宋体" w:hAnsi="宋体" w:cs="宋体" w:eastAsia="宋体" w:hint="default"/>
                <w:sz w:val="18"/>
                <w:szCs w:val="18"/>
              </w:rPr>
              <w:t>合理用药系 统</w:t>
            </w:r>
          </w:p>
        </w:tc>
        <w:tc>
          <w:tcPr>
            <w:tcW w:w="558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99" w:right="0"/>
              <w:jc w:val="left"/>
              <w:rPr>
                <w:rFonts w:ascii="宋体" w:hAnsi="宋体" w:cs="宋体" w:eastAsia="宋体" w:hint="default"/>
                <w:sz w:val="18"/>
                <w:szCs w:val="18"/>
              </w:rPr>
            </w:pPr>
            <w:r>
              <w:rPr>
                <w:rFonts w:ascii="宋体" w:hAnsi="宋体" w:cs="宋体" w:eastAsia="宋体" w:hint="default"/>
                <w:sz w:val="18"/>
                <w:szCs w:val="18"/>
              </w:rPr>
              <w:t>合理用药监测系统、抗菌药物管理系统</w:t>
            </w:r>
          </w:p>
        </w:tc>
      </w:tr>
      <w:tr>
        <w:trPr>
          <w:trHeight w:val="719" w:hRule="exact"/>
        </w:trPr>
        <w:tc>
          <w:tcPr>
            <w:tcW w:w="1659" w:type="dxa"/>
            <w:vMerge/>
            <w:tcBorders>
              <w:left w:val="single" w:sz="12" w:space="0" w:color="000000"/>
              <w:right w:val="single" w:sz="6" w:space="0" w:color="000000"/>
            </w:tcBorders>
          </w:tcPr>
          <w:p>
            <w:pP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1"/>
              <w:ind w:left="520" w:right="157" w:hanging="360"/>
              <w:jc w:val="left"/>
              <w:rPr>
                <w:rFonts w:ascii="宋体" w:hAnsi="宋体" w:cs="宋体" w:eastAsia="宋体" w:hint="default"/>
                <w:sz w:val="18"/>
                <w:szCs w:val="18"/>
              </w:rPr>
            </w:pPr>
            <w:r>
              <w:rPr>
                <w:rFonts w:ascii="宋体" w:hAnsi="宋体" w:cs="宋体" w:eastAsia="宋体" w:hint="default"/>
                <w:sz w:val="18"/>
                <w:szCs w:val="18"/>
              </w:rPr>
              <w:t>移动医疗系 统</w:t>
            </w:r>
          </w:p>
        </w:tc>
        <w:tc>
          <w:tcPr>
            <w:tcW w:w="5580"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51"/>
              <w:ind w:left="99" w:right="92"/>
              <w:jc w:val="left"/>
              <w:rPr>
                <w:rFonts w:ascii="宋体" w:hAnsi="宋体" w:cs="宋体" w:eastAsia="宋体" w:hint="default"/>
                <w:sz w:val="18"/>
                <w:szCs w:val="18"/>
              </w:rPr>
            </w:pPr>
            <w:r>
              <w:rPr>
                <w:rFonts w:ascii="宋体" w:hAnsi="宋体" w:cs="宋体" w:eastAsia="宋体" w:hint="default"/>
                <w:spacing w:val="-2"/>
                <w:sz w:val="18"/>
                <w:szCs w:val="18"/>
              </w:rPr>
              <w:t>移动医生查房系统、移动护理系统、移动输液系统、移动物资管理系</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统</w:t>
            </w:r>
          </w:p>
        </w:tc>
      </w:tr>
      <w:tr>
        <w:trPr>
          <w:trHeight w:val="719" w:hRule="exact"/>
        </w:trPr>
        <w:tc>
          <w:tcPr>
            <w:tcW w:w="1659" w:type="dxa"/>
            <w:vMerge/>
            <w:tcBorders>
              <w:left w:val="single" w:sz="12" w:space="0" w:color="000000"/>
              <w:bottom w:val="single" w:sz="6" w:space="0" w:color="000000"/>
              <w:right w:val="single" w:sz="6" w:space="0" w:color="000000"/>
            </w:tcBorders>
          </w:tcPr>
          <w:p>
            <w:pP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2"/>
              <w:ind w:left="340" w:right="157" w:hanging="180"/>
              <w:jc w:val="left"/>
              <w:rPr>
                <w:rFonts w:ascii="宋体" w:hAnsi="宋体" w:cs="宋体" w:eastAsia="宋体" w:hint="default"/>
                <w:sz w:val="18"/>
                <w:szCs w:val="18"/>
              </w:rPr>
            </w:pPr>
            <w:r>
              <w:rPr>
                <w:rFonts w:ascii="宋体" w:hAnsi="宋体" w:cs="宋体" w:eastAsia="宋体" w:hint="default"/>
                <w:sz w:val="18"/>
                <w:szCs w:val="18"/>
              </w:rPr>
              <w:t>医院信息集 成平台</w:t>
            </w:r>
          </w:p>
        </w:tc>
        <w:tc>
          <w:tcPr>
            <w:tcW w:w="5580" w:type="dxa"/>
            <w:tcBorders>
              <w:top w:val="single" w:sz="6" w:space="0" w:color="000000"/>
              <w:left w:val="single" w:sz="6" w:space="0" w:color="000000"/>
              <w:bottom w:val="single" w:sz="6" w:space="0" w:color="000000"/>
              <w:right w:val="single" w:sz="12" w:space="0" w:color="000000"/>
            </w:tcBorders>
          </w:tcPr>
          <w:p>
            <w:pPr>
              <w:pStyle w:val="TableParagraph"/>
              <w:spacing w:line="300" w:lineRule="auto" w:before="52"/>
              <w:ind w:left="99" w:right="90"/>
              <w:jc w:val="left"/>
              <w:rPr>
                <w:rFonts w:ascii="宋体" w:hAnsi="宋体" w:cs="宋体" w:eastAsia="宋体" w:hint="default"/>
                <w:sz w:val="18"/>
                <w:szCs w:val="18"/>
              </w:rPr>
            </w:pPr>
            <w:r>
              <w:rPr>
                <w:rFonts w:ascii="宋体" w:hAnsi="宋体" w:cs="宋体" w:eastAsia="宋体" w:hint="default"/>
                <w:sz w:val="18"/>
                <w:szCs w:val="18"/>
              </w:rPr>
              <w:t>数据中心</w:t>
            </w:r>
            <w:r>
              <w:rPr>
                <w:rFonts w:ascii="宋体" w:hAnsi="宋体" w:cs="宋体" w:eastAsia="宋体" w:hint="default"/>
                <w:spacing w:val="-30"/>
                <w:sz w:val="18"/>
                <w:szCs w:val="18"/>
              </w:rPr>
              <w:t> </w:t>
            </w:r>
            <w:r>
              <w:rPr>
                <w:rFonts w:ascii="Times New Roman" w:hAnsi="Times New Roman" w:cs="Times New Roman" w:eastAsia="Times New Roman" w:hint="default"/>
                <w:spacing w:val="2"/>
                <w:sz w:val="18"/>
                <w:szCs w:val="18"/>
              </w:rPr>
              <w:t>CDR</w:t>
            </w:r>
            <w:r>
              <w:rPr>
                <w:rFonts w:ascii="宋体" w:hAnsi="宋体" w:cs="宋体" w:eastAsia="宋体" w:hint="default"/>
                <w:spacing w:val="2"/>
                <w:sz w:val="18"/>
                <w:szCs w:val="18"/>
              </w:rPr>
              <w:t>、集成平台、电子病历浏览器、电子病历搜索引擎、</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资源分时段预约系统</w:t>
            </w:r>
          </w:p>
        </w:tc>
      </w:tr>
      <w:tr>
        <w:trPr>
          <w:trHeight w:val="497" w:hRule="exact"/>
        </w:trPr>
        <w:tc>
          <w:tcPr>
            <w:tcW w:w="165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6"/>
              <w:ind w:right="8"/>
              <w:jc w:val="center"/>
              <w:rPr>
                <w:rFonts w:ascii="宋体" w:hAnsi="宋体" w:cs="宋体" w:eastAsia="宋体" w:hint="default"/>
                <w:sz w:val="18"/>
                <w:szCs w:val="18"/>
              </w:rPr>
            </w:pPr>
            <w:r>
              <w:rPr>
                <w:rFonts w:ascii="宋体" w:hAnsi="宋体" w:cs="宋体" w:eastAsia="宋体" w:hint="default"/>
                <w:sz w:val="18"/>
                <w:szCs w:val="18"/>
              </w:rPr>
              <w:t>应用领域</w:t>
            </w:r>
          </w:p>
        </w:tc>
        <w:tc>
          <w:tcPr>
            <w:tcW w:w="6814"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before="96"/>
              <w:ind w:left="100" w:right="0"/>
              <w:jc w:val="left"/>
              <w:rPr>
                <w:rFonts w:ascii="宋体" w:hAnsi="宋体" w:cs="宋体" w:eastAsia="宋体" w:hint="default"/>
                <w:sz w:val="18"/>
                <w:szCs w:val="18"/>
              </w:rPr>
            </w:pPr>
            <w:r>
              <w:rPr>
                <w:rFonts w:ascii="宋体" w:hAnsi="宋体" w:cs="宋体" w:eastAsia="宋体" w:hint="default"/>
                <w:sz w:val="18"/>
                <w:szCs w:val="18"/>
              </w:rPr>
              <w:t>医院诊疗过程管理、病患信息采集、交换与共享</w:t>
            </w:r>
          </w:p>
        </w:tc>
      </w:tr>
      <w:tr>
        <w:trPr>
          <w:trHeight w:val="719" w:hRule="exact"/>
        </w:trPr>
        <w:tc>
          <w:tcPr>
            <w:tcW w:w="165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8"/>
              <w:jc w:val="center"/>
              <w:rPr>
                <w:rFonts w:ascii="宋体" w:hAnsi="宋体" w:cs="宋体" w:eastAsia="宋体" w:hint="default"/>
                <w:sz w:val="18"/>
                <w:szCs w:val="18"/>
              </w:rPr>
            </w:pPr>
            <w:r>
              <w:rPr>
                <w:rFonts w:ascii="宋体" w:hAnsi="宋体" w:cs="宋体" w:eastAsia="宋体" w:hint="default"/>
                <w:sz w:val="18"/>
                <w:szCs w:val="18"/>
              </w:rPr>
              <w:t>作用</w:t>
            </w:r>
          </w:p>
        </w:tc>
        <w:tc>
          <w:tcPr>
            <w:tcW w:w="6814" w:type="dxa"/>
            <w:gridSpan w:val="2"/>
            <w:tcBorders>
              <w:top w:val="single" w:sz="6" w:space="0" w:color="000000"/>
              <w:left w:val="single" w:sz="6" w:space="0" w:color="000000"/>
              <w:bottom w:val="single" w:sz="6" w:space="0" w:color="000000"/>
              <w:right w:val="single" w:sz="12" w:space="0" w:color="000000"/>
            </w:tcBorders>
          </w:tcPr>
          <w:p>
            <w:pPr>
              <w:pStyle w:val="TableParagraph"/>
              <w:spacing w:line="316" w:lineRule="auto" w:before="50"/>
              <w:ind w:left="100" w:right="92"/>
              <w:jc w:val="left"/>
              <w:rPr>
                <w:rFonts w:ascii="宋体" w:hAnsi="宋体" w:cs="宋体" w:eastAsia="宋体" w:hint="default"/>
                <w:sz w:val="18"/>
                <w:szCs w:val="18"/>
              </w:rPr>
            </w:pPr>
            <w:r>
              <w:rPr>
                <w:rFonts w:ascii="宋体" w:hAnsi="宋体" w:cs="宋体" w:eastAsia="宋体" w:hint="default"/>
                <w:spacing w:val="-2"/>
                <w:sz w:val="18"/>
                <w:szCs w:val="18"/>
              </w:rPr>
              <w:t>支持医护人员的临床活动，收集和处理病人的临床医疗信息，提供临床咨询、辅助诊</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疗、辅助临床决策等功能，提高医护人员工作效率和诊疗质量</w:t>
            </w:r>
          </w:p>
        </w:tc>
      </w:tr>
      <w:tr>
        <w:trPr>
          <w:trHeight w:val="504" w:hRule="exact"/>
        </w:trPr>
        <w:tc>
          <w:tcPr>
            <w:tcW w:w="165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97"/>
              <w:ind w:right="8"/>
              <w:jc w:val="center"/>
              <w:rPr>
                <w:rFonts w:ascii="宋体" w:hAnsi="宋体" w:cs="宋体" w:eastAsia="宋体" w:hint="default"/>
                <w:sz w:val="18"/>
                <w:szCs w:val="18"/>
              </w:rPr>
            </w:pPr>
            <w:r>
              <w:rPr>
                <w:rFonts w:ascii="宋体" w:hAnsi="宋体" w:cs="宋体" w:eastAsia="宋体" w:hint="default"/>
                <w:sz w:val="18"/>
                <w:szCs w:val="18"/>
              </w:rPr>
              <w:t>销售（服务）对象</w:t>
            </w:r>
          </w:p>
        </w:tc>
        <w:tc>
          <w:tcPr>
            <w:tcW w:w="6814" w:type="dxa"/>
            <w:gridSpan w:val="2"/>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7"/>
              <w:ind w:left="100" w:right="0"/>
              <w:jc w:val="left"/>
              <w:rPr>
                <w:rFonts w:ascii="宋体" w:hAnsi="宋体" w:cs="宋体" w:eastAsia="宋体" w:hint="default"/>
                <w:sz w:val="18"/>
                <w:szCs w:val="18"/>
              </w:rPr>
            </w:pPr>
            <w:r>
              <w:rPr>
                <w:rFonts w:ascii="宋体" w:hAnsi="宋体" w:cs="宋体" w:eastAsia="宋体" w:hint="default"/>
                <w:sz w:val="18"/>
                <w:szCs w:val="18"/>
              </w:rPr>
              <w:t>大、中、小各类医院</w:t>
            </w:r>
          </w:p>
        </w:tc>
      </w:tr>
    </w:tbl>
    <w:p>
      <w:pPr>
        <w:pStyle w:val="BodyText"/>
        <w:spacing w:line="340" w:lineRule="auto" w:before="51"/>
        <w:ind w:left="472" w:right="0"/>
        <w:jc w:val="left"/>
      </w:pPr>
      <w:r>
        <w:rPr>
          <w:rFonts w:ascii="Times New Roman" w:hAnsi="Times New Roman" w:cs="Times New Roman" w:eastAsia="Times New Roman" w:hint="default"/>
        </w:rPr>
        <w:t>2</w:t>
      </w:r>
      <w:r>
        <w:rPr/>
        <w:t>、公共卫生信息化应用软件系列 </w:t>
      </w:r>
      <w:r>
        <w:rPr>
          <w:spacing w:val="-2"/>
        </w:rPr>
        <w:t>公共卫生信息化应用软件是以居民电子健康档案为核心，以区域医疗资源共享为目标，以社区和农村居民基本医疗卫生</w:t>
      </w:r>
    </w:p>
    <w:p>
      <w:pPr>
        <w:pStyle w:val="BodyText"/>
        <w:spacing w:line="240" w:lineRule="auto" w:before="1"/>
        <w:ind w:right="0"/>
        <w:jc w:val="left"/>
      </w:pPr>
      <w:r>
        <w:rPr/>
        <w:t>服务为重点，运用信息化的手段，为国内公共卫生领域信息化建设提供全面解决方案。</w:t>
      </w:r>
    </w:p>
    <w:p>
      <w:pPr>
        <w:spacing w:after="0" w:line="240" w:lineRule="auto"/>
        <w:jc w:val="left"/>
        <w:sectPr>
          <w:pgSz w:w="11910" w:h="16840"/>
          <w:pgMar w:header="907" w:footer="1016" w:top="1100" w:bottom="1200" w:left="1020" w:right="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3"/>
          <w:szCs w:val="13"/>
        </w:rPr>
      </w:pPr>
    </w:p>
    <w:p>
      <w:pPr>
        <w:spacing w:line="5085" w:lineRule="exact"/>
        <w:ind w:left="876" w:right="0" w:firstLine="0"/>
        <w:rPr>
          <w:rFonts w:ascii="宋体" w:hAnsi="宋体" w:cs="宋体" w:eastAsia="宋体" w:hint="default"/>
          <w:sz w:val="20"/>
          <w:szCs w:val="20"/>
        </w:rPr>
      </w:pPr>
      <w:r>
        <w:rPr>
          <w:rFonts w:ascii="宋体" w:hAnsi="宋体" w:cs="宋体" w:eastAsia="宋体" w:hint="default"/>
          <w:position w:val="-101"/>
          <w:sz w:val="20"/>
          <w:szCs w:val="20"/>
        </w:rPr>
        <w:drawing>
          <wp:inline distT="0" distB="0" distL="0" distR="0">
            <wp:extent cx="5380609" cy="3228975"/>
            <wp:effectExtent l="0" t="0" r="0" b="0"/>
            <wp:docPr id="7" name="image5.jpeg" descr=""/>
            <wp:cNvGraphicFramePr>
              <a:graphicFrameLocks noChangeAspect="1"/>
            </wp:cNvGraphicFramePr>
            <a:graphic>
              <a:graphicData uri="http://schemas.openxmlformats.org/drawingml/2006/picture">
                <pic:pic>
                  <pic:nvPicPr>
                    <pic:cNvPr id="8" name="image5.jpeg"/>
                    <pic:cNvPicPr/>
                  </pic:nvPicPr>
                  <pic:blipFill>
                    <a:blip r:embed="rId18" cstate="print"/>
                    <a:stretch>
                      <a:fillRect/>
                    </a:stretch>
                  </pic:blipFill>
                  <pic:spPr>
                    <a:xfrm>
                      <a:off x="0" y="0"/>
                      <a:ext cx="5380609" cy="3228975"/>
                    </a:xfrm>
                    <a:prstGeom prst="rect">
                      <a:avLst/>
                    </a:prstGeom>
                  </pic:spPr>
                </pic:pic>
              </a:graphicData>
            </a:graphic>
          </wp:inline>
        </w:drawing>
      </w:r>
      <w:r>
        <w:rPr>
          <w:rFonts w:ascii="宋体" w:hAnsi="宋体" w:cs="宋体" w:eastAsia="宋体" w:hint="default"/>
          <w:position w:val="-101"/>
          <w:sz w:val="20"/>
          <w:szCs w:val="20"/>
        </w:rPr>
      </w:r>
    </w:p>
    <w:p>
      <w:pPr>
        <w:spacing w:line="240" w:lineRule="auto" w:before="12"/>
        <w:rPr>
          <w:rFonts w:ascii="宋体" w:hAnsi="宋体" w:cs="宋体" w:eastAsia="宋体" w:hint="default"/>
          <w:sz w:val="8"/>
          <w:szCs w:val="8"/>
        </w:rPr>
      </w:pPr>
    </w:p>
    <w:p>
      <w:pPr>
        <w:pStyle w:val="BodyText"/>
        <w:spacing w:line="316" w:lineRule="auto" w:before="44"/>
        <w:ind w:right="1130" w:firstLine="360"/>
        <w:jc w:val="both"/>
      </w:pPr>
      <w:r>
        <w:rPr>
          <w:spacing w:val="-2"/>
        </w:rPr>
        <w:t>公共卫生信息化的建设内容为区域一体化医院信息、人口健康档案、疫情上报与应急指挥、远程医疗等系统，特征是实</w:t>
      </w:r>
      <w:r>
        <w:rPr/>
        <w:t> </w:t>
      </w:r>
      <w:r>
        <w:rPr>
          <w:spacing w:val="-2"/>
        </w:rPr>
        <w:t>现社会医疗保健资源和服务整合。公共卫生信息化应用软件产品按产品线主要分为基层卫生信息系统和区域卫生信息平台两</w:t>
      </w:r>
      <w:r>
        <w:rPr>
          <w:spacing w:val="-64"/>
        </w:rPr>
        <w:t> </w:t>
      </w:r>
      <w:r>
        <w:rPr>
          <w:spacing w:val="-64"/>
        </w:rPr>
      </w:r>
      <w:r>
        <w:rPr/>
        <w:t>类。</w:t>
      </w:r>
    </w:p>
    <w:p>
      <w:pPr>
        <w:pStyle w:val="BodyText"/>
        <w:spacing w:line="340" w:lineRule="auto" w:before="59"/>
        <w:ind w:left="472" w:right="0"/>
        <w:jc w:val="left"/>
      </w:pPr>
      <w:r>
        <w:rPr/>
        <w:t>（</w:t>
      </w:r>
      <w:r>
        <w:rPr>
          <w:rFonts w:ascii="Times New Roman" w:hAnsi="Times New Roman" w:cs="Times New Roman" w:eastAsia="Times New Roman" w:hint="default"/>
        </w:rPr>
        <w:t>1</w:t>
      </w:r>
      <w:r>
        <w:rPr/>
        <w:t>）基层卫生管理信息系统 </w:t>
      </w:r>
      <w:r>
        <w:rPr>
          <w:spacing w:val="-2"/>
        </w:rPr>
        <w:t>基层卫生管理信息系统是以满足城乡居民的基本卫生服务需求为目的，实现城乡居民健康档案管理、基本医疗服务、基</w:t>
      </w:r>
    </w:p>
    <w:p>
      <w:pPr>
        <w:pStyle w:val="BodyText"/>
        <w:spacing w:line="316" w:lineRule="auto" w:before="1"/>
        <w:ind w:right="0"/>
        <w:jc w:val="left"/>
      </w:pPr>
      <w:r>
        <w:rPr>
          <w:spacing w:val="-2"/>
        </w:rPr>
        <w:t>本公共卫生服务、基层卫生管理、健康信息服务以及医疗卫生服务协同的信息系统，能有效提高基层医疗卫生服务的能力和</w:t>
      </w:r>
      <w:r>
        <w:rPr>
          <w:spacing w:val="-63"/>
        </w:rPr>
        <w:t> </w:t>
      </w:r>
      <w:r>
        <w:rPr>
          <w:spacing w:val="-63"/>
        </w:rPr>
      </w:r>
      <w:r>
        <w:rPr/>
        <w:t>工作质量，提升基层医疗卫生服务管理水平。</w:t>
      </w:r>
    </w:p>
    <w:p>
      <w:pPr>
        <w:spacing w:line="240" w:lineRule="auto" w:before="8"/>
        <w:rPr>
          <w:rFonts w:ascii="宋体" w:hAnsi="宋体" w:cs="宋体" w:eastAsia="宋体" w:hint="default"/>
          <w:sz w:val="3"/>
          <w:szCs w:val="3"/>
        </w:rPr>
      </w:pPr>
    </w:p>
    <w:tbl>
      <w:tblPr>
        <w:tblW w:w="0" w:type="auto"/>
        <w:jc w:val="left"/>
        <w:tblInd w:w="629" w:type="dxa"/>
        <w:tblLayout w:type="fixed"/>
        <w:tblCellMar>
          <w:top w:w="0" w:type="dxa"/>
          <w:left w:w="0" w:type="dxa"/>
          <w:bottom w:w="0" w:type="dxa"/>
          <w:right w:w="0" w:type="dxa"/>
        </w:tblCellMar>
        <w:tblLook w:val="01E0"/>
      </w:tblPr>
      <w:tblGrid>
        <w:gridCol w:w="1578"/>
        <w:gridCol w:w="1343"/>
        <w:gridCol w:w="5656"/>
      </w:tblGrid>
      <w:tr>
        <w:trPr>
          <w:trHeight w:val="502" w:hRule="exact"/>
        </w:trPr>
        <w:tc>
          <w:tcPr>
            <w:tcW w:w="1578" w:type="dxa"/>
            <w:tcBorders>
              <w:top w:val="single" w:sz="12" w:space="0" w:color="000000"/>
              <w:left w:val="single" w:sz="12" w:space="0" w:color="000000"/>
              <w:bottom w:val="single" w:sz="4" w:space="0" w:color="000000"/>
              <w:right w:val="single" w:sz="4" w:space="0" w:color="000000"/>
            </w:tcBorders>
          </w:tcPr>
          <w:p>
            <w:pPr>
              <w:pStyle w:val="TableParagraph"/>
              <w:spacing w:line="240" w:lineRule="auto" w:before="96"/>
              <w:ind w:right="5"/>
              <w:jc w:val="center"/>
              <w:rPr>
                <w:rFonts w:ascii="宋体" w:hAnsi="宋体" w:cs="宋体" w:eastAsia="宋体" w:hint="default"/>
                <w:sz w:val="18"/>
                <w:szCs w:val="18"/>
              </w:rPr>
            </w:pPr>
            <w:r>
              <w:rPr>
                <w:rFonts w:ascii="宋体" w:hAnsi="宋体" w:cs="宋体" w:eastAsia="宋体" w:hint="default"/>
                <w:b/>
                <w:bCs/>
                <w:sz w:val="18"/>
                <w:szCs w:val="18"/>
              </w:rPr>
              <w:t>产品类别</w:t>
            </w:r>
            <w:r>
              <w:rPr>
                <w:rFonts w:ascii="宋体" w:hAnsi="宋体" w:cs="宋体" w:eastAsia="宋体" w:hint="default"/>
                <w:sz w:val="18"/>
                <w:szCs w:val="18"/>
              </w:rPr>
            </w:r>
          </w:p>
        </w:tc>
        <w:tc>
          <w:tcPr>
            <w:tcW w:w="6999" w:type="dxa"/>
            <w:gridSpan w:val="2"/>
            <w:tcBorders>
              <w:top w:val="single" w:sz="12" w:space="0" w:color="000000"/>
              <w:left w:val="single" w:sz="4" w:space="0" w:color="000000"/>
              <w:bottom w:val="single" w:sz="4" w:space="0" w:color="000000"/>
              <w:right w:val="single" w:sz="12" w:space="0" w:color="000000"/>
            </w:tcBorders>
          </w:tcPr>
          <w:p>
            <w:pPr>
              <w:pStyle w:val="TableParagraph"/>
              <w:spacing w:line="240" w:lineRule="auto" w:before="96"/>
              <w:ind w:left="16" w:right="0"/>
              <w:jc w:val="center"/>
              <w:rPr>
                <w:rFonts w:ascii="宋体" w:hAnsi="宋体" w:cs="宋体" w:eastAsia="宋体" w:hint="default"/>
                <w:sz w:val="18"/>
                <w:szCs w:val="18"/>
              </w:rPr>
            </w:pPr>
            <w:r>
              <w:rPr>
                <w:rFonts w:ascii="宋体" w:hAnsi="宋体" w:cs="宋体" w:eastAsia="宋体" w:hint="default"/>
                <w:b/>
                <w:bCs/>
                <w:sz w:val="18"/>
                <w:szCs w:val="18"/>
              </w:rPr>
              <w:t>基层卫生管理信息系统</w:t>
            </w:r>
            <w:r>
              <w:rPr>
                <w:rFonts w:ascii="宋体" w:hAnsi="宋体" w:cs="宋体" w:eastAsia="宋体" w:hint="default"/>
                <w:sz w:val="18"/>
                <w:szCs w:val="18"/>
              </w:rPr>
            </w:r>
          </w:p>
        </w:tc>
      </w:tr>
      <w:tr>
        <w:trPr>
          <w:trHeight w:val="492" w:hRule="exact"/>
        </w:trPr>
        <w:tc>
          <w:tcPr>
            <w:tcW w:w="1578" w:type="dxa"/>
            <w:vMerge w:val="restart"/>
            <w:tcBorders>
              <w:top w:val="single" w:sz="4" w:space="0" w:color="000000"/>
              <w:left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414" w:right="0"/>
              <w:jc w:val="left"/>
              <w:rPr>
                <w:rFonts w:ascii="宋体" w:hAnsi="宋体" w:cs="宋体" w:eastAsia="宋体" w:hint="default"/>
                <w:sz w:val="18"/>
                <w:szCs w:val="18"/>
              </w:rPr>
            </w:pPr>
            <w:r>
              <w:rPr>
                <w:rFonts w:ascii="宋体" w:hAnsi="宋体" w:cs="宋体" w:eastAsia="宋体" w:hint="default"/>
                <w:sz w:val="18"/>
                <w:szCs w:val="18"/>
              </w:rPr>
              <w:t>主要内容</w:t>
            </w:r>
          </w:p>
        </w:tc>
        <w:tc>
          <w:tcPr>
            <w:tcW w:w="13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396" w:right="0"/>
              <w:jc w:val="left"/>
              <w:rPr>
                <w:rFonts w:ascii="宋体" w:hAnsi="宋体" w:cs="宋体" w:eastAsia="宋体" w:hint="default"/>
                <w:sz w:val="18"/>
                <w:szCs w:val="18"/>
              </w:rPr>
            </w:pPr>
            <w:r>
              <w:rPr>
                <w:rFonts w:ascii="宋体" w:hAnsi="宋体" w:cs="宋体" w:eastAsia="宋体" w:hint="default"/>
                <w:sz w:val="18"/>
                <w:szCs w:val="18"/>
              </w:rPr>
              <w:t>子系统</w:t>
            </w:r>
          </w:p>
        </w:tc>
        <w:tc>
          <w:tcPr>
            <w:tcW w:w="565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5"/>
              <w:ind w:left="10" w:right="0"/>
              <w:jc w:val="center"/>
              <w:rPr>
                <w:rFonts w:ascii="宋体" w:hAnsi="宋体" w:cs="宋体" w:eastAsia="宋体" w:hint="default"/>
                <w:sz w:val="18"/>
                <w:szCs w:val="18"/>
              </w:rPr>
            </w:pPr>
            <w:r>
              <w:rPr>
                <w:rFonts w:ascii="宋体" w:hAnsi="宋体" w:cs="宋体" w:eastAsia="宋体" w:hint="default"/>
                <w:sz w:val="18"/>
                <w:szCs w:val="18"/>
              </w:rPr>
              <w:t>主要功能模块</w:t>
            </w:r>
          </w:p>
        </w:tc>
      </w:tr>
      <w:tr>
        <w:trPr>
          <w:trHeight w:val="356" w:hRule="exact"/>
        </w:trPr>
        <w:tc>
          <w:tcPr>
            <w:tcW w:w="1578" w:type="dxa"/>
            <w:vMerge/>
            <w:tcBorders>
              <w:left w:val="single" w:sz="12" w:space="0" w:color="000000"/>
              <w:right w:val="single" w:sz="4" w:space="0" w:color="000000"/>
            </w:tcBorders>
          </w:tcPr>
          <w:p>
            <w:pPr/>
          </w:p>
        </w:tc>
        <w:tc>
          <w:tcPr>
            <w:tcW w:w="1343" w:type="dxa"/>
            <w:tcBorders>
              <w:top w:val="single" w:sz="4" w:space="0" w:color="000000"/>
              <w:left w:val="single" w:sz="4" w:space="0" w:color="000000"/>
              <w:bottom w:val="nil" w:sz="6" w:space="0" w:color="auto"/>
              <w:right w:val="single" w:sz="4" w:space="0" w:color="000000"/>
            </w:tcBorders>
          </w:tcPr>
          <w:p>
            <w:pPr/>
          </w:p>
        </w:tc>
        <w:tc>
          <w:tcPr>
            <w:tcW w:w="5656" w:type="dxa"/>
            <w:tcBorders>
              <w:top w:val="single" w:sz="4" w:space="0" w:color="000000"/>
              <w:left w:val="single" w:sz="4" w:space="0" w:color="000000"/>
              <w:bottom w:val="nil" w:sz="6" w:space="0" w:color="auto"/>
              <w:right w:val="single" w:sz="12"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居民健康档案管理系统、高血压管理系统、糖尿病管理系统、儿童保</w:t>
            </w:r>
          </w:p>
        </w:tc>
      </w:tr>
      <w:tr>
        <w:trPr>
          <w:trHeight w:val="312" w:hRule="exact"/>
        </w:trPr>
        <w:tc>
          <w:tcPr>
            <w:tcW w:w="1578" w:type="dxa"/>
            <w:vMerge/>
            <w:tcBorders>
              <w:left w:val="single" w:sz="12" w:space="0" w:color="000000"/>
              <w:right w:val="single" w:sz="4" w:space="0" w:color="000000"/>
            </w:tcBorders>
          </w:tcPr>
          <w:p>
            <w:pPr/>
          </w:p>
        </w:tc>
        <w:tc>
          <w:tcPr>
            <w:tcW w:w="1343" w:type="dxa"/>
            <w:tcBorders>
              <w:top w:val="nil" w:sz="6" w:space="0" w:color="auto"/>
              <w:left w:val="single" w:sz="4" w:space="0" w:color="000000"/>
              <w:bottom w:val="nil" w:sz="6" w:space="0" w:color="auto"/>
              <w:right w:val="single" w:sz="4" w:space="0" w:color="000000"/>
            </w:tcBorders>
          </w:tcPr>
          <w:p>
            <w:pPr/>
          </w:p>
        </w:tc>
        <w:tc>
          <w:tcPr>
            <w:tcW w:w="5656" w:type="dxa"/>
            <w:tcBorders>
              <w:top w:val="nil" w:sz="6" w:space="0" w:color="auto"/>
              <w:left w:val="single" w:sz="4" w:space="0" w:color="000000"/>
              <w:bottom w:val="nil" w:sz="6" w:space="0" w:color="auto"/>
              <w:right w:val="single" w:sz="12"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健管理系统、孕产妇健康管理系统、老年人健康管理系统、预防接种</w:t>
            </w:r>
          </w:p>
        </w:tc>
      </w:tr>
      <w:tr>
        <w:trPr>
          <w:trHeight w:val="936" w:hRule="exact"/>
        </w:trPr>
        <w:tc>
          <w:tcPr>
            <w:tcW w:w="1578" w:type="dxa"/>
            <w:vMerge/>
            <w:tcBorders>
              <w:left w:val="single" w:sz="12" w:space="0" w:color="000000"/>
              <w:right w:val="single" w:sz="4" w:space="0" w:color="000000"/>
            </w:tcBorders>
          </w:tcPr>
          <w:p>
            <w:pPr/>
          </w:p>
        </w:tc>
        <w:tc>
          <w:tcPr>
            <w:tcW w:w="134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3" w:right="99"/>
              <w:jc w:val="left"/>
              <w:rPr>
                <w:rFonts w:ascii="宋体" w:hAnsi="宋体" w:cs="宋体" w:eastAsia="宋体" w:hint="default"/>
                <w:sz w:val="18"/>
                <w:szCs w:val="18"/>
              </w:rPr>
            </w:pPr>
            <w:r>
              <w:rPr>
                <w:rFonts w:ascii="宋体" w:hAnsi="宋体" w:cs="宋体" w:eastAsia="宋体" w:hint="default"/>
                <w:spacing w:val="7"/>
                <w:sz w:val="18"/>
                <w:szCs w:val="18"/>
              </w:rPr>
              <w:t>基层公共卫生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管理系统</w:t>
            </w:r>
          </w:p>
        </w:tc>
        <w:tc>
          <w:tcPr>
            <w:tcW w:w="5656" w:type="dxa"/>
            <w:tcBorders>
              <w:top w:val="nil" w:sz="6" w:space="0" w:color="auto"/>
              <w:left w:val="single" w:sz="4" w:space="0" w:color="000000"/>
              <w:bottom w:val="nil" w:sz="6" w:space="0" w:color="auto"/>
              <w:right w:val="single" w:sz="12" w:space="0" w:color="000000"/>
            </w:tcBorders>
          </w:tcPr>
          <w:p>
            <w:pPr>
              <w:pStyle w:val="TableParagraph"/>
              <w:spacing w:line="316"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管理系统、精神病防治管理系统、健康教育管理系统、传染病报告和</w:t>
            </w:r>
            <w:r>
              <w:rPr>
                <w:rFonts w:ascii="宋体" w:hAnsi="宋体" w:cs="宋体" w:eastAsia="宋体" w:hint="default"/>
                <w:spacing w:val="-57"/>
                <w:sz w:val="18"/>
                <w:szCs w:val="18"/>
              </w:rPr>
              <w:t> </w:t>
            </w:r>
            <w:r>
              <w:rPr>
                <w:rFonts w:ascii="宋体" w:hAnsi="宋体" w:cs="宋体" w:eastAsia="宋体" w:hint="default"/>
                <w:spacing w:val="-57"/>
                <w:sz w:val="18"/>
                <w:szCs w:val="18"/>
              </w:rPr>
            </w:r>
            <w:r>
              <w:rPr>
                <w:rFonts w:ascii="宋体" w:hAnsi="宋体" w:cs="宋体" w:eastAsia="宋体" w:hint="default"/>
                <w:spacing w:val="-2"/>
                <w:sz w:val="18"/>
                <w:szCs w:val="18"/>
              </w:rPr>
              <w:t>管理系统、肿瘤管理系统、心血管疾病管理系统、伤害监测管理系统、</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牙病防治管理系统、家庭病床管理系统、康复管理系统、职业病防治</w:t>
            </w:r>
          </w:p>
        </w:tc>
      </w:tr>
      <w:tr>
        <w:trPr>
          <w:trHeight w:val="312" w:hRule="exact"/>
        </w:trPr>
        <w:tc>
          <w:tcPr>
            <w:tcW w:w="1578" w:type="dxa"/>
            <w:vMerge/>
            <w:tcBorders>
              <w:left w:val="single" w:sz="12" w:space="0" w:color="000000"/>
              <w:right w:val="single" w:sz="4" w:space="0" w:color="000000"/>
            </w:tcBorders>
          </w:tcPr>
          <w:p>
            <w:pPr/>
          </w:p>
        </w:tc>
        <w:tc>
          <w:tcPr>
            <w:tcW w:w="1343" w:type="dxa"/>
            <w:tcBorders>
              <w:top w:val="nil" w:sz="6" w:space="0" w:color="auto"/>
              <w:left w:val="single" w:sz="4" w:space="0" w:color="000000"/>
              <w:bottom w:val="nil" w:sz="6" w:space="0" w:color="auto"/>
              <w:right w:val="single" w:sz="4" w:space="0" w:color="000000"/>
            </w:tcBorders>
          </w:tcPr>
          <w:p>
            <w:pPr/>
          </w:p>
        </w:tc>
        <w:tc>
          <w:tcPr>
            <w:tcW w:w="5656" w:type="dxa"/>
            <w:tcBorders>
              <w:top w:val="nil" w:sz="6" w:space="0" w:color="auto"/>
              <w:left w:val="single" w:sz="4" w:space="0" w:color="000000"/>
              <w:bottom w:val="nil" w:sz="6" w:space="0" w:color="auto"/>
              <w:right w:val="single" w:sz="12"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管理系统、学生健康档案管理系统、村卫生室管理系统、移动上门随</w:t>
            </w:r>
          </w:p>
        </w:tc>
      </w:tr>
      <w:tr>
        <w:trPr>
          <w:trHeight w:val="358" w:hRule="exact"/>
        </w:trPr>
        <w:tc>
          <w:tcPr>
            <w:tcW w:w="1578" w:type="dxa"/>
            <w:vMerge/>
            <w:tcBorders>
              <w:left w:val="single" w:sz="12" w:space="0" w:color="000000"/>
              <w:bottom w:val="single" w:sz="4" w:space="0" w:color="000000"/>
              <w:right w:val="single" w:sz="4" w:space="0" w:color="000000"/>
            </w:tcBorders>
          </w:tcPr>
          <w:p>
            <w:pPr/>
          </w:p>
        </w:tc>
        <w:tc>
          <w:tcPr>
            <w:tcW w:w="1343" w:type="dxa"/>
            <w:tcBorders>
              <w:top w:val="nil" w:sz="6" w:space="0" w:color="auto"/>
              <w:left w:val="single" w:sz="4" w:space="0" w:color="000000"/>
              <w:bottom w:val="single" w:sz="4" w:space="0" w:color="000000"/>
              <w:right w:val="single" w:sz="4" w:space="0" w:color="000000"/>
            </w:tcBorders>
          </w:tcPr>
          <w:p>
            <w:pPr/>
          </w:p>
        </w:tc>
        <w:tc>
          <w:tcPr>
            <w:tcW w:w="5656" w:type="dxa"/>
            <w:tcBorders>
              <w:top w:val="nil" w:sz="6" w:space="0" w:color="auto"/>
              <w:left w:val="single" w:sz="4" w:space="0" w:color="000000"/>
              <w:bottom w:val="single" w:sz="4" w:space="0" w:color="000000"/>
              <w:right w:val="single" w:sz="12"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访系统</w:t>
            </w:r>
          </w:p>
        </w:tc>
      </w:tr>
      <w:tr>
        <w:trPr>
          <w:trHeight w:val="492" w:hRule="exact"/>
        </w:trPr>
        <w:tc>
          <w:tcPr>
            <w:tcW w:w="157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6"/>
              <w:ind w:right="9"/>
              <w:jc w:val="center"/>
              <w:rPr>
                <w:rFonts w:ascii="宋体" w:hAnsi="宋体" w:cs="宋体" w:eastAsia="宋体" w:hint="default"/>
                <w:sz w:val="18"/>
                <w:szCs w:val="18"/>
              </w:rPr>
            </w:pPr>
            <w:r>
              <w:rPr>
                <w:rFonts w:ascii="宋体" w:hAnsi="宋体" w:cs="宋体" w:eastAsia="宋体" w:hint="default"/>
                <w:sz w:val="18"/>
                <w:szCs w:val="18"/>
              </w:rPr>
              <w:t>应用领域</w:t>
            </w:r>
          </w:p>
        </w:tc>
        <w:tc>
          <w:tcPr>
            <w:tcW w:w="6999" w:type="dxa"/>
            <w:gridSpan w:val="2"/>
            <w:tcBorders>
              <w:top w:val="single" w:sz="4" w:space="0" w:color="000000"/>
              <w:left w:val="single" w:sz="4" w:space="0" w:color="000000"/>
              <w:bottom w:val="single" w:sz="4" w:space="0" w:color="000000"/>
              <w:right w:val="single" w:sz="12" w:space="0" w:color="000000"/>
            </w:tcBorders>
          </w:tcPr>
          <w:p>
            <w:pPr>
              <w:pStyle w:val="TableParagraph"/>
              <w:spacing w:line="240" w:lineRule="auto" w:before="96"/>
              <w:ind w:left="103" w:right="0"/>
              <w:jc w:val="left"/>
              <w:rPr>
                <w:rFonts w:ascii="宋体" w:hAnsi="宋体" w:cs="宋体" w:eastAsia="宋体" w:hint="default"/>
                <w:sz w:val="18"/>
                <w:szCs w:val="18"/>
              </w:rPr>
            </w:pPr>
            <w:r>
              <w:rPr>
                <w:rFonts w:ascii="宋体" w:hAnsi="宋体" w:cs="宋体" w:eastAsia="宋体" w:hint="default"/>
                <w:sz w:val="18"/>
                <w:szCs w:val="18"/>
              </w:rPr>
              <w:t>基层公共卫生管理</w:t>
            </w:r>
          </w:p>
        </w:tc>
      </w:tr>
      <w:tr>
        <w:trPr>
          <w:trHeight w:val="358" w:hRule="exact"/>
        </w:trPr>
        <w:tc>
          <w:tcPr>
            <w:tcW w:w="1578" w:type="dxa"/>
            <w:tcBorders>
              <w:top w:val="single" w:sz="4" w:space="0" w:color="000000"/>
              <w:left w:val="single" w:sz="12" w:space="0" w:color="000000"/>
              <w:bottom w:val="nil" w:sz="6" w:space="0" w:color="auto"/>
              <w:right w:val="single" w:sz="4" w:space="0" w:color="000000"/>
            </w:tcBorders>
          </w:tcPr>
          <w:p>
            <w:pPr/>
          </w:p>
        </w:tc>
        <w:tc>
          <w:tcPr>
            <w:tcW w:w="6999" w:type="dxa"/>
            <w:gridSpan w:val="2"/>
            <w:tcBorders>
              <w:top w:val="single" w:sz="4" w:space="0" w:color="000000"/>
              <w:left w:val="single" w:sz="4" w:space="0" w:color="000000"/>
              <w:bottom w:val="nil" w:sz="6" w:space="0" w:color="auto"/>
              <w:right w:val="single" w:sz="12"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满足城乡居民健康档案管理、基本医疗服务、基本公共卫生服务、基层卫生管理、健康</w:t>
            </w:r>
          </w:p>
        </w:tc>
      </w:tr>
      <w:tr>
        <w:trPr>
          <w:trHeight w:val="312" w:hRule="exact"/>
        </w:trPr>
        <w:tc>
          <w:tcPr>
            <w:tcW w:w="1578" w:type="dxa"/>
            <w:tcBorders>
              <w:top w:val="nil" w:sz="6" w:space="0" w:color="auto"/>
              <w:left w:val="single" w:sz="12" w:space="0" w:color="000000"/>
              <w:bottom w:val="nil" w:sz="6" w:space="0" w:color="auto"/>
              <w:right w:val="single" w:sz="4" w:space="0" w:color="000000"/>
            </w:tcBorders>
          </w:tcPr>
          <w:p>
            <w:pPr>
              <w:pStyle w:val="TableParagraph"/>
              <w:spacing w:line="240" w:lineRule="auto" w:before="10"/>
              <w:ind w:right="9"/>
              <w:jc w:val="center"/>
              <w:rPr>
                <w:rFonts w:ascii="宋体" w:hAnsi="宋体" w:cs="宋体" w:eastAsia="宋体" w:hint="default"/>
                <w:sz w:val="18"/>
                <w:szCs w:val="18"/>
              </w:rPr>
            </w:pPr>
            <w:r>
              <w:rPr>
                <w:rFonts w:ascii="宋体" w:hAnsi="宋体" w:cs="宋体" w:eastAsia="宋体" w:hint="default"/>
                <w:sz w:val="18"/>
                <w:szCs w:val="18"/>
              </w:rPr>
              <w:t>作用</w:t>
            </w:r>
          </w:p>
        </w:tc>
        <w:tc>
          <w:tcPr>
            <w:tcW w:w="6999" w:type="dxa"/>
            <w:gridSpan w:val="2"/>
            <w:tcBorders>
              <w:top w:val="nil" w:sz="6" w:space="0" w:color="auto"/>
              <w:left w:val="single" w:sz="4" w:space="0" w:color="000000"/>
              <w:bottom w:val="nil" w:sz="6" w:space="0" w:color="auto"/>
              <w:right w:val="single" w:sz="12"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信息服务以及医疗卫生服务协同的要求的信息系统，能有效提高基层医疗卫生服务的能</w:t>
            </w:r>
          </w:p>
        </w:tc>
      </w:tr>
      <w:tr>
        <w:trPr>
          <w:trHeight w:val="356" w:hRule="exact"/>
        </w:trPr>
        <w:tc>
          <w:tcPr>
            <w:tcW w:w="1578" w:type="dxa"/>
            <w:tcBorders>
              <w:top w:val="nil" w:sz="6" w:space="0" w:color="auto"/>
              <w:left w:val="single" w:sz="12" w:space="0" w:color="000000"/>
              <w:bottom w:val="single" w:sz="4" w:space="0" w:color="000000"/>
              <w:right w:val="single" w:sz="4" w:space="0" w:color="000000"/>
            </w:tcBorders>
          </w:tcPr>
          <w:p>
            <w:pPr/>
          </w:p>
        </w:tc>
        <w:tc>
          <w:tcPr>
            <w:tcW w:w="6999" w:type="dxa"/>
            <w:gridSpan w:val="2"/>
            <w:tcBorders>
              <w:top w:val="nil" w:sz="6" w:space="0" w:color="auto"/>
              <w:left w:val="single" w:sz="4" w:space="0" w:color="000000"/>
              <w:bottom w:val="single" w:sz="4" w:space="0" w:color="000000"/>
              <w:right w:val="single" w:sz="12"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力和工作质量，提升基层医疗卫生服务管理水平</w:t>
            </w:r>
          </w:p>
        </w:tc>
      </w:tr>
      <w:tr>
        <w:trPr>
          <w:trHeight w:val="502" w:hRule="exact"/>
        </w:trPr>
        <w:tc>
          <w:tcPr>
            <w:tcW w:w="1578"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95"/>
              <w:ind w:right="8"/>
              <w:jc w:val="center"/>
              <w:rPr>
                <w:rFonts w:ascii="宋体" w:hAnsi="宋体" w:cs="宋体" w:eastAsia="宋体" w:hint="default"/>
                <w:sz w:val="18"/>
                <w:szCs w:val="18"/>
              </w:rPr>
            </w:pPr>
            <w:r>
              <w:rPr>
                <w:rFonts w:ascii="宋体" w:hAnsi="宋体" w:cs="宋体" w:eastAsia="宋体" w:hint="default"/>
                <w:spacing w:val="-10"/>
                <w:sz w:val="18"/>
                <w:szCs w:val="18"/>
              </w:rPr>
              <w:t>销售（服务）对象</w:t>
            </w:r>
          </w:p>
        </w:tc>
        <w:tc>
          <w:tcPr>
            <w:tcW w:w="6999" w:type="dxa"/>
            <w:gridSpan w:val="2"/>
            <w:tcBorders>
              <w:top w:val="single" w:sz="4" w:space="0" w:color="000000"/>
              <w:left w:val="single" w:sz="4" w:space="0" w:color="000000"/>
              <w:bottom w:val="single" w:sz="12" w:space="0" w:color="000000"/>
              <w:right w:val="single" w:sz="12" w:space="0" w:color="000000"/>
            </w:tcBorders>
          </w:tcPr>
          <w:p>
            <w:pPr>
              <w:pStyle w:val="TableParagraph"/>
              <w:spacing w:line="240" w:lineRule="auto" w:before="95"/>
              <w:ind w:left="103" w:right="0"/>
              <w:jc w:val="left"/>
              <w:rPr>
                <w:rFonts w:ascii="宋体" w:hAnsi="宋体" w:cs="宋体" w:eastAsia="宋体" w:hint="default"/>
                <w:sz w:val="18"/>
                <w:szCs w:val="18"/>
              </w:rPr>
            </w:pPr>
            <w:r>
              <w:rPr>
                <w:rFonts w:ascii="宋体" w:hAnsi="宋体" w:cs="宋体" w:eastAsia="宋体" w:hint="default"/>
                <w:sz w:val="18"/>
                <w:szCs w:val="18"/>
              </w:rPr>
              <w:t>各级卫生管理部门及社区卫生中心</w:t>
            </w:r>
          </w:p>
        </w:tc>
      </w:tr>
    </w:tbl>
    <w:p>
      <w:pPr>
        <w:pStyle w:val="BodyText"/>
        <w:spacing w:line="338" w:lineRule="auto" w:before="52"/>
        <w:ind w:left="472" w:right="0"/>
        <w:jc w:val="left"/>
      </w:pPr>
      <w:r>
        <w:rPr/>
        <w:t>（</w:t>
      </w:r>
      <w:r>
        <w:rPr>
          <w:rFonts w:ascii="Times New Roman" w:hAnsi="Times New Roman" w:cs="Times New Roman" w:eastAsia="Times New Roman" w:hint="default"/>
        </w:rPr>
        <w:t>2</w:t>
      </w:r>
      <w:r>
        <w:rPr/>
        <w:t>）区域卫生信息平台 </w:t>
      </w:r>
      <w:r>
        <w:rPr>
          <w:spacing w:val="-2"/>
        </w:rPr>
        <w:t>区域卫生信息平台是连接规划区域内（医疗卫生机构、行政业务管理单位及各相关卫生机构）各机构的基本业务信息系</w:t>
      </w:r>
    </w:p>
    <w:p>
      <w:pPr>
        <w:pStyle w:val="BodyText"/>
        <w:spacing w:line="240" w:lineRule="auto" w:before="2"/>
        <w:ind w:right="0"/>
        <w:jc w:val="left"/>
      </w:pPr>
      <w:r>
        <w:rPr/>
        <w:t>统的数据交换和共享平台，是区域内各医疗卫生信息系统之间进行有效的信息整合的基础和载体。</w:t>
      </w:r>
    </w:p>
    <w:p>
      <w:pPr>
        <w:spacing w:after="0" w:line="240" w:lineRule="auto"/>
        <w:jc w:val="left"/>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654" w:type="dxa"/>
        <w:tblLayout w:type="fixed"/>
        <w:tblCellMar>
          <w:top w:w="0" w:type="dxa"/>
          <w:left w:w="0" w:type="dxa"/>
          <w:bottom w:w="0" w:type="dxa"/>
          <w:right w:w="0" w:type="dxa"/>
        </w:tblCellMar>
        <w:tblLook w:val="01E0"/>
      </w:tblPr>
      <w:tblGrid>
        <w:gridCol w:w="1939"/>
        <w:gridCol w:w="1148"/>
        <w:gridCol w:w="5441"/>
      </w:tblGrid>
      <w:tr>
        <w:trPr>
          <w:trHeight w:val="505" w:hRule="exact"/>
        </w:trPr>
        <w:tc>
          <w:tcPr>
            <w:tcW w:w="193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98"/>
              <w:ind w:right="6"/>
              <w:jc w:val="center"/>
              <w:rPr>
                <w:rFonts w:ascii="宋体" w:hAnsi="宋体" w:cs="宋体" w:eastAsia="宋体" w:hint="default"/>
                <w:sz w:val="18"/>
                <w:szCs w:val="18"/>
              </w:rPr>
            </w:pPr>
            <w:r>
              <w:rPr>
                <w:rFonts w:ascii="宋体" w:hAnsi="宋体" w:cs="宋体" w:eastAsia="宋体" w:hint="default"/>
                <w:b/>
                <w:bCs/>
                <w:sz w:val="18"/>
                <w:szCs w:val="18"/>
              </w:rPr>
              <w:t>产品类别</w:t>
            </w:r>
            <w:r>
              <w:rPr>
                <w:rFonts w:ascii="宋体" w:hAnsi="宋体" w:cs="宋体" w:eastAsia="宋体" w:hint="default"/>
                <w:sz w:val="18"/>
                <w:szCs w:val="18"/>
              </w:rPr>
            </w:r>
          </w:p>
        </w:tc>
        <w:tc>
          <w:tcPr>
            <w:tcW w:w="6589" w:type="dxa"/>
            <w:gridSpan w:val="2"/>
            <w:tcBorders>
              <w:top w:val="single" w:sz="12" w:space="0" w:color="000000"/>
              <w:left w:val="single" w:sz="6" w:space="0" w:color="000000"/>
              <w:bottom w:val="single" w:sz="6" w:space="0" w:color="000000"/>
              <w:right w:val="single" w:sz="12" w:space="0" w:color="000000"/>
            </w:tcBorders>
          </w:tcPr>
          <w:p>
            <w:pPr>
              <w:pStyle w:val="TableParagraph"/>
              <w:spacing w:line="240" w:lineRule="auto" w:before="98"/>
              <w:ind w:left="10" w:right="0"/>
              <w:jc w:val="center"/>
              <w:rPr>
                <w:rFonts w:ascii="宋体" w:hAnsi="宋体" w:cs="宋体" w:eastAsia="宋体" w:hint="default"/>
                <w:sz w:val="18"/>
                <w:szCs w:val="18"/>
              </w:rPr>
            </w:pPr>
            <w:r>
              <w:rPr>
                <w:rFonts w:ascii="宋体" w:hAnsi="宋体" w:cs="宋体" w:eastAsia="宋体" w:hint="default"/>
                <w:b/>
                <w:bCs/>
                <w:sz w:val="18"/>
                <w:szCs w:val="18"/>
              </w:rPr>
              <w:t>区域卫生信息平台</w:t>
            </w:r>
            <w:r>
              <w:rPr>
                <w:rFonts w:ascii="宋体" w:hAnsi="宋体" w:cs="宋体" w:eastAsia="宋体" w:hint="default"/>
                <w:sz w:val="18"/>
                <w:szCs w:val="18"/>
              </w:rPr>
            </w:r>
          </w:p>
        </w:tc>
      </w:tr>
      <w:tr>
        <w:trPr>
          <w:trHeight w:val="497" w:hRule="exact"/>
        </w:trPr>
        <w:tc>
          <w:tcPr>
            <w:tcW w:w="1939" w:type="dxa"/>
            <w:vMerge w:val="restart"/>
            <w:tcBorders>
              <w:top w:val="single" w:sz="6" w:space="0" w:color="000000"/>
              <w:left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593" w:right="0"/>
              <w:jc w:val="left"/>
              <w:rPr>
                <w:rFonts w:ascii="宋体" w:hAnsi="宋体" w:cs="宋体" w:eastAsia="宋体" w:hint="default"/>
                <w:sz w:val="18"/>
                <w:szCs w:val="18"/>
              </w:rPr>
            </w:pPr>
            <w:r>
              <w:rPr>
                <w:rFonts w:ascii="宋体" w:hAnsi="宋体" w:cs="宋体" w:eastAsia="宋体" w:hint="default"/>
                <w:sz w:val="18"/>
                <w:szCs w:val="18"/>
              </w:rPr>
              <w:t>主要内容</w:t>
            </w:r>
          </w:p>
        </w:tc>
        <w:tc>
          <w:tcPr>
            <w:tcW w:w="11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7"/>
              <w:ind w:left="295" w:right="0"/>
              <w:jc w:val="left"/>
              <w:rPr>
                <w:rFonts w:ascii="宋体" w:hAnsi="宋体" w:cs="宋体" w:eastAsia="宋体" w:hint="default"/>
                <w:sz w:val="18"/>
                <w:szCs w:val="18"/>
              </w:rPr>
            </w:pPr>
            <w:r>
              <w:rPr>
                <w:rFonts w:ascii="宋体" w:hAnsi="宋体" w:cs="宋体" w:eastAsia="宋体" w:hint="default"/>
                <w:sz w:val="18"/>
                <w:szCs w:val="18"/>
              </w:rPr>
              <w:t>子系统</w:t>
            </w:r>
          </w:p>
        </w:tc>
        <w:tc>
          <w:tcPr>
            <w:tcW w:w="54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7"/>
              <w:ind w:left="4" w:right="0"/>
              <w:jc w:val="center"/>
              <w:rPr>
                <w:rFonts w:ascii="宋体" w:hAnsi="宋体" w:cs="宋体" w:eastAsia="宋体" w:hint="default"/>
                <w:sz w:val="18"/>
                <w:szCs w:val="18"/>
              </w:rPr>
            </w:pPr>
            <w:r>
              <w:rPr>
                <w:rFonts w:ascii="宋体" w:hAnsi="宋体" w:cs="宋体" w:eastAsia="宋体" w:hint="default"/>
                <w:sz w:val="18"/>
                <w:szCs w:val="18"/>
              </w:rPr>
              <w:t>主要功能模块</w:t>
            </w:r>
          </w:p>
        </w:tc>
      </w:tr>
      <w:tr>
        <w:trPr>
          <w:trHeight w:val="719" w:hRule="exact"/>
        </w:trPr>
        <w:tc>
          <w:tcPr>
            <w:tcW w:w="1939" w:type="dxa"/>
            <w:vMerge/>
            <w:tcBorders>
              <w:left w:val="single" w:sz="12" w:space="0" w:color="000000"/>
              <w:right w:val="single" w:sz="6" w:space="0" w:color="000000"/>
            </w:tcBorders>
          </w:tcPr>
          <w:p>
            <w:pPr/>
          </w:p>
        </w:tc>
        <w:tc>
          <w:tcPr>
            <w:tcW w:w="114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1"/>
              <w:ind w:left="295" w:right="115" w:hanging="180"/>
              <w:jc w:val="left"/>
              <w:rPr>
                <w:rFonts w:ascii="宋体" w:hAnsi="宋体" w:cs="宋体" w:eastAsia="宋体" w:hint="default"/>
                <w:sz w:val="18"/>
                <w:szCs w:val="18"/>
              </w:rPr>
            </w:pPr>
            <w:r>
              <w:rPr>
                <w:rFonts w:ascii="宋体" w:hAnsi="宋体" w:cs="宋体" w:eastAsia="宋体" w:hint="default"/>
                <w:sz w:val="18"/>
                <w:szCs w:val="18"/>
              </w:rPr>
              <w:t>卫生数据交 换平台</w:t>
            </w:r>
          </w:p>
        </w:tc>
        <w:tc>
          <w:tcPr>
            <w:tcW w:w="5441"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51"/>
              <w:ind w:left="100" w:right="91"/>
              <w:jc w:val="left"/>
              <w:rPr>
                <w:rFonts w:ascii="宋体" w:hAnsi="宋体" w:cs="宋体" w:eastAsia="宋体" w:hint="default"/>
                <w:sz w:val="18"/>
                <w:szCs w:val="18"/>
              </w:rPr>
            </w:pPr>
            <w:r>
              <w:rPr>
                <w:rFonts w:ascii="宋体" w:hAnsi="宋体" w:cs="宋体" w:eastAsia="宋体" w:hint="default"/>
                <w:sz w:val="18"/>
                <w:szCs w:val="18"/>
              </w:rPr>
              <w:t>数据共享交换平台、与医院系统的接口、与基层卫生系统的接口、</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与卫生管理机构业务系统的接口、与其他部门系统的接口</w:t>
            </w:r>
          </w:p>
        </w:tc>
      </w:tr>
      <w:tr>
        <w:trPr>
          <w:trHeight w:val="1967" w:hRule="exact"/>
        </w:trPr>
        <w:tc>
          <w:tcPr>
            <w:tcW w:w="1939" w:type="dxa"/>
            <w:vMerge/>
            <w:tcBorders>
              <w:left w:val="single" w:sz="12" w:space="0" w:color="000000"/>
              <w:bottom w:val="single" w:sz="6" w:space="0" w:color="000000"/>
              <w:right w:val="single" w:sz="6" w:space="0" w:color="000000"/>
            </w:tcBorders>
          </w:tcPr>
          <w:p>
            <w:pPr/>
          </w:p>
        </w:tc>
        <w:tc>
          <w:tcPr>
            <w:tcW w:w="11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15" w:right="115"/>
              <w:jc w:val="left"/>
              <w:rPr>
                <w:rFonts w:ascii="宋体" w:hAnsi="宋体" w:cs="宋体" w:eastAsia="宋体" w:hint="default"/>
                <w:sz w:val="18"/>
                <w:szCs w:val="18"/>
              </w:rPr>
            </w:pPr>
            <w:r>
              <w:rPr>
                <w:rFonts w:ascii="宋体" w:hAnsi="宋体" w:cs="宋体" w:eastAsia="宋体" w:hint="default"/>
                <w:sz w:val="18"/>
                <w:szCs w:val="18"/>
              </w:rPr>
              <w:t>公共卫生管 理应用系统</w:t>
            </w:r>
          </w:p>
        </w:tc>
        <w:tc>
          <w:tcPr>
            <w:tcW w:w="5441" w:type="dxa"/>
            <w:tcBorders>
              <w:top w:val="single" w:sz="6" w:space="0" w:color="000000"/>
              <w:left w:val="single" w:sz="6" w:space="0" w:color="000000"/>
              <w:bottom w:val="single" w:sz="6" w:space="0" w:color="000000"/>
              <w:right w:val="single" w:sz="12" w:space="0" w:color="000000"/>
            </w:tcBorders>
          </w:tcPr>
          <w:p>
            <w:pPr>
              <w:pStyle w:val="TableParagraph"/>
              <w:spacing w:line="314" w:lineRule="auto" w:before="52"/>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MPI </w:t>
            </w:r>
            <w:r>
              <w:rPr>
                <w:rFonts w:ascii="宋体" w:hAnsi="宋体" w:cs="宋体" w:eastAsia="宋体" w:hint="default"/>
                <w:spacing w:val="2"/>
                <w:sz w:val="18"/>
                <w:szCs w:val="18"/>
              </w:rPr>
              <w:t>与健康卡管理系统、健康档案浏览器（</w:t>
            </w:r>
            <w:r>
              <w:rPr>
                <w:rFonts w:ascii="Times New Roman" w:hAnsi="Times New Roman" w:cs="Times New Roman" w:eastAsia="Times New Roman" w:hint="default"/>
                <w:spacing w:val="2"/>
                <w:sz w:val="18"/>
                <w:szCs w:val="18"/>
              </w:rPr>
              <w:t>EHR</w:t>
            </w: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VIEW</w:t>
            </w:r>
            <w:r>
              <w:rPr>
                <w:rFonts w:ascii="宋体" w:hAnsi="宋体" w:cs="宋体" w:eastAsia="宋体" w:hint="default"/>
                <w:spacing w:val="2"/>
                <w:sz w:val="18"/>
                <w:szCs w:val="18"/>
              </w:rPr>
              <w:t>）、双向</w:t>
            </w:r>
            <w:r>
              <w:rPr>
                <w:rFonts w:ascii="宋体" w:hAnsi="宋体" w:cs="宋体" w:eastAsia="宋体" w:hint="default"/>
                <w:sz w:val="18"/>
                <w:szCs w:val="18"/>
              </w:rPr>
              <w:t> </w:t>
            </w:r>
            <w:r>
              <w:rPr>
                <w:rFonts w:ascii="宋体" w:hAnsi="宋体" w:cs="宋体" w:eastAsia="宋体" w:hint="default"/>
                <w:spacing w:val="-3"/>
                <w:sz w:val="18"/>
                <w:szCs w:val="18"/>
              </w:rPr>
              <w:t>转诊系统、检验中心系统、区域影像会诊系统、远程医疗会诊系统、</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远程教育培训系统、、药品物流管理与用药监管系统、居民健康服</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务网、医疗业务监管系统、公共卫生业务监管系统、卫生综合管理</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系统、区域卫生决策支持系统、区域医疗卫生全面预算管理系统、</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区域医疗卫生机构绩效考核系统、区域医疗卫生资金拨付系统</w:t>
            </w:r>
          </w:p>
        </w:tc>
      </w:tr>
      <w:tr>
        <w:trPr>
          <w:trHeight w:val="497" w:hRule="exact"/>
        </w:trPr>
        <w:tc>
          <w:tcPr>
            <w:tcW w:w="19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6"/>
              <w:ind w:right="8"/>
              <w:jc w:val="center"/>
              <w:rPr>
                <w:rFonts w:ascii="宋体" w:hAnsi="宋体" w:cs="宋体" w:eastAsia="宋体" w:hint="default"/>
                <w:sz w:val="18"/>
                <w:szCs w:val="18"/>
              </w:rPr>
            </w:pPr>
            <w:r>
              <w:rPr>
                <w:rFonts w:ascii="宋体" w:hAnsi="宋体" w:cs="宋体" w:eastAsia="宋体" w:hint="default"/>
                <w:sz w:val="18"/>
                <w:szCs w:val="18"/>
              </w:rPr>
              <w:t>应用领域</w:t>
            </w:r>
          </w:p>
        </w:tc>
        <w:tc>
          <w:tcPr>
            <w:tcW w:w="6589" w:type="dxa"/>
            <w:gridSpan w:val="2"/>
            <w:tcBorders>
              <w:top w:val="single" w:sz="6" w:space="0" w:color="000000"/>
              <w:left w:val="single" w:sz="6" w:space="0" w:color="000000"/>
              <w:bottom w:val="single" w:sz="6" w:space="0" w:color="000000"/>
              <w:right w:val="single" w:sz="12" w:space="0" w:color="000000"/>
            </w:tcBorders>
          </w:tcPr>
          <w:p>
            <w:pPr>
              <w:pStyle w:val="TableParagraph"/>
              <w:spacing w:line="240" w:lineRule="auto" w:before="96"/>
              <w:ind w:left="101" w:right="0"/>
              <w:jc w:val="left"/>
              <w:rPr>
                <w:rFonts w:ascii="宋体" w:hAnsi="宋体" w:cs="宋体" w:eastAsia="宋体" w:hint="default"/>
                <w:sz w:val="18"/>
                <w:szCs w:val="18"/>
              </w:rPr>
            </w:pPr>
            <w:r>
              <w:rPr>
                <w:rFonts w:ascii="宋体" w:hAnsi="宋体" w:cs="宋体" w:eastAsia="宋体" w:hint="default"/>
                <w:sz w:val="18"/>
                <w:szCs w:val="18"/>
              </w:rPr>
              <w:t>区域公共卫生网络化、动态化、实时性监控和管理决策</w:t>
            </w:r>
          </w:p>
        </w:tc>
      </w:tr>
      <w:tr>
        <w:trPr>
          <w:trHeight w:val="719" w:hRule="exact"/>
        </w:trPr>
        <w:tc>
          <w:tcPr>
            <w:tcW w:w="19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8"/>
              <w:jc w:val="center"/>
              <w:rPr>
                <w:rFonts w:ascii="宋体" w:hAnsi="宋体" w:cs="宋体" w:eastAsia="宋体" w:hint="default"/>
                <w:sz w:val="18"/>
                <w:szCs w:val="18"/>
              </w:rPr>
            </w:pPr>
            <w:r>
              <w:rPr>
                <w:rFonts w:ascii="宋体" w:hAnsi="宋体" w:cs="宋体" w:eastAsia="宋体" w:hint="default"/>
                <w:sz w:val="18"/>
                <w:szCs w:val="18"/>
              </w:rPr>
              <w:t>作用</w:t>
            </w:r>
          </w:p>
        </w:tc>
        <w:tc>
          <w:tcPr>
            <w:tcW w:w="6589" w:type="dxa"/>
            <w:gridSpan w:val="2"/>
            <w:tcBorders>
              <w:top w:val="single" w:sz="6" w:space="0" w:color="000000"/>
              <w:left w:val="single" w:sz="6" w:space="0" w:color="000000"/>
              <w:bottom w:val="single" w:sz="6" w:space="0" w:color="000000"/>
              <w:right w:val="single" w:sz="12" w:space="0" w:color="000000"/>
            </w:tcBorders>
          </w:tcPr>
          <w:p>
            <w:pPr>
              <w:pStyle w:val="TableParagraph"/>
              <w:spacing w:line="316" w:lineRule="auto" w:before="50"/>
              <w:ind w:left="101" w:right="92"/>
              <w:jc w:val="left"/>
              <w:rPr>
                <w:rFonts w:ascii="宋体" w:hAnsi="宋体" w:cs="宋体" w:eastAsia="宋体" w:hint="default"/>
                <w:sz w:val="18"/>
                <w:szCs w:val="18"/>
              </w:rPr>
            </w:pPr>
            <w:r>
              <w:rPr>
                <w:rFonts w:ascii="宋体" w:hAnsi="宋体" w:cs="宋体" w:eastAsia="宋体" w:hint="default"/>
                <w:sz w:val="18"/>
                <w:szCs w:val="18"/>
              </w:rPr>
              <w:t>实现区域内各医疗卫生机构之间的医疗信息交换与共享，提高医疗卫生机构的工</w:t>
            </w:r>
            <w:r>
              <w:rPr>
                <w:rFonts w:ascii="宋体" w:hAnsi="宋体" w:cs="宋体" w:eastAsia="宋体" w:hint="default"/>
                <w:spacing w:val="-31"/>
                <w:sz w:val="18"/>
                <w:szCs w:val="18"/>
              </w:rPr>
              <w:t> </w:t>
            </w:r>
            <w:r>
              <w:rPr>
                <w:rFonts w:ascii="宋体" w:hAnsi="宋体" w:cs="宋体" w:eastAsia="宋体" w:hint="default"/>
                <w:spacing w:val="-31"/>
                <w:sz w:val="18"/>
                <w:szCs w:val="18"/>
              </w:rPr>
            </w:r>
            <w:r>
              <w:rPr>
                <w:rFonts w:ascii="宋体" w:hAnsi="宋体" w:cs="宋体" w:eastAsia="宋体" w:hint="default"/>
                <w:sz w:val="18"/>
                <w:szCs w:val="18"/>
              </w:rPr>
              <w:t>作效率和管理水平</w:t>
            </w:r>
          </w:p>
        </w:tc>
      </w:tr>
      <w:tr>
        <w:trPr>
          <w:trHeight w:val="504" w:hRule="exact"/>
        </w:trPr>
        <w:tc>
          <w:tcPr>
            <w:tcW w:w="193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97"/>
              <w:ind w:right="8"/>
              <w:jc w:val="center"/>
              <w:rPr>
                <w:rFonts w:ascii="宋体" w:hAnsi="宋体" w:cs="宋体" w:eastAsia="宋体" w:hint="default"/>
                <w:sz w:val="18"/>
                <w:szCs w:val="18"/>
              </w:rPr>
            </w:pPr>
            <w:r>
              <w:rPr>
                <w:rFonts w:ascii="宋体" w:hAnsi="宋体" w:cs="宋体" w:eastAsia="宋体" w:hint="default"/>
                <w:sz w:val="18"/>
                <w:szCs w:val="18"/>
              </w:rPr>
              <w:t>销售（服务）对象</w:t>
            </w:r>
          </w:p>
        </w:tc>
        <w:tc>
          <w:tcPr>
            <w:tcW w:w="6589" w:type="dxa"/>
            <w:gridSpan w:val="2"/>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7"/>
              <w:ind w:left="101" w:right="0"/>
              <w:jc w:val="left"/>
              <w:rPr>
                <w:rFonts w:ascii="宋体" w:hAnsi="宋体" w:cs="宋体" w:eastAsia="宋体" w:hint="default"/>
                <w:sz w:val="18"/>
                <w:szCs w:val="18"/>
              </w:rPr>
            </w:pPr>
            <w:r>
              <w:rPr>
                <w:rFonts w:ascii="宋体" w:hAnsi="宋体" w:cs="宋体" w:eastAsia="宋体" w:hint="default"/>
                <w:sz w:val="18"/>
                <w:szCs w:val="18"/>
              </w:rPr>
              <w:t>各级卫生管理部门、疾病控制机构、妇幼保健机构等</w:t>
            </w:r>
          </w:p>
        </w:tc>
      </w:tr>
    </w:tbl>
    <w:p>
      <w:pPr>
        <w:pStyle w:val="BodyText"/>
        <w:spacing w:line="340" w:lineRule="auto" w:before="51"/>
        <w:ind w:left="472" w:right="0"/>
        <w:jc w:val="left"/>
      </w:pPr>
      <w:r>
        <w:rPr>
          <w:rFonts w:ascii="Times New Roman" w:hAnsi="Times New Roman" w:cs="Times New Roman" w:eastAsia="Times New Roman" w:hint="default"/>
        </w:rPr>
        <w:t>3</w:t>
      </w:r>
      <w:r>
        <w:rPr/>
        <w:t>、医疗大数据和人工智能产品 </w:t>
      </w:r>
      <w:r>
        <w:rPr>
          <w:spacing w:val="-2"/>
        </w:rPr>
        <w:t>公司在医疗卫生大数据领域，公司致力于将大数据技术与区域卫生、互联网医疗、精准医疗等领域深度结合，基于实时</w:t>
      </w:r>
    </w:p>
    <w:p>
      <w:pPr>
        <w:pStyle w:val="BodyText"/>
        <w:spacing w:line="316" w:lineRule="auto" w:before="1"/>
        <w:ind w:right="1132"/>
        <w:jc w:val="both"/>
      </w:pPr>
      <w:r>
        <w:rPr>
          <w:spacing w:val="-2"/>
        </w:rPr>
        <w:t>大数据基础平台构建了面向医疗、公卫和个人的多个大数据和人工智能产品，相关产品在国内已达到领先水平，并已在国家</w:t>
      </w:r>
      <w:r>
        <w:rPr>
          <w:spacing w:val="-65"/>
        </w:rPr>
        <w:t> </w:t>
      </w:r>
      <w:r>
        <w:rPr>
          <w:spacing w:val="-65"/>
        </w:rPr>
      </w:r>
      <w:r>
        <w:rPr>
          <w:spacing w:val="-2"/>
        </w:rPr>
        <w:t>级、省级、市县级多个大型医院和区域卫生信息化项目中得到成功应用，以雄厚的大数据研发团队和技术实力推动医疗大数</w:t>
      </w:r>
      <w:r>
        <w:rPr>
          <w:spacing w:val="-65"/>
        </w:rPr>
        <w:t> </w:t>
      </w:r>
      <w:r>
        <w:rPr>
          <w:spacing w:val="-65"/>
        </w:rPr>
      </w:r>
      <w:r>
        <w:rPr/>
        <w:t>据产业的发展。</w:t>
      </w:r>
    </w:p>
    <w:p>
      <w:pPr>
        <w:pStyle w:val="BodyText"/>
        <w:spacing w:line="340" w:lineRule="auto" w:before="57"/>
        <w:ind w:left="472" w:right="0"/>
        <w:jc w:val="left"/>
      </w:pPr>
      <w:r>
        <w:rPr/>
        <w:t>（</w:t>
      </w:r>
      <w:r>
        <w:rPr>
          <w:rFonts w:ascii="Times New Roman" w:hAnsi="Times New Roman" w:cs="Times New Roman" w:eastAsia="Times New Roman" w:hint="default"/>
        </w:rPr>
        <w:t>1</w:t>
      </w:r>
      <w:r>
        <w:rPr/>
        <w:t>）区域卫生大数据智能决策系统 </w:t>
      </w:r>
      <w:r>
        <w:rPr>
          <w:spacing w:val="-2"/>
        </w:rPr>
        <w:t>以居民个人健康信息及医疗卫生服务活动为主线，以全员人口信息、电子病历、健康档案三大资源库为基础，通过建立</w:t>
      </w:r>
    </w:p>
    <w:p>
      <w:pPr>
        <w:pStyle w:val="BodyText"/>
        <w:spacing w:line="316" w:lineRule="auto" w:before="1"/>
        <w:ind w:right="1132"/>
        <w:jc w:val="both"/>
      </w:pPr>
      <w:r>
        <w:rPr>
          <w:spacing w:val="-2"/>
        </w:rPr>
        <w:t>区域卫生大数据智能决策系统，基于大数据技术，地理信息技术，数据挖掘分析技术，将区域内不同的业务系统的繁杂海量</w:t>
      </w:r>
      <w:r>
        <w:rPr>
          <w:spacing w:val="-66"/>
        </w:rPr>
        <w:t> </w:t>
      </w:r>
      <w:r>
        <w:rPr>
          <w:spacing w:val="-66"/>
        </w:rPr>
      </w:r>
      <w:r>
        <w:rPr>
          <w:spacing w:val="-2"/>
        </w:rPr>
        <w:t>数据和各种外部数据进行同步、转换、储存；利用人工智能数据挖掘分析技术，面向各种深度分析主题，基于原始数据通过</w:t>
      </w:r>
      <w:r>
        <w:rPr>
          <w:spacing w:val="-65"/>
        </w:rPr>
        <w:t> </w:t>
      </w:r>
      <w:r>
        <w:rPr>
          <w:spacing w:val="-65"/>
        </w:rPr>
      </w:r>
      <w:r>
        <w:rPr>
          <w:spacing w:val="-2"/>
        </w:rPr>
        <w:t>大数据挖掘分析平台内置的丰富人工智能算法训练出符合主题分析所需的模型，采用数据驱动的方式将数据提炼为模型和方</w:t>
      </w:r>
      <w:r>
        <w:rPr>
          <w:spacing w:val="-64"/>
        </w:rPr>
        <w:t> </w:t>
      </w:r>
      <w:r>
        <w:rPr>
          <w:spacing w:val="-64"/>
        </w:rPr>
      </w:r>
      <w:r>
        <w:rPr/>
        <w:t>法，从而进一步提升为辅助决策的技术支撑体系与知识库，全面提高各级卫生管理人员的决策能力和服务能效。</w:t>
      </w:r>
    </w:p>
    <w:p>
      <w:pPr>
        <w:pStyle w:val="BodyText"/>
        <w:spacing w:line="338" w:lineRule="auto" w:before="59"/>
        <w:ind w:left="472" w:right="0"/>
        <w:jc w:val="left"/>
      </w:pPr>
      <w:r>
        <w:rPr/>
        <w:t>（</w:t>
      </w:r>
      <w:r>
        <w:rPr>
          <w:rFonts w:ascii="Times New Roman" w:hAnsi="Times New Roman" w:cs="Times New Roman" w:eastAsia="Times New Roman" w:hint="default"/>
        </w:rPr>
        <w:t>2</w:t>
      </w:r>
      <w:r>
        <w:rPr/>
        <w:t>）医学知识图谱系统 </w:t>
      </w:r>
      <w:r>
        <w:rPr>
          <w:spacing w:val="-2"/>
        </w:rPr>
        <w:t>基于海量的电子病历、健康档案、诊疗指南、书籍资料、互联网信息等结构化或非结构化的医学数据，通过知识图谱引</w:t>
      </w:r>
    </w:p>
    <w:p>
      <w:pPr>
        <w:pStyle w:val="BodyText"/>
        <w:spacing w:line="316" w:lineRule="auto" w:before="2"/>
        <w:ind w:right="1132"/>
        <w:jc w:val="both"/>
      </w:pPr>
      <w:r>
        <w:rPr>
          <w:spacing w:val="-2"/>
        </w:rPr>
        <w:t>擎进行医学知识抽取、医学知识融合和医学知识加工构建完整的医学知识图谱，最后基于医学知识图谱实现医学信息检索查</w:t>
      </w:r>
      <w:r>
        <w:rPr>
          <w:spacing w:val="-64"/>
        </w:rPr>
        <w:t> </w:t>
      </w:r>
      <w:r>
        <w:rPr>
          <w:spacing w:val="-64"/>
        </w:rPr>
      </w:r>
      <w:r>
        <w:rPr/>
        <w:t>询、医疗知识问答和临床决策支持等人工智能应用。</w:t>
      </w:r>
    </w:p>
    <w:p>
      <w:pPr>
        <w:pStyle w:val="BodyText"/>
        <w:spacing w:line="340" w:lineRule="auto" w:before="59"/>
        <w:ind w:left="472" w:right="0"/>
        <w:jc w:val="left"/>
      </w:pPr>
      <w:r>
        <w:rPr/>
        <w:t>（</w:t>
      </w:r>
      <w:r>
        <w:rPr>
          <w:rFonts w:ascii="Times New Roman" w:hAnsi="Times New Roman" w:cs="Times New Roman" w:eastAsia="Times New Roman" w:hint="default"/>
        </w:rPr>
        <w:t>3</w:t>
      </w:r>
      <w:r>
        <w:rPr/>
        <w:t>）智能医疗服务机器人解决方案 </w:t>
      </w:r>
      <w:r>
        <w:rPr>
          <w:spacing w:val="-2"/>
        </w:rPr>
        <w:t>基于领先的人工智能、语音识别、语音合成和自然语言处理技术，通过人机对话方式实现情景式人机交流和互动，满足</w:t>
      </w:r>
    </w:p>
    <w:p>
      <w:pPr>
        <w:pStyle w:val="BodyText"/>
        <w:spacing w:line="240" w:lineRule="auto" w:before="1"/>
        <w:ind w:right="0"/>
        <w:jc w:val="both"/>
      </w:pPr>
      <w:r>
        <w:rPr/>
        <w:t>各类医疗卫生机构和家庭多场景多业务的医疗健康智能化服务需求：</w:t>
      </w:r>
    </w:p>
    <w:p>
      <w:pPr>
        <w:pStyle w:val="BodyText"/>
        <w:spacing w:line="300" w:lineRule="auto" w:before="115"/>
        <w:ind w:right="1132" w:firstLine="360"/>
        <w:jc w:val="both"/>
      </w:pPr>
      <w:r>
        <w:rPr>
          <w:rFonts w:ascii="Times New Roman" w:hAnsi="Times New Roman" w:cs="Times New Roman" w:eastAsia="Times New Roman" w:hint="default"/>
          <w:spacing w:val="-1"/>
        </w:rPr>
        <w:t>a.</w:t>
      </w:r>
      <w:r>
        <w:rPr>
          <w:spacing w:val="-1"/>
        </w:rPr>
        <w:t>为门诊提供智能导诊分诊、预约挂号、门诊缴费、报告查询、院内导航、常识宣教、问卷调查等多种服务，支持语音</w:t>
      </w:r>
      <w:r>
        <w:rPr/>
        <w:t> 问答及触屏触控等多种交互方式，帮助改善患者就医体验，提高医院服务质量；</w:t>
      </w:r>
    </w:p>
    <w:p>
      <w:pPr>
        <w:pStyle w:val="BodyText"/>
        <w:spacing w:line="300" w:lineRule="auto" w:before="72"/>
        <w:ind w:right="1132" w:firstLine="360"/>
        <w:jc w:val="both"/>
      </w:pPr>
      <w:r>
        <w:rPr>
          <w:rFonts w:ascii="Times New Roman" w:hAnsi="Times New Roman" w:cs="Times New Roman" w:eastAsia="Times New Roman" w:hint="default"/>
          <w:spacing w:val="-1"/>
        </w:rPr>
        <w:t>b.</w:t>
      </w:r>
      <w:r>
        <w:rPr>
          <w:spacing w:val="-1"/>
        </w:rPr>
        <w:t>为住院病房提供病房宣教、用药提醒、语音呼叫、视频监护、报告查询、费用查询等功能，并可进行住院结算，可替</w:t>
      </w:r>
      <w:r>
        <w:rPr/>
        <w:t> 代部分护士职能；</w:t>
      </w:r>
    </w:p>
    <w:p>
      <w:pPr>
        <w:pStyle w:val="BodyText"/>
        <w:spacing w:line="309" w:lineRule="auto" w:before="72"/>
        <w:ind w:right="1132" w:firstLine="360"/>
        <w:jc w:val="both"/>
      </w:pPr>
      <w:r>
        <w:rPr>
          <w:rFonts w:ascii="Times New Roman" w:hAnsi="Times New Roman" w:cs="Times New Roman" w:eastAsia="Times New Roman" w:hint="default"/>
          <w:spacing w:val="-1"/>
        </w:rPr>
        <w:t>c.</w:t>
      </w:r>
      <w:r>
        <w:rPr>
          <w:spacing w:val="-1"/>
        </w:rPr>
        <w:t>为社区及家庭提供居民健康资讯、中医医疗健康服务、慢性病服务、智慧医疗等四大功能模块，涵盖健康课堂、医疗</w:t>
      </w:r>
      <w:r>
        <w:rPr/>
        <w:t> </w:t>
      </w:r>
      <w:r>
        <w:rPr>
          <w:spacing w:val="-2"/>
        </w:rPr>
        <w:t>资讯、健康生活、智能自诊、中医体质评估、慢病智能签约、体征检测、家庭医生迁移，并能对接挂号及药品服务，及呼叫</w:t>
      </w:r>
      <w:r>
        <w:rPr>
          <w:spacing w:val="-66"/>
        </w:rPr>
        <w:t> </w:t>
      </w:r>
      <w:r>
        <w:rPr>
          <w:spacing w:val="-66"/>
        </w:rPr>
      </w:r>
      <w:r>
        <w:rPr/>
        <w:t>家庭助理等功能。</w:t>
      </w:r>
    </w:p>
    <w:p>
      <w:pPr>
        <w:spacing w:after="0" w:line="309" w:lineRule="auto"/>
        <w:jc w:val="both"/>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38" w:lineRule="auto" w:before="44"/>
        <w:ind w:left="472" w:right="0"/>
        <w:jc w:val="left"/>
      </w:pPr>
      <w:r>
        <w:rPr/>
        <w:t>（</w:t>
      </w:r>
      <w:r>
        <w:rPr>
          <w:rFonts w:ascii="Times New Roman" w:hAnsi="Times New Roman" w:cs="Times New Roman" w:eastAsia="Times New Roman" w:hint="default"/>
        </w:rPr>
        <w:t>4</w:t>
      </w:r>
      <w:r>
        <w:rPr/>
        <w:t>）患者画像系统 </w:t>
      </w:r>
      <w:r>
        <w:rPr>
          <w:spacing w:val="-2"/>
        </w:rPr>
        <w:t>基于患者的基本医疗信息、临床诊疗信息和相关医疗健康大数据信息构造出个性化、标签化的用户模型，再通过对患者</w:t>
      </w:r>
    </w:p>
    <w:p>
      <w:pPr>
        <w:pStyle w:val="BodyText"/>
        <w:spacing w:line="316" w:lineRule="auto" w:before="2"/>
        <w:ind w:right="0"/>
        <w:jc w:val="left"/>
      </w:pPr>
      <w:r>
        <w:rPr>
          <w:spacing w:val="-4"/>
        </w:rPr>
        <w:t>的个性化信息分析、挖掘而得出的高度精炼的特征标识，从而构建患者的精准完整的用户画像。医生通过患者画像可以快速、</w:t>
      </w:r>
      <w:r>
        <w:rPr>
          <w:spacing w:val="-42"/>
        </w:rPr>
        <w:t> </w:t>
      </w:r>
      <w:r>
        <w:rPr>
          <w:spacing w:val="-42"/>
        </w:rPr>
      </w:r>
      <w:r>
        <w:rPr>
          <w:spacing w:val="-2"/>
        </w:rPr>
        <w:t>准确地了解患者情况，从而为患者制定针对性的用药方案和治疗方案，提供优质医疗服务，降低医疗风险。临床决策支持系</w:t>
      </w:r>
      <w:r>
        <w:rPr>
          <w:spacing w:val="-66"/>
        </w:rPr>
        <w:t> </w:t>
      </w:r>
      <w:r>
        <w:rPr>
          <w:spacing w:val="-66"/>
        </w:rPr>
      </w:r>
      <w:r>
        <w:rPr/>
        <w:t>统也可以基于患者画像推送更有针对性，更有价值的决策支持方案。</w:t>
      </w:r>
    </w:p>
    <w:p>
      <w:pPr>
        <w:spacing w:line="360" w:lineRule="auto" w:before="59"/>
        <w:ind w:left="472" w:right="1112" w:firstLine="0"/>
        <w:jc w:val="left"/>
        <w:rPr>
          <w:rFonts w:ascii="宋体" w:hAnsi="宋体" w:cs="宋体" w:eastAsia="宋体" w:hint="default"/>
          <w:sz w:val="18"/>
          <w:szCs w:val="18"/>
        </w:rPr>
      </w:pPr>
      <w:bookmarkStart w:name="（二）医疗卫生互联网应用产品及服务板块" w:id="20"/>
      <w:bookmarkEnd w:id="20"/>
      <w:r>
        <w:rPr/>
      </w:r>
      <w:r>
        <w:rPr>
          <w:rFonts w:ascii="宋体" w:hAnsi="宋体" w:cs="宋体" w:eastAsia="宋体" w:hint="default"/>
          <w:b/>
          <w:bCs/>
          <w:sz w:val="18"/>
          <w:szCs w:val="18"/>
        </w:rPr>
        <w:t>（二）医疗卫生互联网应用产品及服务板块</w:t>
      </w:r>
      <w:r>
        <w:rPr>
          <w:rFonts w:ascii="宋体" w:hAnsi="宋体" w:cs="宋体" w:eastAsia="宋体" w:hint="default"/>
          <w:b/>
          <w:bCs/>
          <w:w w:val="99"/>
          <w:sz w:val="18"/>
          <w:szCs w:val="18"/>
        </w:rPr>
        <w:t> </w:t>
      </w:r>
      <w:r>
        <w:rPr>
          <w:rFonts w:ascii="宋体" w:hAnsi="宋体" w:cs="宋体" w:eastAsia="宋体" w:hint="default"/>
          <w:sz w:val="18"/>
          <w:szCs w:val="18"/>
        </w:rPr>
        <w:t>公司积极响应国家促进“互联网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医疗健康”发展的意见，紧密围绕健康城市建设和居民端运营业务，借助大数据、人</w:t>
      </w:r>
    </w:p>
    <w:p>
      <w:pPr>
        <w:pStyle w:val="BodyText"/>
        <w:spacing w:line="212" w:lineRule="exact"/>
        <w:ind w:right="0"/>
        <w:jc w:val="left"/>
      </w:pPr>
      <w:r>
        <w:rPr/>
        <w:t>工智能、生物识别、区块链、移动支付等新型技术，持续创新“互联网</w:t>
      </w:r>
      <w:r>
        <w:rPr>
          <w:rFonts w:ascii="Times New Roman" w:hAnsi="Times New Roman" w:cs="Times New Roman" w:eastAsia="Times New Roman" w:hint="default"/>
        </w:rPr>
        <w:t>+</w:t>
      </w:r>
      <w:r>
        <w:rPr/>
        <w:t>医疗健康”业务，打造“便民、惠民、智慧、智能”</w:t>
      </w:r>
    </w:p>
    <w:p>
      <w:pPr>
        <w:pStyle w:val="BodyText"/>
        <w:spacing w:line="240" w:lineRule="auto" w:before="63"/>
        <w:ind w:right="0"/>
        <w:jc w:val="left"/>
      </w:pPr>
      <w:r>
        <w:rPr/>
        <w:t>为核心的“未来医疗”新模式。</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5"/>
          <w:szCs w:val="15"/>
        </w:rPr>
      </w:pPr>
    </w:p>
    <w:p>
      <w:pPr>
        <w:spacing w:line="4655" w:lineRule="exact"/>
        <w:ind w:left="2361" w:right="0" w:firstLine="0"/>
        <w:rPr>
          <w:rFonts w:ascii="宋体" w:hAnsi="宋体" w:cs="宋体" w:eastAsia="宋体" w:hint="default"/>
          <w:sz w:val="20"/>
          <w:szCs w:val="20"/>
        </w:rPr>
      </w:pPr>
      <w:r>
        <w:rPr>
          <w:rFonts w:ascii="宋体" w:hAnsi="宋体" w:cs="宋体" w:eastAsia="宋体" w:hint="default"/>
          <w:position w:val="-92"/>
          <w:sz w:val="20"/>
          <w:szCs w:val="20"/>
        </w:rPr>
        <w:drawing>
          <wp:inline distT="0" distB="0" distL="0" distR="0">
            <wp:extent cx="3490258" cy="2955988"/>
            <wp:effectExtent l="0" t="0" r="0" b="0"/>
            <wp:docPr id="9" name="image6.jpeg" descr=""/>
            <wp:cNvGraphicFramePr>
              <a:graphicFrameLocks noChangeAspect="1"/>
            </wp:cNvGraphicFramePr>
            <a:graphic>
              <a:graphicData uri="http://schemas.openxmlformats.org/drawingml/2006/picture">
                <pic:pic>
                  <pic:nvPicPr>
                    <pic:cNvPr id="10" name="image6.jpeg"/>
                    <pic:cNvPicPr/>
                  </pic:nvPicPr>
                  <pic:blipFill>
                    <a:blip r:embed="rId19" cstate="print"/>
                    <a:stretch>
                      <a:fillRect/>
                    </a:stretch>
                  </pic:blipFill>
                  <pic:spPr>
                    <a:xfrm>
                      <a:off x="0" y="0"/>
                      <a:ext cx="3490258" cy="2955988"/>
                    </a:xfrm>
                    <a:prstGeom prst="rect">
                      <a:avLst/>
                    </a:prstGeom>
                  </pic:spPr>
                </pic:pic>
              </a:graphicData>
            </a:graphic>
          </wp:inline>
        </w:drawing>
      </w:r>
      <w:r>
        <w:rPr>
          <w:rFonts w:ascii="宋体" w:hAnsi="宋体" w:cs="宋体" w:eastAsia="宋体" w:hint="default"/>
          <w:position w:val="-92"/>
          <w:sz w:val="20"/>
          <w:szCs w:val="20"/>
        </w:rPr>
      </w:r>
    </w:p>
    <w:p>
      <w:pPr>
        <w:pStyle w:val="BodyText"/>
        <w:spacing w:line="338" w:lineRule="auto" w:before="65"/>
        <w:ind w:left="472" w:right="0"/>
        <w:jc w:val="left"/>
      </w:pPr>
      <w:r>
        <w:rPr>
          <w:rFonts w:ascii="Times New Roman" w:hAnsi="Times New Roman" w:cs="Times New Roman" w:eastAsia="Times New Roman" w:hint="default"/>
        </w:rPr>
        <w:t>1</w:t>
      </w:r>
      <w:r>
        <w:rPr/>
        <w:t>、健康城市云平台 </w:t>
      </w:r>
      <w:r>
        <w:rPr>
          <w:spacing w:val="-2"/>
        </w:rPr>
        <w:t>坚持政府主导，以满足居民健康需求为目标。整合城市医健资源，通过互联网化提升开放能力，优化重构服务流程，构</w:t>
      </w:r>
    </w:p>
    <w:p>
      <w:pPr>
        <w:pStyle w:val="BodyText"/>
        <w:spacing w:line="240" w:lineRule="auto" w:before="2"/>
        <w:ind w:right="0"/>
        <w:jc w:val="left"/>
      </w:pPr>
      <w:r>
        <w:rPr/>
        <w:t>建以城市为单位的医疗健康服务平台，为居民提供精准、便捷、可信的一站式服务。</w:t>
      </w:r>
    </w:p>
    <w:p>
      <w:pPr>
        <w:spacing w:line="240" w:lineRule="auto" w:before="2"/>
        <w:rPr>
          <w:rFonts w:ascii="宋体" w:hAnsi="宋体" w:cs="宋体" w:eastAsia="宋体" w:hint="default"/>
          <w:sz w:val="8"/>
          <w:szCs w:val="8"/>
        </w:rPr>
      </w:pPr>
    </w:p>
    <w:tbl>
      <w:tblPr>
        <w:tblW w:w="0" w:type="auto"/>
        <w:jc w:val="left"/>
        <w:tblInd w:w="654" w:type="dxa"/>
        <w:tblLayout w:type="fixed"/>
        <w:tblCellMar>
          <w:top w:w="0" w:type="dxa"/>
          <w:left w:w="0" w:type="dxa"/>
          <w:bottom w:w="0" w:type="dxa"/>
          <w:right w:w="0" w:type="dxa"/>
        </w:tblCellMar>
        <w:tblLook w:val="01E0"/>
      </w:tblPr>
      <w:tblGrid>
        <w:gridCol w:w="1939"/>
        <w:gridCol w:w="6589"/>
      </w:tblGrid>
      <w:tr>
        <w:trPr>
          <w:trHeight w:val="1119" w:hRule="exact"/>
        </w:trPr>
        <w:tc>
          <w:tcPr>
            <w:tcW w:w="193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6"/>
              <w:jc w:val="center"/>
              <w:rPr>
                <w:rFonts w:ascii="宋体" w:hAnsi="宋体" w:cs="宋体" w:eastAsia="宋体" w:hint="default"/>
                <w:sz w:val="18"/>
                <w:szCs w:val="18"/>
              </w:rPr>
            </w:pPr>
            <w:r>
              <w:rPr>
                <w:rFonts w:ascii="宋体" w:hAnsi="宋体" w:cs="宋体" w:eastAsia="宋体" w:hint="default"/>
                <w:b/>
                <w:bCs/>
                <w:sz w:val="18"/>
                <w:szCs w:val="18"/>
              </w:rPr>
              <w:t>产品类别</w:t>
            </w:r>
            <w:r>
              <w:rPr>
                <w:rFonts w:ascii="宋体" w:hAnsi="宋体" w:cs="宋体" w:eastAsia="宋体" w:hint="default"/>
                <w:sz w:val="18"/>
                <w:szCs w:val="18"/>
              </w:rPr>
            </w:r>
          </w:p>
        </w:tc>
        <w:tc>
          <w:tcPr>
            <w:tcW w:w="658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2" w:right="0"/>
              <w:jc w:val="center"/>
              <w:rPr>
                <w:rFonts w:ascii="宋体" w:hAnsi="宋体" w:cs="宋体" w:eastAsia="宋体" w:hint="default"/>
                <w:sz w:val="18"/>
                <w:szCs w:val="18"/>
              </w:rPr>
            </w:pPr>
            <w:r>
              <w:rPr>
                <w:rFonts w:ascii="宋体" w:hAnsi="宋体" w:cs="宋体" w:eastAsia="宋体" w:hint="default"/>
                <w:b/>
                <w:bCs/>
                <w:sz w:val="18"/>
                <w:szCs w:val="18"/>
              </w:rPr>
              <w:t>健康城市云平台</w:t>
            </w:r>
            <w:r>
              <w:rPr>
                <w:rFonts w:ascii="宋体" w:hAnsi="宋体" w:cs="宋体" w:eastAsia="宋体" w:hint="default"/>
                <w:sz w:val="18"/>
                <w:szCs w:val="18"/>
              </w:rPr>
            </w:r>
          </w:p>
        </w:tc>
      </w:tr>
      <w:tr>
        <w:trPr>
          <w:trHeight w:val="365" w:hRule="exact"/>
        </w:trPr>
        <w:tc>
          <w:tcPr>
            <w:tcW w:w="1939" w:type="dxa"/>
            <w:tcBorders>
              <w:top w:val="single" w:sz="6" w:space="0" w:color="000000"/>
              <w:left w:val="single" w:sz="12" w:space="0" w:color="000000"/>
              <w:bottom w:val="nil" w:sz="6" w:space="0" w:color="auto"/>
              <w:right w:val="single" w:sz="6" w:space="0" w:color="000000"/>
            </w:tcBorders>
          </w:tcPr>
          <w:p>
            <w:pPr/>
          </w:p>
        </w:tc>
        <w:tc>
          <w:tcPr>
            <w:tcW w:w="6589" w:type="dxa"/>
            <w:tcBorders>
              <w:top w:val="single" w:sz="6" w:space="0" w:color="000000"/>
              <w:left w:val="single" w:sz="6" w:space="0" w:color="000000"/>
              <w:bottom w:val="nil" w:sz="6" w:space="0" w:color="auto"/>
              <w:right w:val="single" w:sz="12"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就医</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O2O</w:t>
            </w:r>
            <w:r>
              <w:rPr>
                <w:rFonts w:ascii="Times New Roman" w:hAnsi="Times New Roman" w:cs="Times New Roman" w:eastAsia="Times New Roman" w:hint="default"/>
                <w:spacing w:val="3"/>
                <w:sz w:val="18"/>
                <w:szCs w:val="18"/>
              </w:rPr>
              <w:t> </w:t>
            </w:r>
            <w:r>
              <w:rPr>
                <w:rFonts w:ascii="宋体" w:hAnsi="宋体" w:cs="宋体" w:eastAsia="宋体" w:hint="default"/>
                <w:spacing w:val="-5"/>
                <w:sz w:val="18"/>
                <w:szCs w:val="18"/>
              </w:rPr>
              <w:t>闭环：门诊就医</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O2O</w:t>
            </w:r>
            <w:r>
              <w:rPr>
                <w:rFonts w:ascii="Times New Roman" w:hAnsi="Times New Roman" w:cs="Times New Roman" w:eastAsia="Times New Roman" w:hint="default"/>
                <w:spacing w:val="3"/>
                <w:sz w:val="18"/>
                <w:szCs w:val="18"/>
              </w:rPr>
              <w:t> </w:t>
            </w:r>
            <w:r>
              <w:rPr>
                <w:rFonts w:ascii="宋体" w:hAnsi="宋体" w:cs="宋体" w:eastAsia="宋体" w:hint="default"/>
                <w:spacing w:val="-3"/>
                <w:sz w:val="18"/>
                <w:szCs w:val="18"/>
              </w:rPr>
              <w:t>全流程闭环，从智能导诊、预约挂号到移动医保脱</w:t>
            </w:r>
          </w:p>
        </w:tc>
      </w:tr>
      <w:tr>
        <w:trPr>
          <w:trHeight w:val="307" w:hRule="exact"/>
        </w:trPr>
        <w:tc>
          <w:tcPr>
            <w:tcW w:w="1939" w:type="dxa"/>
            <w:tcBorders>
              <w:top w:val="nil" w:sz="6" w:space="0" w:color="auto"/>
              <w:left w:val="single" w:sz="12" w:space="0" w:color="000000"/>
              <w:bottom w:val="nil" w:sz="6" w:space="0" w:color="auto"/>
              <w:right w:val="single" w:sz="6" w:space="0" w:color="000000"/>
            </w:tcBorders>
          </w:tcPr>
          <w:p>
            <w:pP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卡支付最后取得详细报告，每个环节配合消息提醒，让患者节省就医时间提升就</w:t>
            </w:r>
          </w:p>
        </w:tc>
      </w:tr>
      <w:tr>
        <w:trPr>
          <w:trHeight w:val="332" w:hRule="exact"/>
        </w:trPr>
        <w:tc>
          <w:tcPr>
            <w:tcW w:w="1939" w:type="dxa"/>
            <w:tcBorders>
              <w:top w:val="nil" w:sz="6" w:space="0" w:color="auto"/>
              <w:left w:val="single" w:sz="12" w:space="0" w:color="000000"/>
              <w:bottom w:val="nil" w:sz="6" w:space="0" w:color="auto"/>
              <w:right w:val="single" w:sz="6" w:space="0" w:color="000000"/>
            </w:tcBorders>
          </w:tcPr>
          <w:p>
            <w:pP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医体验。</w:t>
            </w:r>
          </w:p>
        </w:tc>
      </w:tr>
      <w:tr>
        <w:trPr>
          <w:trHeight w:val="332" w:hRule="exact"/>
        </w:trPr>
        <w:tc>
          <w:tcPr>
            <w:tcW w:w="1939" w:type="dxa"/>
            <w:tcBorders>
              <w:top w:val="nil" w:sz="6" w:space="0" w:color="auto"/>
              <w:left w:val="single" w:sz="12" w:space="0" w:color="000000"/>
              <w:bottom w:val="nil" w:sz="6" w:space="0" w:color="auto"/>
              <w:right w:val="single" w:sz="6" w:space="0" w:color="000000"/>
            </w:tcBorders>
          </w:tcPr>
          <w:p>
            <w:pPr>
              <w:pStyle w:val="TableParagraph"/>
              <w:spacing w:line="240" w:lineRule="auto" w:before="31"/>
              <w:ind w:right="8"/>
              <w:jc w:val="center"/>
              <w:rPr>
                <w:rFonts w:ascii="宋体" w:hAnsi="宋体" w:cs="宋体" w:eastAsia="宋体" w:hint="default"/>
                <w:sz w:val="18"/>
                <w:szCs w:val="18"/>
              </w:rPr>
            </w:pPr>
            <w:r>
              <w:rPr>
                <w:rFonts w:ascii="宋体" w:hAnsi="宋体" w:cs="宋体" w:eastAsia="宋体" w:hint="default"/>
                <w:sz w:val="18"/>
                <w:szCs w:val="18"/>
              </w:rPr>
              <w:t>主要内容</w:t>
            </w: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31"/>
              <w:ind w:left="101" w:right="0"/>
              <w:jc w:val="left"/>
              <w:rPr>
                <w:rFonts w:ascii="宋体" w:hAnsi="宋体" w:cs="宋体" w:eastAsia="宋体" w:hint="default"/>
                <w:sz w:val="18"/>
                <w:szCs w:val="18"/>
              </w:rPr>
            </w:pPr>
            <w:r>
              <w:rPr>
                <w:rFonts w:ascii="宋体" w:hAnsi="宋体" w:cs="宋体" w:eastAsia="宋体" w:hint="default"/>
                <w:sz w:val="18"/>
                <w:szCs w:val="18"/>
              </w:rPr>
              <w:t>精确健康管理：整合健康服务入口，精准推荐，让用户从看病难的不主动关注健</w:t>
            </w:r>
          </w:p>
        </w:tc>
      </w:tr>
      <w:tr>
        <w:trPr>
          <w:trHeight w:val="331" w:hRule="exact"/>
        </w:trPr>
        <w:tc>
          <w:tcPr>
            <w:tcW w:w="1939" w:type="dxa"/>
            <w:tcBorders>
              <w:top w:val="nil" w:sz="6" w:space="0" w:color="auto"/>
              <w:left w:val="single" w:sz="12" w:space="0" w:color="000000"/>
              <w:bottom w:val="nil" w:sz="6" w:space="0" w:color="auto"/>
              <w:right w:val="single" w:sz="6" w:space="0" w:color="000000"/>
            </w:tcBorders>
          </w:tcPr>
          <w:p>
            <w:pP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康，逐渐提升健康管理意识，从疾病管理转为健康管理。</w:t>
            </w:r>
          </w:p>
        </w:tc>
      </w:tr>
      <w:tr>
        <w:trPr>
          <w:trHeight w:val="336" w:hRule="exact"/>
        </w:trPr>
        <w:tc>
          <w:tcPr>
            <w:tcW w:w="1939" w:type="dxa"/>
            <w:tcBorders>
              <w:top w:val="nil" w:sz="6" w:space="0" w:color="auto"/>
              <w:left w:val="single" w:sz="12" w:space="0" w:color="000000"/>
              <w:bottom w:val="nil" w:sz="6" w:space="0" w:color="auto"/>
              <w:right w:val="single" w:sz="6" w:space="0" w:color="000000"/>
            </w:tcBorders>
          </w:tcPr>
          <w:p>
            <w:pP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29"/>
              <w:ind w:left="101" w:right="0"/>
              <w:jc w:val="left"/>
              <w:rPr>
                <w:rFonts w:ascii="宋体" w:hAnsi="宋体" w:cs="宋体" w:eastAsia="宋体" w:hint="default"/>
                <w:sz w:val="18"/>
                <w:szCs w:val="18"/>
              </w:rPr>
            </w:pPr>
            <w:r>
              <w:rPr>
                <w:rFonts w:ascii="宋体" w:hAnsi="宋体" w:cs="宋体" w:eastAsia="宋体" w:hint="default"/>
                <w:sz w:val="18"/>
                <w:szCs w:val="18"/>
              </w:rPr>
              <w:t>全程个人健康档案</w:t>
            </w:r>
            <w:r>
              <w:rPr>
                <w:rFonts w:ascii="宋体" w:hAnsi="宋体" w:cs="宋体" w:eastAsia="宋体" w:hint="default"/>
                <w:spacing w:val="-17"/>
                <w:sz w:val="18"/>
                <w:szCs w:val="18"/>
              </w:rPr>
              <w:t> </w:t>
            </w:r>
            <w:r>
              <w:rPr>
                <w:rFonts w:ascii="Times New Roman" w:hAnsi="Times New Roman" w:cs="Times New Roman" w:eastAsia="Times New Roman" w:hint="default"/>
                <w:sz w:val="18"/>
                <w:szCs w:val="18"/>
              </w:rPr>
              <w:t>PHR</w:t>
            </w:r>
            <w:r>
              <w:rPr>
                <w:rFonts w:ascii="宋体" w:hAnsi="宋体" w:cs="宋体" w:eastAsia="宋体" w:hint="default"/>
                <w:sz w:val="18"/>
                <w:szCs w:val="18"/>
              </w:rPr>
              <w:t>：包括个人医疗、公卫活动记录及个人日常记录的健康信</w:t>
            </w:r>
          </w:p>
        </w:tc>
      </w:tr>
      <w:tr>
        <w:trPr>
          <w:trHeight w:val="355" w:hRule="exact"/>
        </w:trPr>
        <w:tc>
          <w:tcPr>
            <w:tcW w:w="1939" w:type="dxa"/>
            <w:tcBorders>
              <w:top w:val="nil" w:sz="6" w:space="0" w:color="auto"/>
              <w:left w:val="single" w:sz="12" w:space="0" w:color="000000"/>
              <w:bottom w:val="single" w:sz="6" w:space="0" w:color="000000"/>
              <w:right w:val="single" w:sz="6" w:space="0" w:color="000000"/>
            </w:tcBorders>
          </w:tcPr>
          <w:p>
            <w:pPr/>
          </w:p>
        </w:tc>
        <w:tc>
          <w:tcPr>
            <w:tcW w:w="6589" w:type="dxa"/>
            <w:tcBorders>
              <w:top w:val="nil" w:sz="6" w:space="0" w:color="auto"/>
              <w:left w:val="single" w:sz="6" w:space="0" w:color="000000"/>
              <w:bottom w:val="single" w:sz="6" w:space="0" w:color="000000"/>
              <w:right w:val="single" w:sz="12"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息，形成一份个人完整的健康档案及个人画像。</w:t>
            </w:r>
          </w:p>
        </w:tc>
      </w:tr>
      <w:tr>
        <w:trPr>
          <w:trHeight w:val="497" w:hRule="exact"/>
        </w:trPr>
        <w:tc>
          <w:tcPr>
            <w:tcW w:w="19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7"/>
              <w:ind w:right="8"/>
              <w:jc w:val="center"/>
              <w:rPr>
                <w:rFonts w:ascii="宋体" w:hAnsi="宋体" w:cs="宋体" w:eastAsia="宋体" w:hint="default"/>
                <w:sz w:val="18"/>
                <w:szCs w:val="18"/>
              </w:rPr>
            </w:pPr>
            <w:r>
              <w:rPr>
                <w:rFonts w:ascii="宋体" w:hAnsi="宋体" w:cs="宋体" w:eastAsia="宋体" w:hint="default"/>
                <w:sz w:val="18"/>
                <w:szCs w:val="18"/>
              </w:rPr>
              <w:t>应用领域</w:t>
            </w:r>
          </w:p>
        </w:tc>
        <w:tc>
          <w:tcPr>
            <w:tcW w:w="658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7"/>
              <w:ind w:left="101" w:right="0"/>
              <w:jc w:val="left"/>
              <w:rPr>
                <w:rFonts w:ascii="宋体" w:hAnsi="宋体" w:cs="宋体" w:eastAsia="宋体" w:hint="default"/>
                <w:sz w:val="18"/>
                <w:szCs w:val="18"/>
              </w:rPr>
            </w:pPr>
            <w:r>
              <w:rPr>
                <w:rFonts w:ascii="宋体" w:hAnsi="宋体" w:cs="宋体" w:eastAsia="宋体" w:hint="default"/>
                <w:sz w:val="18"/>
                <w:szCs w:val="18"/>
              </w:rPr>
              <w:t>公卫健康服务、医疗</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O2O</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服务、互联网创新服务</w:t>
            </w:r>
          </w:p>
        </w:tc>
      </w:tr>
      <w:tr>
        <w:trPr>
          <w:trHeight w:val="495" w:hRule="exact"/>
        </w:trPr>
        <w:tc>
          <w:tcPr>
            <w:tcW w:w="19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6"/>
              <w:ind w:right="8"/>
              <w:jc w:val="center"/>
              <w:rPr>
                <w:rFonts w:ascii="宋体" w:hAnsi="宋体" w:cs="宋体" w:eastAsia="宋体" w:hint="default"/>
                <w:sz w:val="18"/>
                <w:szCs w:val="18"/>
              </w:rPr>
            </w:pPr>
            <w:r>
              <w:rPr>
                <w:rFonts w:ascii="宋体" w:hAnsi="宋体" w:cs="宋体" w:eastAsia="宋体" w:hint="default"/>
                <w:sz w:val="18"/>
                <w:szCs w:val="18"/>
              </w:rPr>
              <w:t>作用</w:t>
            </w:r>
          </w:p>
        </w:tc>
        <w:tc>
          <w:tcPr>
            <w:tcW w:w="658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6"/>
              <w:ind w:left="101" w:right="0"/>
              <w:jc w:val="left"/>
              <w:rPr>
                <w:rFonts w:ascii="宋体" w:hAnsi="宋体" w:cs="宋体" w:eastAsia="宋体" w:hint="default"/>
                <w:sz w:val="18"/>
                <w:szCs w:val="18"/>
              </w:rPr>
            </w:pPr>
            <w:r>
              <w:rPr>
                <w:rFonts w:ascii="宋体" w:hAnsi="宋体" w:cs="宋体" w:eastAsia="宋体" w:hint="default"/>
                <w:sz w:val="18"/>
                <w:szCs w:val="18"/>
              </w:rPr>
              <w:t>整合城市医健资源，通过互联网化提升开放能力，优化重构服务流程</w:t>
            </w:r>
          </w:p>
        </w:tc>
      </w:tr>
    </w:tbl>
    <w:p>
      <w:pPr>
        <w:spacing w:after="0" w:line="240"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5"/>
        <w:rPr>
          <w:rFonts w:ascii="宋体" w:hAnsi="宋体" w:cs="宋体" w:eastAsia="宋体" w:hint="default"/>
          <w:sz w:val="24"/>
          <w:szCs w:val="24"/>
        </w:rPr>
      </w:pPr>
    </w:p>
    <w:p>
      <w:pPr>
        <w:spacing w:line="554" w:lineRule="exact"/>
        <w:ind w:left="640" w:right="0" w:firstLine="0"/>
        <w:rPr>
          <w:rFonts w:ascii="宋体" w:hAnsi="宋体" w:cs="宋体" w:eastAsia="宋体" w:hint="default"/>
          <w:sz w:val="20"/>
          <w:szCs w:val="20"/>
        </w:rPr>
      </w:pPr>
      <w:r>
        <w:rPr>
          <w:rFonts w:ascii="宋体" w:hAnsi="宋体" w:cs="宋体" w:eastAsia="宋体" w:hint="default"/>
          <w:position w:val="-10"/>
          <w:sz w:val="20"/>
          <w:szCs w:val="20"/>
        </w:rPr>
        <w:pict>
          <v:group style="width:429.3pt;height:27.75pt;mso-position-horizontal-relative:char;mso-position-vertical-relative:line" coordorigin="0,0" coordsize="8586,555">
            <v:group style="position:absolute;left:43;top:22;width:8500;height:2" coordorigin="43,22" coordsize="8500,2">
              <v:shape style="position:absolute;left:43;top:22;width:8500;height:2" coordorigin="43,22" coordsize="8500,0" path="m43,22l8542,22e" filled="false" stroked="true" strokeweight=".72pt" strokecolor="#000000">
                <v:path arrowok="t"/>
              </v:shape>
            </v:group>
            <v:group style="position:absolute;left:14;top:526;width:8557;height:2" coordorigin="14,526" coordsize="8557,2">
              <v:shape style="position:absolute;left:14;top:526;width:8557;height:2" coordorigin="14,526" coordsize="8557,0" path="m14,526l8571,526e" filled="false" stroked="true" strokeweight="1.44pt" strokecolor="#000000">
                <v:path arrowok="t"/>
              </v:shape>
            </v:group>
            <v:group style="position:absolute;left:29;top:14;width:2;height:526" coordorigin="29,14" coordsize="2,526">
              <v:shape style="position:absolute;left:29;top:14;width:2;height:526" coordorigin="29,14" coordsize="0,526" path="m29,14l29,540e" filled="false" stroked="true" strokeweight="1.44pt" strokecolor="#000000">
                <v:path arrowok="t"/>
              </v:shape>
            </v:group>
            <v:group style="position:absolute;left:8557;top:14;width:2;height:526" coordorigin="8557,14" coordsize="2,526">
              <v:shape style="position:absolute;left:8557;top:14;width:2;height:526" coordorigin="8557,14" coordsize="0,526" path="m8557,14l8557,540e" filled="false" stroked="true" strokeweight="1.44pt" strokecolor="#000000">
                <v:path arrowok="t"/>
              </v:shape>
            </v:group>
            <v:group style="position:absolute;left:1968;top:14;width:2;height:497" coordorigin="1968,14" coordsize="2,497">
              <v:shape style="position:absolute;left:1968;top:14;width:2;height:497" coordorigin="1968,14" coordsize="0,497" path="m1968,14l1968,511e" filled="false" stroked="true" strokeweight=".72pt" strokecolor="#000000">
                <v:path arrowok="t"/>
              </v:shape>
              <v:shape style="position:absolute;left:29;top:22;width:1939;height:505" type="#_x0000_t202" filled="false" stroked="false">
                <v:textbox inset="0,0,0,0">
                  <w:txbxContent>
                    <w:p>
                      <w:pPr>
                        <w:spacing w:before="102"/>
                        <w:ind w:left="247" w:right="0" w:firstLine="0"/>
                        <w:jc w:val="left"/>
                        <w:rPr>
                          <w:rFonts w:ascii="宋体" w:hAnsi="宋体" w:cs="宋体" w:eastAsia="宋体" w:hint="default"/>
                          <w:sz w:val="18"/>
                          <w:szCs w:val="18"/>
                        </w:rPr>
                      </w:pPr>
                      <w:r>
                        <w:rPr>
                          <w:rFonts w:ascii="宋体" w:hAnsi="宋体" w:cs="宋体" w:eastAsia="宋体" w:hint="default"/>
                          <w:sz w:val="18"/>
                          <w:szCs w:val="18"/>
                        </w:rPr>
                        <w:t>销售（服务）对象</w:t>
                      </w:r>
                    </w:p>
                  </w:txbxContent>
                </v:textbox>
                <w10:wrap type="none"/>
              </v:shape>
              <v:shape style="position:absolute;left:1968;top:22;width:6589;height:505" type="#_x0000_t202" filled="false" stroked="false">
                <v:textbox inset="0,0,0,0">
                  <w:txbxContent>
                    <w:p>
                      <w:pPr>
                        <w:spacing w:before="102"/>
                        <w:ind w:left="108" w:right="0" w:firstLine="0"/>
                        <w:jc w:val="left"/>
                        <w:rPr>
                          <w:rFonts w:ascii="宋体" w:hAnsi="宋体" w:cs="宋体" w:eastAsia="宋体" w:hint="default"/>
                          <w:sz w:val="18"/>
                          <w:szCs w:val="18"/>
                        </w:rPr>
                      </w:pPr>
                      <w:r>
                        <w:rPr>
                          <w:rFonts w:ascii="宋体" w:hAnsi="宋体" w:cs="宋体" w:eastAsia="宋体" w:hint="default"/>
                          <w:sz w:val="18"/>
                          <w:szCs w:val="18"/>
                        </w:rPr>
                        <w:t>居民、卫健委、家庭医生</w:t>
                      </w:r>
                    </w:p>
                  </w:txbxContent>
                </v:textbox>
                <w10:wrap type="none"/>
              </v:shape>
            </v:group>
          </v:group>
        </w:pict>
      </w:r>
      <w:r>
        <w:rPr>
          <w:rFonts w:ascii="宋体" w:hAnsi="宋体" w:cs="宋体" w:eastAsia="宋体" w:hint="default"/>
          <w:position w:val="-10"/>
          <w:sz w:val="20"/>
          <w:szCs w:val="20"/>
        </w:rPr>
      </w:r>
    </w:p>
    <w:p>
      <w:pPr>
        <w:pStyle w:val="BodyText"/>
        <w:spacing w:line="340" w:lineRule="auto" w:before="38"/>
        <w:ind w:left="472" w:right="1034"/>
        <w:jc w:val="left"/>
      </w:pPr>
      <w:r>
        <w:rPr>
          <w:rFonts w:ascii="Times New Roman" w:hAnsi="Times New Roman" w:cs="Times New Roman" w:eastAsia="Times New Roman" w:hint="default"/>
        </w:rPr>
        <w:t>2</w:t>
      </w:r>
      <w:r>
        <w:rPr/>
        <w:t>、互联网医院云平台 互联网医院云平台以优质的医疗资源为核心，借助互联网、音视频、线上支付、身份识别、物联网等现代化技术手段，</w:t>
      </w:r>
    </w:p>
    <w:p>
      <w:pPr>
        <w:pStyle w:val="BodyText"/>
        <w:spacing w:line="316" w:lineRule="auto" w:before="1"/>
        <w:ind w:right="1132"/>
        <w:jc w:val="both"/>
      </w:pPr>
      <w:r>
        <w:rPr>
          <w:spacing w:val="-2"/>
        </w:rPr>
        <w:t>向患者提供便捷就医、健康咨询、在线诊疗、复诊配方、慢病配药等一系列全新就医服务。同时，互联网医院实现协同医疗</w:t>
      </w:r>
      <w:r>
        <w:rPr>
          <w:spacing w:val="-66"/>
        </w:rPr>
        <w:t> </w:t>
      </w:r>
      <w:r>
        <w:rPr>
          <w:spacing w:val="-66"/>
        </w:rPr>
      </w:r>
      <w:r>
        <w:rPr>
          <w:spacing w:val="-2"/>
        </w:rPr>
        <w:t>机构之间互动，通过云端双向转诊、远程会诊等方式，加强与医联体内协作单位的合作，促之形成紧密型医疗服务，扩大医</w:t>
      </w:r>
      <w:r>
        <w:rPr>
          <w:spacing w:val="-65"/>
        </w:rPr>
        <w:t> </w:t>
      </w:r>
      <w:r>
        <w:rPr>
          <w:spacing w:val="-65"/>
        </w:rPr>
      </w:r>
      <w:r>
        <w:rPr/>
        <w:t>疗机构影响力。</w:t>
      </w:r>
    </w:p>
    <w:p>
      <w:pPr>
        <w:spacing w:line="240" w:lineRule="auto" w:before="8"/>
        <w:rPr>
          <w:rFonts w:ascii="宋体" w:hAnsi="宋体" w:cs="宋体" w:eastAsia="宋体" w:hint="default"/>
          <w:sz w:val="3"/>
          <w:szCs w:val="3"/>
        </w:rPr>
      </w:pPr>
    </w:p>
    <w:tbl>
      <w:tblPr>
        <w:tblW w:w="0" w:type="auto"/>
        <w:jc w:val="left"/>
        <w:tblInd w:w="654" w:type="dxa"/>
        <w:tblLayout w:type="fixed"/>
        <w:tblCellMar>
          <w:top w:w="0" w:type="dxa"/>
          <w:left w:w="0" w:type="dxa"/>
          <w:bottom w:w="0" w:type="dxa"/>
          <w:right w:w="0" w:type="dxa"/>
        </w:tblCellMar>
        <w:tblLook w:val="01E0"/>
      </w:tblPr>
      <w:tblGrid>
        <w:gridCol w:w="1939"/>
        <w:gridCol w:w="6589"/>
      </w:tblGrid>
      <w:tr>
        <w:trPr>
          <w:trHeight w:val="563" w:hRule="exact"/>
        </w:trPr>
        <w:tc>
          <w:tcPr>
            <w:tcW w:w="193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25"/>
              <w:ind w:right="6"/>
              <w:jc w:val="center"/>
              <w:rPr>
                <w:rFonts w:ascii="宋体" w:hAnsi="宋体" w:cs="宋体" w:eastAsia="宋体" w:hint="default"/>
                <w:sz w:val="18"/>
                <w:szCs w:val="18"/>
              </w:rPr>
            </w:pPr>
            <w:r>
              <w:rPr>
                <w:rFonts w:ascii="宋体" w:hAnsi="宋体" w:cs="宋体" w:eastAsia="宋体" w:hint="default"/>
                <w:b/>
                <w:bCs/>
                <w:sz w:val="18"/>
                <w:szCs w:val="18"/>
              </w:rPr>
              <w:t>产品类别</w:t>
            </w:r>
            <w:r>
              <w:rPr>
                <w:rFonts w:ascii="宋体" w:hAnsi="宋体" w:cs="宋体" w:eastAsia="宋体" w:hint="default"/>
                <w:sz w:val="18"/>
                <w:szCs w:val="18"/>
              </w:rPr>
            </w:r>
          </w:p>
        </w:tc>
        <w:tc>
          <w:tcPr>
            <w:tcW w:w="658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25"/>
              <w:ind w:left="10" w:right="0"/>
              <w:jc w:val="center"/>
              <w:rPr>
                <w:rFonts w:ascii="宋体" w:hAnsi="宋体" w:cs="宋体" w:eastAsia="宋体" w:hint="default"/>
                <w:sz w:val="18"/>
                <w:szCs w:val="18"/>
              </w:rPr>
            </w:pPr>
            <w:r>
              <w:rPr>
                <w:rFonts w:ascii="宋体" w:hAnsi="宋体" w:cs="宋体" w:eastAsia="宋体" w:hint="default"/>
                <w:b/>
                <w:bCs/>
                <w:sz w:val="18"/>
                <w:szCs w:val="18"/>
              </w:rPr>
              <w:t>互联网医院云平台</w:t>
            </w:r>
            <w:r>
              <w:rPr>
                <w:rFonts w:ascii="宋体" w:hAnsi="宋体" w:cs="宋体" w:eastAsia="宋体" w:hint="default"/>
                <w:sz w:val="18"/>
                <w:szCs w:val="18"/>
              </w:rPr>
            </w:r>
          </w:p>
        </w:tc>
      </w:tr>
      <w:tr>
        <w:trPr>
          <w:trHeight w:val="361" w:hRule="exact"/>
        </w:trPr>
        <w:tc>
          <w:tcPr>
            <w:tcW w:w="1939" w:type="dxa"/>
            <w:tcBorders>
              <w:top w:val="single" w:sz="6" w:space="0" w:color="000000"/>
              <w:left w:val="single" w:sz="12" w:space="0" w:color="000000"/>
              <w:bottom w:val="nil" w:sz="6" w:space="0" w:color="auto"/>
              <w:right w:val="single" w:sz="6" w:space="0" w:color="000000"/>
            </w:tcBorders>
          </w:tcPr>
          <w:p>
            <w:pPr/>
          </w:p>
        </w:tc>
        <w:tc>
          <w:tcPr>
            <w:tcW w:w="6589" w:type="dxa"/>
            <w:tcBorders>
              <w:top w:val="single" w:sz="6" w:space="0" w:color="000000"/>
              <w:left w:val="single" w:sz="6" w:space="0" w:color="000000"/>
              <w:bottom w:val="nil" w:sz="6" w:space="0" w:color="auto"/>
              <w:right w:val="single" w:sz="12"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在线问诊：多渠道在线问诊服务，实现医生与患者实时沟通，借助音视频通道让</w:t>
            </w:r>
          </w:p>
        </w:tc>
      </w:tr>
      <w:tr>
        <w:trPr>
          <w:trHeight w:val="331" w:hRule="exact"/>
        </w:trPr>
        <w:tc>
          <w:tcPr>
            <w:tcW w:w="1939" w:type="dxa"/>
            <w:tcBorders>
              <w:top w:val="nil" w:sz="6" w:space="0" w:color="auto"/>
              <w:left w:val="single" w:sz="12" w:space="0" w:color="000000"/>
              <w:bottom w:val="nil" w:sz="6" w:space="0" w:color="auto"/>
              <w:right w:val="single" w:sz="6" w:space="0" w:color="000000"/>
            </w:tcBorders>
          </w:tcPr>
          <w:p>
            <w:pP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患者享受足不出户就诊。</w:t>
            </w:r>
          </w:p>
        </w:tc>
      </w:tr>
      <w:tr>
        <w:trPr>
          <w:trHeight w:val="331" w:hRule="exact"/>
        </w:trPr>
        <w:tc>
          <w:tcPr>
            <w:tcW w:w="1939" w:type="dxa"/>
            <w:tcBorders>
              <w:top w:val="nil" w:sz="6" w:space="0" w:color="auto"/>
              <w:left w:val="single" w:sz="12" w:space="0" w:color="000000"/>
              <w:bottom w:val="nil" w:sz="6" w:space="0" w:color="auto"/>
              <w:right w:val="single" w:sz="6" w:space="0" w:color="000000"/>
            </w:tcBorders>
          </w:tcPr>
          <w:p>
            <w:pP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29"/>
              <w:ind w:left="101" w:right="0"/>
              <w:jc w:val="left"/>
              <w:rPr>
                <w:rFonts w:ascii="宋体" w:hAnsi="宋体" w:cs="宋体" w:eastAsia="宋体" w:hint="default"/>
                <w:sz w:val="18"/>
                <w:szCs w:val="18"/>
              </w:rPr>
            </w:pPr>
            <w:r>
              <w:rPr>
                <w:rFonts w:ascii="宋体" w:hAnsi="宋体" w:cs="宋体" w:eastAsia="宋体" w:hint="default"/>
                <w:sz w:val="18"/>
                <w:szCs w:val="18"/>
              </w:rPr>
              <w:t>复诊配方：引入第三方合作机构，实现药品配送、物流查询，构建医疗健康生态</w:t>
            </w:r>
          </w:p>
        </w:tc>
      </w:tr>
      <w:tr>
        <w:trPr>
          <w:trHeight w:val="245" w:hRule="exact"/>
        </w:trPr>
        <w:tc>
          <w:tcPr>
            <w:tcW w:w="1939" w:type="dxa"/>
            <w:tcBorders>
              <w:top w:val="nil" w:sz="6" w:space="0" w:color="auto"/>
              <w:left w:val="single" w:sz="12" w:space="0" w:color="000000"/>
              <w:bottom w:val="nil" w:sz="6" w:space="0" w:color="auto"/>
              <w:right w:val="single" w:sz="6" w:space="0" w:color="000000"/>
            </w:tcBorders>
          </w:tcPr>
          <w:p>
            <w:pP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圈。</w:t>
            </w:r>
          </w:p>
        </w:tc>
      </w:tr>
      <w:tr>
        <w:trPr>
          <w:trHeight w:val="420" w:hRule="exact"/>
        </w:trPr>
        <w:tc>
          <w:tcPr>
            <w:tcW w:w="1939" w:type="dxa"/>
            <w:tcBorders>
              <w:top w:val="nil" w:sz="6" w:space="0" w:color="auto"/>
              <w:left w:val="single" w:sz="12" w:space="0" w:color="000000"/>
              <w:bottom w:val="nil" w:sz="6" w:space="0" w:color="auto"/>
              <w:right w:val="single" w:sz="6" w:space="0" w:color="000000"/>
            </w:tcBorders>
          </w:tcPr>
          <w:p>
            <w:pPr>
              <w:pStyle w:val="TableParagraph"/>
              <w:spacing w:line="179" w:lineRule="exact"/>
              <w:ind w:right="8"/>
              <w:jc w:val="center"/>
              <w:rPr>
                <w:rFonts w:ascii="宋体" w:hAnsi="宋体" w:cs="宋体" w:eastAsia="宋体" w:hint="default"/>
                <w:sz w:val="18"/>
                <w:szCs w:val="18"/>
              </w:rPr>
            </w:pPr>
            <w:r>
              <w:rPr>
                <w:rFonts w:ascii="宋体" w:hAnsi="宋体" w:cs="宋体" w:eastAsia="宋体" w:hint="default"/>
                <w:sz w:val="18"/>
                <w:szCs w:val="18"/>
              </w:rPr>
              <w:t>主要内容</w:t>
            </w: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118"/>
              <w:ind w:left="101" w:right="0"/>
              <w:jc w:val="left"/>
              <w:rPr>
                <w:rFonts w:ascii="宋体" w:hAnsi="宋体" w:cs="宋体" w:eastAsia="宋体" w:hint="default"/>
                <w:sz w:val="18"/>
                <w:szCs w:val="18"/>
              </w:rPr>
            </w:pPr>
            <w:r>
              <w:rPr>
                <w:rFonts w:ascii="宋体" w:hAnsi="宋体" w:cs="宋体" w:eastAsia="宋体" w:hint="default"/>
                <w:sz w:val="18"/>
                <w:szCs w:val="18"/>
              </w:rPr>
              <w:t>院外健康管理：构建医患连通的桥梁，建立服务闭环，实现患者全诊疗过程跟踪</w:t>
            </w:r>
          </w:p>
        </w:tc>
      </w:tr>
      <w:tr>
        <w:trPr>
          <w:trHeight w:val="332" w:hRule="exact"/>
        </w:trPr>
        <w:tc>
          <w:tcPr>
            <w:tcW w:w="1939" w:type="dxa"/>
            <w:tcBorders>
              <w:top w:val="nil" w:sz="6" w:space="0" w:color="auto"/>
              <w:left w:val="single" w:sz="12" w:space="0" w:color="000000"/>
              <w:bottom w:val="nil" w:sz="6" w:space="0" w:color="auto"/>
              <w:right w:val="single" w:sz="6" w:space="0" w:color="000000"/>
            </w:tcBorders>
          </w:tcPr>
          <w:p>
            <w:pP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管理、持续对接。</w:t>
            </w:r>
          </w:p>
        </w:tc>
      </w:tr>
      <w:tr>
        <w:trPr>
          <w:trHeight w:val="332" w:hRule="exact"/>
        </w:trPr>
        <w:tc>
          <w:tcPr>
            <w:tcW w:w="1939" w:type="dxa"/>
            <w:tcBorders>
              <w:top w:val="nil" w:sz="6" w:space="0" w:color="auto"/>
              <w:left w:val="single" w:sz="12" w:space="0" w:color="000000"/>
              <w:bottom w:val="nil" w:sz="6" w:space="0" w:color="auto"/>
              <w:right w:val="single" w:sz="6" w:space="0" w:color="000000"/>
            </w:tcBorders>
          </w:tcPr>
          <w:p>
            <w:pP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31"/>
              <w:ind w:left="101" w:right="0"/>
              <w:jc w:val="left"/>
              <w:rPr>
                <w:rFonts w:ascii="宋体" w:hAnsi="宋体" w:cs="宋体" w:eastAsia="宋体" w:hint="default"/>
                <w:sz w:val="18"/>
                <w:szCs w:val="18"/>
              </w:rPr>
            </w:pPr>
            <w:r>
              <w:rPr>
                <w:rFonts w:ascii="宋体" w:hAnsi="宋体" w:cs="宋体" w:eastAsia="宋体" w:hint="default"/>
                <w:sz w:val="18"/>
                <w:szCs w:val="18"/>
              </w:rPr>
              <w:t>远程协作：优化医疗服务流程，提高资源利用效率，辅助医院临床科研，增强医</w:t>
            </w:r>
          </w:p>
        </w:tc>
      </w:tr>
      <w:tr>
        <w:trPr>
          <w:trHeight w:val="358" w:hRule="exact"/>
        </w:trPr>
        <w:tc>
          <w:tcPr>
            <w:tcW w:w="1939" w:type="dxa"/>
            <w:tcBorders>
              <w:top w:val="nil" w:sz="6" w:space="0" w:color="auto"/>
              <w:left w:val="single" w:sz="12" w:space="0" w:color="000000"/>
              <w:bottom w:val="single" w:sz="6" w:space="0" w:color="000000"/>
              <w:right w:val="single" w:sz="6" w:space="0" w:color="000000"/>
            </w:tcBorders>
          </w:tcPr>
          <w:p>
            <w:pPr/>
          </w:p>
        </w:tc>
        <w:tc>
          <w:tcPr>
            <w:tcW w:w="6589" w:type="dxa"/>
            <w:tcBorders>
              <w:top w:val="nil" w:sz="6" w:space="0" w:color="auto"/>
              <w:left w:val="single" w:sz="6" w:space="0" w:color="000000"/>
              <w:bottom w:val="single" w:sz="6" w:space="0" w:color="000000"/>
              <w:right w:val="single" w:sz="12"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疗协作能力。</w:t>
            </w:r>
          </w:p>
        </w:tc>
      </w:tr>
      <w:tr>
        <w:trPr>
          <w:trHeight w:val="719" w:hRule="exact"/>
        </w:trPr>
        <w:tc>
          <w:tcPr>
            <w:tcW w:w="19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8"/>
              <w:jc w:val="center"/>
              <w:rPr>
                <w:rFonts w:ascii="宋体" w:hAnsi="宋体" w:cs="宋体" w:eastAsia="宋体" w:hint="default"/>
                <w:sz w:val="18"/>
                <w:szCs w:val="18"/>
              </w:rPr>
            </w:pPr>
            <w:r>
              <w:rPr>
                <w:rFonts w:ascii="宋体" w:hAnsi="宋体" w:cs="宋体" w:eastAsia="宋体" w:hint="default"/>
                <w:sz w:val="18"/>
                <w:szCs w:val="18"/>
              </w:rPr>
              <w:t>应用领域</w:t>
            </w:r>
          </w:p>
        </w:tc>
        <w:tc>
          <w:tcPr>
            <w:tcW w:w="6589"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50"/>
              <w:ind w:left="101" w:right="92"/>
              <w:jc w:val="left"/>
              <w:rPr>
                <w:rFonts w:ascii="宋体" w:hAnsi="宋体" w:cs="宋体" w:eastAsia="宋体" w:hint="default"/>
                <w:sz w:val="18"/>
                <w:szCs w:val="18"/>
              </w:rPr>
            </w:pPr>
            <w:r>
              <w:rPr>
                <w:rFonts w:ascii="宋体" w:hAnsi="宋体" w:cs="宋体" w:eastAsia="宋体" w:hint="default"/>
                <w:sz w:val="18"/>
                <w:szCs w:val="18"/>
              </w:rPr>
              <w:t>实体医疗机构的互联网诊疗服务、支持独立于线下实体医疗机构的互联网医院模</w:t>
            </w:r>
            <w:r>
              <w:rPr>
                <w:rFonts w:ascii="宋体" w:hAnsi="宋体" w:cs="宋体" w:eastAsia="宋体" w:hint="default"/>
                <w:spacing w:val="-31"/>
                <w:sz w:val="18"/>
                <w:szCs w:val="18"/>
              </w:rPr>
              <w:t> </w:t>
            </w:r>
            <w:r>
              <w:rPr>
                <w:rFonts w:ascii="宋体" w:hAnsi="宋体" w:cs="宋体" w:eastAsia="宋体" w:hint="default"/>
                <w:spacing w:val="-31"/>
                <w:sz w:val="18"/>
                <w:szCs w:val="18"/>
              </w:rPr>
            </w:r>
            <w:r>
              <w:rPr>
                <w:rFonts w:ascii="宋体" w:hAnsi="宋体" w:cs="宋体" w:eastAsia="宋体" w:hint="default"/>
                <w:sz w:val="18"/>
                <w:szCs w:val="18"/>
              </w:rPr>
              <w:t>式、支持依托于实体医院以第二名称存在的互联网医院模式</w:t>
            </w:r>
          </w:p>
        </w:tc>
      </w:tr>
      <w:tr>
        <w:trPr>
          <w:trHeight w:val="719" w:hRule="exact"/>
        </w:trPr>
        <w:tc>
          <w:tcPr>
            <w:tcW w:w="19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8"/>
              <w:jc w:val="center"/>
              <w:rPr>
                <w:rFonts w:ascii="宋体" w:hAnsi="宋体" w:cs="宋体" w:eastAsia="宋体" w:hint="default"/>
                <w:sz w:val="18"/>
                <w:szCs w:val="18"/>
              </w:rPr>
            </w:pPr>
            <w:r>
              <w:rPr>
                <w:rFonts w:ascii="宋体" w:hAnsi="宋体" w:cs="宋体" w:eastAsia="宋体" w:hint="default"/>
                <w:sz w:val="18"/>
                <w:szCs w:val="18"/>
              </w:rPr>
              <w:t>作用</w:t>
            </w:r>
          </w:p>
        </w:tc>
        <w:tc>
          <w:tcPr>
            <w:tcW w:w="6589"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51"/>
              <w:ind w:left="101" w:right="92"/>
              <w:jc w:val="left"/>
              <w:rPr>
                <w:rFonts w:ascii="宋体" w:hAnsi="宋体" w:cs="宋体" w:eastAsia="宋体" w:hint="default"/>
                <w:sz w:val="18"/>
                <w:szCs w:val="18"/>
              </w:rPr>
            </w:pPr>
            <w:r>
              <w:rPr>
                <w:rFonts w:ascii="宋体" w:hAnsi="宋体" w:cs="宋体" w:eastAsia="宋体" w:hint="default"/>
                <w:sz w:val="18"/>
                <w:szCs w:val="18"/>
              </w:rPr>
              <w:t>向患者提供便捷就医、健康咨询、在线诊疗、复诊配方、慢病配药等一系列全新</w:t>
            </w:r>
            <w:r>
              <w:rPr>
                <w:rFonts w:ascii="宋体" w:hAnsi="宋体" w:cs="宋体" w:eastAsia="宋体" w:hint="default"/>
                <w:spacing w:val="-31"/>
                <w:sz w:val="18"/>
                <w:szCs w:val="18"/>
              </w:rPr>
              <w:t> </w:t>
            </w:r>
            <w:r>
              <w:rPr>
                <w:rFonts w:ascii="宋体" w:hAnsi="宋体" w:cs="宋体" w:eastAsia="宋体" w:hint="default"/>
                <w:spacing w:val="-31"/>
                <w:sz w:val="18"/>
                <w:szCs w:val="18"/>
              </w:rPr>
            </w:r>
            <w:r>
              <w:rPr>
                <w:rFonts w:ascii="宋体" w:hAnsi="宋体" w:cs="宋体" w:eastAsia="宋体" w:hint="default"/>
                <w:sz w:val="18"/>
                <w:szCs w:val="18"/>
              </w:rPr>
              <w:t>就医服务，加强与医联体内协作单位的合作，促之形成紧密型医疗服务</w:t>
            </w:r>
          </w:p>
        </w:tc>
      </w:tr>
      <w:tr>
        <w:trPr>
          <w:trHeight w:val="504" w:hRule="exact"/>
        </w:trPr>
        <w:tc>
          <w:tcPr>
            <w:tcW w:w="193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96"/>
              <w:ind w:right="8"/>
              <w:jc w:val="center"/>
              <w:rPr>
                <w:rFonts w:ascii="宋体" w:hAnsi="宋体" w:cs="宋体" w:eastAsia="宋体" w:hint="default"/>
                <w:sz w:val="18"/>
                <w:szCs w:val="18"/>
              </w:rPr>
            </w:pPr>
            <w:r>
              <w:rPr>
                <w:rFonts w:ascii="宋体" w:hAnsi="宋体" w:cs="宋体" w:eastAsia="宋体" w:hint="default"/>
                <w:sz w:val="18"/>
                <w:szCs w:val="18"/>
              </w:rPr>
              <w:t>销售（服务）对象</w:t>
            </w:r>
          </w:p>
        </w:tc>
        <w:tc>
          <w:tcPr>
            <w:tcW w:w="658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6"/>
              <w:ind w:left="101" w:right="0"/>
              <w:jc w:val="left"/>
              <w:rPr>
                <w:rFonts w:ascii="宋体" w:hAnsi="宋体" w:cs="宋体" w:eastAsia="宋体" w:hint="default"/>
                <w:sz w:val="18"/>
                <w:szCs w:val="18"/>
              </w:rPr>
            </w:pPr>
            <w:r>
              <w:rPr>
                <w:rFonts w:ascii="宋体" w:hAnsi="宋体" w:cs="宋体" w:eastAsia="宋体" w:hint="default"/>
                <w:sz w:val="18"/>
                <w:szCs w:val="18"/>
              </w:rPr>
              <w:t>患者、医疗机构、药厂、健康管理机构</w:t>
            </w:r>
          </w:p>
        </w:tc>
      </w:tr>
    </w:tbl>
    <w:p>
      <w:pPr>
        <w:pStyle w:val="BodyText"/>
        <w:spacing w:line="338" w:lineRule="auto" w:before="52"/>
        <w:ind w:left="472" w:right="1112"/>
        <w:jc w:val="left"/>
      </w:pPr>
      <w:r>
        <w:rPr>
          <w:rFonts w:ascii="Times New Roman" w:hAnsi="Times New Roman" w:cs="Times New Roman" w:eastAsia="Times New Roman" w:hint="default"/>
        </w:rPr>
        <w:t>3</w:t>
      </w:r>
      <w:r>
        <w:rPr/>
        <w:t>、创业慧康妇幼智慧云平台 妇幼智慧云平台旨在通过“互联网</w:t>
      </w:r>
      <w:r>
        <w:rPr>
          <w:rFonts w:ascii="Times New Roman" w:hAnsi="Times New Roman" w:cs="Times New Roman" w:eastAsia="Times New Roman" w:hint="default"/>
        </w:rPr>
        <w:t>+</w:t>
      </w:r>
      <w:r>
        <w:rPr/>
        <w:t>妇幼健康”全程管理服务模式，搭载智能化互联网服务平台，通过妇幼医联体、大</w:t>
      </w:r>
    </w:p>
    <w:p>
      <w:pPr>
        <w:pStyle w:val="BodyText"/>
        <w:spacing w:line="217" w:lineRule="exact"/>
        <w:ind w:right="0"/>
        <w:jc w:val="left"/>
      </w:pPr>
      <w:r>
        <w:rPr/>
        <w:t>数据和物联网技术，提供备孕、孕期、分娩、产后、育儿等线上线下一体化医疗健康解决方案。</w:t>
      </w:r>
    </w:p>
    <w:p>
      <w:pPr>
        <w:spacing w:line="240" w:lineRule="auto" w:before="2"/>
        <w:rPr>
          <w:rFonts w:ascii="宋体" w:hAnsi="宋体" w:cs="宋体" w:eastAsia="宋体" w:hint="default"/>
          <w:sz w:val="8"/>
          <w:szCs w:val="8"/>
        </w:rPr>
      </w:pPr>
    </w:p>
    <w:tbl>
      <w:tblPr>
        <w:tblW w:w="0" w:type="auto"/>
        <w:jc w:val="left"/>
        <w:tblInd w:w="654" w:type="dxa"/>
        <w:tblLayout w:type="fixed"/>
        <w:tblCellMar>
          <w:top w:w="0" w:type="dxa"/>
          <w:left w:w="0" w:type="dxa"/>
          <w:bottom w:w="0" w:type="dxa"/>
          <w:right w:w="0" w:type="dxa"/>
        </w:tblCellMar>
        <w:tblLook w:val="01E0"/>
      </w:tblPr>
      <w:tblGrid>
        <w:gridCol w:w="1939"/>
        <w:gridCol w:w="6589"/>
      </w:tblGrid>
      <w:tr>
        <w:trPr>
          <w:trHeight w:val="767" w:hRule="exact"/>
        </w:trPr>
        <w:tc>
          <w:tcPr>
            <w:tcW w:w="193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6"/>
              <w:jc w:val="center"/>
              <w:rPr>
                <w:rFonts w:ascii="宋体" w:hAnsi="宋体" w:cs="宋体" w:eastAsia="宋体" w:hint="default"/>
                <w:sz w:val="18"/>
                <w:szCs w:val="18"/>
              </w:rPr>
            </w:pPr>
            <w:r>
              <w:rPr>
                <w:rFonts w:ascii="宋体" w:hAnsi="宋体" w:cs="宋体" w:eastAsia="宋体" w:hint="default"/>
                <w:b/>
                <w:bCs/>
                <w:sz w:val="18"/>
                <w:szCs w:val="18"/>
              </w:rPr>
              <w:t>产品类别</w:t>
            </w:r>
            <w:r>
              <w:rPr>
                <w:rFonts w:ascii="宋体" w:hAnsi="宋体" w:cs="宋体" w:eastAsia="宋体" w:hint="default"/>
                <w:sz w:val="18"/>
                <w:szCs w:val="18"/>
              </w:rPr>
            </w:r>
          </w:p>
        </w:tc>
        <w:tc>
          <w:tcPr>
            <w:tcW w:w="658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51"/>
              <w:ind w:left="14" w:right="0"/>
              <w:jc w:val="center"/>
              <w:rPr>
                <w:rFonts w:ascii="宋体" w:hAnsi="宋体" w:cs="宋体" w:eastAsia="宋体" w:hint="default"/>
                <w:sz w:val="18"/>
                <w:szCs w:val="18"/>
              </w:rPr>
            </w:pPr>
            <w:r>
              <w:rPr>
                <w:rFonts w:ascii="宋体" w:hAnsi="宋体" w:cs="宋体" w:eastAsia="宋体" w:hint="default"/>
                <w:b/>
                <w:bCs/>
                <w:sz w:val="18"/>
                <w:szCs w:val="18"/>
              </w:rPr>
              <w:t>创业慧康妇幼智慧云平台</w:t>
            </w:r>
            <w:r>
              <w:rPr>
                <w:rFonts w:ascii="宋体" w:hAnsi="宋体" w:cs="宋体" w:eastAsia="宋体" w:hint="default"/>
                <w:sz w:val="18"/>
                <w:szCs w:val="18"/>
              </w:rPr>
            </w:r>
          </w:p>
        </w:tc>
      </w:tr>
      <w:tr>
        <w:trPr>
          <w:trHeight w:val="359" w:hRule="exact"/>
        </w:trPr>
        <w:tc>
          <w:tcPr>
            <w:tcW w:w="1939" w:type="dxa"/>
            <w:tcBorders>
              <w:top w:val="single" w:sz="6" w:space="0" w:color="000000"/>
              <w:left w:val="single" w:sz="12" w:space="0" w:color="000000"/>
              <w:bottom w:val="nil" w:sz="6" w:space="0" w:color="auto"/>
              <w:right w:val="single" w:sz="6" w:space="0" w:color="000000"/>
            </w:tcBorders>
          </w:tcPr>
          <w:p>
            <w:pPr/>
          </w:p>
        </w:tc>
        <w:tc>
          <w:tcPr>
            <w:tcW w:w="6589" w:type="dxa"/>
            <w:tcBorders>
              <w:top w:val="single" w:sz="6" w:space="0" w:color="000000"/>
              <w:left w:val="single" w:sz="6" w:space="0" w:color="000000"/>
              <w:bottom w:val="nil" w:sz="6" w:space="0" w:color="auto"/>
              <w:right w:val="single" w:sz="12"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pacing w:val="-4"/>
                <w:sz w:val="18"/>
                <w:szCs w:val="18"/>
              </w:rPr>
              <w:t>母子健康手册：整合各级医疗机构资源完成妇女保健、儿童保健等管理，运用“互</w:t>
            </w:r>
          </w:p>
        </w:tc>
      </w:tr>
      <w:tr>
        <w:trPr>
          <w:trHeight w:val="337" w:hRule="exact"/>
        </w:trPr>
        <w:tc>
          <w:tcPr>
            <w:tcW w:w="1939" w:type="dxa"/>
            <w:tcBorders>
              <w:top w:val="nil" w:sz="6" w:space="0" w:color="auto"/>
              <w:left w:val="single" w:sz="12" w:space="0" w:color="000000"/>
              <w:bottom w:val="nil" w:sz="6" w:space="0" w:color="auto"/>
              <w:right w:val="single" w:sz="6" w:space="0" w:color="000000"/>
            </w:tcBorders>
          </w:tcPr>
          <w:p>
            <w:pP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联网</w:t>
            </w:r>
            <w:r>
              <w:rPr>
                <w:rFonts w:ascii="Times New Roman" w:hAnsi="Times New Roman" w:cs="Times New Roman" w:eastAsia="Times New Roman" w:hint="default"/>
                <w:sz w:val="18"/>
                <w:szCs w:val="18"/>
              </w:rPr>
              <w:t>+</w:t>
            </w:r>
            <w:r>
              <w:rPr>
                <w:rFonts w:ascii="宋体" w:hAnsi="宋体" w:cs="宋体" w:eastAsia="宋体" w:hint="default"/>
                <w:sz w:val="18"/>
                <w:szCs w:val="18"/>
              </w:rPr>
              <w:t>”模式，为妇幼人群提供系统、实时、规范、优质</w:t>
            </w:r>
          </w:p>
        </w:tc>
      </w:tr>
      <w:tr>
        <w:trPr>
          <w:trHeight w:val="426" w:hRule="exact"/>
        </w:trPr>
        <w:tc>
          <w:tcPr>
            <w:tcW w:w="1939" w:type="dxa"/>
            <w:tcBorders>
              <w:top w:val="nil" w:sz="6" w:space="0" w:color="auto"/>
              <w:left w:val="single" w:sz="12" w:space="0" w:color="000000"/>
              <w:bottom w:val="nil" w:sz="6" w:space="0" w:color="auto"/>
              <w:right w:val="single" w:sz="6"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8"/>
              <w:jc w:val="center"/>
              <w:rPr>
                <w:rFonts w:ascii="宋体" w:hAnsi="宋体" w:cs="宋体" w:eastAsia="宋体" w:hint="default"/>
                <w:sz w:val="18"/>
                <w:szCs w:val="18"/>
              </w:rPr>
            </w:pPr>
            <w:r>
              <w:rPr>
                <w:rFonts w:ascii="宋体" w:hAnsi="宋体" w:cs="宋体" w:eastAsia="宋体" w:hint="default"/>
                <w:sz w:val="18"/>
                <w:szCs w:val="18"/>
              </w:rPr>
              <w:t>主要内容</w:t>
            </w: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26"/>
              <w:ind w:left="101" w:right="0"/>
              <w:jc w:val="left"/>
              <w:rPr>
                <w:rFonts w:ascii="宋体" w:hAnsi="宋体" w:cs="宋体" w:eastAsia="宋体" w:hint="default"/>
                <w:sz w:val="18"/>
                <w:szCs w:val="18"/>
              </w:rPr>
            </w:pPr>
            <w:r>
              <w:rPr>
                <w:rFonts w:ascii="宋体" w:hAnsi="宋体" w:cs="宋体" w:eastAsia="宋体" w:hint="default"/>
                <w:sz w:val="18"/>
                <w:szCs w:val="18"/>
              </w:rPr>
              <w:t>的生育全程健康服务。</w:t>
            </w:r>
          </w:p>
        </w:tc>
      </w:tr>
      <w:tr>
        <w:trPr>
          <w:trHeight w:val="258" w:hRule="exact"/>
        </w:trPr>
        <w:tc>
          <w:tcPr>
            <w:tcW w:w="1939" w:type="dxa"/>
            <w:tcBorders>
              <w:top w:val="nil" w:sz="6" w:space="0" w:color="auto"/>
              <w:left w:val="single" w:sz="12" w:space="0" w:color="000000"/>
              <w:bottom w:val="nil" w:sz="6" w:space="0" w:color="auto"/>
              <w:right w:val="single" w:sz="6" w:space="0" w:color="000000"/>
            </w:tcBorders>
          </w:tcPr>
          <w:p>
            <w:pP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02" w:lineRule="exact"/>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慧康孕宝</w:t>
            </w:r>
            <w:r>
              <w:rPr>
                <w:rFonts w:ascii="宋体" w:hAnsi="宋体" w:cs="宋体" w:eastAsia="宋体" w:hint="default"/>
                <w:spacing w:val="30"/>
                <w:sz w:val="18"/>
                <w:szCs w:val="18"/>
              </w:rPr>
              <w:t> </w:t>
            </w:r>
            <w:r>
              <w:rPr>
                <w:rFonts w:ascii="Times New Roman" w:hAnsi="Times New Roman" w:cs="Times New Roman" w:eastAsia="Times New Roman" w:hint="default"/>
                <w:sz w:val="18"/>
                <w:szCs w:val="18"/>
              </w:rPr>
              <w:t>APP/</w:t>
            </w:r>
            <w:r>
              <w:rPr>
                <w:rFonts w:ascii="宋体" w:hAnsi="宋体" w:cs="宋体" w:eastAsia="宋体" w:hint="default"/>
                <w:sz w:val="18"/>
                <w:szCs w:val="18"/>
              </w:rPr>
              <w:t>微信公众号</w:t>
            </w:r>
            <w:r>
              <w:rPr>
                <w:rFonts w:ascii="Times New Roman" w:hAnsi="Times New Roman" w:cs="Times New Roman" w:eastAsia="Times New Roman" w:hint="default"/>
                <w:sz w:val="18"/>
                <w:szCs w:val="18"/>
              </w:rPr>
              <w:t>/</w:t>
            </w:r>
            <w:r>
              <w:rPr>
                <w:rFonts w:ascii="宋体" w:hAnsi="宋体" w:cs="宋体" w:eastAsia="宋体" w:hint="default"/>
                <w:sz w:val="18"/>
                <w:szCs w:val="18"/>
              </w:rPr>
              <w:t>小程序：慧康孕宝旨在打造“政府</w:t>
            </w:r>
            <w:r>
              <w:rPr>
                <w:rFonts w:ascii="Times New Roman" w:hAnsi="Times New Roman" w:cs="Times New Roman" w:eastAsia="Times New Roman" w:hint="default"/>
                <w:sz w:val="18"/>
                <w:szCs w:val="18"/>
              </w:rPr>
              <w:t>+</w:t>
            </w:r>
            <w:r>
              <w:rPr>
                <w:rFonts w:ascii="宋体" w:hAnsi="宋体" w:cs="宋体" w:eastAsia="宋体" w:hint="default"/>
                <w:sz w:val="18"/>
                <w:szCs w:val="18"/>
              </w:rPr>
              <w:t>医院</w:t>
            </w:r>
            <w:r>
              <w:rPr>
                <w:rFonts w:ascii="Times New Roman" w:hAnsi="Times New Roman" w:cs="Times New Roman" w:eastAsia="Times New Roman" w:hint="default"/>
                <w:sz w:val="18"/>
                <w:szCs w:val="18"/>
              </w:rPr>
              <w:t>+</w:t>
            </w:r>
            <w:r>
              <w:rPr>
                <w:rFonts w:ascii="宋体" w:hAnsi="宋体" w:cs="宋体" w:eastAsia="宋体" w:hint="default"/>
                <w:sz w:val="18"/>
                <w:szCs w:val="18"/>
              </w:rPr>
              <w:t>医疗</w:t>
            </w:r>
            <w:r>
              <w:rPr>
                <w:rFonts w:ascii="Times New Roman" w:hAnsi="Times New Roman" w:cs="Times New Roman" w:eastAsia="Times New Roman" w:hint="default"/>
                <w:sz w:val="18"/>
                <w:szCs w:val="18"/>
              </w:rPr>
              <w:t>+</w:t>
            </w:r>
            <w:r>
              <w:rPr>
                <w:rFonts w:ascii="宋体" w:hAnsi="宋体" w:cs="宋体" w:eastAsia="宋体" w:hint="default"/>
                <w:sz w:val="18"/>
                <w:szCs w:val="18"/>
              </w:rPr>
              <w:t>健康</w:t>
            </w:r>
            <w:r>
              <w:rPr>
                <w:rFonts w:ascii="Times New Roman" w:hAnsi="Times New Roman" w:cs="Times New Roman" w:eastAsia="Times New Roman" w:hint="default"/>
                <w:sz w:val="18"/>
                <w:szCs w:val="18"/>
              </w:rPr>
              <w:t>+</w:t>
            </w:r>
          </w:p>
        </w:tc>
      </w:tr>
      <w:tr>
        <w:trPr>
          <w:trHeight w:val="308" w:hRule="exact"/>
        </w:trPr>
        <w:tc>
          <w:tcPr>
            <w:tcW w:w="1939" w:type="dxa"/>
            <w:tcBorders>
              <w:top w:val="nil" w:sz="6" w:space="0" w:color="auto"/>
              <w:left w:val="single" w:sz="12" w:space="0" w:color="000000"/>
              <w:bottom w:val="nil" w:sz="6" w:space="0" w:color="auto"/>
              <w:right w:val="single" w:sz="6" w:space="0" w:color="000000"/>
            </w:tcBorders>
          </w:tcPr>
          <w:p>
            <w:pP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消费”的母婴健康服务运营平台。赋能医疗机构、母婴服务机构、第三方商家，</w:t>
            </w:r>
          </w:p>
        </w:tc>
      </w:tr>
      <w:tr>
        <w:trPr>
          <w:trHeight w:val="358" w:hRule="exact"/>
        </w:trPr>
        <w:tc>
          <w:tcPr>
            <w:tcW w:w="1939" w:type="dxa"/>
            <w:tcBorders>
              <w:top w:val="nil" w:sz="6" w:space="0" w:color="auto"/>
              <w:left w:val="single" w:sz="12" w:space="0" w:color="000000"/>
              <w:bottom w:val="single" w:sz="6" w:space="0" w:color="000000"/>
              <w:right w:val="single" w:sz="6" w:space="0" w:color="000000"/>
            </w:tcBorders>
          </w:tcPr>
          <w:p>
            <w:pPr/>
          </w:p>
        </w:tc>
        <w:tc>
          <w:tcPr>
            <w:tcW w:w="6589" w:type="dxa"/>
            <w:tcBorders>
              <w:top w:val="nil" w:sz="6" w:space="0" w:color="auto"/>
              <w:left w:val="single" w:sz="6" w:space="0" w:color="000000"/>
              <w:bottom w:val="single" w:sz="6" w:space="0" w:color="000000"/>
              <w:right w:val="single" w:sz="12"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共同为妇幼人群提供优质便捷的互联网健康服务。</w:t>
            </w:r>
          </w:p>
        </w:tc>
      </w:tr>
      <w:tr>
        <w:trPr>
          <w:trHeight w:val="497" w:hRule="exact"/>
        </w:trPr>
        <w:tc>
          <w:tcPr>
            <w:tcW w:w="19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6"/>
              <w:ind w:right="8"/>
              <w:jc w:val="center"/>
              <w:rPr>
                <w:rFonts w:ascii="宋体" w:hAnsi="宋体" w:cs="宋体" w:eastAsia="宋体" w:hint="default"/>
                <w:sz w:val="18"/>
                <w:szCs w:val="18"/>
              </w:rPr>
            </w:pPr>
            <w:r>
              <w:rPr>
                <w:rFonts w:ascii="宋体" w:hAnsi="宋体" w:cs="宋体" w:eastAsia="宋体" w:hint="default"/>
                <w:sz w:val="18"/>
                <w:szCs w:val="18"/>
              </w:rPr>
              <w:t>应用领域</w:t>
            </w:r>
          </w:p>
        </w:tc>
        <w:tc>
          <w:tcPr>
            <w:tcW w:w="658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6"/>
              <w:ind w:left="101" w:right="0"/>
              <w:jc w:val="left"/>
              <w:rPr>
                <w:rFonts w:ascii="宋体" w:hAnsi="宋体" w:cs="宋体" w:eastAsia="宋体" w:hint="default"/>
                <w:sz w:val="18"/>
                <w:szCs w:val="18"/>
              </w:rPr>
            </w:pPr>
            <w:r>
              <w:rPr>
                <w:rFonts w:ascii="宋体" w:hAnsi="宋体" w:cs="宋体" w:eastAsia="宋体" w:hint="default"/>
                <w:sz w:val="18"/>
                <w:szCs w:val="18"/>
              </w:rPr>
              <w:t>成妇女保健、儿童保健</w:t>
            </w:r>
          </w:p>
        </w:tc>
      </w:tr>
      <w:tr>
        <w:trPr>
          <w:trHeight w:val="359" w:hRule="exact"/>
        </w:trPr>
        <w:tc>
          <w:tcPr>
            <w:tcW w:w="1939" w:type="dxa"/>
            <w:tcBorders>
              <w:top w:val="single" w:sz="6" w:space="0" w:color="000000"/>
              <w:left w:val="single" w:sz="12" w:space="0" w:color="000000"/>
              <w:bottom w:val="nil" w:sz="6" w:space="0" w:color="auto"/>
              <w:right w:val="single" w:sz="6" w:space="0" w:color="000000"/>
            </w:tcBorders>
          </w:tcPr>
          <w:p>
            <w:pPr/>
          </w:p>
        </w:tc>
        <w:tc>
          <w:tcPr>
            <w:tcW w:w="6589" w:type="dxa"/>
            <w:tcBorders>
              <w:top w:val="single" w:sz="6" w:space="0" w:color="000000"/>
              <w:left w:val="single" w:sz="6" w:space="0" w:color="000000"/>
              <w:bottom w:val="nil" w:sz="6" w:space="0" w:color="auto"/>
              <w:right w:val="single" w:sz="12"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以母子健康手册等为入口，整合线下妇幼医疗信息化系统建立数据中心，提供线</w:t>
            </w:r>
          </w:p>
        </w:tc>
      </w:tr>
      <w:tr>
        <w:trPr>
          <w:trHeight w:val="312" w:hRule="exact"/>
        </w:trPr>
        <w:tc>
          <w:tcPr>
            <w:tcW w:w="1939" w:type="dxa"/>
            <w:tcBorders>
              <w:top w:val="nil" w:sz="6" w:space="0" w:color="auto"/>
              <w:left w:val="single" w:sz="12" w:space="0" w:color="000000"/>
              <w:bottom w:val="nil" w:sz="6" w:space="0" w:color="auto"/>
              <w:right w:val="single" w:sz="6" w:space="0" w:color="000000"/>
            </w:tcBorders>
          </w:tcPr>
          <w:p>
            <w:pPr>
              <w:pStyle w:val="TableParagraph"/>
              <w:spacing w:line="240" w:lineRule="auto" w:before="10"/>
              <w:ind w:right="8"/>
              <w:jc w:val="center"/>
              <w:rPr>
                <w:rFonts w:ascii="宋体" w:hAnsi="宋体" w:cs="宋体" w:eastAsia="宋体" w:hint="default"/>
                <w:sz w:val="18"/>
                <w:szCs w:val="18"/>
              </w:rPr>
            </w:pPr>
            <w:r>
              <w:rPr>
                <w:rFonts w:ascii="宋体" w:hAnsi="宋体" w:cs="宋体" w:eastAsia="宋体" w:hint="default"/>
                <w:sz w:val="18"/>
                <w:szCs w:val="18"/>
              </w:rPr>
              <w:t>作用</w:t>
            </w: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上医疗健康服务，打造妇幼智慧云平台，为妇幼人群提供政府基本医疗服务和第</w:t>
            </w:r>
          </w:p>
        </w:tc>
      </w:tr>
      <w:tr>
        <w:trPr>
          <w:trHeight w:val="360" w:hRule="exact"/>
        </w:trPr>
        <w:tc>
          <w:tcPr>
            <w:tcW w:w="1939" w:type="dxa"/>
            <w:tcBorders>
              <w:top w:val="nil" w:sz="6" w:space="0" w:color="auto"/>
              <w:left w:val="single" w:sz="12" w:space="0" w:color="000000"/>
              <w:bottom w:val="single" w:sz="6" w:space="0" w:color="000000"/>
              <w:right w:val="single" w:sz="6" w:space="0" w:color="000000"/>
            </w:tcBorders>
          </w:tcPr>
          <w:p>
            <w:pPr/>
          </w:p>
        </w:tc>
        <w:tc>
          <w:tcPr>
            <w:tcW w:w="6589" w:type="dxa"/>
            <w:tcBorders>
              <w:top w:val="nil" w:sz="6" w:space="0" w:color="auto"/>
              <w:left w:val="single" w:sz="6" w:space="0" w:color="000000"/>
              <w:bottom w:val="single" w:sz="6" w:space="0" w:color="000000"/>
              <w:right w:val="single" w:sz="12"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三方健康增值服务。</w:t>
            </w:r>
          </w:p>
        </w:tc>
      </w:tr>
      <w:tr>
        <w:trPr>
          <w:trHeight w:val="504" w:hRule="exact"/>
        </w:trPr>
        <w:tc>
          <w:tcPr>
            <w:tcW w:w="193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96"/>
              <w:ind w:right="8"/>
              <w:jc w:val="center"/>
              <w:rPr>
                <w:rFonts w:ascii="宋体" w:hAnsi="宋体" w:cs="宋体" w:eastAsia="宋体" w:hint="default"/>
                <w:sz w:val="18"/>
                <w:szCs w:val="18"/>
              </w:rPr>
            </w:pPr>
            <w:r>
              <w:rPr>
                <w:rFonts w:ascii="宋体" w:hAnsi="宋体" w:cs="宋体" w:eastAsia="宋体" w:hint="default"/>
                <w:sz w:val="18"/>
                <w:szCs w:val="18"/>
              </w:rPr>
              <w:t>销售（服务）对象</w:t>
            </w:r>
          </w:p>
        </w:tc>
        <w:tc>
          <w:tcPr>
            <w:tcW w:w="658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6"/>
              <w:ind w:left="101" w:right="0"/>
              <w:jc w:val="left"/>
              <w:rPr>
                <w:rFonts w:ascii="宋体" w:hAnsi="宋体" w:cs="宋体" w:eastAsia="宋体" w:hint="default"/>
                <w:sz w:val="18"/>
                <w:szCs w:val="18"/>
              </w:rPr>
            </w:pPr>
            <w:r>
              <w:rPr>
                <w:rFonts w:ascii="宋体" w:hAnsi="宋体" w:cs="宋体" w:eastAsia="宋体" w:hint="default"/>
                <w:sz w:val="18"/>
                <w:szCs w:val="18"/>
              </w:rPr>
              <w:t>母婴市场、妇幼人群、保险公司、健康管理机构</w:t>
            </w:r>
          </w:p>
        </w:tc>
      </w:tr>
    </w:tbl>
    <w:p>
      <w:pPr>
        <w:pStyle w:val="BodyText"/>
        <w:spacing w:line="240" w:lineRule="auto" w:before="51"/>
        <w:ind w:left="472" w:right="0"/>
        <w:jc w:val="left"/>
      </w:pPr>
      <w:r>
        <w:rPr>
          <w:rFonts w:ascii="Times New Roman" w:hAnsi="Times New Roman" w:cs="Times New Roman" w:eastAsia="Times New Roman" w:hint="default"/>
        </w:rPr>
        <w:t>4</w:t>
      </w:r>
      <w:r>
        <w:rPr/>
        <w:t>、创业慧康电商云平台</w:t>
      </w:r>
    </w:p>
    <w:p>
      <w:pPr>
        <w:spacing w:after="0" w:line="240" w:lineRule="auto"/>
        <w:jc w:val="left"/>
        <w:sectPr>
          <w:footerReference w:type="default" r:id="rId20"/>
          <w:pgSz w:w="11910" w:h="16840"/>
          <w:pgMar w:footer="1016" w:header="907" w:top="1100" w:bottom="1200" w:left="1020" w:right="0"/>
          <w:pgNumType w:start="20"/>
        </w:sectPr>
      </w:pPr>
    </w:p>
    <w:p>
      <w:pPr>
        <w:spacing w:line="240" w:lineRule="auto" w:before="13"/>
        <w:rPr>
          <w:rFonts w:ascii="宋体" w:hAnsi="宋体" w:cs="宋体" w:eastAsia="宋体" w:hint="default"/>
          <w:sz w:val="22"/>
          <w:szCs w:val="22"/>
        </w:rPr>
      </w:pPr>
    </w:p>
    <w:p>
      <w:pPr>
        <w:pStyle w:val="BodyText"/>
        <w:spacing w:line="300" w:lineRule="auto" w:before="44"/>
        <w:ind w:right="1112" w:firstLine="360"/>
        <w:jc w:val="left"/>
      </w:pPr>
      <w:r>
        <w:rPr/>
        <w:t>创业慧康电商云平台以互联网</w:t>
      </w:r>
      <w:r>
        <w:rPr>
          <w:rFonts w:ascii="Times New Roman" w:hAnsi="Times New Roman" w:cs="Times New Roman" w:eastAsia="Times New Roman" w:hint="default"/>
        </w:rPr>
        <w:t>+</w:t>
      </w:r>
      <w:r>
        <w:rPr/>
        <w:t>医疗健康服务为核心内容，为大健康大医疗领域的线下店铺、供应链商家、医院等主体 提供</w:t>
      </w:r>
      <w:r>
        <w:rPr>
          <w:spacing w:val="-45"/>
        </w:rPr>
        <w:t> </w:t>
      </w:r>
      <w:r>
        <w:rPr>
          <w:rFonts w:ascii="Times New Roman" w:hAnsi="Times New Roman" w:cs="Times New Roman" w:eastAsia="Times New Roman" w:hint="default"/>
        </w:rPr>
        <w:t>B2B2C</w:t>
      </w:r>
      <w:r>
        <w:rPr>
          <w:rFonts w:ascii="Times New Roman" w:hAnsi="Times New Roman" w:cs="Times New Roman" w:eastAsia="Times New Roman" w:hint="default"/>
          <w:spacing w:val="-2"/>
        </w:rPr>
        <w:t> </w:t>
      </w:r>
      <w:r>
        <w:rPr/>
        <w:t>批发零售</w:t>
      </w:r>
      <w:r>
        <w:rPr>
          <w:rFonts w:ascii="Times New Roman" w:hAnsi="Times New Roman" w:cs="Times New Roman" w:eastAsia="Times New Roman" w:hint="default"/>
        </w:rPr>
        <w:t>+</w:t>
      </w:r>
      <w:r>
        <w:rPr/>
        <w:t>多租户多商户</w:t>
      </w:r>
      <w:r>
        <w:rPr>
          <w:rFonts w:ascii="Times New Roman" w:hAnsi="Times New Roman" w:cs="Times New Roman" w:eastAsia="Times New Roman" w:hint="default"/>
        </w:rPr>
        <w:t>+</w:t>
      </w:r>
      <w:r>
        <w:rPr/>
        <w:t>多门店</w:t>
      </w:r>
      <w:r>
        <w:rPr>
          <w:spacing w:val="-47"/>
        </w:rPr>
        <w:t> </w:t>
      </w:r>
      <w:r>
        <w:rPr>
          <w:rFonts w:ascii="Times New Roman" w:hAnsi="Times New Roman" w:cs="Times New Roman" w:eastAsia="Times New Roman" w:hint="default"/>
        </w:rPr>
        <w:t>O2O </w:t>
      </w:r>
      <w:r>
        <w:rPr/>
        <w:t>模式，可以快速实现线上线下资源整合，扩大营收渠道。</w:t>
      </w:r>
    </w:p>
    <w:p>
      <w:pPr>
        <w:spacing w:line="240" w:lineRule="auto" w:before="2"/>
        <w:rPr>
          <w:rFonts w:ascii="宋体" w:hAnsi="宋体" w:cs="宋体" w:eastAsia="宋体" w:hint="default"/>
          <w:sz w:val="3"/>
          <w:szCs w:val="3"/>
        </w:rPr>
      </w:pPr>
    </w:p>
    <w:tbl>
      <w:tblPr>
        <w:tblW w:w="0" w:type="auto"/>
        <w:jc w:val="left"/>
        <w:tblInd w:w="654" w:type="dxa"/>
        <w:tblLayout w:type="fixed"/>
        <w:tblCellMar>
          <w:top w:w="0" w:type="dxa"/>
          <w:left w:w="0" w:type="dxa"/>
          <w:bottom w:w="0" w:type="dxa"/>
          <w:right w:w="0" w:type="dxa"/>
        </w:tblCellMar>
        <w:tblLook w:val="01E0"/>
      </w:tblPr>
      <w:tblGrid>
        <w:gridCol w:w="1939"/>
        <w:gridCol w:w="6589"/>
      </w:tblGrid>
      <w:tr>
        <w:trPr>
          <w:trHeight w:val="563" w:hRule="exact"/>
        </w:trPr>
        <w:tc>
          <w:tcPr>
            <w:tcW w:w="193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25"/>
              <w:ind w:right="6"/>
              <w:jc w:val="center"/>
              <w:rPr>
                <w:rFonts w:ascii="宋体" w:hAnsi="宋体" w:cs="宋体" w:eastAsia="宋体" w:hint="default"/>
                <w:sz w:val="18"/>
                <w:szCs w:val="18"/>
              </w:rPr>
            </w:pPr>
            <w:r>
              <w:rPr>
                <w:rFonts w:ascii="宋体" w:hAnsi="宋体" w:cs="宋体" w:eastAsia="宋体" w:hint="default"/>
                <w:b/>
                <w:bCs/>
                <w:sz w:val="18"/>
                <w:szCs w:val="18"/>
              </w:rPr>
              <w:t>产品类别</w:t>
            </w:r>
            <w:r>
              <w:rPr>
                <w:rFonts w:ascii="宋体" w:hAnsi="宋体" w:cs="宋体" w:eastAsia="宋体" w:hint="default"/>
                <w:sz w:val="18"/>
                <w:szCs w:val="18"/>
              </w:rPr>
            </w:r>
          </w:p>
        </w:tc>
        <w:tc>
          <w:tcPr>
            <w:tcW w:w="658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25"/>
              <w:ind w:left="12" w:right="0"/>
              <w:jc w:val="center"/>
              <w:rPr>
                <w:rFonts w:ascii="宋体" w:hAnsi="宋体" w:cs="宋体" w:eastAsia="宋体" w:hint="default"/>
                <w:sz w:val="18"/>
                <w:szCs w:val="18"/>
              </w:rPr>
            </w:pPr>
            <w:r>
              <w:rPr>
                <w:rFonts w:ascii="宋体" w:hAnsi="宋体" w:cs="宋体" w:eastAsia="宋体" w:hint="default"/>
                <w:b/>
                <w:bCs/>
                <w:sz w:val="18"/>
                <w:szCs w:val="18"/>
              </w:rPr>
              <w:t>创业慧康电商云平台</w:t>
            </w:r>
            <w:r>
              <w:rPr>
                <w:rFonts w:ascii="宋体" w:hAnsi="宋体" w:cs="宋体" w:eastAsia="宋体" w:hint="default"/>
                <w:sz w:val="18"/>
                <w:szCs w:val="18"/>
              </w:rPr>
            </w:r>
          </w:p>
        </w:tc>
      </w:tr>
      <w:tr>
        <w:trPr>
          <w:trHeight w:val="364" w:hRule="exact"/>
        </w:trPr>
        <w:tc>
          <w:tcPr>
            <w:tcW w:w="1939" w:type="dxa"/>
            <w:tcBorders>
              <w:top w:val="single" w:sz="6" w:space="0" w:color="000000"/>
              <w:left w:val="single" w:sz="12" w:space="0" w:color="000000"/>
              <w:bottom w:val="nil" w:sz="6" w:space="0" w:color="auto"/>
              <w:right w:val="single" w:sz="6" w:space="0" w:color="000000"/>
            </w:tcBorders>
          </w:tcPr>
          <w:p>
            <w:pPr/>
          </w:p>
        </w:tc>
        <w:tc>
          <w:tcPr>
            <w:tcW w:w="6589" w:type="dxa"/>
            <w:tcBorders>
              <w:top w:val="single" w:sz="6" w:space="0" w:color="000000"/>
              <w:left w:val="single" w:sz="6" w:space="0" w:color="000000"/>
              <w:bottom w:val="nil" w:sz="6" w:space="0" w:color="auto"/>
              <w:right w:val="single" w:sz="12"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多租户</w:t>
            </w:r>
            <w:r>
              <w:rPr>
                <w:rFonts w:ascii="Times New Roman" w:hAnsi="Times New Roman" w:cs="Times New Roman" w:eastAsia="Times New Roman" w:hint="default"/>
                <w:sz w:val="18"/>
                <w:szCs w:val="18"/>
              </w:rPr>
              <w:t>+B2C</w:t>
            </w:r>
            <w:r>
              <w:rPr>
                <w:rFonts w:ascii="Times New Roman" w:hAnsi="Times New Roman" w:cs="Times New Roman" w:eastAsia="Times New Roman" w:hint="default"/>
                <w:spacing w:val="19"/>
                <w:sz w:val="18"/>
                <w:szCs w:val="18"/>
              </w:rPr>
              <w:t> </w:t>
            </w:r>
            <w:r>
              <w:rPr>
                <w:rFonts w:ascii="宋体" w:hAnsi="宋体" w:cs="宋体" w:eastAsia="宋体" w:hint="default"/>
                <w:spacing w:val="-5"/>
                <w:sz w:val="18"/>
                <w:szCs w:val="18"/>
              </w:rPr>
              <w:t>自主运营模式：根据客户实际要求，可采用多租户模式完成快速开户，</w:t>
            </w:r>
          </w:p>
        </w:tc>
      </w:tr>
      <w:tr>
        <w:trPr>
          <w:trHeight w:val="327" w:hRule="exact"/>
        </w:trPr>
        <w:tc>
          <w:tcPr>
            <w:tcW w:w="1939" w:type="dxa"/>
            <w:tcBorders>
              <w:top w:val="nil" w:sz="6" w:space="0" w:color="auto"/>
              <w:left w:val="single" w:sz="12" w:space="0" w:color="000000"/>
              <w:bottom w:val="nil" w:sz="6" w:space="0" w:color="auto"/>
              <w:right w:val="single" w:sz="6" w:space="0" w:color="000000"/>
            </w:tcBorders>
          </w:tcPr>
          <w:p>
            <w:pP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在云端独立部署，也可关闭商家入驻入口，独立运营自有产品和服务。</w:t>
            </w:r>
          </w:p>
        </w:tc>
      </w:tr>
      <w:tr>
        <w:trPr>
          <w:trHeight w:val="336" w:hRule="exact"/>
        </w:trPr>
        <w:tc>
          <w:tcPr>
            <w:tcW w:w="1939" w:type="dxa"/>
            <w:tcBorders>
              <w:top w:val="nil" w:sz="6" w:space="0" w:color="auto"/>
              <w:left w:val="single" w:sz="12" w:space="0" w:color="000000"/>
              <w:bottom w:val="nil" w:sz="6" w:space="0" w:color="auto"/>
              <w:right w:val="single" w:sz="6" w:space="0" w:color="000000"/>
            </w:tcBorders>
          </w:tcPr>
          <w:p>
            <w:pP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2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B2B</w:t>
            </w:r>
            <w:r>
              <w:rPr>
                <w:rFonts w:ascii="Times New Roman" w:hAnsi="Times New Roman" w:cs="Times New Roman" w:eastAsia="Times New Roman" w:hint="default"/>
                <w:spacing w:val="20"/>
                <w:sz w:val="18"/>
                <w:szCs w:val="18"/>
              </w:rPr>
              <w:t> </w:t>
            </w:r>
            <w:r>
              <w:rPr>
                <w:rFonts w:ascii="宋体" w:hAnsi="宋体" w:cs="宋体" w:eastAsia="宋体" w:hint="default"/>
                <w:spacing w:val="-2"/>
                <w:sz w:val="18"/>
                <w:szCs w:val="18"/>
              </w:rPr>
              <w:t>分销批发模式：供货商</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零售商同时入驻平台，可开启批发及供求模式，解决</w:t>
            </w:r>
          </w:p>
        </w:tc>
      </w:tr>
      <w:tr>
        <w:trPr>
          <w:trHeight w:val="327" w:hRule="exact"/>
        </w:trPr>
        <w:tc>
          <w:tcPr>
            <w:tcW w:w="1939" w:type="dxa"/>
            <w:tcBorders>
              <w:top w:val="nil" w:sz="6" w:space="0" w:color="auto"/>
              <w:left w:val="single" w:sz="12" w:space="0" w:color="000000"/>
              <w:bottom w:val="nil" w:sz="6" w:space="0" w:color="auto"/>
              <w:right w:val="single" w:sz="6" w:space="0" w:color="000000"/>
            </w:tcBorders>
          </w:tcPr>
          <w:p>
            <w:pP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大健康领域同一场景下用户多需求问题，帮助零售店铺更好运营。</w:t>
            </w:r>
          </w:p>
        </w:tc>
      </w:tr>
      <w:tr>
        <w:trPr>
          <w:trHeight w:val="358" w:hRule="exact"/>
        </w:trPr>
        <w:tc>
          <w:tcPr>
            <w:tcW w:w="1939" w:type="dxa"/>
            <w:tcBorders>
              <w:top w:val="nil" w:sz="6" w:space="0" w:color="auto"/>
              <w:left w:val="single" w:sz="12" w:space="0" w:color="000000"/>
              <w:bottom w:val="nil" w:sz="6" w:space="0" w:color="auto"/>
              <w:right w:val="single" w:sz="6" w:space="0" w:color="000000"/>
            </w:tcBorders>
          </w:tcPr>
          <w:p>
            <w:pPr>
              <w:pStyle w:val="TableParagraph"/>
              <w:spacing w:line="240" w:lineRule="auto" w:before="31"/>
              <w:ind w:right="8"/>
              <w:jc w:val="center"/>
              <w:rPr>
                <w:rFonts w:ascii="宋体" w:hAnsi="宋体" w:cs="宋体" w:eastAsia="宋体" w:hint="default"/>
                <w:sz w:val="18"/>
                <w:szCs w:val="18"/>
              </w:rPr>
            </w:pPr>
            <w:r>
              <w:rPr>
                <w:rFonts w:ascii="宋体" w:hAnsi="宋体" w:cs="宋体" w:eastAsia="宋体" w:hint="default"/>
                <w:sz w:val="18"/>
                <w:szCs w:val="18"/>
              </w:rPr>
              <w:t>主要内容</w:t>
            </w: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3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B2B2C</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自营</w:t>
            </w:r>
            <w:r>
              <w:rPr>
                <w:rFonts w:ascii="Times New Roman" w:hAnsi="Times New Roman" w:cs="Times New Roman" w:eastAsia="Times New Roman" w:hint="default"/>
                <w:sz w:val="18"/>
                <w:szCs w:val="18"/>
              </w:rPr>
              <w:t>+</w:t>
            </w:r>
            <w:r>
              <w:rPr>
                <w:rFonts w:ascii="宋体" w:hAnsi="宋体" w:cs="宋体" w:eastAsia="宋体" w:hint="default"/>
                <w:sz w:val="18"/>
                <w:szCs w:val="18"/>
              </w:rPr>
              <w:t>多商户模式：类似京东或天猫，整合多商家多渠道供应商</w:t>
            </w:r>
          </w:p>
        </w:tc>
      </w:tr>
      <w:tr>
        <w:trPr>
          <w:trHeight w:val="327" w:hRule="exact"/>
        </w:trPr>
        <w:tc>
          <w:tcPr>
            <w:tcW w:w="1939" w:type="dxa"/>
            <w:tcBorders>
              <w:top w:val="nil" w:sz="6" w:space="0" w:color="auto"/>
              <w:left w:val="single" w:sz="12" w:space="0" w:color="000000"/>
              <w:bottom w:val="nil" w:sz="6" w:space="0" w:color="auto"/>
              <w:right w:val="single" w:sz="6" w:space="0" w:color="000000"/>
            </w:tcBorders>
          </w:tcPr>
          <w:p>
            <w:pP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26"/>
              <w:ind w:left="101" w:right="0"/>
              <w:jc w:val="left"/>
              <w:rPr>
                <w:rFonts w:ascii="宋体" w:hAnsi="宋体" w:cs="宋体" w:eastAsia="宋体" w:hint="default"/>
                <w:sz w:val="18"/>
                <w:szCs w:val="18"/>
              </w:rPr>
            </w:pPr>
            <w:r>
              <w:rPr>
                <w:rFonts w:ascii="宋体" w:hAnsi="宋体" w:cs="宋体" w:eastAsia="宋体" w:hint="default"/>
                <w:sz w:val="18"/>
                <w:szCs w:val="18"/>
              </w:rPr>
              <w:t>入驻到平台开店，每个商家拥有自己独立域名及店铺，可嵌入微信、支付宝等大</w:t>
            </w:r>
          </w:p>
        </w:tc>
      </w:tr>
      <w:tr>
        <w:trPr>
          <w:trHeight w:val="331" w:hRule="exact"/>
        </w:trPr>
        <w:tc>
          <w:tcPr>
            <w:tcW w:w="1939" w:type="dxa"/>
            <w:tcBorders>
              <w:top w:val="nil" w:sz="6" w:space="0" w:color="auto"/>
              <w:left w:val="single" w:sz="12" w:space="0" w:color="000000"/>
              <w:bottom w:val="nil" w:sz="6" w:space="0" w:color="auto"/>
              <w:right w:val="single" w:sz="6" w:space="0" w:color="000000"/>
            </w:tcBorders>
          </w:tcPr>
          <w:p>
            <w:pP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平台。</w:t>
            </w:r>
          </w:p>
        </w:tc>
      </w:tr>
      <w:tr>
        <w:trPr>
          <w:trHeight w:val="336" w:hRule="exact"/>
        </w:trPr>
        <w:tc>
          <w:tcPr>
            <w:tcW w:w="1939" w:type="dxa"/>
            <w:tcBorders>
              <w:top w:val="nil" w:sz="6" w:space="0" w:color="auto"/>
              <w:left w:val="single" w:sz="12" w:space="0" w:color="000000"/>
              <w:bottom w:val="nil" w:sz="6" w:space="0" w:color="auto"/>
              <w:right w:val="single" w:sz="6" w:space="0" w:color="000000"/>
            </w:tcBorders>
          </w:tcPr>
          <w:p>
            <w:pP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29"/>
              <w:ind w:left="101" w:right="0"/>
              <w:jc w:val="left"/>
              <w:rPr>
                <w:rFonts w:ascii="宋体" w:hAnsi="宋体" w:cs="宋体" w:eastAsia="宋体" w:hint="default"/>
                <w:sz w:val="18"/>
                <w:szCs w:val="18"/>
              </w:rPr>
            </w:pPr>
            <w:r>
              <w:rPr>
                <w:rFonts w:ascii="宋体" w:hAnsi="宋体" w:cs="宋体" w:eastAsia="宋体" w:hint="default"/>
                <w:sz w:val="18"/>
                <w:szCs w:val="18"/>
              </w:rPr>
              <w:t>支持</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O2O</w:t>
            </w:r>
            <w:r>
              <w:rPr>
                <w:rFonts w:ascii="Times New Roman" w:hAnsi="Times New Roman" w:cs="Times New Roman" w:eastAsia="Times New Roman" w:hint="default"/>
                <w:spacing w:val="-10"/>
                <w:sz w:val="18"/>
                <w:szCs w:val="18"/>
              </w:rPr>
              <w:t> </w:t>
            </w:r>
            <w:r>
              <w:rPr>
                <w:rFonts w:ascii="宋体" w:hAnsi="宋体" w:cs="宋体" w:eastAsia="宋体" w:hint="default"/>
                <w:spacing w:val="-4"/>
                <w:sz w:val="18"/>
                <w:szCs w:val="18"/>
              </w:rPr>
              <w:t>模式：用户通过</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LBS</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定位，获取周边商家信息进行服务选择，可选择线</w:t>
            </w:r>
          </w:p>
        </w:tc>
      </w:tr>
      <w:tr>
        <w:trPr>
          <w:trHeight w:val="355" w:hRule="exact"/>
        </w:trPr>
        <w:tc>
          <w:tcPr>
            <w:tcW w:w="1939" w:type="dxa"/>
            <w:tcBorders>
              <w:top w:val="nil" w:sz="6" w:space="0" w:color="auto"/>
              <w:left w:val="single" w:sz="12" w:space="0" w:color="000000"/>
              <w:bottom w:val="single" w:sz="6" w:space="0" w:color="000000"/>
              <w:right w:val="single" w:sz="6" w:space="0" w:color="000000"/>
            </w:tcBorders>
          </w:tcPr>
          <w:p>
            <w:pPr/>
          </w:p>
        </w:tc>
        <w:tc>
          <w:tcPr>
            <w:tcW w:w="6589" w:type="dxa"/>
            <w:tcBorders>
              <w:top w:val="nil" w:sz="6" w:space="0" w:color="auto"/>
              <w:left w:val="single" w:sz="6" w:space="0" w:color="000000"/>
              <w:bottom w:val="single" w:sz="6" w:space="0" w:color="000000"/>
              <w:right w:val="single" w:sz="12"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下、远程、送货等服务形态，同时为商家提供强大的会员系统。</w:t>
            </w:r>
          </w:p>
        </w:tc>
      </w:tr>
      <w:tr>
        <w:trPr>
          <w:trHeight w:val="497" w:hRule="exact"/>
        </w:trPr>
        <w:tc>
          <w:tcPr>
            <w:tcW w:w="19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7"/>
              <w:ind w:right="8"/>
              <w:jc w:val="center"/>
              <w:rPr>
                <w:rFonts w:ascii="宋体" w:hAnsi="宋体" w:cs="宋体" w:eastAsia="宋体" w:hint="default"/>
                <w:sz w:val="18"/>
                <w:szCs w:val="18"/>
              </w:rPr>
            </w:pPr>
            <w:r>
              <w:rPr>
                <w:rFonts w:ascii="宋体" w:hAnsi="宋体" w:cs="宋体" w:eastAsia="宋体" w:hint="default"/>
                <w:sz w:val="18"/>
                <w:szCs w:val="18"/>
              </w:rPr>
              <w:t>应用领域</w:t>
            </w:r>
          </w:p>
        </w:tc>
        <w:tc>
          <w:tcPr>
            <w:tcW w:w="658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7"/>
              <w:ind w:left="101" w:right="0"/>
              <w:jc w:val="left"/>
              <w:rPr>
                <w:rFonts w:ascii="宋体" w:hAnsi="宋体" w:cs="宋体" w:eastAsia="宋体" w:hint="default"/>
                <w:sz w:val="18"/>
                <w:szCs w:val="18"/>
              </w:rPr>
            </w:pPr>
            <w:r>
              <w:rPr>
                <w:rFonts w:ascii="宋体" w:hAnsi="宋体" w:cs="宋体" w:eastAsia="宋体" w:hint="default"/>
                <w:sz w:val="18"/>
                <w:szCs w:val="18"/>
              </w:rPr>
              <w:t>大健康电商领域</w:t>
            </w:r>
          </w:p>
        </w:tc>
      </w:tr>
      <w:tr>
        <w:trPr>
          <w:trHeight w:val="719" w:hRule="exact"/>
        </w:trPr>
        <w:tc>
          <w:tcPr>
            <w:tcW w:w="19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8"/>
              <w:jc w:val="center"/>
              <w:rPr>
                <w:rFonts w:ascii="宋体" w:hAnsi="宋体" w:cs="宋体" w:eastAsia="宋体" w:hint="default"/>
                <w:sz w:val="18"/>
                <w:szCs w:val="18"/>
              </w:rPr>
            </w:pPr>
            <w:r>
              <w:rPr>
                <w:rFonts w:ascii="宋体" w:hAnsi="宋体" w:cs="宋体" w:eastAsia="宋体" w:hint="default"/>
                <w:sz w:val="18"/>
                <w:szCs w:val="18"/>
              </w:rPr>
              <w:t>作用</w:t>
            </w:r>
          </w:p>
        </w:tc>
        <w:tc>
          <w:tcPr>
            <w:tcW w:w="6589"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51"/>
              <w:ind w:left="101" w:right="92"/>
              <w:jc w:val="left"/>
              <w:rPr>
                <w:rFonts w:ascii="宋体" w:hAnsi="宋体" w:cs="宋体" w:eastAsia="宋体" w:hint="default"/>
                <w:sz w:val="18"/>
                <w:szCs w:val="18"/>
              </w:rPr>
            </w:pPr>
            <w:r>
              <w:rPr>
                <w:rFonts w:ascii="宋体" w:hAnsi="宋体" w:cs="宋体" w:eastAsia="宋体" w:hint="default"/>
                <w:sz w:val="18"/>
                <w:szCs w:val="18"/>
              </w:rPr>
              <w:t>迎合用户使用习惯，建立更多的获客渠道，多客服系统覆盖，让用户享受便捷的</w:t>
            </w:r>
            <w:r>
              <w:rPr>
                <w:rFonts w:ascii="宋体" w:hAnsi="宋体" w:cs="宋体" w:eastAsia="宋体" w:hint="default"/>
                <w:spacing w:val="-31"/>
                <w:sz w:val="18"/>
                <w:szCs w:val="18"/>
              </w:rPr>
              <w:t> </w:t>
            </w:r>
            <w:r>
              <w:rPr>
                <w:rFonts w:ascii="宋体" w:hAnsi="宋体" w:cs="宋体" w:eastAsia="宋体" w:hint="default"/>
                <w:spacing w:val="-31"/>
                <w:sz w:val="18"/>
                <w:szCs w:val="18"/>
              </w:rPr>
            </w:r>
            <w:r>
              <w:rPr>
                <w:rFonts w:ascii="宋体" w:hAnsi="宋体" w:cs="宋体" w:eastAsia="宋体" w:hint="default"/>
                <w:sz w:val="18"/>
                <w:szCs w:val="18"/>
              </w:rPr>
              <w:t>服务，通过良好的口碑促使用户参与传播推广、参与销售。</w:t>
            </w:r>
          </w:p>
        </w:tc>
      </w:tr>
      <w:tr>
        <w:trPr>
          <w:trHeight w:val="504" w:hRule="exact"/>
        </w:trPr>
        <w:tc>
          <w:tcPr>
            <w:tcW w:w="193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95"/>
              <w:ind w:right="8"/>
              <w:jc w:val="center"/>
              <w:rPr>
                <w:rFonts w:ascii="宋体" w:hAnsi="宋体" w:cs="宋体" w:eastAsia="宋体" w:hint="default"/>
                <w:sz w:val="18"/>
                <w:szCs w:val="18"/>
              </w:rPr>
            </w:pPr>
            <w:r>
              <w:rPr>
                <w:rFonts w:ascii="宋体" w:hAnsi="宋体" w:cs="宋体" w:eastAsia="宋体" w:hint="default"/>
                <w:sz w:val="18"/>
                <w:szCs w:val="18"/>
              </w:rPr>
              <w:t>销售（服务）对象</w:t>
            </w:r>
          </w:p>
        </w:tc>
        <w:tc>
          <w:tcPr>
            <w:tcW w:w="658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5"/>
              <w:ind w:left="101" w:right="0"/>
              <w:jc w:val="left"/>
              <w:rPr>
                <w:rFonts w:ascii="宋体" w:hAnsi="宋体" w:cs="宋体" w:eastAsia="宋体" w:hint="default"/>
                <w:sz w:val="18"/>
                <w:szCs w:val="18"/>
              </w:rPr>
            </w:pPr>
            <w:r>
              <w:rPr>
                <w:rFonts w:ascii="宋体" w:hAnsi="宋体" w:cs="宋体" w:eastAsia="宋体" w:hint="default"/>
                <w:sz w:val="18"/>
                <w:szCs w:val="18"/>
              </w:rPr>
              <w:t>为大健康大医疗领域的线下店铺、供应链商家、医院等</w:t>
            </w:r>
          </w:p>
        </w:tc>
      </w:tr>
    </w:tbl>
    <w:p>
      <w:pPr>
        <w:pStyle w:val="BodyText"/>
        <w:spacing w:line="340" w:lineRule="auto" w:before="52"/>
        <w:ind w:left="472" w:right="1112"/>
        <w:jc w:val="left"/>
      </w:pPr>
      <w:r>
        <w:rPr>
          <w:rFonts w:ascii="Times New Roman" w:hAnsi="Times New Roman" w:cs="Times New Roman" w:eastAsia="Times New Roman" w:hint="default"/>
        </w:rPr>
        <w:t>5</w:t>
      </w:r>
      <w:r>
        <w:rPr/>
        <w:t>、创业慧康护理云平台 创业慧康护理云平台通过互联网信息技术，整合第三方金融机构、平台供应链，实现了从线下到线上“互联网</w:t>
      </w:r>
      <w:r>
        <w:rPr>
          <w:rFonts w:ascii="Times New Roman" w:hAnsi="Times New Roman" w:cs="Times New Roman" w:eastAsia="Times New Roman" w:hint="default"/>
        </w:rPr>
        <w:t>+</w:t>
      </w:r>
      <w:r>
        <w:rPr/>
        <w:t>护理服</w:t>
      </w:r>
    </w:p>
    <w:p>
      <w:pPr>
        <w:pStyle w:val="BodyText"/>
        <w:spacing w:line="215" w:lineRule="exact"/>
        <w:ind w:right="0"/>
        <w:jc w:val="left"/>
      </w:pPr>
      <w:r>
        <w:rPr/>
        <w:t>务”的转变，创新护理模式，扩大服务供给，提高服务效率，规范服务行为，保障质量安全，精准对接人民群众多样化、多</w:t>
      </w:r>
    </w:p>
    <w:p>
      <w:pPr>
        <w:pStyle w:val="BodyText"/>
        <w:spacing w:line="240" w:lineRule="auto" w:before="76"/>
        <w:ind w:right="0"/>
        <w:jc w:val="left"/>
      </w:pPr>
      <w:r>
        <w:rPr/>
        <w:t>层次的健康需求。</w:t>
      </w:r>
    </w:p>
    <w:p>
      <w:pPr>
        <w:spacing w:line="240" w:lineRule="auto" w:before="0"/>
        <w:rPr>
          <w:rFonts w:ascii="宋体" w:hAnsi="宋体" w:cs="宋体" w:eastAsia="宋体" w:hint="default"/>
          <w:sz w:val="8"/>
          <w:szCs w:val="8"/>
        </w:rPr>
      </w:pPr>
    </w:p>
    <w:tbl>
      <w:tblPr>
        <w:tblW w:w="0" w:type="auto"/>
        <w:jc w:val="left"/>
        <w:tblInd w:w="654" w:type="dxa"/>
        <w:tblLayout w:type="fixed"/>
        <w:tblCellMar>
          <w:top w:w="0" w:type="dxa"/>
          <w:left w:w="0" w:type="dxa"/>
          <w:bottom w:w="0" w:type="dxa"/>
          <w:right w:w="0" w:type="dxa"/>
        </w:tblCellMar>
        <w:tblLook w:val="01E0"/>
      </w:tblPr>
      <w:tblGrid>
        <w:gridCol w:w="1939"/>
        <w:gridCol w:w="6589"/>
      </w:tblGrid>
      <w:tr>
        <w:trPr>
          <w:trHeight w:val="1119" w:hRule="exact"/>
        </w:trPr>
        <w:tc>
          <w:tcPr>
            <w:tcW w:w="193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6"/>
              <w:jc w:val="center"/>
              <w:rPr>
                <w:rFonts w:ascii="宋体" w:hAnsi="宋体" w:cs="宋体" w:eastAsia="宋体" w:hint="default"/>
                <w:sz w:val="18"/>
                <w:szCs w:val="18"/>
              </w:rPr>
            </w:pPr>
            <w:r>
              <w:rPr>
                <w:rFonts w:ascii="宋体" w:hAnsi="宋体" w:cs="宋体" w:eastAsia="宋体" w:hint="default"/>
                <w:b/>
                <w:bCs/>
                <w:sz w:val="18"/>
                <w:szCs w:val="18"/>
              </w:rPr>
              <w:t>产品类别</w:t>
            </w:r>
            <w:r>
              <w:rPr>
                <w:rFonts w:ascii="宋体" w:hAnsi="宋体" w:cs="宋体" w:eastAsia="宋体" w:hint="default"/>
                <w:sz w:val="18"/>
                <w:szCs w:val="18"/>
              </w:rPr>
            </w:r>
          </w:p>
        </w:tc>
        <w:tc>
          <w:tcPr>
            <w:tcW w:w="658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2" w:right="0"/>
              <w:jc w:val="center"/>
              <w:rPr>
                <w:rFonts w:ascii="宋体" w:hAnsi="宋体" w:cs="宋体" w:eastAsia="宋体" w:hint="default"/>
                <w:sz w:val="18"/>
                <w:szCs w:val="18"/>
              </w:rPr>
            </w:pPr>
            <w:r>
              <w:rPr>
                <w:rFonts w:ascii="宋体" w:hAnsi="宋体" w:cs="宋体" w:eastAsia="宋体" w:hint="default"/>
                <w:b/>
                <w:bCs/>
                <w:sz w:val="18"/>
                <w:szCs w:val="18"/>
              </w:rPr>
              <w:t>创业慧康护理云平台</w:t>
            </w:r>
            <w:r>
              <w:rPr>
                <w:rFonts w:ascii="宋体" w:hAnsi="宋体" w:cs="宋体" w:eastAsia="宋体" w:hint="default"/>
                <w:sz w:val="18"/>
                <w:szCs w:val="18"/>
              </w:rPr>
            </w:r>
          </w:p>
        </w:tc>
      </w:tr>
      <w:tr>
        <w:trPr>
          <w:trHeight w:val="4126" w:hRule="exact"/>
        </w:trPr>
        <w:tc>
          <w:tcPr>
            <w:tcW w:w="19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8"/>
              <w:jc w:val="center"/>
              <w:rPr>
                <w:rFonts w:ascii="宋体" w:hAnsi="宋体" w:cs="宋体" w:eastAsia="宋体" w:hint="default"/>
                <w:sz w:val="18"/>
                <w:szCs w:val="18"/>
              </w:rPr>
            </w:pPr>
            <w:r>
              <w:rPr>
                <w:rFonts w:ascii="宋体" w:hAnsi="宋体" w:cs="宋体" w:eastAsia="宋体" w:hint="default"/>
                <w:sz w:val="18"/>
                <w:szCs w:val="18"/>
              </w:rPr>
              <w:t>主要内容</w:t>
            </w:r>
          </w:p>
        </w:tc>
        <w:tc>
          <w:tcPr>
            <w:tcW w:w="6589" w:type="dxa"/>
            <w:tcBorders>
              <w:top w:val="single" w:sz="6" w:space="0" w:color="000000"/>
              <w:left w:val="single" w:sz="6" w:space="0" w:color="000000"/>
              <w:bottom w:val="single" w:sz="6" w:space="0" w:color="000000"/>
              <w:right w:val="single" w:sz="12" w:space="0" w:color="000000"/>
            </w:tcBorders>
          </w:tcPr>
          <w:p>
            <w:pPr>
              <w:pStyle w:val="TableParagraph"/>
              <w:spacing w:line="3720" w:lineRule="exact"/>
              <w:ind w:left="101" w:right="0"/>
              <w:jc w:val="left"/>
              <w:rPr>
                <w:rFonts w:ascii="宋体" w:hAnsi="宋体" w:cs="宋体" w:eastAsia="宋体" w:hint="default"/>
                <w:sz w:val="20"/>
                <w:szCs w:val="20"/>
              </w:rPr>
            </w:pPr>
            <w:r>
              <w:rPr>
                <w:rFonts w:ascii="宋体" w:hAnsi="宋体" w:cs="宋体" w:eastAsia="宋体" w:hint="default"/>
                <w:position w:val="-73"/>
                <w:sz w:val="20"/>
                <w:szCs w:val="20"/>
              </w:rPr>
              <w:drawing>
                <wp:inline distT="0" distB="0" distL="0" distR="0">
                  <wp:extent cx="3941497" cy="2362771"/>
                  <wp:effectExtent l="0" t="0" r="0" b="0"/>
                  <wp:docPr id="11" name="image7.jpeg" descr=""/>
                  <wp:cNvGraphicFramePr>
                    <a:graphicFrameLocks noChangeAspect="1"/>
                  </wp:cNvGraphicFramePr>
                  <a:graphic>
                    <a:graphicData uri="http://schemas.openxmlformats.org/drawingml/2006/picture">
                      <pic:pic>
                        <pic:nvPicPr>
                          <pic:cNvPr id="12" name="image7.jpeg"/>
                          <pic:cNvPicPr/>
                        </pic:nvPicPr>
                        <pic:blipFill>
                          <a:blip r:embed="rId21" cstate="print"/>
                          <a:stretch>
                            <a:fillRect/>
                          </a:stretch>
                        </pic:blipFill>
                        <pic:spPr>
                          <a:xfrm>
                            <a:off x="0" y="0"/>
                            <a:ext cx="3941497" cy="2362771"/>
                          </a:xfrm>
                          <a:prstGeom prst="rect">
                            <a:avLst/>
                          </a:prstGeom>
                        </pic:spPr>
                      </pic:pic>
                    </a:graphicData>
                  </a:graphic>
                </wp:inline>
              </w:drawing>
            </w:r>
            <w:r>
              <w:rPr>
                <w:rFonts w:ascii="宋体" w:hAnsi="宋体" w:cs="宋体" w:eastAsia="宋体" w:hint="default"/>
                <w:position w:val="-73"/>
                <w:sz w:val="20"/>
                <w:szCs w:val="20"/>
              </w:rPr>
            </w:r>
          </w:p>
          <w:p>
            <w:pPr>
              <w:pStyle w:val="TableParagraph"/>
              <w:spacing w:line="240" w:lineRule="auto"/>
              <w:ind w:right="0"/>
              <w:jc w:val="left"/>
              <w:rPr>
                <w:rFonts w:ascii="宋体" w:hAnsi="宋体" w:cs="宋体" w:eastAsia="宋体" w:hint="default"/>
                <w:sz w:val="20"/>
                <w:szCs w:val="20"/>
              </w:rPr>
            </w:pPr>
          </w:p>
        </w:tc>
      </w:tr>
      <w:tr>
        <w:trPr>
          <w:trHeight w:val="497" w:hRule="exact"/>
        </w:trPr>
        <w:tc>
          <w:tcPr>
            <w:tcW w:w="19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5"/>
              <w:ind w:right="8"/>
              <w:jc w:val="center"/>
              <w:rPr>
                <w:rFonts w:ascii="宋体" w:hAnsi="宋体" w:cs="宋体" w:eastAsia="宋体" w:hint="default"/>
                <w:sz w:val="18"/>
                <w:szCs w:val="18"/>
              </w:rPr>
            </w:pPr>
            <w:r>
              <w:rPr>
                <w:rFonts w:ascii="宋体" w:hAnsi="宋体" w:cs="宋体" w:eastAsia="宋体" w:hint="default"/>
                <w:sz w:val="18"/>
                <w:szCs w:val="18"/>
              </w:rPr>
              <w:t>应用领域</w:t>
            </w:r>
          </w:p>
        </w:tc>
        <w:tc>
          <w:tcPr>
            <w:tcW w:w="658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5"/>
              <w:ind w:left="101" w:right="0"/>
              <w:jc w:val="left"/>
              <w:rPr>
                <w:rFonts w:ascii="宋体" w:hAnsi="宋体" w:cs="宋体" w:eastAsia="宋体" w:hint="default"/>
                <w:sz w:val="18"/>
                <w:szCs w:val="18"/>
              </w:rPr>
            </w:pPr>
            <w:r>
              <w:rPr>
                <w:rFonts w:ascii="宋体" w:hAnsi="宋体" w:cs="宋体" w:eastAsia="宋体" w:hint="default"/>
                <w:sz w:val="18"/>
                <w:szCs w:val="18"/>
              </w:rPr>
              <w:t>护理服务领域</w:t>
            </w:r>
          </w:p>
        </w:tc>
      </w:tr>
      <w:tr>
        <w:trPr>
          <w:trHeight w:val="495" w:hRule="exact"/>
        </w:trPr>
        <w:tc>
          <w:tcPr>
            <w:tcW w:w="19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5"/>
              <w:ind w:right="8"/>
              <w:jc w:val="center"/>
              <w:rPr>
                <w:rFonts w:ascii="宋体" w:hAnsi="宋体" w:cs="宋体" w:eastAsia="宋体" w:hint="default"/>
                <w:sz w:val="18"/>
                <w:szCs w:val="18"/>
              </w:rPr>
            </w:pPr>
            <w:r>
              <w:rPr>
                <w:rFonts w:ascii="宋体" w:hAnsi="宋体" w:cs="宋体" w:eastAsia="宋体" w:hint="default"/>
                <w:sz w:val="18"/>
                <w:szCs w:val="18"/>
              </w:rPr>
              <w:t>作用</w:t>
            </w:r>
          </w:p>
        </w:tc>
        <w:tc>
          <w:tcPr>
            <w:tcW w:w="658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5"/>
              <w:ind w:left="101" w:right="0"/>
              <w:jc w:val="left"/>
              <w:rPr>
                <w:rFonts w:ascii="宋体" w:hAnsi="宋体" w:cs="宋体" w:eastAsia="宋体" w:hint="default"/>
                <w:sz w:val="18"/>
                <w:szCs w:val="18"/>
              </w:rPr>
            </w:pPr>
            <w:r>
              <w:rPr>
                <w:rFonts w:ascii="宋体" w:hAnsi="宋体" w:cs="宋体" w:eastAsia="宋体" w:hint="default"/>
                <w:sz w:val="18"/>
                <w:szCs w:val="18"/>
              </w:rPr>
              <w:t>实现了从线下到线上“互联网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护理服务”的转变</w:t>
            </w:r>
          </w:p>
        </w:tc>
      </w:tr>
    </w:tbl>
    <w:p>
      <w:pPr>
        <w:spacing w:after="0" w:line="240"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5"/>
        <w:rPr>
          <w:rFonts w:ascii="宋体" w:hAnsi="宋体" w:cs="宋体" w:eastAsia="宋体" w:hint="default"/>
          <w:sz w:val="24"/>
          <w:szCs w:val="24"/>
        </w:rPr>
      </w:pPr>
    </w:p>
    <w:p>
      <w:pPr>
        <w:spacing w:line="554" w:lineRule="exact"/>
        <w:ind w:left="640" w:right="0" w:firstLine="0"/>
        <w:rPr>
          <w:rFonts w:ascii="宋体" w:hAnsi="宋体" w:cs="宋体" w:eastAsia="宋体" w:hint="default"/>
          <w:sz w:val="20"/>
          <w:szCs w:val="20"/>
        </w:rPr>
      </w:pPr>
      <w:r>
        <w:rPr>
          <w:rFonts w:ascii="宋体" w:hAnsi="宋体" w:cs="宋体" w:eastAsia="宋体" w:hint="default"/>
          <w:position w:val="-10"/>
          <w:sz w:val="20"/>
          <w:szCs w:val="20"/>
        </w:rPr>
        <w:pict>
          <v:group style="width:429.3pt;height:27.75pt;mso-position-horizontal-relative:char;mso-position-vertical-relative:line" coordorigin="0,0" coordsize="8586,555">
            <v:group style="position:absolute;left:43;top:22;width:8500;height:2" coordorigin="43,22" coordsize="8500,2">
              <v:shape style="position:absolute;left:43;top:22;width:8500;height:2" coordorigin="43,22" coordsize="8500,0" path="m43,22l8542,22e" filled="false" stroked="true" strokeweight=".72pt" strokecolor="#000000">
                <v:path arrowok="t"/>
              </v:shape>
            </v:group>
            <v:group style="position:absolute;left:14;top:526;width:8557;height:2" coordorigin="14,526" coordsize="8557,2">
              <v:shape style="position:absolute;left:14;top:526;width:8557;height:2" coordorigin="14,526" coordsize="8557,0" path="m14,526l8571,526e" filled="false" stroked="true" strokeweight="1.44pt" strokecolor="#000000">
                <v:path arrowok="t"/>
              </v:shape>
            </v:group>
            <v:group style="position:absolute;left:29;top:14;width:2;height:526" coordorigin="29,14" coordsize="2,526">
              <v:shape style="position:absolute;left:29;top:14;width:2;height:526" coordorigin="29,14" coordsize="0,526" path="m29,14l29,540e" filled="false" stroked="true" strokeweight="1.44pt" strokecolor="#000000">
                <v:path arrowok="t"/>
              </v:shape>
            </v:group>
            <v:group style="position:absolute;left:8557;top:14;width:2;height:526" coordorigin="8557,14" coordsize="2,526">
              <v:shape style="position:absolute;left:8557;top:14;width:2;height:526" coordorigin="8557,14" coordsize="0,526" path="m8557,14l8557,540e" filled="false" stroked="true" strokeweight="1.44pt" strokecolor="#000000">
                <v:path arrowok="t"/>
              </v:shape>
            </v:group>
            <v:group style="position:absolute;left:1968;top:14;width:2;height:497" coordorigin="1968,14" coordsize="2,497">
              <v:shape style="position:absolute;left:1968;top:14;width:2;height:497" coordorigin="1968,14" coordsize="0,497" path="m1968,14l1968,511e" filled="false" stroked="true" strokeweight=".72pt" strokecolor="#000000">
                <v:path arrowok="t"/>
              </v:shape>
              <v:shape style="position:absolute;left:29;top:22;width:1939;height:505" type="#_x0000_t202" filled="false" stroked="false">
                <v:textbox inset="0,0,0,0">
                  <w:txbxContent>
                    <w:p>
                      <w:pPr>
                        <w:spacing w:before="102"/>
                        <w:ind w:left="247" w:right="0" w:firstLine="0"/>
                        <w:jc w:val="left"/>
                        <w:rPr>
                          <w:rFonts w:ascii="宋体" w:hAnsi="宋体" w:cs="宋体" w:eastAsia="宋体" w:hint="default"/>
                          <w:sz w:val="18"/>
                          <w:szCs w:val="18"/>
                        </w:rPr>
                      </w:pPr>
                      <w:r>
                        <w:rPr>
                          <w:rFonts w:ascii="宋体" w:hAnsi="宋体" w:cs="宋体" w:eastAsia="宋体" w:hint="default"/>
                          <w:sz w:val="18"/>
                          <w:szCs w:val="18"/>
                        </w:rPr>
                        <w:t>销售（服务）对象</w:t>
                      </w:r>
                    </w:p>
                  </w:txbxContent>
                </v:textbox>
                <w10:wrap type="none"/>
              </v:shape>
              <v:shape style="position:absolute;left:1968;top:22;width:6589;height:505" type="#_x0000_t202" filled="false" stroked="false">
                <v:textbox inset="0,0,0,0">
                  <w:txbxContent>
                    <w:p>
                      <w:pPr>
                        <w:spacing w:before="102"/>
                        <w:ind w:left="108" w:right="0" w:firstLine="0"/>
                        <w:jc w:val="left"/>
                        <w:rPr>
                          <w:rFonts w:ascii="宋体" w:hAnsi="宋体" w:cs="宋体" w:eastAsia="宋体" w:hint="default"/>
                          <w:sz w:val="18"/>
                          <w:szCs w:val="18"/>
                        </w:rPr>
                      </w:pPr>
                      <w:r>
                        <w:rPr>
                          <w:rFonts w:ascii="宋体" w:hAnsi="宋体" w:cs="宋体" w:eastAsia="宋体" w:hint="default"/>
                          <w:sz w:val="18"/>
                          <w:szCs w:val="18"/>
                        </w:rPr>
                        <w:t>用户、护理员</w:t>
                      </w:r>
                      <w:r>
                        <w:rPr>
                          <w:rFonts w:ascii="Times New Roman" w:hAnsi="Times New Roman" w:cs="Times New Roman" w:eastAsia="Times New Roman" w:hint="default"/>
                          <w:sz w:val="18"/>
                          <w:szCs w:val="18"/>
                        </w:rPr>
                        <w:t>/</w:t>
                      </w:r>
                      <w:r>
                        <w:rPr>
                          <w:rFonts w:ascii="宋体" w:hAnsi="宋体" w:cs="宋体" w:eastAsia="宋体" w:hint="default"/>
                          <w:sz w:val="18"/>
                          <w:szCs w:val="18"/>
                        </w:rPr>
                        <w:t>护理主管、微信</w:t>
                      </w:r>
                      <w:r>
                        <w:rPr>
                          <w:rFonts w:ascii="Times New Roman" w:hAnsi="Times New Roman" w:cs="Times New Roman" w:eastAsia="Times New Roman" w:hint="default"/>
                          <w:sz w:val="18"/>
                          <w:szCs w:val="18"/>
                        </w:rPr>
                        <w:t>/</w:t>
                      </w:r>
                      <w:r>
                        <w:rPr>
                          <w:rFonts w:ascii="宋体" w:hAnsi="宋体" w:cs="宋体" w:eastAsia="宋体" w:hint="default"/>
                          <w:sz w:val="18"/>
                          <w:szCs w:val="18"/>
                        </w:rPr>
                        <w:t>支付宝第三方支付平台</w:t>
                      </w:r>
                    </w:p>
                  </w:txbxContent>
                </v:textbox>
                <w10:wrap type="none"/>
              </v:shape>
            </v:group>
          </v:group>
        </w:pict>
      </w:r>
      <w:r>
        <w:rPr>
          <w:rFonts w:ascii="宋体" w:hAnsi="宋体" w:cs="宋体" w:eastAsia="宋体" w:hint="default"/>
          <w:position w:val="-10"/>
          <w:sz w:val="20"/>
          <w:szCs w:val="20"/>
        </w:rPr>
      </w:r>
    </w:p>
    <w:p>
      <w:pPr>
        <w:pStyle w:val="BodyText"/>
        <w:spacing w:line="240" w:lineRule="auto" w:before="38"/>
        <w:ind w:left="472" w:right="0"/>
        <w:jc w:val="left"/>
      </w:pPr>
      <w:r>
        <w:rPr>
          <w:rFonts w:ascii="Times New Roman" w:hAnsi="Times New Roman" w:cs="Times New Roman" w:eastAsia="Times New Roman" w:hint="default"/>
        </w:rPr>
        <w:t>6</w:t>
      </w:r>
      <w:r>
        <w:rPr/>
        <w:t>、创业聚合支付云平台</w:t>
      </w:r>
    </w:p>
    <w:p>
      <w:pPr>
        <w:pStyle w:val="BodyText"/>
        <w:spacing w:line="300" w:lineRule="auto" w:before="103"/>
        <w:ind w:right="1199" w:firstLine="360"/>
        <w:jc w:val="left"/>
      </w:pPr>
      <w:r>
        <w:rPr/>
        <w:t>创业聚合支付云平台提供线上、线下丰富的支付入口（收费窗口、自助设备、手机</w:t>
      </w:r>
      <w:r>
        <w:rPr>
          <w:spacing w:val="-46"/>
        </w:rPr>
        <w:t> </w:t>
      </w:r>
      <w:r>
        <w:rPr>
          <w:rFonts w:ascii="Times New Roman" w:hAnsi="Times New Roman" w:cs="Times New Roman" w:eastAsia="Times New Roman" w:hint="default"/>
        </w:rPr>
        <w:t>APP</w:t>
      </w:r>
      <w:r>
        <w:rPr/>
        <w:t>、支付宝生活号、微信公众号 </w:t>
      </w:r>
      <w:r>
        <w:rPr>
          <w:spacing w:val="-3"/>
        </w:rPr>
        <w:t>等），以全新的聚合支付理念集成多种支付渠道应用于就医全流程。</w:t>
      </w:r>
    </w:p>
    <w:p>
      <w:pPr>
        <w:spacing w:line="240" w:lineRule="auto" w:before="7"/>
        <w:rPr>
          <w:rFonts w:ascii="宋体" w:hAnsi="宋体" w:cs="宋体" w:eastAsia="宋体" w:hint="default"/>
          <w:sz w:val="4"/>
          <w:szCs w:val="4"/>
        </w:rPr>
      </w:pPr>
    </w:p>
    <w:tbl>
      <w:tblPr>
        <w:tblW w:w="0" w:type="auto"/>
        <w:jc w:val="left"/>
        <w:tblInd w:w="654" w:type="dxa"/>
        <w:tblLayout w:type="fixed"/>
        <w:tblCellMar>
          <w:top w:w="0" w:type="dxa"/>
          <w:left w:w="0" w:type="dxa"/>
          <w:bottom w:w="0" w:type="dxa"/>
          <w:right w:w="0" w:type="dxa"/>
        </w:tblCellMar>
        <w:tblLook w:val="01E0"/>
      </w:tblPr>
      <w:tblGrid>
        <w:gridCol w:w="1939"/>
        <w:gridCol w:w="6589"/>
      </w:tblGrid>
      <w:tr>
        <w:trPr>
          <w:trHeight w:val="563" w:hRule="exact"/>
        </w:trPr>
        <w:tc>
          <w:tcPr>
            <w:tcW w:w="193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25"/>
              <w:ind w:right="6"/>
              <w:jc w:val="center"/>
              <w:rPr>
                <w:rFonts w:ascii="宋体" w:hAnsi="宋体" w:cs="宋体" w:eastAsia="宋体" w:hint="default"/>
                <w:sz w:val="18"/>
                <w:szCs w:val="18"/>
              </w:rPr>
            </w:pPr>
            <w:r>
              <w:rPr>
                <w:rFonts w:ascii="宋体" w:hAnsi="宋体" w:cs="宋体" w:eastAsia="宋体" w:hint="default"/>
                <w:b/>
                <w:bCs/>
                <w:sz w:val="18"/>
                <w:szCs w:val="18"/>
              </w:rPr>
              <w:t>产品类别</w:t>
            </w:r>
            <w:r>
              <w:rPr>
                <w:rFonts w:ascii="宋体" w:hAnsi="宋体" w:cs="宋体" w:eastAsia="宋体" w:hint="default"/>
                <w:sz w:val="18"/>
                <w:szCs w:val="18"/>
              </w:rPr>
            </w:r>
          </w:p>
        </w:tc>
        <w:tc>
          <w:tcPr>
            <w:tcW w:w="658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25"/>
              <w:ind w:left="12" w:right="0"/>
              <w:jc w:val="center"/>
              <w:rPr>
                <w:rFonts w:ascii="宋体" w:hAnsi="宋体" w:cs="宋体" w:eastAsia="宋体" w:hint="default"/>
                <w:sz w:val="18"/>
                <w:szCs w:val="18"/>
              </w:rPr>
            </w:pPr>
            <w:r>
              <w:rPr>
                <w:rFonts w:ascii="宋体" w:hAnsi="宋体" w:cs="宋体" w:eastAsia="宋体" w:hint="default"/>
                <w:b/>
                <w:bCs/>
                <w:sz w:val="18"/>
                <w:szCs w:val="18"/>
              </w:rPr>
              <w:t>创业聚合支付云平台</w:t>
            </w:r>
            <w:r>
              <w:rPr>
                <w:rFonts w:ascii="宋体" w:hAnsi="宋体" w:cs="宋体" w:eastAsia="宋体" w:hint="default"/>
                <w:sz w:val="18"/>
                <w:szCs w:val="18"/>
              </w:rPr>
            </w:r>
          </w:p>
        </w:tc>
      </w:tr>
      <w:tr>
        <w:trPr>
          <w:trHeight w:val="5161" w:hRule="exact"/>
        </w:trPr>
        <w:tc>
          <w:tcPr>
            <w:tcW w:w="19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8"/>
              <w:jc w:val="center"/>
              <w:rPr>
                <w:rFonts w:ascii="宋体" w:hAnsi="宋体" w:cs="宋体" w:eastAsia="宋体" w:hint="default"/>
                <w:sz w:val="18"/>
                <w:szCs w:val="18"/>
              </w:rPr>
            </w:pPr>
            <w:r>
              <w:rPr>
                <w:rFonts w:ascii="宋体" w:hAnsi="宋体" w:cs="宋体" w:eastAsia="宋体" w:hint="default"/>
                <w:sz w:val="18"/>
                <w:szCs w:val="18"/>
              </w:rPr>
              <w:t>主要内容</w:t>
            </w:r>
          </w:p>
        </w:tc>
        <w:tc>
          <w:tcPr>
            <w:tcW w:w="6589" w:type="dxa"/>
            <w:tcBorders>
              <w:top w:val="single" w:sz="6" w:space="0" w:color="000000"/>
              <w:left w:val="single" w:sz="6" w:space="0" w:color="000000"/>
              <w:bottom w:val="single" w:sz="6" w:space="0" w:color="000000"/>
              <w:right w:val="single" w:sz="12" w:space="0" w:color="000000"/>
            </w:tcBorders>
          </w:tcPr>
          <w:p>
            <w:pPr>
              <w:pStyle w:val="TableParagraph"/>
              <w:spacing w:line="4780" w:lineRule="exact"/>
              <w:ind w:left="101" w:right="0"/>
              <w:jc w:val="left"/>
              <w:rPr>
                <w:rFonts w:ascii="宋体" w:hAnsi="宋体" w:cs="宋体" w:eastAsia="宋体" w:hint="default"/>
                <w:sz w:val="20"/>
                <w:szCs w:val="20"/>
              </w:rPr>
            </w:pPr>
            <w:r>
              <w:rPr>
                <w:rFonts w:ascii="宋体" w:hAnsi="宋体" w:cs="宋体" w:eastAsia="宋体" w:hint="default"/>
                <w:position w:val="-95"/>
                <w:sz w:val="20"/>
                <w:szCs w:val="20"/>
              </w:rPr>
              <w:drawing>
                <wp:inline distT="0" distB="0" distL="0" distR="0">
                  <wp:extent cx="4053007" cy="3035427"/>
                  <wp:effectExtent l="0" t="0" r="0" b="0"/>
                  <wp:docPr id="13" name="image8.jpeg" descr=""/>
                  <wp:cNvGraphicFramePr>
                    <a:graphicFrameLocks noChangeAspect="1"/>
                  </wp:cNvGraphicFramePr>
                  <a:graphic>
                    <a:graphicData uri="http://schemas.openxmlformats.org/drawingml/2006/picture">
                      <pic:pic>
                        <pic:nvPicPr>
                          <pic:cNvPr id="14" name="image8.jpeg"/>
                          <pic:cNvPicPr/>
                        </pic:nvPicPr>
                        <pic:blipFill>
                          <a:blip r:embed="rId22" cstate="print"/>
                          <a:stretch>
                            <a:fillRect/>
                          </a:stretch>
                        </pic:blipFill>
                        <pic:spPr>
                          <a:xfrm>
                            <a:off x="0" y="0"/>
                            <a:ext cx="4053007" cy="3035427"/>
                          </a:xfrm>
                          <a:prstGeom prst="rect">
                            <a:avLst/>
                          </a:prstGeom>
                        </pic:spPr>
                      </pic:pic>
                    </a:graphicData>
                  </a:graphic>
                </wp:inline>
              </w:drawing>
            </w:r>
            <w:r>
              <w:rPr>
                <w:rFonts w:ascii="宋体" w:hAnsi="宋体" w:cs="宋体" w:eastAsia="宋体" w:hint="default"/>
                <w:position w:val="-95"/>
                <w:sz w:val="20"/>
                <w:szCs w:val="20"/>
              </w:rPr>
            </w:r>
          </w:p>
          <w:p>
            <w:pPr>
              <w:pStyle w:val="TableParagraph"/>
              <w:spacing w:line="240" w:lineRule="auto" w:before="2"/>
              <w:ind w:right="0"/>
              <w:jc w:val="left"/>
              <w:rPr>
                <w:rFonts w:ascii="宋体" w:hAnsi="宋体" w:cs="宋体" w:eastAsia="宋体" w:hint="default"/>
                <w:sz w:val="29"/>
                <w:szCs w:val="29"/>
              </w:rPr>
            </w:pPr>
          </w:p>
        </w:tc>
      </w:tr>
      <w:tr>
        <w:trPr>
          <w:trHeight w:val="497" w:hRule="exact"/>
        </w:trPr>
        <w:tc>
          <w:tcPr>
            <w:tcW w:w="19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6"/>
              <w:ind w:right="8"/>
              <w:jc w:val="center"/>
              <w:rPr>
                <w:rFonts w:ascii="宋体" w:hAnsi="宋体" w:cs="宋体" w:eastAsia="宋体" w:hint="default"/>
                <w:sz w:val="18"/>
                <w:szCs w:val="18"/>
              </w:rPr>
            </w:pPr>
            <w:r>
              <w:rPr>
                <w:rFonts w:ascii="宋体" w:hAnsi="宋体" w:cs="宋体" w:eastAsia="宋体" w:hint="default"/>
                <w:sz w:val="18"/>
                <w:szCs w:val="18"/>
              </w:rPr>
              <w:t>应用领域</w:t>
            </w:r>
          </w:p>
        </w:tc>
        <w:tc>
          <w:tcPr>
            <w:tcW w:w="658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6"/>
              <w:ind w:left="101" w:right="0"/>
              <w:jc w:val="left"/>
              <w:rPr>
                <w:rFonts w:ascii="宋体" w:hAnsi="宋体" w:cs="宋体" w:eastAsia="宋体" w:hint="default"/>
                <w:sz w:val="18"/>
                <w:szCs w:val="18"/>
              </w:rPr>
            </w:pPr>
            <w:r>
              <w:rPr>
                <w:rFonts w:ascii="宋体" w:hAnsi="宋体" w:cs="宋体" w:eastAsia="宋体" w:hint="default"/>
                <w:sz w:val="18"/>
                <w:szCs w:val="18"/>
              </w:rPr>
              <w:t>医疗卫生领域的支付结算</w:t>
            </w:r>
          </w:p>
        </w:tc>
      </w:tr>
      <w:tr>
        <w:trPr>
          <w:trHeight w:val="719" w:hRule="exact"/>
        </w:trPr>
        <w:tc>
          <w:tcPr>
            <w:tcW w:w="19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8"/>
              <w:jc w:val="center"/>
              <w:rPr>
                <w:rFonts w:ascii="宋体" w:hAnsi="宋体" w:cs="宋体" w:eastAsia="宋体" w:hint="default"/>
                <w:sz w:val="18"/>
                <w:szCs w:val="18"/>
              </w:rPr>
            </w:pPr>
            <w:r>
              <w:rPr>
                <w:rFonts w:ascii="宋体" w:hAnsi="宋体" w:cs="宋体" w:eastAsia="宋体" w:hint="default"/>
                <w:sz w:val="18"/>
                <w:szCs w:val="18"/>
              </w:rPr>
              <w:t>作用</w:t>
            </w:r>
          </w:p>
        </w:tc>
        <w:tc>
          <w:tcPr>
            <w:tcW w:w="6589" w:type="dxa"/>
            <w:tcBorders>
              <w:top w:val="single" w:sz="6" w:space="0" w:color="000000"/>
              <w:left w:val="single" w:sz="6" w:space="0" w:color="000000"/>
              <w:bottom w:val="single" w:sz="6" w:space="0" w:color="000000"/>
              <w:right w:val="single" w:sz="12" w:space="0" w:color="000000"/>
            </w:tcBorders>
          </w:tcPr>
          <w:p>
            <w:pPr>
              <w:pStyle w:val="TableParagraph"/>
              <w:spacing w:line="300" w:lineRule="auto" w:before="51"/>
              <w:ind w:left="101" w:right="91"/>
              <w:jc w:val="left"/>
              <w:rPr>
                <w:rFonts w:ascii="宋体" w:hAnsi="宋体" w:cs="宋体" w:eastAsia="宋体" w:hint="default"/>
                <w:sz w:val="18"/>
                <w:szCs w:val="18"/>
              </w:rPr>
            </w:pPr>
            <w:r>
              <w:rPr>
                <w:rFonts w:ascii="宋体" w:hAnsi="宋体" w:cs="宋体" w:eastAsia="宋体" w:hint="default"/>
                <w:sz w:val="18"/>
                <w:szCs w:val="18"/>
              </w:rPr>
              <w:t>为患者、医疗机构、保险机构提供“医保</w:t>
            </w:r>
            <w:r>
              <w:rPr>
                <w:rFonts w:ascii="Times New Roman" w:hAnsi="Times New Roman" w:cs="Times New Roman" w:eastAsia="Times New Roman" w:hint="default"/>
                <w:sz w:val="18"/>
                <w:szCs w:val="18"/>
              </w:rPr>
              <w:t>+</w:t>
            </w:r>
            <w:r>
              <w:rPr>
                <w:rFonts w:ascii="宋体" w:hAnsi="宋体" w:cs="宋体" w:eastAsia="宋体" w:hint="default"/>
                <w:sz w:val="18"/>
                <w:szCs w:val="18"/>
              </w:rPr>
              <w:t>商保</w:t>
            </w:r>
            <w:r>
              <w:rPr>
                <w:rFonts w:ascii="Times New Roman" w:hAnsi="Times New Roman" w:cs="Times New Roman" w:eastAsia="Times New Roman" w:hint="default"/>
                <w:sz w:val="18"/>
                <w:szCs w:val="18"/>
              </w:rPr>
              <w:t>+</w:t>
            </w:r>
            <w:r>
              <w:rPr>
                <w:rFonts w:ascii="宋体" w:hAnsi="宋体" w:cs="宋体" w:eastAsia="宋体" w:hint="default"/>
                <w:sz w:val="18"/>
                <w:szCs w:val="18"/>
              </w:rPr>
              <w:t>自费”一站式医疗支付结算解决</w:t>
            </w:r>
            <w:r>
              <w:rPr>
                <w:rFonts w:ascii="宋体" w:hAnsi="宋体" w:cs="宋体" w:eastAsia="宋体" w:hint="default"/>
                <w:spacing w:val="-52"/>
                <w:sz w:val="18"/>
                <w:szCs w:val="18"/>
              </w:rPr>
              <w:t> </w:t>
            </w:r>
            <w:r>
              <w:rPr>
                <w:rFonts w:ascii="宋体" w:hAnsi="宋体" w:cs="宋体" w:eastAsia="宋体" w:hint="default"/>
                <w:spacing w:val="-52"/>
                <w:sz w:val="18"/>
                <w:szCs w:val="18"/>
              </w:rPr>
            </w:r>
            <w:r>
              <w:rPr>
                <w:rFonts w:ascii="宋体" w:hAnsi="宋体" w:cs="宋体" w:eastAsia="宋体" w:hint="default"/>
                <w:sz w:val="18"/>
                <w:szCs w:val="18"/>
              </w:rPr>
              <w:t>方案</w:t>
            </w:r>
          </w:p>
        </w:tc>
      </w:tr>
      <w:tr>
        <w:trPr>
          <w:trHeight w:val="504" w:hRule="exact"/>
        </w:trPr>
        <w:tc>
          <w:tcPr>
            <w:tcW w:w="193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95"/>
              <w:ind w:right="8"/>
              <w:jc w:val="center"/>
              <w:rPr>
                <w:rFonts w:ascii="宋体" w:hAnsi="宋体" w:cs="宋体" w:eastAsia="宋体" w:hint="default"/>
                <w:sz w:val="18"/>
                <w:szCs w:val="18"/>
              </w:rPr>
            </w:pPr>
            <w:r>
              <w:rPr>
                <w:rFonts w:ascii="宋体" w:hAnsi="宋体" w:cs="宋体" w:eastAsia="宋体" w:hint="default"/>
                <w:sz w:val="18"/>
                <w:szCs w:val="18"/>
              </w:rPr>
              <w:t>销售（服务）对象</w:t>
            </w:r>
          </w:p>
        </w:tc>
        <w:tc>
          <w:tcPr>
            <w:tcW w:w="658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5"/>
              <w:ind w:left="101" w:right="0"/>
              <w:jc w:val="left"/>
              <w:rPr>
                <w:rFonts w:ascii="宋体" w:hAnsi="宋体" w:cs="宋体" w:eastAsia="宋体" w:hint="default"/>
                <w:sz w:val="18"/>
                <w:szCs w:val="18"/>
              </w:rPr>
            </w:pPr>
            <w:r>
              <w:rPr>
                <w:rFonts w:ascii="宋体" w:hAnsi="宋体" w:cs="宋体" w:eastAsia="宋体" w:hint="default"/>
                <w:sz w:val="18"/>
                <w:szCs w:val="18"/>
              </w:rPr>
              <w:t>患者、医疗机构、保险机构</w:t>
            </w:r>
          </w:p>
        </w:tc>
      </w:tr>
    </w:tbl>
    <w:p>
      <w:pPr>
        <w:pStyle w:val="BodyText"/>
        <w:spacing w:line="340" w:lineRule="auto" w:before="51"/>
        <w:ind w:left="472" w:right="1394"/>
        <w:jc w:val="left"/>
      </w:pPr>
      <w:r>
        <w:rPr>
          <w:rFonts w:ascii="Times New Roman" w:hAnsi="Times New Roman" w:cs="Times New Roman" w:eastAsia="Times New Roman" w:hint="default"/>
        </w:rPr>
        <w:t>7</w:t>
      </w:r>
      <w:r>
        <w:rPr/>
        <w:t>、智能一站式终端服务平台 创业智能一站式终端服务平台以互联网软件为核心、自助终端为载体，通过整合优化医院原有就医流程，对接院内</w:t>
      </w:r>
    </w:p>
    <w:p>
      <w:pPr>
        <w:pStyle w:val="BodyText"/>
        <w:spacing w:line="300" w:lineRule="auto" w:before="1"/>
        <w:ind w:right="0"/>
        <w:jc w:val="left"/>
      </w:pPr>
      <w:r>
        <w:rPr>
          <w:rFonts w:ascii="Times New Roman" w:hAnsi="Times New Roman" w:cs="Times New Roman" w:eastAsia="Times New Roman" w:hint="default"/>
          <w:spacing w:val="-1"/>
        </w:rPr>
        <w:t>HIS/LIS/PACS/EMR</w:t>
      </w:r>
      <w:r>
        <w:rPr>
          <w:spacing w:val="-1"/>
        </w:rPr>
        <w:t>、医保、微信支付宝等第三方支付、银行、</w:t>
      </w:r>
      <w:r>
        <w:rPr>
          <w:rFonts w:ascii="Times New Roman" w:hAnsi="Times New Roman" w:cs="Times New Roman" w:eastAsia="Times New Roman" w:hint="default"/>
          <w:spacing w:val="-1"/>
        </w:rPr>
        <w:t>APP</w:t>
      </w:r>
      <w:r>
        <w:rPr>
          <w:spacing w:val="-1"/>
        </w:rPr>
        <w:t>、微信公众号等系统，为患者提供诊前、诊中、诊后全</w:t>
      </w:r>
      <w:r>
        <w:rPr>
          <w:spacing w:val="-54"/>
        </w:rPr>
        <w:t> </w:t>
      </w:r>
      <w:r>
        <w:rPr/>
        <w:t>流程医疗自助服务。</w:t>
      </w:r>
    </w:p>
    <w:p>
      <w:pPr>
        <w:spacing w:line="240" w:lineRule="auto" w:before="8"/>
        <w:rPr>
          <w:rFonts w:ascii="宋体" w:hAnsi="宋体" w:cs="宋体" w:eastAsia="宋体" w:hint="default"/>
          <w:sz w:val="4"/>
          <w:szCs w:val="4"/>
        </w:rPr>
      </w:pPr>
    </w:p>
    <w:tbl>
      <w:tblPr>
        <w:tblW w:w="0" w:type="auto"/>
        <w:jc w:val="left"/>
        <w:tblInd w:w="654" w:type="dxa"/>
        <w:tblLayout w:type="fixed"/>
        <w:tblCellMar>
          <w:top w:w="0" w:type="dxa"/>
          <w:left w:w="0" w:type="dxa"/>
          <w:bottom w:w="0" w:type="dxa"/>
          <w:right w:w="0" w:type="dxa"/>
        </w:tblCellMar>
        <w:tblLook w:val="01E0"/>
      </w:tblPr>
      <w:tblGrid>
        <w:gridCol w:w="1939"/>
        <w:gridCol w:w="6589"/>
      </w:tblGrid>
      <w:tr>
        <w:trPr>
          <w:trHeight w:val="563" w:hRule="exact"/>
        </w:trPr>
        <w:tc>
          <w:tcPr>
            <w:tcW w:w="193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25"/>
              <w:ind w:right="599"/>
              <w:jc w:val="right"/>
              <w:rPr>
                <w:rFonts w:ascii="宋体" w:hAnsi="宋体" w:cs="宋体" w:eastAsia="宋体" w:hint="default"/>
                <w:sz w:val="18"/>
                <w:szCs w:val="18"/>
              </w:rPr>
            </w:pPr>
            <w:r>
              <w:rPr>
                <w:rFonts w:ascii="宋体" w:hAnsi="宋体" w:cs="宋体" w:eastAsia="宋体" w:hint="default"/>
                <w:b/>
                <w:bCs/>
                <w:w w:val="95"/>
                <w:sz w:val="18"/>
                <w:szCs w:val="18"/>
              </w:rPr>
              <w:t>产品类别</w:t>
            </w:r>
            <w:r>
              <w:rPr>
                <w:rFonts w:ascii="宋体" w:hAnsi="宋体" w:cs="宋体" w:eastAsia="宋体" w:hint="default"/>
                <w:sz w:val="18"/>
                <w:szCs w:val="18"/>
              </w:rPr>
            </w:r>
          </w:p>
        </w:tc>
        <w:tc>
          <w:tcPr>
            <w:tcW w:w="658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25"/>
              <w:ind w:left="2117" w:right="0"/>
              <w:jc w:val="left"/>
              <w:rPr>
                <w:rFonts w:ascii="宋体" w:hAnsi="宋体" w:cs="宋体" w:eastAsia="宋体" w:hint="default"/>
                <w:sz w:val="18"/>
                <w:szCs w:val="18"/>
              </w:rPr>
            </w:pPr>
            <w:r>
              <w:rPr>
                <w:rFonts w:ascii="宋体" w:hAnsi="宋体" w:cs="宋体" w:eastAsia="宋体" w:hint="default"/>
                <w:b/>
                <w:bCs/>
                <w:sz w:val="18"/>
                <w:szCs w:val="18"/>
              </w:rPr>
              <w:t>创业智能一站式终端服务平台</w:t>
            </w:r>
            <w:r>
              <w:rPr>
                <w:rFonts w:ascii="宋体" w:hAnsi="宋体" w:cs="宋体" w:eastAsia="宋体" w:hint="default"/>
                <w:sz w:val="18"/>
                <w:szCs w:val="18"/>
              </w:rPr>
            </w:r>
          </w:p>
        </w:tc>
      </w:tr>
      <w:tr>
        <w:trPr>
          <w:trHeight w:val="380" w:hRule="exact"/>
        </w:trPr>
        <w:tc>
          <w:tcPr>
            <w:tcW w:w="1939" w:type="dxa"/>
            <w:tcBorders>
              <w:top w:val="single" w:sz="6" w:space="0" w:color="000000"/>
              <w:left w:val="single" w:sz="12" w:space="0" w:color="000000"/>
              <w:bottom w:val="nil" w:sz="6" w:space="0" w:color="auto"/>
              <w:right w:val="single" w:sz="6" w:space="0" w:color="000000"/>
            </w:tcBorders>
          </w:tcPr>
          <w:p>
            <w:pPr/>
          </w:p>
        </w:tc>
        <w:tc>
          <w:tcPr>
            <w:tcW w:w="6589" w:type="dxa"/>
            <w:tcBorders>
              <w:top w:val="single" w:sz="6" w:space="0" w:color="000000"/>
              <w:left w:val="single" w:sz="6" w:space="0" w:color="000000"/>
              <w:bottom w:val="nil" w:sz="6" w:space="0" w:color="auto"/>
              <w:right w:val="single" w:sz="12"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门诊自助服务：对整个门诊就诊流程进行全程优化，为患者就医带</w:t>
            </w:r>
          </w:p>
        </w:tc>
      </w:tr>
      <w:tr>
        <w:trPr>
          <w:trHeight w:val="342" w:hRule="exact"/>
        </w:trPr>
        <w:tc>
          <w:tcPr>
            <w:tcW w:w="1939" w:type="dxa"/>
            <w:tcBorders>
              <w:top w:val="nil" w:sz="6" w:space="0" w:color="auto"/>
              <w:left w:val="single" w:sz="12" w:space="0" w:color="000000"/>
              <w:bottom w:val="nil" w:sz="6" w:space="0" w:color="auto"/>
              <w:right w:val="single" w:sz="6" w:space="0" w:color="000000"/>
            </w:tcBorders>
          </w:tcPr>
          <w:p>
            <w:pP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29"/>
              <w:ind w:left="101" w:right="0"/>
              <w:jc w:val="left"/>
              <w:rPr>
                <w:rFonts w:ascii="宋体" w:hAnsi="宋体" w:cs="宋体" w:eastAsia="宋体" w:hint="default"/>
                <w:sz w:val="18"/>
                <w:szCs w:val="18"/>
              </w:rPr>
            </w:pPr>
            <w:r>
              <w:rPr>
                <w:rFonts w:ascii="宋体" w:hAnsi="宋体" w:cs="宋体" w:eastAsia="宋体" w:hint="default"/>
                <w:sz w:val="18"/>
                <w:szCs w:val="18"/>
              </w:rPr>
              <w:t>来极大的便利，充分提高门诊就诊效率和患者就医感受。</w:t>
            </w:r>
          </w:p>
        </w:tc>
      </w:tr>
      <w:tr>
        <w:trPr>
          <w:trHeight w:val="362" w:hRule="exact"/>
        </w:trPr>
        <w:tc>
          <w:tcPr>
            <w:tcW w:w="1939" w:type="dxa"/>
            <w:tcBorders>
              <w:top w:val="nil" w:sz="6" w:space="0" w:color="auto"/>
              <w:left w:val="single" w:sz="12" w:space="0" w:color="000000"/>
              <w:bottom w:val="nil" w:sz="6" w:space="0" w:color="auto"/>
              <w:right w:val="single" w:sz="6" w:space="0" w:color="000000"/>
            </w:tcBorders>
          </w:tcPr>
          <w:p>
            <w:pPr>
              <w:pStyle w:val="TableParagraph"/>
              <w:spacing w:line="240" w:lineRule="auto" w:before="21"/>
              <w:ind w:right="603"/>
              <w:jc w:val="right"/>
              <w:rPr>
                <w:rFonts w:ascii="宋体" w:hAnsi="宋体" w:cs="宋体" w:eastAsia="宋体" w:hint="default"/>
                <w:sz w:val="18"/>
                <w:szCs w:val="18"/>
              </w:rPr>
            </w:pPr>
            <w:r>
              <w:rPr>
                <w:rFonts w:ascii="宋体" w:hAnsi="宋体" w:cs="宋体" w:eastAsia="宋体" w:hint="default"/>
                <w:sz w:val="18"/>
                <w:szCs w:val="18"/>
              </w:rPr>
              <w:t>主要内容</w:t>
            </w: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40"/>
              <w:ind w:left="101" w:right="0"/>
              <w:jc w:val="left"/>
              <w:rPr>
                <w:rFonts w:ascii="宋体" w:hAnsi="宋体" w:cs="宋体" w:eastAsia="宋体" w:hint="default"/>
                <w:sz w:val="18"/>
                <w:szCs w:val="18"/>
              </w:rPr>
            </w:pPr>
            <w:r>
              <w:rPr>
                <w:rFonts w:ascii="宋体" w:hAnsi="宋体" w:cs="宋体" w:eastAsia="宋体" w:hint="default"/>
                <w:sz w:val="18"/>
                <w:szCs w:val="18"/>
              </w:rPr>
              <w:t>住院自助服务：优化住院患者就诊流程，为患者提供“一站式”住</w:t>
            </w:r>
          </w:p>
        </w:tc>
      </w:tr>
      <w:tr>
        <w:trPr>
          <w:trHeight w:val="332" w:hRule="exact"/>
        </w:trPr>
        <w:tc>
          <w:tcPr>
            <w:tcW w:w="1939" w:type="dxa"/>
            <w:tcBorders>
              <w:top w:val="nil" w:sz="6" w:space="0" w:color="auto"/>
              <w:left w:val="single" w:sz="12" w:space="0" w:color="000000"/>
              <w:bottom w:val="nil" w:sz="6" w:space="0" w:color="auto"/>
              <w:right w:val="single" w:sz="6" w:space="0" w:color="000000"/>
            </w:tcBorders>
          </w:tcPr>
          <w:p>
            <w:pPr/>
          </w:p>
        </w:tc>
        <w:tc>
          <w:tcPr>
            <w:tcW w:w="6589" w:type="dxa"/>
            <w:tcBorders>
              <w:top w:val="nil" w:sz="6" w:space="0" w:color="auto"/>
              <w:left w:val="single" w:sz="6" w:space="0" w:color="000000"/>
              <w:bottom w:val="nil" w:sz="6" w:space="0" w:color="auto"/>
              <w:right w:val="single" w:sz="12" w:space="0" w:color="000000"/>
            </w:tcBorders>
          </w:tcPr>
          <w:p>
            <w:pPr>
              <w:pStyle w:val="TableParagraph"/>
              <w:spacing w:line="240" w:lineRule="auto" w:before="31"/>
              <w:ind w:left="101" w:right="0"/>
              <w:jc w:val="left"/>
              <w:rPr>
                <w:rFonts w:ascii="宋体" w:hAnsi="宋体" w:cs="宋体" w:eastAsia="宋体" w:hint="default"/>
                <w:sz w:val="18"/>
                <w:szCs w:val="18"/>
              </w:rPr>
            </w:pPr>
            <w:r>
              <w:rPr>
                <w:rFonts w:ascii="宋体" w:hAnsi="宋体" w:cs="宋体" w:eastAsia="宋体" w:hint="default"/>
                <w:sz w:val="18"/>
                <w:szCs w:val="18"/>
              </w:rPr>
              <w:t>院自助服务，有效减少住院患者在各个部门的来回奔波和排队，提高住院患者的</w:t>
            </w:r>
          </w:p>
        </w:tc>
      </w:tr>
      <w:tr>
        <w:trPr>
          <w:trHeight w:val="358" w:hRule="exact"/>
        </w:trPr>
        <w:tc>
          <w:tcPr>
            <w:tcW w:w="1939" w:type="dxa"/>
            <w:tcBorders>
              <w:top w:val="nil" w:sz="6" w:space="0" w:color="auto"/>
              <w:left w:val="single" w:sz="12" w:space="0" w:color="000000"/>
              <w:bottom w:val="single" w:sz="6" w:space="0" w:color="000000"/>
              <w:right w:val="single" w:sz="6" w:space="0" w:color="000000"/>
            </w:tcBorders>
          </w:tcPr>
          <w:p>
            <w:pPr/>
          </w:p>
        </w:tc>
        <w:tc>
          <w:tcPr>
            <w:tcW w:w="6589" w:type="dxa"/>
            <w:tcBorders>
              <w:top w:val="nil" w:sz="6" w:space="0" w:color="auto"/>
              <w:left w:val="single" w:sz="6" w:space="0" w:color="000000"/>
              <w:bottom w:val="single" w:sz="6" w:space="0" w:color="000000"/>
              <w:right w:val="single" w:sz="12"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服务感受度。</w:t>
            </w:r>
          </w:p>
        </w:tc>
      </w:tr>
      <w:tr>
        <w:trPr>
          <w:trHeight w:val="495" w:hRule="exact"/>
        </w:trPr>
        <w:tc>
          <w:tcPr>
            <w:tcW w:w="19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6"/>
              <w:ind w:right="603"/>
              <w:jc w:val="right"/>
              <w:rPr>
                <w:rFonts w:ascii="宋体" w:hAnsi="宋体" w:cs="宋体" w:eastAsia="宋体" w:hint="default"/>
                <w:sz w:val="18"/>
                <w:szCs w:val="18"/>
              </w:rPr>
            </w:pPr>
            <w:r>
              <w:rPr>
                <w:rFonts w:ascii="宋体" w:hAnsi="宋体" w:cs="宋体" w:eastAsia="宋体" w:hint="default"/>
                <w:sz w:val="18"/>
                <w:szCs w:val="18"/>
              </w:rPr>
              <w:t>应用领域</w:t>
            </w:r>
          </w:p>
        </w:tc>
        <w:tc>
          <w:tcPr>
            <w:tcW w:w="658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6"/>
              <w:ind w:left="101" w:right="0"/>
              <w:jc w:val="left"/>
              <w:rPr>
                <w:rFonts w:ascii="宋体" w:hAnsi="宋体" w:cs="宋体" w:eastAsia="宋体" w:hint="default"/>
                <w:sz w:val="18"/>
                <w:szCs w:val="18"/>
              </w:rPr>
            </w:pPr>
            <w:r>
              <w:rPr>
                <w:rFonts w:ascii="宋体" w:hAnsi="宋体" w:cs="宋体" w:eastAsia="宋体" w:hint="default"/>
                <w:sz w:val="18"/>
                <w:szCs w:val="18"/>
              </w:rPr>
              <w:t>诊前、诊中、诊后全流程医疗自助服务</w:t>
            </w:r>
          </w:p>
        </w:tc>
      </w:tr>
    </w:tbl>
    <w:p>
      <w:pPr>
        <w:spacing w:after="0" w:line="240"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654" w:type="dxa"/>
        <w:tblLayout w:type="fixed"/>
        <w:tblCellMar>
          <w:top w:w="0" w:type="dxa"/>
          <w:left w:w="0" w:type="dxa"/>
          <w:bottom w:w="0" w:type="dxa"/>
          <w:right w:w="0" w:type="dxa"/>
        </w:tblCellMar>
        <w:tblLook w:val="01E0"/>
      </w:tblPr>
      <w:tblGrid>
        <w:gridCol w:w="1939"/>
        <w:gridCol w:w="6589"/>
      </w:tblGrid>
      <w:tr>
        <w:trPr>
          <w:trHeight w:val="1031" w:hRule="exact"/>
        </w:trPr>
        <w:tc>
          <w:tcPr>
            <w:tcW w:w="19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8"/>
              <w:jc w:val="center"/>
              <w:rPr>
                <w:rFonts w:ascii="宋体" w:hAnsi="宋体" w:cs="宋体" w:eastAsia="宋体" w:hint="default"/>
                <w:sz w:val="18"/>
                <w:szCs w:val="18"/>
              </w:rPr>
            </w:pPr>
            <w:r>
              <w:rPr>
                <w:rFonts w:ascii="宋体" w:hAnsi="宋体" w:cs="宋体" w:eastAsia="宋体" w:hint="default"/>
                <w:sz w:val="18"/>
                <w:szCs w:val="18"/>
              </w:rPr>
              <w:t>作用</w:t>
            </w:r>
          </w:p>
        </w:tc>
        <w:tc>
          <w:tcPr>
            <w:tcW w:w="6589"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医院通过平台自助终端的部署，实现自助发卡、自助挂号、自助支付、自助预约、 自助打印、自助查询，有效缓解病人长时间排队等候问题，延伸服务窗口，降低</w:t>
            </w:r>
            <w:r>
              <w:rPr>
                <w:rFonts w:ascii="宋体" w:hAnsi="宋体" w:cs="宋体" w:eastAsia="宋体" w:hint="default"/>
                <w:spacing w:val="-31"/>
                <w:sz w:val="18"/>
                <w:szCs w:val="18"/>
              </w:rPr>
              <w:t> </w:t>
            </w:r>
            <w:r>
              <w:rPr>
                <w:rFonts w:ascii="宋体" w:hAnsi="宋体" w:cs="宋体" w:eastAsia="宋体" w:hint="default"/>
                <w:spacing w:val="-31"/>
                <w:sz w:val="18"/>
                <w:szCs w:val="18"/>
              </w:rPr>
            </w:r>
            <w:r>
              <w:rPr>
                <w:rFonts w:ascii="宋体" w:hAnsi="宋体" w:cs="宋体" w:eastAsia="宋体" w:hint="default"/>
                <w:sz w:val="18"/>
                <w:szCs w:val="18"/>
              </w:rPr>
              <w:t>人工成本，提高就诊效率。</w:t>
            </w:r>
          </w:p>
        </w:tc>
      </w:tr>
      <w:tr>
        <w:trPr>
          <w:trHeight w:val="504" w:hRule="exact"/>
        </w:trPr>
        <w:tc>
          <w:tcPr>
            <w:tcW w:w="193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96"/>
              <w:ind w:right="8"/>
              <w:jc w:val="center"/>
              <w:rPr>
                <w:rFonts w:ascii="宋体" w:hAnsi="宋体" w:cs="宋体" w:eastAsia="宋体" w:hint="default"/>
                <w:sz w:val="18"/>
                <w:szCs w:val="18"/>
              </w:rPr>
            </w:pPr>
            <w:r>
              <w:rPr>
                <w:rFonts w:ascii="宋体" w:hAnsi="宋体" w:cs="宋体" w:eastAsia="宋体" w:hint="default"/>
                <w:sz w:val="18"/>
                <w:szCs w:val="18"/>
              </w:rPr>
              <w:t>销售（服务）对象</w:t>
            </w:r>
          </w:p>
        </w:tc>
        <w:tc>
          <w:tcPr>
            <w:tcW w:w="658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6"/>
              <w:ind w:left="101" w:right="0"/>
              <w:jc w:val="left"/>
              <w:rPr>
                <w:rFonts w:ascii="宋体" w:hAnsi="宋体" w:cs="宋体" w:eastAsia="宋体" w:hint="default"/>
                <w:sz w:val="18"/>
                <w:szCs w:val="18"/>
              </w:rPr>
            </w:pPr>
            <w:r>
              <w:rPr>
                <w:rFonts w:ascii="宋体" w:hAnsi="宋体" w:cs="宋体" w:eastAsia="宋体" w:hint="default"/>
                <w:sz w:val="18"/>
                <w:szCs w:val="18"/>
              </w:rPr>
              <w:t>患者</w:t>
            </w:r>
          </w:p>
        </w:tc>
      </w:tr>
    </w:tbl>
    <w:p>
      <w:pPr>
        <w:pStyle w:val="BodyText"/>
        <w:spacing w:line="340" w:lineRule="auto" w:before="50"/>
        <w:ind w:left="472" w:right="0"/>
        <w:jc w:val="left"/>
      </w:pPr>
      <w:r>
        <w:rPr>
          <w:rFonts w:ascii="Times New Roman" w:hAnsi="Times New Roman" w:cs="Times New Roman" w:eastAsia="Times New Roman" w:hint="default"/>
        </w:rPr>
        <w:t>8</w:t>
      </w:r>
      <w:r>
        <w:rPr/>
        <w:t>、商业保险综合服务一体化解决方案 </w:t>
      </w:r>
      <w:r>
        <w:rPr>
          <w:spacing w:val="-2"/>
        </w:rPr>
        <w:t>创业慧康商业保险综合服务平台，为医院引入高净值的人群，优化医疗和理赔流程，为居民提供方便、快捷、舒适、人</w:t>
      </w:r>
    </w:p>
    <w:p>
      <w:pPr>
        <w:pStyle w:val="BodyText"/>
        <w:spacing w:line="240" w:lineRule="auto" w:before="1"/>
        <w:ind w:right="0"/>
        <w:jc w:val="left"/>
      </w:pPr>
      <w:r>
        <w:rPr/>
        <w:t>性化的感受。进一步提高医患双方满意度，构建和谐医患关系。</w:t>
      </w:r>
    </w:p>
    <w:p>
      <w:pPr>
        <w:spacing w:line="240" w:lineRule="auto" w:before="1"/>
        <w:rPr>
          <w:rFonts w:ascii="宋体" w:hAnsi="宋体" w:cs="宋体" w:eastAsia="宋体" w:hint="default"/>
          <w:sz w:val="8"/>
          <w:szCs w:val="8"/>
        </w:rPr>
      </w:pPr>
    </w:p>
    <w:tbl>
      <w:tblPr>
        <w:tblW w:w="0" w:type="auto"/>
        <w:jc w:val="left"/>
        <w:tblInd w:w="654" w:type="dxa"/>
        <w:tblLayout w:type="fixed"/>
        <w:tblCellMar>
          <w:top w:w="0" w:type="dxa"/>
          <w:left w:w="0" w:type="dxa"/>
          <w:bottom w:w="0" w:type="dxa"/>
          <w:right w:w="0" w:type="dxa"/>
        </w:tblCellMar>
        <w:tblLook w:val="01E0"/>
      </w:tblPr>
      <w:tblGrid>
        <w:gridCol w:w="1939"/>
        <w:gridCol w:w="6589"/>
      </w:tblGrid>
      <w:tr>
        <w:trPr>
          <w:trHeight w:val="563" w:hRule="exact"/>
        </w:trPr>
        <w:tc>
          <w:tcPr>
            <w:tcW w:w="193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26"/>
              <w:ind w:right="6"/>
              <w:jc w:val="center"/>
              <w:rPr>
                <w:rFonts w:ascii="宋体" w:hAnsi="宋体" w:cs="宋体" w:eastAsia="宋体" w:hint="default"/>
                <w:sz w:val="18"/>
                <w:szCs w:val="18"/>
              </w:rPr>
            </w:pPr>
            <w:r>
              <w:rPr>
                <w:rFonts w:ascii="宋体" w:hAnsi="宋体" w:cs="宋体" w:eastAsia="宋体" w:hint="default"/>
                <w:b/>
                <w:bCs/>
                <w:sz w:val="18"/>
                <w:szCs w:val="18"/>
              </w:rPr>
              <w:t>产品类别</w:t>
            </w:r>
            <w:r>
              <w:rPr>
                <w:rFonts w:ascii="宋体" w:hAnsi="宋体" w:cs="宋体" w:eastAsia="宋体" w:hint="default"/>
                <w:sz w:val="18"/>
                <w:szCs w:val="18"/>
              </w:rPr>
            </w:r>
          </w:p>
        </w:tc>
        <w:tc>
          <w:tcPr>
            <w:tcW w:w="6589"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26"/>
              <w:ind w:left="2026" w:right="0"/>
              <w:jc w:val="left"/>
              <w:rPr>
                <w:rFonts w:ascii="宋体" w:hAnsi="宋体" w:cs="宋体" w:eastAsia="宋体" w:hint="default"/>
                <w:sz w:val="18"/>
                <w:szCs w:val="18"/>
              </w:rPr>
            </w:pPr>
            <w:r>
              <w:rPr>
                <w:rFonts w:ascii="宋体" w:hAnsi="宋体" w:cs="宋体" w:eastAsia="宋体" w:hint="default"/>
                <w:b/>
                <w:bCs/>
                <w:sz w:val="18"/>
                <w:szCs w:val="18"/>
              </w:rPr>
              <w:t>创业慧康商业保险综合服务平台</w:t>
            </w:r>
            <w:r>
              <w:rPr>
                <w:rFonts w:ascii="宋体" w:hAnsi="宋体" w:cs="宋体" w:eastAsia="宋体" w:hint="default"/>
                <w:sz w:val="18"/>
                <w:szCs w:val="18"/>
              </w:rPr>
            </w:r>
          </w:p>
        </w:tc>
      </w:tr>
      <w:tr>
        <w:trPr>
          <w:trHeight w:val="3008" w:hRule="exact"/>
        </w:trPr>
        <w:tc>
          <w:tcPr>
            <w:tcW w:w="19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8"/>
              <w:jc w:val="center"/>
              <w:rPr>
                <w:rFonts w:ascii="宋体" w:hAnsi="宋体" w:cs="宋体" w:eastAsia="宋体" w:hint="default"/>
                <w:sz w:val="18"/>
                <w:szCs w:val="18"/>
              </w:rPr>
            </w:pPr>
            <w:r>
              <w:rPr>
                <w:rFonts w:ascii="宋体" w:hAnsi="宋体" w:cs="宋体" w:eastAsia="宋体" w:hint="default"/>
                <w:sz w:val="18"/>
                <w:szCs w:val="18"/>
              </w:rPr>
              <w:t>主要内容</w:t>
            </w:r>
          </w:p>
        </w:tc>
        <w:tc>
          <w:tcPr>
            <w:tcW w:w="658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创业慧康商业保险综合服务平台作为连接医院、保险公司的信息服务平台。</w:t>
            </w:r>
          </w:p>
          <w:p>
            <w:pPr>
              <w:pStyle w:val="TableParagraph"/>
              <w:spacing w:line="240" w:lineRule="auto" w:before="0"/>
              <w:ind w:right="0"/>
              <w:jc w:val="left"/>
              <w:rPr>
                <w:rFonts w:ascii="宋体" w:hAnsi="宋体" w:cs="宋体" w:eastAsia="宋体" w:hint="default"/>
                <w:sz w:val="24"/>
                <w:szCs w:val="24"/>
              </w:rPr>
            </w:pPr>
          </w:p>
          <w:p>
            <w:pPr>
              <w:pStyle w:val="TableParagraph"/>
              <w:spacing w:line="2377" w:lineRule="exact"/>
              <w:ind w:left="425" w:right="0"/>
              <w:jc w:val="left"/>
              <w:rPr>
                <w:rFonts w:ascii="宋体" w:hAnsi="宋体" w:cs="宋体" w:eastAsia="宋体" w:hint="default"/>
                <w:sz w:val="20"/>
                <w:szCs w:val="20"/>
              </w:rPr>
            </w:pPr>
            <w:r>
              <w:rPr>
                <w:rFonts w:ascii="宋体" w:hAnsi="宋体" w:cs="宋体" w:eastAsia="宋体" w:hint="default"/>
                <w:position w:val="-47"/>
                <w:sz w:val="20"/>
                <w:szCs w:val="20"/>
              </w:rPr>
              <w:drawing>
                <wp:inline distT="0" distB="0" distL="0" distR="0">
                  <wp:extent cx="3689581" cy="1509998"/>
                  <wp:effectExtent l="0" t="0" r="0" b="0"/>
                  <wp:docPr id="15" name="image9.jpeg" descr=""/>
                  <wp:cNvGraphicFramePr>
                    <a:graphicFrameLocks noChangeAspect="1"/>
                  </wp:cNvGraphicFramePr>
                  <a:graphic>
                    <a:graphicData uri="http://schemas.openxmlformats.org/drawingml/2006/picture">
                      <pic:pic>
                        <pic:nvPicPr>
                          <pic:cNvPr id="16" name="image9.jpeg"/>
                          <pic:cNvPicPr/>
                        </pic:nvPicPr>
                        <pic:blipFill>
                          <a:blip r:embed="rId23" cstate="print"/>
                          <a:stretch>
                            <a:fillRect/>
                          </a:stretch>
                        </pic:blipFill>
                        <pic:spPr>
                          <a:xfrm>
                            <a:off x="0" y="0"/>
                            <a:ext cx="3689581" cy="1509998"/>
                          </a:xfrm>
                          <a:prstGeom prst="rect">
                            <a:avLst/>
                          </a:prstGeom>
                        </pic:spPr>
                      </pic:pic>
                    </a:graphicData>
                  </a:graphic>
                </wp:inline>
              </w:drawing>
            </w:r>
            <w:r>
              <w:rPr>
                <w:rFonts w:ascii="宋体" w:hAnsi="宋体" w:cs="宋体" w:eastAsia="宋体" w:hint="default"/>
                <w:position w:val="-47"/>
                <w:sz w:val="20"/>
                <w:szCs w:val="20"/>
              </w:rPr>
            </w:r>
          </w:p>
        </w:tc>
      </w:tr>
      <w:tr>
        <w:trPr>
          <w:trHeight w:val="497" w:hRule="exact"/>
        </w:trPr>
        <w:tc>
          <w:tcPr>
            <w:tcW w:w="19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95"/>
              <w:ind w:right="8"/>
              <w:jc w:val="center"/>
              <w:rPr>
                <w:rFonts w:ascii="宋体" w:hAnsi="宋体" w:cs="宋体" w:eastAsia="宋体" w:hint="default"/>
                <w:sz w:val="18"/>
                <w:szCs w:val="18"/>
              </w:rPr>
            </w:pPr>
            <w:r>
              <w:rPr>
                <w:rFonts w:ascii="宋体" w:hAnsi="宋体" w:cs="宋体" w:eastAsia="宋体" w:hint="default"/>
                <w:sz w:val="18"/>
                <w:szCs w:val="18"/>
              </w:rPr>
              <w:t>应用领域</w:t>
            </w:r>
          </w:p>
        </w:tc>
        <w:tc>
          <w:tcPr>
            <w:tcW w:w="6589"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5"/>
              <w:ind w:left="101" w:right="0"/>
              <w:jc w:val="left"/>
              <w:rPr>
                <w:rFonts w:ascii="宋体" w:hAnsi="宋体" w:cs="宋体" w:eastAsia="宋体" w:hint="default"/>
                <w:sz w:val="18"/>
                <w:szCs w:val="18"/>
              </w:rPr>
            </w:pPr>
            <w:r>
              <w:rPr>
                <w:rFonts w:ascii="宋体" w:hAnsi="宋体" w:cs="宋体" w:eastAsia="宋体" w:hint="default"/>
                <w:sz w:val="18"/>
                <w:szCs w:val="18"/>
              </w:rPr>
              <w:t>商业保险综合服务</w:t>
            </w:r>
          </w:p>
        </w:tc>
      </w:tr>
      <w:tr>
        <w:trPr>
          <w:trHeight w:val="765" w:hRule="exact"/>
        </w:trPr>
        <w:tc>
          <w:tcPr>
            <w:tcW w:w="193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8"/>
              <w:jc w:val="center"/>
              <w:rPr>
                <w:rFonts w:ascii="宋体" w:hAnsi="宋体" w:cs="宋体" w:eastAsia="宋体" w:hint="default"/>
                <w:sz w:val="18"/>
                <w:szCs w:val="18"/>
              </w:rPr>
            </w:pPr>
            <w:r>
              <w:rPr>
                <w:rFonts w:ascii="宋体" w:hAnsi="宋体" w:cs="宋体" w:eastAsia="宋体" w:hint="default"/>
                <w:sz w:val="18"/>
                <w:szCs w:val="18"/>
              </w:rPr>
              <w:t>作用</w:t>
            </w:r>
          </w:p>
        </w:tc>
        <w:tc>
          <w:tcPr>
            <w:tcW w:w="6589" w:type="dxa"/>
            <w:tcBorders>
              <w:top w:val="single" w:sz="6" w:space="0" w:color="000000"/>
              <w:left w:val="single" w:sz="6" w:space="0" w:color="000000"/>
              <w:bottom w:val="single" w:sz="6" w:space="0" w:color="000000"/>
              <w:right w:val="single" w:sz="12" w:space="0" w:color="000000"/>
            </w:tcBorders>
          </w:tcPr>
          <w:p>
            <w:pPr>
              <w:pStyle w:val="TableParagraph"/>
              <w:spacing w:line="316" w:lineRule="auto" w:before="73"/>
              <w:ind w:left="101" w:right="92"/>
              <w:jc w:val="left"/>
              <w:rPr>
                <w:rFonts w:ascii="宋体" w:hAnsi="宋体" w:cs="宋体" w:eastAsia="宋体" w:hint="default"/>
                <w:sz w:val="18"/>
                <w:szCs w:val="18"/>
              </w:rPr>
            </w:pPr>
            <w:r>
              <w:rPr>
                <w:rFonts w:ascii="宋体" w:hAnsi="宋体" w:cs="宋体" w:eastAsia="宋体" w:hint="default"/>
                <w:sz w:val="18"/>
                <w:szCs w:val="18"/>
              </w:rPr>
              <w:t>通过专属医疗信息通道，助力于保险产品设计（含健康管理），保险理赔的全周</w:t>
            </w:r>
            <w:r>
              <w:rPr>
                <w:rFonts w:ascii="宋体" w:hAnsi="宋体" w:cs="宋体" w:eastAsia="宋体" w:hint="default"/>
                <w:spacing w:val="-31"/>
                <w:sz w:val="18"/>
                <w:szCs w:val="18"/>
              </w:rPr>
              <w:t> </w:t>
            </w:r>
            <w:r>
              <w:rPr>
                <w:rFonts w:ascii="宋体" w:hAnsi="宋体" w:cs="宋体" w:eastAsia="宋体" w:hint="default"/>
                <w:spacing w:val="-31"/>
                <w:sz w:val="18"/>
                <w:szCs w:val="18"/>
              </w:rPr>
            </w:r>
            <w:r>
              <w:rPr>
                <w:rFonts w:ascii="宋体" w:hAnsi="宋体" w:cs="宋体" w:eastAsia="宋体" w:hint="default"/>
                <w:sz w:val="18"/>
                <w:szCs w:val="18"/>
              </w:rPr>
              <w:t>期闭环服务。</w:t>
            </w:r>
          </w:p>
        </w:tc>
      </w:tr>
      <w:tr>
        <w:trPr>
          <w:trHeight w:val="504" w:hRule="exact"/>
        </w:trPr>
        <w:tc>
          <w:tcPr>
            <w:tcW w:w="193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96"/>
              <w:ind w:right="8"/>
              <w:jc w:val="center"/>
              <w:rPr>
                <w:rFonts w:ascii="宋体" w:hAnsi="宋体" w:cs="宋体" w:eastAsia="宋体" w:hint="default"/>
                <w:sz w:val="18"/>
                <w:szCs w:val="18"/>
              </w:rPr>
            </w:pPr>
            <w:r>
              <w:rPr>
                <w:rFonts w:ascii="宋体" w:hAnsi="宋体" w:cs="宋体" w:eastAsia="宋体" w:hint="default"/>
                <w:sz w:val="18"/>
                <w:szCs w:val="18"/>
              </w:rPr>
              <w:t>销售（服务）对象</w:t>
            </w:r>
          </w:p>
        </w:tc>
        <w:tc>
          <w:tcPr>
            <w:tcW w:w="6589"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6"/>
              <w:ind w:left="101" w:right="0"/>
              <w:jc w:val="left"/>
              <w:rPr>
                <w:rFonts w:ascii="宋体" w:hAnsi="宋体" w:cs="宋体" w:eastAsia="宋体" w:hint="default"/>
                <w:sz w:val="18"/>
                <w:szCs w:val="18"/>
              </w:rPr>
            </w:pPr>
            <w:r>
              <w:rPr>
                <w:rFonts w:ascii="宋体" w:hAnsi="宋体" w:cs="宋体" w:eastAsia="宋体" w:hint="default"/>
                <w:sz w:val="18"/>
                <w:szCs w:val="18"/>
              </w:rPr>
              <w:t>医疗机构、商业保险机构</w:t>
            </w:r>
          </w:p>
        </w:tc>
      </w:tr>
    </w:tbl>
    <w:p>
      <w:pPr>
        <w:spacing w:line="357" w:lineRule="auto" w:before="52"/>
        <w:ind w:left="472" w:right="0" w:firstLine="0"/>
        <w:jc w:val="left"/>
        <w:rPr>
          <w:rFonts w:ascii="宋体" w:hAnsi="宋体" w:cs="宋体" w:eastAsia="宋体" w:hint="default"/>
          <w:sz w:val="18"/>
          <w:szCs w:val="18"/>
        </w:rPr>
      </w:pPr>
      <w:bookmarkStart w:name="（三）医疗卫生智慧物联网应用产品及服务板块" w:id="21"/>
      <w:bookmarkEnd w:id="21"/>
      <w:r>
        <w:rPr/>
      </w:r>
      <w:r>
        <w:rPr>
          <w:rFonts w:ascii="宋体" w:hAnsi="宋体" w:cs="宋体" w:eastAsia="宋体" w:hint="default"/>
          <w:b/>
          <w:bCs/>
          <w:sz w:val="18"/>
          <w:szCs w:val="18"/>
        </w:rPr>
        <w:t>（三）医疗卫生智慧物联网应用产品及服务板块</w:t>
      </w:r>
      <w:r>
        <w:rPr>
          <w:rFonts w:ascii="宋体" w:hAnsi="宋体" w:cs="宋体" w:eastAsia="宋体" w:hint="default"/>
          <w:b/>
          <w:bCs/>
          <w:w w:val="99"/>
          <w:sz w:val="18"/>
          <w:szCs w:val="18"/>
        </w:rPr>
        <w:t> </w:t>
      </w:r>
      <w:r>
        <w:rPr>
          <w:rFonts w:ascii="宋体" w:hAnsi="宋体" w:cs="宋体" w:eastAsia="宋体" w:hint="default"/>
          <w:spacing w:val="-2"/>
          <w:sz w:val="18"/>
          <w:szCs w:val="18"/>
        </w:rPr>
        <w:t>公司依托大数据应用技术和健康城市运营业务，进行整体市场布局，以“未来医疗”新模式为基础构建医疗健康产业的</w:t>
      </w:r>
    </w:p>
    <w:p>
      <w:pPr>
        <w:pStyle w:val="BodyText"/>
        <w:spacing w:line="224" w:lineRule="exact"/>
        <w:ind w:right="0"/>
        <w:jc w:val="left"/>
      </w:pPr>
      <w:r>
        <w:rPr>
          <w:spacing w:val="-4"/>
        </w:rPr>
        <w:t>物联网生态体系。目前，基于自主开发的智能物联支撑平台，已逐步形成了以物联网技术为核心的便民服务、临床应用服务、</w:t>
      </w:r>
    </w:p>
    <w:p>
      <w:pPr>
        <w:pStyle w:val="BodyText"/>
        <w:spacing w:line="316" w:lineRule="auto" w:before="76"/>
        <w:ind w:right="1034"/>
        <w:jc w:val="left"/>
      </w:pPr>
      <w:r>
        <w:rPr/>
        <w:t>运营管理服务、健康服务等医疗应用服务体系和战略部署，同时，公司将不断根据院内场景需求定向打造物联网模块产品， 力求达到院内就医场景基本覆盖。</w:t>
      </w:r>
    </w:p>
    <w:p>
      <w:pPr>
        <w:pStyle w:val="BodyText"/>
        <w:spacing w:line="240" w:lineRule="auto" w:before="59"/>
        <w:ind w:left="472" w:right="0"/>
        <w:jc w:val="left"/>
      </w:pPr>
      <w:r>
        <w:rPr>
          <w:rFonts w:ascii="Times New Roman" w:hAnsi="Times New Roman" w:cs="Times New Roman" w:eastAsia="Times New Roman" w:hint="default"/>
        </w:rPr>
        <w:t>1</w:t>
      </w:r>
      <w:r>
        <w:rPr/>
        <w:t>、智慧物联支撑平台</w:t>
      </w:r>
    </w:p>
    <w:p>
      <w:pPr>
        <w:pStyle w:val="BodyText"/>
        <w:spacing w:line="338" w:lineRule="auto" w:before="103"/>
        <w:ind w:left="472" w:right="0"/>
        <w:jc w:val="left"/>
      </w:pPr>
      <w:r>
        <w:rPr/>
        <w:t>（</w:t>
      </w:r>
      <w:r>
        <w:rPr>
          <w:rFonts w:ascii="Times New Roman" w:hAnsi="Times New Roman" w:cs="Times New Roman" w:eastAsia="Times New Roman" w:hint="default"/>
        </w:rPr>
        <w:t>1</w:t>
      </w:r>
      <w:r>
        <w:rPr/>
        <w:t>）医疗物联网接入基础平台 </w:t>
      </w:r>
      <w:r>
        <w:rPr>
          <w:spacing w:val="-2"/>
        </w:rPr>
        <w:t>为医疗机构物联网应用解决方案提供私有化高安全性的统一支撑，通过在各种医疗物联网设备和医疗业务应用层之间建</w:t>
      </w:r>
    </w:p>
    <w:p>
      <w:pPr>
        <w:pStyle w:val="BodyText"/>
        <w:spacing w:line="316" w:lineRule="auto" w:before="2"/>
        <w:ind w:right="0"/>
        <w:jc w:val="left"/>
      </w:pPr>
      <w:r>
        <w:rPr>
          <w:spacing w:val="-2"/>
        </w:rPr>
        <w:t>立可靠双向通讯的设备互联与安全管理平台，实现网络协议兼容适配和标准化消息统一出入口管理，满足物联网设备数据收</w:t>
      </w:r>
      <w:r>
        <w:rPr>
          <w:spacing w:val="-64"/>
        </w:rPr>
        <w:t> </w:t>
      </w:r>
      <w:r>
        <w:rPr>
          <w:spacing w:val="-64"/>
        </w:rPr>
      </w:r>
      <w:r>
        <w:rPr/>
        <w:t>集、监控、故障预测安全等需求。</w:t>
      </w:r>
    </w:p>
    <w:p>
      <w:pPr>
        <w:pStyle w:val="BodyText"/>
        <w:spacing w:line="340" w:lineRule="auto" w:before="59"/>
        <w:ind w:left="472" w:right="0"/>
        <w:jc w:val="left"/>
      </w:pPr>
      <w:r>
        <w:rPr/>
        <w:t>（</w:t>
      </w:r>
      <w:r>
        <w:rPr>
          <w:rFonts w:ascii="Times New Roman" w:hAnsi="Times New Roman" w:cs="Times New Roman" w:eastAsia="Times New Roman" w:hint="default"/>
        </w:rPr>
        <w:t>2</w:t>
      </w:r>
      <w:r>
        <w:rPr/>
        <w:t>）医疗物联网人工智能平台 </w:t>
      </w:r>
      <w:r>
        <w:rPr>
          <w:spacing w:val="-2"/>
        </w:rPr>
        <w:t>将接入的医疗物联网设备数据和其他院内数据一起运用多种大数据算法进行数据分析与挖掘，为患者健康安全管理、临</w:t>
      </w:r>
    </w:p>
    <w:p>
      <w:pPr>
        <w:pStyle w:val="BodyText"/>
        <w:spacing w:line="240" w:lineRule="auto" w:before="1"/>
        <w:ind w:right="0"/>
        <w:jc w:val="left"/>
      </w:pPr>
      <w:r>
        <w:rPr/>
        <w:t>床辅助、设备管理构建人工智能服务。</w:t>
      </w:r>
    </w:p>
    <w:p>
      <w:pPr>
        <w:pStyle w:val="BodyText"/>
        <w:spacing w:line="240" w:lineRule="auto" w:before="115"/>
        <w:ind w:left="472" w:right="0"/>
        <w:jc w:val="left"/>
      </w:pPr>
      <w:r>
        <w:rPr/>
        <w:t>（</w:t>
      </w:r>
      <w:r>
        <w:rPr>
          <w:rFonts w:ascii="Times New Roman" w:hAnsi="Times New Roman" w:cs="Times New Roman" w:eastAsia="Times New Roman" w:hint="default"/>
        </w:rPr>
        <w:t>3</w:t>
      </w:r>
      <w:r>
        <w:rPr/>
        <w:t>）医院智能综合运维管理平台</w:t>
      </w:r>
    </w:p>
    <w:p>
      <w:pPr>
        <w:pStyle w:val="BodyText"/>
        <w:spacing w:line="309" w:lineRule="auto" w:before="103"/>
        <w:ind w:right="1075" w:firstLine="360"/>
        <w:jc w:val="both"/>
      </w:pPr>
      <w:r>
        <w:rPr/>
        <w:t>采用物联网、射频识别、</w:t>
      </w:r>
      <w:r>
        <w:rPr>
          <w:rFonts w:ascii="Times New Roman" w:hAnsi="Times New Roman" w:cs="Times New Roman" w:eastAsia="Times New Roman" w:hint="default"/>
        </w:rPr>
        <w:t>GIS </w:t>
      </w:r>
      <w:r>
        <w:rPr/>
        <w:t>地理信息系统、传感器采集等技术，将设备采购、电子档案、监控、巡检、维修、保养、 </w:t>
      </w:r>
      <w:r>
        <w:rPr>
          <w:spacing w:val="-2"/>
        </w:rPr>
        <w:t>报废、绩效等各个环节嵌入流程化、标准化、规范化的信息流转，以实现后勤管理、医疗信息管理、医疗设备管理、信息设</w:t>
      </w:r>
      <w:r>
        <w:rPr>
          <w:spacing w:val="-64"/>
        </w:rPr>
        <w:t> </w:t>
      </w:r>
      <w:r>
        <w:rPr>
          <w:spacing w:val="-64"/>
        </w:rPr>
      </w:r>
      <w:r>
        <w:rPr/>
        <w:t>备管理的闭环。</w:t>
      </w:r>
    </w:p>
    <w:p>
      <w:pPr>
        <w:pStyle w:val="BodyText"/>
        <w:spacing w:line="240" w:lineRule="auto" w:before="65"/>
        <w:ind w:left="472" w:right="0"/>
        <w:jc w:val="left"/>
      </w:pPr>
      <w:r>
        <w:rPr>
          <w:rFonts w:ascii="Times New Roman" w:hAnsi="Times New Roman" w:cs="Times New Roman" w:eastAsia="Times New Roman" w:hint="default"/>
        </w:rPr>
        <w:t>2</w:t>
      </w:r>
      <w:r>
        <w:rPr/>
        <w:t>、智慧物联—便民服务</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00" w:lineRule="auto" w:before="44"/>
        <w:ind w:right="1124" w:firstLine="360"/>
        <w:jc w:val="left"/>
      </w:pPr>
      <w:r>
        <w:rPr/>
        <w:t>（</w:t>
      </w:r>
      <w:r>
        <w:rPr>
          <w:rFonts w:ascii="Times New Roman" w:hAnsi="Times New Roman" w:cs="Times New Roman" w:eastAsia="Times New Roman" w:hint="default"/>
        </w:rPr>
        <w:t>1</w:t>
      </w:r>
      <w:r>
        <w:rPr/>
        <w:t>）智能医疗机器人：基于领先的人工智能、语音识别、语音合成和自然语言处理技术，通过人机对话方式实现情景 式人机互动、满足各类医疗卫生机构和家庭多场景多业务的医疗健康智能化服务需求。</w:t>
      </w:r>
    </w:p>
    <w:p>
      <w:pPr>
        <w:pStyle w:val="BodyText"/>
        <w:spacing w:line="300" w:lineRule="auto" w:before="70"/>
        <w:ind w:right="1124" w:firstLine="360"/>
        <w:jc w:val="left"/>
      </w:pPr>
      <w:r>
        <w:rPr/>
        <w:t>（</w:t>
      </w:r>
      <w:r>
        <w:rPr>
          <w:rFonts w:ascii="Times New Roman" w:hAnsi="Times New Roman" w:cs="Times New Roman" w:eastAsia="Times New Roman" w:hint="default"/>
        </w:rPr>
        <w:t>2</w:t>
      </w:r>
      <w:r>
        <w:rPr/>
        <w:t>）婴儿防盗系统解决方案：通过对医院监控区域安装信号接收装置和出口监视器，在婴儿身上配戴可发送无线射频 信号且对人体无害的健康智能环，实现安全监护功能。</w:t>
      </w:r>
    </w:p>
    <w:p>
      <w:pPr>
        <w:pStyle w:val="BodyText"/>
        <w:spacing w:line="340" w:lineRule="auto" w:before="72"/>
        <w:ind w:left="472" w:right="1034"/>
        <w:jc w:val="left"/>
      </w:pPr>
      <w:r>
        <w:rPr>
          <w:rFonts w:ascii="Times New Roman" w:hAnsi="Times New Roman" w:cs="Times New Roman" w:eastAsia="Times New Roman" w:hint="default"/>
        </w:rPr>
        <w:t>3</w:t>
      </w:r>
      <w:r>
        <w:rPr/>
        <w:t>、智慧物联—临床应用 数字化病房解决方案：基于医院信息系统、数字化医疗设备、网络平台、显示终端所组成的四位一体的综合信息系统，</w:t>
      </w:r>
    </w:p>
    <w:p>
      <w:pPr>
        <w:pStyle w:val="BodyText"/>
        <w:spacing w:line="316" w:lineRule="auto" w:before="1"/>
        <w:ind w:right="0"/>
        <w:jc w:val="left"/>
      </w:pPr>
      <w:r>
        <w:rPr>
          <w:spacing w:val="-2"/>
        </w:rPr>
        <w:t>利用物联网技术，融合智能信息交互显示终端，实现患者与护士、护工、医生之间的信息互动，以提高患者就医体验，提升</w:t>
      </w:r>
      <w:r>
        <w:rPr>
          <w:spacing w:val="-66"/>
        </w:rPr>
        <w:t> </w:t>
      </w:r>
      <w:r>
        <w:rPr>
          <w:spacing w:val="-66"/>
        </w:rPr>
      </w:r>
      <w:r>
        <w:rPr/>
        <w:t>诊疗效率，促进医院效能升级。</w:t>
      </w:r>
    </w:p>
    <w:p>
      <w:pPr>
        <w:pStyle w:val="BodyText"/>
        <w:spacing w:line="240" w:lineRule="auto" w:before="57"/>
        <w:ind w:left="472" w:right="0"/>
        <w:jc w:val="left"/>
      </w:pPr>
      <w:r>
        <w:rPr/>
        <w:t>（</w:t>
      </w:r>
      <w:r>
        <w:rPr>
          <w:rFonts w:ascii="Times New Roman" w:hAnsi="Times New Roman" w:cs="Times New Roman" w:eastAsia="Times New Roman" w:hint="default"/>
        </w:rPr>
        <w:t>1</w:t>
      </w:r>
      <w:r>
        <w:rPr/>
        <w:t>）数字化家庭化产房方案：将待产、分娩、恢复和产后过程综合到一个房间内，以家庭为中心的母婴保健系统。</w:t>
      </w:r>
    </w:p>
    <w:p>
      <w:pPr>
        <w:pStyle w:val="BodyText"/>
        <w:spacing w:line="300" w:lineRule="auto" w:before="103"/>
        <w:ind w:right="0" w:firstLine="360"/>
        <w:jc w:val="left"/>
      </w:pPr>
      <w:r>
        <w:rPr>
          <w:spacing w:val="-2"/>
        </w:rPr>
        <w:t>（</w:t>
      </w:r>
      <w:r>
        <w:rPr>
          <w:rFonts w:ascii="Times New Roman" w:hAnsi="Times New Roman" w:cs="Times New Roman" w:eastAsia="Times New Roman" w:hint="default"/>
          <w:spacing w:val="-2"/>
        </w:rPr>
        <w:t>2</w:t>
      </w:r>
      <w:r>
        <w:rPr>
          <w:spacing w:val="-2"/>
        </w:rPr>
        <w:t>）数字化手术室解决方案：基于高清影像实时直播，同步录制等功能，实现手术室内手术过程视频、医疗仪器视频、</w:t>
      </w:r>
      <w:r>
        <w:rPr/>
        <w:t> 医师讲解音频、移动手术示教推车等多内容多形式的视音频同步编码并传输的解决方案。</w:t>
      </w:r>
    </w:p>
    <w:p>
      <w:pPr>
        <w:pStyle w:val="BodyText"/>
        <w:spacing w:line="240" w:lineRule="auto" w:before="72"/>
        <w:ind w:left="472" w:right="0"/>
        <w:jc w:val="left"/>
      </w:pPr>
      <w:r>
        <w:rPr>
          <w:rFonts w:ascii="Times New Roman" w:hAnsi="Times New Roman" w:cs="Times New Roman" w:eastAsia="Times New Roman" w:hint="default"/>
        </w:rPr>
        <w:t>4</w:t>
      </w:r>
      <w:r>
        <w:rPr/>
        <w:t>、智慧物联—运营管理</w:t>
      </w:r>
    </w:p>
    <w:p>
      <w:pPr>
        <w:pStyle w:val="BodyText"/>
        <w:spacing w:line="300" w:lineRule="auto" w:before="101"/>
        <w:ind w:right="1118" w:firstLine="360"/>
        <w:jc w:val="left"/>
      </w:pPr>
      <w:r>
        <w:rPr/>
        <w:t>（</w:t>
      </w:r>
      <w:r>
        <w:rPr>
          <w:rFonts w:ascii="Times New Roman" w:hAnsi="Times New Roman" w:cs="Times New Roman" w:eastAsia="Times New Roman" w:hint="default"/>
        </w:rPr>
        <w:t>1</w:t>
      </w:r>
      <w:r>
        <w:rPr/>
        <w:t>）智能药柜应用：通过与</w:t>
      </w:r>
      <w:r>
        <w:rPr>
          <w:spacing w:val="-53"/>
        </w:rPr>
        <w:t> </w:t>
      </w:r>
      <w:r>
        <w:rPr>
          <w:rFonts w:ascii="Times New Roman" w:hAnsi="Times New Roman" w:cs="Times New Roman" w:eastAsia="Times New Roman" w:hint="default"/>
        </w:rPr>
        <w:t>HIS</w:t>
      </w:r>
      <w:r>
        <w:rPr>
          <w:rFonts w:ascii="Times New Roman" w:hAnsi="Times New Roman" w:cs="Times New Roman" w:eastAsia="Times New Roman" w:hint="default"/>
          <w:spacing w:val="-7"/>
        </w:rPr>
        <w:t> </w:t>
      </w:r>
      <w:r>
        <w:rPr/>
        <w:t>系统集成，采用电子医嘱、传感技术，使药品取用的准确性大大提高，并释放人员力 量，促进临床用药的安全水平。</w:t>
      </w:r>
    </w:p>
    <w:p>
      <w:pPr>
        <w:pStyle w:val="BodyText"/>
        <w:spacing w:line="300" w:lineRule="auto" w:before="72"/>
        <w:ind w:right="1127" w:firstLine="360"/>
        <w:jc w:val="left"/>
      </w:pPr>
      <w:r>
        <w:rPr>
          <w:spacing w:val="-1"/>
        </w:rPr>
        <w:t>（</w:t>
      </w:r>
      <w:r>
        <w:rPr>
          <w:rFonts w:ascii="Times New Roman" w:hAnsi="Times New Roman" w:cs="Times New Roman" w:eastAsia="Times New Roman" w:hint="default"/>
          <w:spacing w:val="-1"/>
        </w:rPr>
        <w:t>2</w:t>
      </w:r>
      <w:r>
        <w:rPr>
          <w:spacing w:val="-1"/>
        </w:rPr>
        <w:t>）人员</w:t>
      </w:r>
      <w:r>
        <w:rPr>
          <w:rFonts w:ascii="Times New Roman" w:hAnsi="Times New Roman" w:cs="Times New Roman" w:eastAsia="Times New Roman" w:hint="default"/>
          <w:spacing w:val="-1"/>
        </w:rPr>
        <w:t>/</w:t>
      </w:r>
      <w:r>
        <w:rPr>
          <w:spacing w:val="-1"/>
        </w:rPr>
        <w:t>资产定位：通过多种主流近场通讯技术，改变以往人员监护和资产管理方式，为患者、医护人员和医疗资产</w:t>
      </w:r>
      <w:r>
        <w:rPr/>
        <w:t> 提供实时定位服务。</w:t>
      </w:r>
    </w:p>
    <w:p>
      <w:pPr>
        <w:pStyle w:val="BodyText"/>
        <w:spacing w:line="300" w:lineRule="auto" w:before="72"/>
        <w:ind w:right="1166" w:firstLine="360"/>
        <w:jc w:val="left"/>
      </w:pPr>
      <w:r>
        <w:rPr/>
        <w:t>（</w:t>
      </w:r>
      <w:r>
        <w:rPr>
          <w:rFonts w:ascii="Times New Roman" w:hAnsi="Times New Roman" w:cs="Times New Roman" w:eastAsia="Times New Roman" w:hint="default"/>
        </w:rPr>
        <w:t>3</w:t>
      </w:r>
      <w:r>
        <w:rPr/>
        <w:t>）医疗废物管理解决方案：结合物联网</w:t>
      </w:r>
      <w:r>
        <w:rPr>
          <w:spacing w:val="-45"/>
        </w:rPr>
        <w:t> </w:t>
      </w:r>
      <w:r>
        <w:rPr>
          <w:rFonts w:ascii="Times New Roman" w:hAnsi="Times New Roman" w:cs="Times New Roman" w:eastAsia="Times New Roman" w:hint="default"/>
        </w:rPr>
        <w:t>RFID</w:t>
      </w:r>
      <w:r>
        <w:rPr>
          <w:rFonts w:ascii="Times New Roman" w:hAnsi="Times New Roman" w:cs="Times New Roman" w:eastAsia="Times New Roman" w:hint="default"/>
          <w:spacing w:val="-3"/>
        </w:rPr>
        <w:t> </w:t>
      </w:r>
      <w:r>
        <w:rPr/>
        <w:t>技术应用，为医疗机构构建全方位、可追溯化、智能化的医废流转管 理体系，实现对医废前端收集、中端转运、末端贮存的全流程管理服务。</w:t>
      </w:r>
    </w:p>
    <w:p>
      <w:pPr>
        <w:pStyle w:val="BodyText"/>
        <w:spacing w:line="340" w:lineRule="auto" w:before="70"/>
        <w:ind w:left="472" w:right="0"/>
        <w:jc w:val="left"/>
      </w:pPr>
      <w:r>
        <w:rPr>
          <w:rFonts w:ascii="Times New Roman" w:hAnsi="Times New Roman" w:cs="Times New Roman" w:eastAsia="Times New Roman" w:hint="default"/>
        </w:rPr>
        <w:t>5</w:t>
      </w:r>
      <w:r>
        <w:rPr/>
        <w:t>、智慧物联—健康服务 </w:t>
      </w:r>
      <w:r>
        <w:rPr>
          <w:spacing w:val="-2"/>
        </w:rPr>
        <w:t>健康小屋：将多个独立医疗设备集成为一体化的智能自助健康体检平台，实现包括血压、血氧、体温、心电、血糖等指</w:t>
      </w:r>
    </w:p>
    <w:p>
      <w:pPr>
        <w:spacing w:line="360" w:lineRule="auto" w:before="1"/>
        <w:ind w:left="472" w:right="8948" w:hanging="360"/>
        <w:jc w:val="left"/>
        <w:rPr>
          <w:rFonts w:ascii="宋体" w:hAnsi="宋体" w:cs="宋体" w:eastAsia="宋体" w:hint="default"/>
          <w:sz w:val="18"/>
          <w:szCs w:val="18"/>
        </w:rPr>
      </w:pPr>
      <w:r>
        <w:rPr>
          <w:rFonts w:ascii="宋体" w:hAnsi="宋体" w:cs="宋体" w:eastAsia="宋体" w:hint="default"/>
          <w:sz w:val="18"/>
          <w:szCs w:val="18"/>
        </w:rPr>
        <w:t>标的自助体检。 </w:t>
      </w:r>
      <w:bookmarkStart w:name="二、经营模式介绍" w:id="22"/>
      <w:bookmarkEnd w:id="22"/>
      <w:r>
        <w:rPr>
          <w:rFonts w:ascii="宋体" w:hAnsi="宋体" w:cs="宋体" w:eastAsia="宋体" w:hint="default"/>
          <w:sz w:val="18"/>
          <w:szCs w:val="18"/>
        </w:rPr>
      </w:r>
      <w:r>
        <w:rPr>
          <w:rFonts w:ascii="宋体" w:hAnsi="宋体" w:cs="宋体" w:eastAsia="宋体" w:hint="default"/>
          <w:b/>
          <w:bCs/>
          <w:sz w:val="18"/>
          <w:szCs w:val="18"/>
        </w:rPr>
        <w:t>二、经营模式介绍</w:t>
      </w:r>
      <w:r>
        <w:rPr>
          <w:rFonts w:ascii="宋体" w:hAnsi="宋体" w:cs="宋体" w:eastAsia="宋体" w:hint="default"/>
          <w:sz w:val="18"/>
          <w:szCs w:val="18"/>
        </w:rPr>
      </w:r>
    </w:p>
    <w:p>
      <w:pPr>
        <w:pStyle w:val="BodyText"/>
        <w:spacing w:line="360" w:lineRule="auto" w:before="25"/>
        <w:ind w:left="472" w:right="0"/>
        <w:jc w:val="left"/>
      </w:pPr>
      <w:bookmarkStart w:name="（一）营销模式" w:id="23"/>
      <w:bookmarkEnd w:id="23"/>
      <w:r>
        <w:rPr/>
      </w:r>
      <w:r>
        <w:rPr/>
        <w:t>（一）营销模式 </w:t>
      </w:r>
      <w:r>
        <w:rPr>
          <w:spacing w:val="-2"/>
        </w:rPr>
        <w:t>公司基于各产品事业部销售、各区域营销中心销售两个层次的业务销售体系。各事业部根据发展战略，结合自身所具有</w:t>
      </w:r>
    </w:p>
    <w:p>
      <w:pPr>
        <w:pStyle w:val="BodyText"/>
        <w:spacing w:line="222" w:lineRule="exact"/>
        <w:ind w:right="0"/>
        <w:jc w:val="left"/>
      </w:pPr>
      <w:r>
        <w:rPr/>
        <w:t>核心技术，确定产品和服务，提出业务方向。区域营销中心根据各事业部提出的产品和服务，在各区域进行相关产品的推广</w:t>
      </w:r>
    </w:p>
    <w:p>
      <w:pPr>
        <w:pStyle w:val="BodyText"/>
        <w:spacing w:line="240" w:lineRule="auto" w:before="76"/>
        <w:ind w:right="0"/>
        <w:jc w:val="left"/>
      </w:pPr>
      <w:r>
        <w:rPr/>
        <w:t>和营销。</w:t>
      </w:r>
    </w:p>
    <w:p>
      <w:pPr>
        <w:pStyle w:val="BodyText"/>
        <w:spacing w:line="316" w:lineRule="auto" w:before="117"/>
        <w:ind w:right="0" w:firstLine="360"/>
        <w:jc w:val="left"/>
      </w:pPr>
      <w:r>
        <w:rPr>
          <w:spacing w:val="-2"/>
        </w:rPr>
        <w:t>公司销售模式采用直销模式销售，销售的主要内容为医疗卫生信息化应用软件销售、运营维护服务（包括软件定制开发</w:t>
      </w:r>
      <w:r>
        <w:rPr/>
        <w:t> </w:t>
      </w:r>
      <w:r>
        <w:rPr>
          <w:spacing w:val="-4"/>
        </w:rPr>
        <w:t>技术服务、软硬件运维服务等）、基于信息技术的系统集成业务。</w:t>
      </w:r>
    </w:p>
    <w:p>
      <w:pPr>
        <w:pStyle w:val="BodyText"/>
        <w:spacing w:line="360" w:lineRule="auto" w:before="57"/>
        <w:ind w:left="472" w:right="1034"/>
        <w:jc w:val="left"/>
      </w:pPr>
      <w:bookmarkStart w:name="（二）采购模式" w:id="24"/>
      <w:bookmarkEnd w:id="24"/>
      <w:r>
        <w:rPr/>
      </w:r>
      <w:r>
        <w:rPr/>
        <w:t>（二）采购模式 公司主要采用定量采购模式，即按照项目实施进度进行采购；采购内容主要包括计算机硬件、外购软件以及外购劳务。</w:t>
      </w:r>
    </w:p>
    <w:p>
      <w:pPr>
        <w:pStyle w:val="BodyText"/>
        <w:spacing w:line="357" w:lineRule="auto" w:before="27"/>
        <w:ind w:left="472" w:right="2834"/>
        <w:jc w:val="left"/>
      </w:pPr>
      <w:bookmarkStart w:name="（三）生产模式" w:id="25"/>
      <w:bookmarkEnd w:id="25"/>
      <w:r>
        <w:rPr/>
      </w:r>
      <w:r>
        <w:rPr/>
        <w:t>（三）生产模式 软件产品销售：以公司研发软件产品为基础，依据客户合同，提供相应软件并进行现场配置。 技术服务：按客户需求提供相应服务内容包括软件定制开发服务、软件运维服务、运营服务等。</w:t>
      </w:r>
    </w:p>
    <w:p>
      <w:pPr>
        <w:pStyle w:val="BodyText"/>
        <w:spacing w:line="316" w:lineRule="auto" w:before="29"/>
        <w:ind w:right="0" w:firstLine="360"/>
        <w:jc w:val="left"/>
      </w:pPr>
      <w:r>
        <w:rPr>
          <w:spacing w:val="-2"/>
        </w:rPr>
        <w:t>系统集成：硬件采购、集成服务、以与客户确认的需求确认书、招投标文件及合同为基础，进行调研、框架设计、组织</w:t>
      </w:r>
      <w:r>
        <w:rPr/>
        <w:t> 实施和工程交付。</w:t>
      </w:r>
    </w:p>
    <w:p>
      <w:pPr>
        <w:pStyle w:val="BodyText"/>
        <w:spacing w:line="240" w:lineRule="auto" w:before="57"/>
        <w:ind w:left="472" w:right="0"/>
        <w:jc w:val="left"/>
      </w:pPr>
      <w:bookmarkStart w:name="（四）研发模式" w:id="26"/>
      <w:bookmarkEnd w:id="26"/>
      <w:r>
        <w:rPr/>
      </w:r>
      <w:r>
        <w:rPr/>
        <w:t>（四）研发模式</w:t>
      </w:r>
    </w:p>
    <w:p>
      <w:pPr>
        <w:pStyle w:val="BodyText"/>
        <w:spacing w:line="240" w:lineRule="auto" w:before="117"/>
        <w:ind w:left="472" w:right="0"/>
        <w:jc w:val="left"/>
      </w:pPr>
      <w:r>
        <w:rPr/>
        <w:t>公司研发部门组织研发人员按照</w:t>
      </w:r>
      <w:r>
        <w:rPr>
          <w:spacing w:val="-68"/>
        </w:rPr>
        <w:t> </w:t>
      </w:r>
      <w:r>
        <w:rPr>
          <w:rFonts w:ascii="Times New Roman" w:hAnsi="Times New Roman" w:cs="Times New Roman" w:eastAsia="Times New Roman" w:hint="default"/>
        </w:rPr>
        <w:t>CMMI5</w:t>
      </w:r>
      <w:r>
        <w:rPr>
          <w:rFonts w:ascii="Times New Roman" w:hAnsi="Times New Roman" w:cs="Times New Roman" w:eastAsia="Times New Roman" w:hint="default"/>
          <w:spacing w:val="-23"/>
        </w:rPr>
        <w:t> </w:t>
      </w:r>
      <w:r>
        <w:rPr/>
        <w:t>软件成熟度开发流程执行研发任务；开发过程中，同时由质量保证部门按照质</w:t>
      </w:r>
    </w:p>
    <w:p>
      <w:pPr>
        <w:pStyle w:val="BodyText"/>
        <w:spacing w:line="240" w:lineRule="auto" w:before="63"/>
        <w:ind w:right="0"/>
        <w:jc w:val="left"/>
      </w:pPr>
      <w:r>
        <w:rPr/>
        <w:t>量</w:t>
      </w:r>
    </w:p>
    <w:p>
      <w:pPr>
        <w:pStyle w:val="BodyText"/>
        <w:spacing w:line="240" w:lineRule="auto" w:before="117"/>
        <w:ind w:left="472" w:right="0"/>
        <w:jc w:val="left"/>
      </w:pPr>
      <w:r>
        <w:rPr/>
        <w:t>管理体系对研发流程进行质量控制和产品测试。公司坚持“自主研发为主，产学研合作为辅”的原则，通过原始创新、</w:t>
      </w:r>
    </w:p>
    <w:p>
      <w:pPr>
        <w:pStyle w:val="BodyText"/>
        <w:spacing w:line="357" w:lineRule="auto" w:before="76"/>
        <w:ind w:left="472" w:right="2114" w:hanging="360"/>
        <w:jc w:val="left"/>
        <w:rPr>
          <w:rFonts w:ascii="宋体" w:hAnsi="宋体" w:cs="宋体" w:eastAsia="宋体" w:hint="default"/>
        </w:rPr>
      </w:pPr>
      <w:r>
        <w:rPr/>
        <w:t>集成创新、应用创新等多种途径，掌握了一批具有行业竞争力的核心技术，其先进性和成熟度均居国内前列。 </w:t>
      </w:r>
      <w:bookmarkStart w:name="三、所处行业基本情况" w:id="27"/>
      <w:bookmarkEnd w:id="27"/>
      <w:r>
        <w:rPr/>
      </w:r>
      <w:r>
        <w:rPr>
          <w:rFonts w:ascii="宋体" w:hAnsi="宋体" w:cs="宋体" w:eastAsia="宋体" w:hint="default"/>
          <w:b/>
          <w:bCs/>
        </w:rPr>
        <w:t>三、所处行业基本情况</w:t>
      </w:r>
      <w:r>
        <w:rPr>
          <w:rFonts w:ascii="宋体" w:hAnsi="宋体" w:cs="宋体" w:eastAsia="宋体" w:hint="default"/>
        </w:rPr>
      </w:r>
    </w:p>
    <w:p>
      <w:pPr>
        <w:spacing w:after="0" w:line="357" w:lineRule="auto"/>
        <w:jc w:val="left"/>
        <w:rPr>
          <w:rFonts w:ascii="宋体" w:hAnsi="宋体" w:cs="宋体" w:eastAsia="宋体" w:hint="default"/>
        </w:rPr>
        <w:sectPr>
          <w:pgSz w:w="11910" w:h="16840"/>
          <w:pgMar w:header="907" w:footer="1016" w:top="1100" w:bottom="1200" w:left="1020" w:right="0"/>
        </w:sectPr>
      </w:pPr>
    </w:p>
    <w:p>
      <w:pPr>
        <w:spacing w:line="240" w:lineRule="auto" w:before="13"/>
        <w:rPr>
          <w:rFonts w:ascii="宋体" w:hAnsi="宋体" w:cs="宋体" w:eastAsia="宋体" w:hint="default"/>
          <w:b/>
          <w:bCs/>
          <w:sz w:val="22"/>
          <w:szCs w:val="22"/>
        </w:rPr>
      </w:pPr>
    </w:p>
    <w:p>
      <w:pPr>
        <w:pStyle w:val="BodyText"/>
        <w:spacing w:line="357" w:lineRule="auto" w:before="44"/>
        <w:ind w:left="472" w:right="0"/>
        <w:jc w:val="left"/>
      </w:pPr>
      <w:bookmarkStart w:name="（一）所处行业的发展情况" w:id="28"/>
      <w:bookmarkEnd w:id="28"/>
      <w:r>
        <w:rPr/>
      </w:r>
      <w:r>
        <w:rPr>
          <w:rFonts w:ascii="宋体" w:hAnsi="宋体" w:cs="宋体" w:eastAsia="宋体" w:hint="default"/>
          <w:b/>
          <w:bCs/>
        </w:rPr>
        <w:t>（一）所处行业的发展情况</w:t>
      </w:r>
      <w:r>
        <w:rPr>
          <w:rFonts w:ascii="宋体" w:hAnsi="宋体" w:cs="宋体" w:eastAsia="宋体" w:hint="default"/>
          <w:b/>
          <w:bCs/>
          <w:w w:val="99"/>
        </w:rPr>
        <w:t> </w:t>
      </w:r>
      <w:r>
        <w:rPr>
          <w:spacing w:val="-2"/>
        </w:rPr>
        <w:t>软件产业属于国家鼓励发展的战略性、基础性和先导性支柱产业，国务院及有关部门颁布了鼓励软件产业发展的一系列</w:t>
      </w:r>
    </w:p>
    <w:p>
      <w:pPr>
        <w:pStyle w:val="BodyText"/>
        <w:spacing w:line="224" w:lineRule="exact"/>
        <w:ind w:right="0"/>
        <w:jc w:val="left"/>
      </w:pPr>
      <w:r>
        <w:rPr/>
        <w:t>优惠政策，为行业发展建立了良好的政策环境。同时，随着中国人口的老龄化问题正在逐渐加剧，老龄人口的持续增长叠加</w:t>
      </w:r>
    </w:p>
    <w:p>
      <w:pPr>
        <w:pStyle w:val="BodyText"/>
        <w:spacing w:line="316" w:lineRule="auto" w:before="76"/>
        <w:ind w:right="1120"/>
        <w:jc w:val="left"/>
      </w:pPr>
      <w:r>
        <w:rPr>
          <w:spacing w:val="-2"/>
        </w:rPr>
        <w:t>上其他诸如慢性病发病率走高，城镇医保基金的缺口正呈现逐步扩大等因素，使得国家越来越重视软件行业的细分行业医疗</w:t>
      </w:r>
      <w:r>
        <w:rPr>
          <w:spacing w:val="-64"/>
        </w:rPr>
        <w:t> </w:t>
      </w:r>
      <w:r>
        <w:rPr>
          <w:spacing w:val="-64"/>
        </w:rPr>
      </w:r>
      <w:r>
        <w:rPr/>
        <w:t>信息化行业。</w:t>
      </w:r>
    </w:p>
    <w:p>
      <w:pPr>
        <w:pStyle w:val="BodyText"/>
        <w:spacing w:line="309" w:lineRule="auto" w:before="59"/>
        <w:ind w:right="1132" w:firstLine="360"/>
        <w:jc w:val="both"/>
      </w:pPr>
      <w:r>
        <w:rPr>
          <w:spacing w:val="-3"/>
          <w:w w:val="99"/>
        </w:rPr>
        <w:t>十九大以来，党中央、国务院高度重视“互联网</w:t>
      </w:r>
      <w:r>
        <w:rPr>
          <w:rFonts w:ascii="Times New Roman" w:hAnsi="Times New Roman" w:cs="Times New Roman" w:eastAsia="Times New Roman" w:hint="default"/>
          <w:spacing w:val="-3"/>
          <w:w w:val="99"/>
        </w:rPr>
        <w:t>+</w:t>
      </w:r>
      <w:r>
        <w:rPr>
          <w:spacing w:val="-3"/>
          <w:w w:val="99"/>
        </w:rPr>
        <w:t>医疗健康”工作。习近平总书记指出，要推进“互联网</w:t>
      </w:r>
      <w:r>
        <w:rPr>
          <w:rFonts w:ascii="Times New Roman" w:hAnsi="Times New Roman" w:cs="Times New Roman" w:eastAsia="Times New Roman" w:hint="default"/>
          <w:spacing w:val="-3"/>
          <w:w w:val="99"/>
        </w:rPr>
        <w:t>+</w:t>
      </w:r>
      <w:r>
        <w:rPr>
          <w:spacing w:val="-3"/>
          <w:w w:val="99"/>
        </w:rPr>
        <w:t>医疗”，要求</w:t>
      </w:r>
      <w:r>
        <w:rPr/>
        <w:t> </w:t>
      </w:r>
      <w:r>
        <w:rPr>
          <w:spacing w:val="-2"/>
        </w:rPr>
        <w:t>不断提升公共服务均等化、普惠化、便捷化水平。近年来，医疗信息化领域的政策密集出台，医疗信息化成为政策推进的重</w:t>
      </w:r>
      <w:r>
        <w:rPr>
          <w:spacing w:val="-65"/>
        </w:rPr>
        <w:t> </w:t>
      </w:r>
      <w:r>
        <w:rPr>
          <w:spacing w:val="-65"/>
        </w:rPr>
      </w:r>
      <w:r>
        <w:rPr/>
        <w:t>点，行业的景气度逐年提高。</w:t>
      </w:r>
    </w:p>
    <w:p>
      <w:pPr>
        <w:pStyle w:val="BodyText"/>
        <w:spacing w:line="300" w:lineRule="auto" w:before="65"/>
        <w:ind w:right="1131" w:firstLine="360"/>
        <w:jc w:val="both"/>
        <w:rPr>
          <w:rFonts w:ascii="Times New Roman" w:hAnsi="Times New Roman" w:cs="Times New Roman" w:eastAsia="Times New Roman" w:hint="default"/>
        </w:rPr>
      </w:pPr>
      <w:r>
        <w:rPr/>
        <w:t>根据前瞻经济研究研究统计数据显示，</w:t>
      </w:r>
      <w:r>
        <w:rPr>
          <w:rFonts w:ascii="Times New Roman" w:hAnsi="Times New Roman" w:cs="Times New Roman" w:eastAsia="Times New Roman" w:hint="default"/>
        </w:rPr>
        <w:t>2010-2017 </w:t>
      </w:r>
      <w:r>
        <w:rPr/>
        <w:t>年，我国医疗信息化行业市场规模逐年递增，且增速保持在</w:t>
      </w:r>
      <w:r>
        <w:rPr>
          <w:spacing w:val="-71"/>
        </w:rPr>
        <w:t> </w:t>
      </w:r>
      <w:r>
        <w:rPr>
          <w:rFonts w:ascii="Times New Roman" w:hAnsi="Times New Roman" w:cs="Times New Roman" w:eastAsia="Times New Roman" w:hint="default"/>
        </w:rPr>
        <w:t>20%</w:t>
      </w:r>
      <w:r>
        <w:rPr/>
        <w:t>左右 的较高水平；</w:t>
      </w:r>
      <w:r>
        <w:rPr>
          <w:rFonts w:ascii="Times New Roman" w:hAnsi="Times New Roman" w:cs="Times New Roman" w:eastAsia="Times New Roman" w:hint="default"/>
        </w:rPr>
        <w:t>2017</w:t>
      </w:r>
      <w:r>
        <w:rPr>
          <w:rFonts w:ascii="Times New Roman" w:hAnsi="Times New Roman" w:cs="Times New Roman" w:eastAsia="Times New Roman" w:hint="default"/>
          <w:spacing w:val="-8"/>
        </w:rPr>
        <w:t> </w:t>
      </w:r>
      <w:r>
        <w:rPr/>
        <w:t>年我国医疗信息化市场规模为</w:t>
      </w:r>
      <w:r>
        <w:rPr>
          <w:spacing w:val="-53"/>
        </w:rPr>
        <w:t> </w:t>
      </w:r>
      <w:r>
        <w:rPr>
          <w:rFonts w:ascii="Times New Roman" w:hAnsi="Times New Roman" w:cs="Times New Roman" w:eastAsia="Times New Roman" w:hint="default"/>
        </w:rPr>
        <w:t>448</w:t>
      </w:r>
      <w:r>
        <w:rPr>
          <w:rFonts w:ascii="Times New Roman" w:hAnsi="Times New Roman" w:cs="Times New Roman" w:eastAsia="Times New Roman" w:hint="default"/>
          <w:spacing w:val="-8"/>
        </w:rPr>
        <w:t> </w:t>
      </w:r>
      <w:r>
        <w:rPr>
          <w:spacing w:val="-3"/>
        </w:rPr>
        <w:t>亿元，同比增长</w:t>
      </w:r>
      <w:r>
        <w:rPr>
          <w:spacing w:val="-53"/>
        </w:rPr>
        <w:t> </w:t>
      </w:r>
      <w:r>
        <w:rPr>
          <w:rFonts w:ascii="Times New Roman" w:hAnsi="Times New Roman" w:cs="Times New Roman" w:eastAsia="Times New Roman" w:hint="default"/>
        </w:rPr>
        <w:t>17.59%</w:t>
      </w:r>
      <w:r>
        <w:rPr/>
        <w:t>；结合近年来我国医疗信息化发展，预计</w:t>
      </w:r>
      <w:r>
        <w:rPr>
          <w:spacing w:val="-54"/>
        </w:rPr>
        <w:t> </w:t>
      </w:r>
      <w:r>
        <w:rPr>
          <w:rFonts w:ascii="Times New Roman" w:hAnsi="Times New Roman" w:cs="Times New Roman" w:eastAsia="Times New Roman" w:hint="default"/>
        </w:rPr>
        <w:t>2020</w:t>
      </w:r>
    </w:p>
    <w:p>
      <w:pPr>
        <w:pStyle w:val="BodyText"/>
        <w:spacing w:line="240" w:lineRule="auto" w:before="13"/>
        <w:ind w:right="0"/>
        <w:jc w:val="left"/>
      </w:pPr>
      <w:r>
        <w:rPr/>
        <w:t>年市场规模将达</w:t>
      </w:r>
      <w:r>
        <w:rPr>
          <w:spacing w:val="-46"/>
        </w:rPr>
        <w:t> </w:t>
      </w:r>
      <w:r>
        <w:rPr>
          <w:rFonts w:ascii="Times New Roman" w:hAnsi="Times New Roman" w:cs="Times New Roman" w:eastAsia="Times New Roman" w:hint="default"/>
        </w:rPr>
        <w:t>790</w:t>
      </w:r>
      <w:r>
        <w:rPr>
          <w:rFonts w:ascii="Times New Roman" w:hAnsi="Times New Roman" w:cs="Times New Roman" w:eastAsia="Times New Roman" w:hint="default"/>
          <w:spacing w:val="-2"/>
        </w:rPr>
        <w:t> </w:t>
      </w:r>
      <w:r>
        <w:rPr/>
        <w:t>亿元左右，行业前景广阔。</w:t>
      </w:r>
    </w:p>
    <w:p>
      <w:pPr>
        <w:spacing w:line="240" w:lineRule="auto" w:before="9"/>
        <w:rPr>
          <w:rFonts w:ascii="宋体" w:hAnsi="宋体" w:cs="宋体" w:eastAsia="宋体" w:hint="default"/>
          <w:sz w:val="12"/>
          <w:szCs w:val="12"/>
        </w:rPr>
      </w:pPr>
    </w:p>
    <w:p>
      <w:pPr>
        <w:spacing w:line="4530" w:lineRule="exact"/>
        <w:ind w:left="1737" w:right="0" w:firstLine="0"/>
        <w:rPr>
          <w:rFonts w:ascii="宋体" w:hAnsi="宋体" w:cs="宋体" w:eastAsia="宋体" w:hint="default"/>
          <w:sz w:val="20"/>
          <w:szCs w:val="20"/>
        </w:rPr>
      </w:pPr>
      <w:r>
        <w:rPr>
          <w:rFonts w:ascii="宋体" w:hAnsi="宋体" w:cs="宋体" w:eastAsia="宋体" w:hint="default"/>
          <w:position w:val="-90"/>
          <w:sz w:val="20"/>
          <w:szCs w:val="20"/>
        </w:rPr>
        <w:drawing>
          <wp:inline distT="0" distB="0" distL="0" distR="0">
            <wp:extent cx="4362056" cy="2876550"/>
            <wp:effectExtent l="0" t="0" r="0" b="0"/>
            <wp:docPr id="17" name="image10.png" descr=""/>
            <wp:cNvGraphicFramePr>
              <a:graphicFrameLocks noChangeAspect="1"/>
            </wp:cNvGraphicFramePr>
            <a:graphic>
              <a:graphicData uri="http://schemas.openxmlformats.org/drawingml/2006/picture">
                <pic:pic>
                  <pic:nvPicPr>
                    <pic:cNvPr id="18" name="image10.png"/>
                    <pic:cNvPicPr/>
                  </pic:nvPicPr>
                  <pic:blipFill>
                    <a:blip r:embed="rId24" cstate="print"/>
                    <a:stretch>
                      <a:fillRect/>
                    </a:stretch>
                  </pic:blipFill>
                  <pic:spPr>
                    <a:xfrm>
                      <a:off x="0" y="0"/>
                      <a:ext cx="4362056" cy="2876550"/>
                    </a:xfrm>
                    <a:prstGeom prst="rect">
                      <a:avLst/>
                    </a:prstGeom>
                  </pic:spPr>
                </pic:pic>
              </a:graphicData>
            </a:graphic>
          </wp:inline>
        </w:drawing>
      </w:r>
      <w:r>
        <w:rPr>
          <w:rFonts w:ascii="宋体" w:hAnsi="宋体" w:cs="宋体" w:eastAsia="宋体" w:hint="default"/>
          <w:position w:val="-90"/>
          <w:sz w:val="20"/>
          <w:szCs w:val="20"/>
        </w:rPr>
      </w:r>
    </w:p>
    <w:p>
      <w:pPr>
        <w:pStyle w:val="BodyText"/>
        <w:spacing w:line="360" w:lineRule="auto" w:before="125"/>
        <w:ind w:left="472" w:right="1214" w:firstLine="60"/>
        <w:jc w:val="left"/>
        <w:rPr>
          <w:rFonts w:ascii="Times New Roman" w:hAnsi="Times New Roman" w:cs="Times New Roman" w:eastAsia="Times New Roman" w:hint="default"/>
        </w:rPr>
      </w:pPr>
      <w:bookmarkStart w:name="（二）公司所处行业地位" w:id="29"/>
      <w:bookmarkEnd w:id="29"/>
      <w:r>
        <w:rPr/>
      </w:r>
      <w:r>
        <w:rPr>
          <w:rFonts w:ascii="宋体" w:hAnsi="宋体" w:cs="宋体" w:eastAsia="宋体" w:hint="default"/>
          <w:b/>
          <w:bCs/>
        </w:rPr>
        <w:t>（二）公司所处行业地位</w:t>
      </w:r>
      <w:r>
        <w:rPr>
          <w:rFonts w:ascii="宋体" w:hAnsi="宋体" w:cs="宋体" w:eastAsia="宋体" w:hint="default"/>
          <w:b/>
          <w:bCs/>
          <w:w w:val="99"/>
        </w:rPr>
        <w:t> </w:t>
      </w:r>
      <w:r>
        <w:rPr/>
        <w:t>在医疗卫生信息化领域跻身行业前列，随着公司的不断发展，其市场地位也在不断的巩固和加强。截至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p>
    <w:p>
      <w:pPr>
        <w:pStyle w:val="BodyText"/>
        <w:spacing w:line="212" w:lineRule="exact"/>
        <w:ind w:right="0"/>
        <w:jc w:val="left"/>
      </w:pPr>
      <w:r>
        <w:rPr/>
        <w:t>日，公司全国客户数量达</w:t>
      </w:r>
      <w:r>
        <w:rPr>
          <w:rFonts w:ascii="Times New Roman" w:hAnsi="Times New Roman" w:cs="Times New Roman" w:eastAsia="Times New Roman" w:hint="default"/>
        </w:rPr>
        <w:t>6000</w:t>
      </w:r>
      <w:r>
        <w:rPr/>
        <w:t>多家，先后承担了国家电子发展基金项目等</w:t>
      </w:r>
      <w:r>
        <w:rPr>
          <w:rFonts w:ascii="Times New Roman" w:hAnsi="Times New Roman" w:cs="Times New Roman" w:eastAsia="Times New Roman" w:hint="default"/>
        </w:rPr>
        <w:t>40</w:t>
      </w:r>
      <w:r>
        <w:rPr/>
        <w:t>多项国家、省、市级重大技术研发项目，已累计</w:t>
      </w:r>
    </w:p>
    <w:p>
      <w:pPr>
        <w:pStyle w:val="BodyText"/>
        <w:spacing w:line="300" w:lineRule="auto" w:before="63"/>
        <w:ind w:right="1169"/>
        <w:jc w:val="left"/>
      </w:pPr>
      <w:r>
        <w:rPr/>
        <w:t>实施</w:t>
      </w:r>
      <w:r>
        <w:rPr>
          <w:rFonts w:ascii="Times New Roman" w:hAnsi="Times New Roman" w:cs="Times New Roman" w:eastAsia="Times New Roman" w:hint="default"/>
        </w:rPr>
        <w:t>1</w:t>
      </w:r>
      <w:r>
        <w:rPr/>
        <w:t>万多个医疗卫生信息化建设项目，公共卫生项目遍及全国</w:t>
      </w:r>
      <w:r>
        <w:rPr>
          <w:rFonts w:ascii="Times New Roman" w:hAnsi="Times New Roman" w:cs="Times New Roman" w:eastAsia="Times New Roman" w:hint="default"/>
        </w:rPr>
        <w:t>340</w:t>
      </w:r>
      <w:r>
        <w:rPr/>
        <w:t>多个区县，积累超过</w:t>
      </w:r>
      <w:r>
        <w:rPr>
          <w:rFonts w:ascii="Times New Roman" w:hAnsi="Times New Roman" w:cs="Times New Roman" w:eastAsia="Times New Roman" w:hint="default"/>
        </w:rPr>
        <w:t>2.5</w:t>
      </w:r>
      <w:r>
        <w:rPr/>
        <w:t>亿份居民健康档案，经第三方统 计</w:t>
      </w:r>
      <w:r>
        <w:rPr>
          <w:rFonts w:ascii="Times New Roman" w:hAnsi="Times New Roman" w:cs="Times New Roman" w:eastAsia="Times New Roman" w:hint="default"/>
        </w:rPr>
        <w:t>2018</w:t>
      </w:r>
      <w:r>
        <w:rPr/>
        <w:t>年公司医疗信息化项目中标金额居行业首位，处于医疗卫生信息化行业第一梯队。</w:t>
      </w:r>
    </w:p>
    <w:p>
      <w:pPr>
        <w:spacing w:line="240" w:lineRule="auto" w:before="3"/>
        <w:rPr>
          <w:rFonts w:ascii="宋体" w:hAnsi="宋体" w:cs="宋体" w:eastAsia="宋体" w:hint="default"/>
          <w:sz w:val="20"/>
          <w:szCs w:val="20"/>
        </w:rPr>
      </w:pPr>
    </w:p>
    <w:p>
      <w:pPr>
        <w:pStyle w:val="Heading2"/>
        <w:spacing w:line="240" w:lineRule="auto"/>
        <w:ind w:right="0"/>
        <w:jc w:val="left"/>
        <w:rPr>
          <w:b w:val="0"/>
          <w:bCs w:val="0"/>
        </w:rPr>
      </w:pPr>
      <w:bookmarkStart w:name="二、主要资产重大变化情况" w:id="30"/>
      <w:bookmarkEnd w:id="30"/>
      <w:r>
        <w:rPr>
          <w:b w:val="0"/>
          <w:bCs w:val="0"/>
        </w:rPr>
      </w:r>
      <w:r>
        <w:rPr/>
        <w:t>二、主要资产重大变化情况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主要资产重大变化情况" w:id="31"/>
      <w:bookmarkEnd w:id="31"/>
      <w:r>
        <w:rPr>
          <w:b w:val="0"/>
          <w:bCs w:val="0"/>
        </w:rPr>
      </w:r>
      <w:r>
        <w:rPr>
          <w:rFonts w:ascii="Times New Roman" w:hAnsi="Times New Roman" w:cs="Times New Roman" w:eastAsia="Times New Roman" w:hint="default"/>
        </w:rPr>
        <w:t>1</w:t>
      </w:r>
      <w:r>
        <w:rPr/>
        <w:t>、主要资产重大变化情况</w:t>
      </w:r>
      <w:r>
        <w:rPr>
          <w:b w:val="0"/>
          <w:bCs w:val="0"/>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051"/>
        <w:gridCol w:w="6517"/>
      </w:tblGrid>
      <w:tr>
        <w:trPr>
          <w:trHeight w:val="402" w:hRule="exact"/>
        </w:trPr>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65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714" w:hRule="exact"/>
        </w:trPr>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0"/>
              <w:ind w:left="103" w:right="101"/>
              <w:jc w:val="left"/>
              <w:rPr>
                <w:rFonts w:ascii="宋体" w:hAnsi="宋体" w:cs="宋体" w:eastAsia="宋体" w:hint="default"/>
                <w:sz w:val="18"/>
                <w:szCs w:val="18"/>
              </w:rPr>
            </w:pPr>
            <w:r>
              <w:rPr>
                <w:rFonts w:ascii="宋体" w:hAnsi="宋体" w:cs="宋体" w:eastAsia="宋体" w:hint="default"/>
                <w:sz w:val="18"/>
                <w:szCs w:val="18"/>
              </w:rPr>
              <w:t>股权资产较年初增加</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8,462.21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万元，主要系本期新投资舟山创融投资管理合伙企 </w:t>
            </w:r>
            <w:r>
              <w:rPr>
                <w:rFonts w:ascii="宋体" w:hAnsi="宋体" w:cs="宋体" w:eastAsia="宋体" w:hint="default"/>
                <w:spacing w:val="-3"/>
                <w:sz w:val="18"/>
                <w:szCs w:val="18"/>
              </w:rPr>
              <w:t>业（有限合伙）、杭州安丰创健创业投资合伙企业（有限合伙）等单位所致。</w:t>
            </w:r>
          </w:p>
        </w:tc>
      </w:tr>
      <w:tr>
        <w:trPr>
          <w:trHeight w:val="402" w:hRule="exact"/>
        </w:trPr>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未发生重大变化</w:t>
            </w:r>
          </w:p>
        </w:tc>
      </w:tr>
      <w:tr>
        <w:trPr>
          <w:trHeight w:val="712" w:hRule="exact"/>
        </w:trPr>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0"/>
              <w:ind w:left="103" w:right="147"/>
              <w:jc w:val="left"/>
              <w:rPr>
                <w:rFonts w:ascii="宋体" w:hAnsi="宋体" w:cs="宋体" w:eastAsia="宋体" w:hint="default"/>
                <w:sz w:val="18"/>
                <w:szCs w:val="18"/>
              </w:rPr>
            </w:pPr>
            <w:r>
              <w:rPr>
                <w:rFonts w:ascii="宋体" w:hAnsi="宋体" w:cs="宋体" w:eastAsia="宋体" w:hint="default"/>
                <w:sz w:val="18"/>
                <w:szCs w:val="18"/>
              </w:rPr>
              <w:t>无形资产较年初增加</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3050.84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万元，主要系本期自研项目开发完成结转无形资产 所致。</w:t>
            </w:r>
          </w:p>
        </w:tc>
      </w:tr>
    </w:tbl>
    <w:p>
      <w:pPr>
        <w:spacing w:after="0" w:line="300"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1"/>
        <w:rPr>
          <w:rFonts w:ascii="宋体" w:hAnsi="宋体" w:cs="宋体" w:eastAsia="宋体" w:hint="default"/>
          <w:b/>
          <w:bCs/>
          <w:sz w:val="25"/>
          <w:szCs w:val="25"/>
        </w:rPr>
      </w:pPr>
    </w:p>
    <w:p>
      <w:pPr>
        <w:spacing w:line="728" w:lineRule="exact"/>
        <w:ind w:left="104" w:right="0" w:firstLine="0"/>
        <w:rPr>
          <w:rFonts w:ascii="宋体" w:hAnsi="宋体" w:cs="宋体" w:eastAsia="宋体" w:hint="default"/>
          <w:sz w:val="20"/>
          <w:szCs w:val="20"/>
        </w:rPr>
      </w:pPr>
      <w:r>
        <w:rPr>
          <w:rFonts w:ascii="宋体" w:hAnsi="宋体" w:cs="宋体" w:eastAsia="宋体" w:hint="default"/>
          <w:position w:val="-14"/>
          <w:sz w:val="20"/>
          <w:szCs w:val="20"/>
        </w:rPr>
        <w:pict>
          <v:group style="width:479.4pt;height:36.450pt;mso-position-horizontal-relative:char;mso-position-vertical-relative:line" coordorigin="0,0" coordsize="9588,729">
            <v:group style="position:absolute;left:13;top:13;width:3046;height:709" coordorigin="13,13" coordsize="3046,709">
              <v:shape style="position:absolute;left:13;top:13;width:3046;height:709" coordorigin="13,13" coordsize="3046,709" path="m13,13l3059,13,3059,722,13,722,13,13xe" filled="true" fillcolor="#d2d2d2"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724;width:9578;height:2" coordorigin="5,724" coordsize="9578,2">
              <v:shape style="position:absolute;left:5;top:724;width:9578;height:2" coordorigin="5,724" coordsize="9578,0" path="m5,724l9582,724e" filled="false" stroked="true" strokeweight=".48pt" strokecolor="#000000">
                <v:path arrowok="t"/>
              </v:shape>
            </v:group>
            <v:group style="position:absolute;left:10;top:5;width:2;height:714" coordorigin="10,5" coordsize="2,714">
              <v:shape style="position:absolute;left:10;top:5;width:2;height:714" coordorigin="10,5" coordsize="0,714" path="m10,5l10,719e" filled="false" stroked="true" strokeweight=".48pt" strokecolor="#000000">
                <v:path arrowok="t"/>
              </v:shape>
            </v:group>
            <v:group style="position:absolute;left:3061;top:5;width:2;height:714" coordorigin="3061,5" coordsize="2,714">
              <v:shape style="position:absolute;left:3061;top:5;width:2;height:714" coordorigin="3061,5" coordsize="0,714" path="m3061,5l3061,719e" filled="false" stroked="true" strokeweight=".48pt" strokecolor="#000000">
                <v:path arrowok="t"/>
              </v:shape>
            </v:group>
            <v:group style="position:absolute;left:9578;top:5;width:2;height:714" coordorigin="9578,5" coordsize="2,714">
              <v:shape style="position:absolute;left:9578;top:5;width:2;height:714" coordorigin="9578,5" coordsize="0,714" path="m9578,5l9578,719e" filled="false" stroked="true" strokeweight=".48pt" strokecolor="#000000">
                <v:path arrowok="t"/>
              </v:shape>
              <v:shape style="position:absolute;left:10;top:10;width:3051;height:714" type="#_x0000_t202" filled="false" stroked="false">
                <v:textbox inset="0,0,0,0">
                  <w:txbxContent>
                    <w:p>
                      <w:pPr>
                        <w:spacing w:line="240" w:lineRule="auto" w:before="1"/>
                        <w:rPr>
                          <w:rFonts w:ascii="宋体" w:hAnsi="宋体" w:cs="宋体" w:eastAsia="宋体" w:hint="default"/>
                          <w:b/>
                          <w:bCs/>
                          <w:sz w:val="16"/>
                          <w:szCs w:val="16"/>
                        </w:rPr>
                      </w:pPr>
                    </w:p>
                    <w:p>
                      <w:pPr>
                        <w:spacing w:before="0"/>
                        <w:ind w:left="106" w:right="0" w:firstLine="0"/>
                        <w:jc w:val="left"/>
                        <w:rPr>
                          <w:rFonts w:ascii="宋体" w:hAnsi="宋体" w:cs="宋体" w:eastAsia="宋体" w:hint="default"/>
                          <w:sz w:val="18"/>
                          <w:szCs w:val="18"/>
                        </w:rPr>
                      </w:pPr>
                      <w:r>
                        <w:rPr>
                          <w:rFonts w:ascii="宋体" w:hAnsi="宋体" w:cs="宋体" w:eastAsia="宋体" w:hint="default"/>
                          <w:sz w:val="18"/>
                          <w:szCs w:val="18"/>
                        </w:rPr>
                        <w:t>在建工程</w:t>
                      </w:r>
                    </w:p>
                  </w:txbxContent>
                </v:textbox>
                <w10:wrap type="none"/>
              </v:shape>
              <v:shape style="position:absolute;left:3061;top:10;width:6517;height:714" type="#_x0000_t202" filled="false" stroked="false">
                <v:textbox inset="0,0,0,0">
                  <w:txbxContent>
                    <w:p>
                      <w:pPr>
                        <w:spacing w:line="300" w:lineRule="auto" w:before="54"/>
                        <w:ind w:left="108" w:right="106" w:firstLine="0"/>
                        <w:jc w:val="left"/>
                        <w:rPr>
                          <w:rFonts w:ascii="宋体" w:hAnsi="宋体" w:cs="宋体" w:eastAsia="宋体" w:hint="default"/>
                          <w:sz w:val="18"/>
                          <w:szCs w:val="18"/>
                        </w:rPr>
                      </w:pPr>
                      <w:r>
                        <w:rPr>
                          <w:rFonts w:ascii="宋体" w:hAnsi="宋体" w:cs="宋体" w:eastAsia="宋体" w:hint="default"/>
                          <w:sz w:val="18"/>
                          <w:szCs w:val="18"/>
                        </w:rPr>
                        <w:t>在建工程较年初增加</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2,443.30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万元，主要系中山市区域卫生信息平台建设运营项 目投入增加所致。</w:t>
                      </w:r>
                    </w:p>
                  </w:txbxContent>
                </v:textbox>
                <w10:wrap type="none"/>
              </v:shape>
            </v:group>
          </v:group>
        </w:pict>
      </w:r>
      <w:r>
        <w:rPr>
          <w:rFonts w:ascii="宋体" w:hAnsi="宋体" w:cs="宋体" w:eastAsia="宋体" w:hint="default"/>
          <w:position w:val="-14"/>
          <w:sz w:val="20"/>
          <w:szCs w:val="20"/>
        </w:rPr>
      </w:r>
    </w:p>
    <w:p>
      <w:pPr>
        <w:spacing w:line="240" w:lineRule="auto" w:before="5"/>
        <w:rPr>
          <w:rFonts w:ascii="宋体" w:hAnsi="宋体" w:cs="宋体" w:eastAsia="宋体" w:hint="default"/>
          <w:b/>
          <w:bCs/>
          <w:sz w:val="19"/>
          <w:szCs w:val="19"/>
        </w:rPr>
      </w:pPr>
    </w:p>
    <w:p>
      <w:pPr>
        <w:pStyle w:val="Heading3"/>
        <w:spacing w:line="240" w:lineRule="auto" w:before="34"/>
        <w:ind w:right="0"/>
        <w:jc w:val="left"/>
        <w:rPr>
          <w:b w:val="0"/>
          <w:bCs w:val="0"/>
        </w:rPr>
      </w:pPr>
      <w:bookmarkStart w:name="2、主要境外资产情况" w:id="32"/>
      <w:bookmarkEnd w:id="32"/>
      <w:r>
        <w:rPr>
          <w:b w:val="0"/>
          <w:bCs w:val="0"/>
        </w:rPr>
      </w:r>
      <w:r>
        <w:rPr>
          <w:rFonts w:ascii="Times New Roman" w:hAnsi="Times New Roman" w:cs="Times New Roman" w:eastAsia="Times New Roman" w:hint="default"/>
        </w:rPr>
        <w:t>2</w:t>
      </w:r>
      <w:r>
        <w:rPr/>
        <w:t>、主要境外资产情况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204" w:right="0"/>
        <w:jc w:val="left"/>
      </w:pPr>
      <w:r>
        <w:rPr/>
        <w:t>□ 适用 √</w:t>
      </w:r>
      <w:r>
        <w:rPr>
          <w:spacing w:val="-3"/>
        </w:rPr>
        <w:t> </w:t>
      </w:r>
      <w:r>
        <w:rPr/>
        <w:t>不适用</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bookmarkStart w:name="三、核心竞争力分析" w:id="33"/>
      <w:bookmarkEnd w:id="33"/>
      <w:r>
        <w:rPr>
          <w:b w:val="0"/>
          <w:bCs w:val="0"/>
        </w:rPr>
      </w:r>
      <w:r>
        <w:rPr/>
        <w:t>三、核心竞争力分析</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7694"/>
        <w:jc w:val="left"/>
      </w:pPr>
      <w:r>
        <w:rPr/>
        <w:t>公司是否需要遵守特殊行业的披露要求 是</w:t>
      </w:r>
    </w:p>
    <w:p>
      <w:pPr>
        <w:pStyle w:val="BodyText"/>
        <w:spacing w:line="240" w:lineRule="auto" w:before="25"/>
        <w:ind w:right="0"/>
        <w:jc w:val="left"/>
      </w:pPr>
      <w:r>
        <w:rPr/>
        <w:t>软件与信息技术服务业</w:t>
      </w:r>
    </w:p>
    <w:p>
      <w:pPr>
        <w:pStyle w:val="BodyText"/>
        <w:spacing w:line="300" w:lineRule="auto" w:before="117"/>
        <w:ind w:left="472" w:right="0"/>
        <w:jc w:val="left"/>
      </w:pPr>
      <w:r>
        <w:rPr>
          <w:rFonts w:ascii="Times New Roman" w:hAnsi="Times New Roman" w:cs="Times New Roman" w:eastAsia="Times New Roman" w:hint="default"/>
        </w:rPr>
        <w:t>1</w:t>
      </w:r>
      <w:r>
        <w:rPr/>
        <w:t>、领先的行业地位和丰富的行业经验 </w:t>
      </w:r>
      <w:r>
        <w:rPr>
          <w:spacing w:val="-2"/>
        </w:rPr>
        <w:t>公司成立于</w:t>
      </w:r>
      <w:r>
        <w:rPr>
          <w:rFonts w:ascii="Times New Roman" w:hAnsi="Times New Roman" w:cs="Times New Roman" w:eastAsia="Times New Roman" w:hint="default"/>
          <w:spacing w:val="-2"/>
        </w:rPr>
        <w:t>1997</w:t>
      </w:r>
      <w:r>
        <w:rPr>
          <w:spacing w:val="-2"/>
        </w:rPr>
        <w:t>年是国内较早进入医疗卫生信息化的软件供应商之一，成立至今一直专注于医疗卫生信息化领域，以智</w:t>
      </w:r>
    </w:p>
    <w:p>
      <w:pPr>
        <w:pStyle w:val="BodyText"/>
        <w:spacing w:line="300" w:lineRule="auto" w:before="13"/>
        <w:ind w:right="0"/>
        <w:jc w:val="left"/>
      </w:pPr>
      <w:r>
        <w:rPr>
          <w:spacing w:val="-2"/>
        </w:rPr>
        <w:t>慧医疗、区域卫生、健康城市为主要发展方向。目前累计实施了</w:t>
      </w:r>
      <w:r>
        <w:rPr>
          <w:rFonts w:ascii="Times New Roman" w:hAnsi="Times New Roman" w:cs="Times New Roman" w:eastAsia="Times New Roman" w:hint="default"/>
          <w:spacing w:val="-2"/>
        </w:rPr>
        <w:t>1</w:t>
      </w:r>
      <w:r>
        <w:rPr>
          <w:spacing w:val="-2"/>
        </w:rPr>
        <w:t>万多个医疗卫生信息化建设项目，行业用户数量</w:t>
      </w:r>
      <w:r>
        <w:rPr>
          <w:rFonts w:ascii="Times New Roman" w:hAnsi="Times New Roman" w:cs="Times New Roman" w:eastAsia="Times New Roman" w:hint="default"/>
          <w:spacing w:val="-2"/>
        </w:rPr>
        <w:t>6000</w:t>
      </w:r>
      <w:r>
        <w:rPr>
          <w:spacing w:val="-2"/>
        </w:rPr>
        <w:t>多家，</w:t>
      </w:r>
      <w:r>
        <w:rPr>
          <w:spacing w:val="-62"/>
        </w:rPr>
        <w:t> </w:t>
      </w:r>
      <w:r>
        <w:rPr/>
        <w:t>公共卫生项目遍及全国</w:t>
      </w:r>
      <w:r>
        <w:rPr>
          <w:rFonts w:ascii="Times New Roman" w:hAnsi="Times New Roman" w:cs="Times New Roman" w:eastAsia="Times New Roman" w:hint="default"/>
        </w:rPr>
        <w:t>340</w:t>
      </w:r>
      <w:r>
        <w:rPr/>
        <w:t>多个区县，积累超过</w:t>
      </w:r>
      <w:r>
        <w:rPr>
          <w:rFonts w:ascii="Times New Roman" w:hAnsi="Times New Roman" w:cs="Times New Roman" w:eastAsia="Times New Roman" w:hint="default"/>
        </w:rPr>
        <w:t>2.5</w:t>
      </w:r>
      <w:r>
        <w:rPr/>
        <w:t>亿份居民健康档案，经第三方统计</w:t>
      </w:r>
      <w:r>
        <w:rPr>
          <w:rFonts w:ascii="Times New Roman" w:hAnsi="Times New Roman" w:cs="Times New Roman" w:eastAsia="Times New Roman" w:hint="default"/>
        </w:rPr>
        <w:t>2018</w:t>
      </w:r>
      <w:r>
        <w:rPr/>
        <w:t>年公司医疗信息化项目中标金额居 行业首位，处于医疗卫生信息化行业第一梯队。</w:t>
      </w:r>
    </w:p>
    <w:p>
      <w:pPr>
        <w:pStyle w:val="BodyText"/>
        <w:spacing w:line="300" w:lineRule="auto" w:before="31"/>
        <w:ind w:left="472" w:right="1124"/>
        <w:jc w:val="left"/>
      </w:pPr>
      <w:r>
        <w:rPr>
          <w:rFonts w:ascii="Times New Roman" w:hAnsi="Times New Roman" w:cs="Times New Roman" w:eastAsia="Times New Roman" w:hint="default"/>
        </w:rPr>
        <w:t>2</w:t>
      </w:r>
      <w:r>
        <w:rPr/>
        <w:t>、先进的技术水平和持续的创新能力 公司拥有成熟的技术体系、较强的自主研发能力，拥有八大系列</w:t>
      </w:r>
      <w:r>
        <w:rPr>
          <w:rFonts w:ascii="Times New Roman" w:hAnsi="Times New Roman" w:cs="Times New Roman" w:eastAsia="Times New Roman" w:hint="default"/>
        </w:rPr>
        <w:t>300</w:t>
      </w:r>
      <w:r>
        <w:rPr/>
        <w:t>多个自主研发产品，全面覆盖智慧医院和区域卫生</w:t>
      </w:r>
    </w:p>
    <w:p>
      <w:pPr>
        <w:pStyle w:val="BodyText"/>
        <w:spacing w:line="309" w:lineRule="auto" w:before="13"/>
        <w:ind w:right="1132"/>
        <w:jc w:val="both"/>
      </w:pPr>
      <w:r>
        <w:rPr>
          <w:spacing w:val="-2"/>
        </w:rPr>
        <w:t>领域，能够满足不同客户的个性化需求。同时，公司结合“健康</w:t>
      </w:r>
      <w:r>
        <w:rPr>
          <w:rFonts w:ascii="Times New Roman" w:hAnsi="Times New Roman" w:cs="Times New Roman" w:eastAsia="Times New Roman" w:hint="default"/>
          <w:spacing w:val="-2"/>
        </w:rPr>
        <w:t>2030</w:t>
      </w:r>
      <w:r>
        <w:rPr>
          <w:spacing w:val="-2"/>
        </w:rPr>
        <w:t>”的新形势，在医疗卫生大数据、大健康服务领域积极</w:t>
      </w:r>
      <w:r>
        <w:rPr>
          <w:spacing w:val="-62"/>
        </w:rPr>
        <w:t> </w:t>
      </w:r>
      <w:r>
        <w:rPr>
          <w:spacing w:val="-62"/>
        </w:rPr>
      </w:r>
      <w:r>
        <w:rPr>
          <w:spacing w:val="-2"/>
        </w:rPr>
        <w:t>布局，利用大数据、人工智能、移动互联、物联网、云计算、区块链等先进技术的支撑，在大数据和人工智能关键技术领域</w:t>
      </w:r>
      <w:r>
        <w:rPr>
          <w:spacing w:val="-64"/>
        </w:rPr>
        <w:t> </w:t>
      </w:r>
      <w:r>
        <w:rPr>
          <w:spacing w:val="-64"/>
        </w:rPr>
      </w:r>
      <w:r>
        <w:rPr/>
        <w:t>持续拓宽产品及服务生态圈，增强企业核心竞争力，拓宽盈利方式。</w:t>
      </w:r>
    </w:p>
    <w:p>
      <w:pPr>
        <w:pStyle w:val="BodyText"/>
        <w:spacing w:line="300" w:lineRule="auto" w:before="24"/>
        <w:ind w:left="472" w:right="0"/>
        <w:jc w:val="left"/>
      </w:pPr>
      <w:r>
        <w:rPr>
          <w:rFonts w:ascii="Times New Roman" w:hAnsi="Times New Roman" w:cs="Times New Roman" w:eastAsia="Times New Roman" w:hint="default"/>
        </w:rPr>
        <w:t>3</w:t>
      </w:r>
      <w:r>
        <w:rPr/>
        <w:t>、具有完善的营销服务网络和稳固的客户资源 </w:t>
      </w:r>
      <w:r>
        <w:rPr>
          <w:spacing w:val="-2"/>
        </w:rPr>
        <w:t>目前，公司服务的行业用户数量</w:t>
      </w:r>
      <w:r>
        <w:rPr>
          <w:rFonts w:ascii="Times New Roman" w:hAnsi="Times New Roman" w:cs="Times New Roman" w:eastAsia="Times New Roman" w:hint="default"/>
          <w:spacing w:val="-2"/>
        </w:rPr>
        <w:t>6000</w:t>
      </w:r>
      <w:r>
        <w:rPr>
          <w:spacing w:val="-2"/>
        </w:rPr>
        <w:t>多家，市场占有率居于行业领先地位。公司一直秉承“服务用户、共同进步”的经</w:t>
      </w:r>
    </w:p>
    <w:p>
      <w:pPr>
        <w:pStyle w:val="BodyText"/>
        <w:spacing w:line="300" w:lineRule="auto" w:before="13"/>
        <w:ind w:right="1141"/>
        <w:jc w:val="both"/>
      </w:pPr>
      <w:r>
        <w:rPr/>
        <w:t>营理念，致力于产品和服务的市场品牌建设和推广，注重营销团队的建设和营销网络的建设。目前在全国设有</w:t>
      </w:r>
      <w:r>
        <w:rPr>
          <w:rFonts w:ascii="Times New Roman" w:hAnsi="Times New Roman" w:cs="Times New Roman" w:eastAsia="Times New Roman" w:hint="default"/>
        </w:rPr>
        <w:t>7</w:t>
      </w:r>
      <w:r>
        <w:rPr/>
        <w:t>个大区市场 </w:t>
      </w:r>
      <w:r>
        <w:rPr>
          <w:spacing w:val="-2"/>
        </w:rPr>
        <w:t>营销服务中心及</w:t>
      </w:r>
      <w:r>
        <w:rPr>
          <w:rFonts w:ascii="Times New Roman" w:hAnsi="Times New Roman" w:cs="Times New Roman" w:eastAsia="Times New Roman" w:hint="default"/>
          <w:spacing w:val="-2"/>
        </w:rPr>
        <w:t>15</w:t>
      </w:r>
      <w:r>
        <w:rPr>
          <w:spacing w:val="-2"/>
        </w:rPr>
        <w:t>个省级营销服务中心，覆盖全国</w:t>
      </w:r>
      <w:r>
        <w:rPr>
          <w:rFonts w:ascii="Times New Roman" w:hAnsi="Times New Roman" w:cs="Times New Roman" w:eastAsia="Times New Roman" w:hint="default"/>
          <w:spacing w:val="-2"/>
        </w:rPr>
        <w:t>30</w:t>
      </w:r>
      <w:r>
        <w:rPr>
          <w:spacing w:val="-2"/>
        </w:rPr>
        <w:t>个省（市）、自治区，并在全国范围内通过信息化手段，实现了与客户</w:t>
      </w:r>
      <w:r>
        <w:rPr>
          <w:spacing w:val="-69"/>
        </w:rPr>
        <w:t> </w:t>
      </w:r>
      <w:r>
        <w:rPr>
          <w:spacing w:val="-69"/>
        </w:rPr>
      </w:r>
      <w:r>
        <w:rPr/>
        <w:t>之间的及时沟通并提供贴心的本地化服务，为公司业务持续快速增长奠定了良好的基础。</w:t>
      </w:r>
    </w:p>
    <w:p>
      <w:pPr>
        <w:pStyle w:val="BodyText"/>
        <w:spacing w:line="300" w:lineRule="auto" w:before="31"/>
        <w:ind w:left="472" w:right="0"/>
        <w:jc w:val="left"/>
      </w:pPr>
      <w:r>
        <w:rPr>
          <w:rFonts w:ascii="Times New Roman" w:hAnsi="Times New Roman" w:cs="Times New Roman" w:eastAsia="Times New Roman" w:hint="default"/>
        </w:rPr>
        <w:t>4</w:t>
      </w:r>
      <w:r>
        <w:rPr/>
        <w:t>、具有创新和谐的企业文化和高素质人才优势 </w:t>
      </w:r>
      <w:r>
        <w:rPr>
          <w:spacing w:val="-2"/>
        </w:rPr>
        <w:t>多年来，公司致力于培育和谐的企业文化，提倡“让员工干自己最愿意干的工作，让员工干自己最具特长的工作，实现</w:t>
      </w:r>
    </w:p>
    <w:p>
      <w:pPr>
        <w:pStyle w:val="BodyText"/>
        <w:spacing w:line="309" w:lineRule="auto" w:before="31"/>
        <w:ind w:right="1034"/>
        <w:jc w:val="left"/>
      </w:pPr>
      <w:r>
        <w:rPr>
          <w:spacing w:val="-2"/>
        </w:rPr>
        <w:t>个人价值最大化和公司价值最大化”。围绕建设中国一流软件企业的发展目标，公司积极开展研究院的建设工作，除在总部</w:t>
      </w:r>
      <w:r>
        <w:rPr>
          <w:spacing w:val="-71"/>
        </w:rPr>
        <w:t> </w:t>
      </w:r>
      <w:r>
        <w:rPr>
          <w:spacing w:val="-71"/>
        </w:rPr>
      </w:r>
      <w:r>
        <w:rPr>
          <w:spacing w:val="-2"/>
        </w:rPr>
        <w:t>杭州外，还在上海、北京、深圳、武汉设立了四个研究院，逐渐拥有了一支高素质的管理团队和优秀的技术团队，整体技术</w:t>
      </w:r>
      <w:r>
        <w:rPr>
          <w:spacing w:val="-66"/>
        </w:rPr>
        <w:t> </w:t>
      </w:r>
      <w:r>
        <w:rPr>
          <w:spacing w:val="-66"/>
        </w:rPr>
      </w:r>
      <w:r>
        <w:rPr>
          <w:spacing w:val="-4"/>
        </w:rPr>
        <w:t>水平与创新能力居行业前列。除此之后，公司注重与外部机构的科研合作，</w:t>
      </w:r>
      <w:r>
        <w:rPr>
          <w:rFonts w:ascii="Times New Roman" w:hAnsi="Times New Roman" w:cs="Times New Roman" w:eastAsia="Times New Roman" w:hint="default"/>
          <w:spacing w:val="-4"/>
        </w:rPr>
        <w:t>2015</w:t>
      </w:r>
      <w:r>
        <w:rPr>
          <w:spacing w:val="-4"/>
        </w:rPr>
        <w:t>年成立创业软件浙大智慧医疗大数据研究院；</w:t>
      </w:r>
      <w:r>
        <w:rPr>
          <w:spacing w:val="-36"/>
        </w:rPr>
        <w:t> </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12</w:t>
      </w:r>
      <w:r>
        <w:rPr>
          <w:spacing w:val="-2"/>
        </w:rPr>
        <w:t>月，公司获批设立“浙江省博士后工作站”，与浙江大学等省内外高校逐步建立和完善联合培养博士后研究人员的</w:t>
      </w:r>
      <w:r>
        <w:rPr>
          <w:spacing w:val="-68"/>
        </w:rPr>
        <w:t> </w:t>
      </w:r>
      <w:r>
        <w:rPr>
          <w:spacing w:val="-68"/>
        </w:rPr>
      </w:r>
      <w:r>
        <w:rPr/>
        <w:t>合作机制。</w:t>
      </w:r>
    </w:p>
    <w:p>
      <w:pPr>
        <w:pStyle w:val="BodyText"/>
        <w:spacing w:line="300" w:lineRule="auto" w:before="24"/>
        <w:ind w:left="472" w:right="1128"/>
        <w:jc w:val="left"/>
      </w:pPr>
      <w:r>
        <w:rPr>
          <w:rFonts w:ascii="Times New Roman" w:hAnsi="Times New Roman" w:cs="Times New Roman" w:eastAsia="Times New Roman" w:hint="default"/>
        </w:rPr>
        <w:t>5</w:t>
      </w:r>
      <w:r>
        <w:rPr/>
        <w:t>、具有良好的品牌形象和高等级的专业资质优势 </w:t>
      </w:r>
      <w:r>
        <w:rPr>
          <w:spacing w:val="-9"/>
          <w:w w:val="99"/>
        </w:rPr>
        <w:t>公司已取得了“软件能力成熟度模型集成五级（</w:t>
      </w:r>
      <w:r>
        <w:rPr>
          <w:rFonts w:ascii="Times New Roman" w:hAnsi="Times New Roman" w:cs="Times New Roman" w:eastAsia="Times New Roman" w:hint="default"/>
          <w:spacing w:val="-9"/>
          <w:w w:val="99"/>
        </w:rPr>
        <w:t>CMMI5</w:t>
      </w:r>
      <w:r>
        <w:rPr>
          <w:spacing w:val="-9"/>
          <w:w w:val="99"/>
        </w:rPr>
        <w:t>）”、“国家火炬计划重点高新技术企业”、“计算机信息系统集成</w:t>
      </w:r>
      <w:r>
        <w:rPr>
          <w:spacing w:val="-9"/>
        </w:rPr>
      </w:r>
    </w:p>
    <w:p>
      <w:pPr>
        <w:pStyle w:val="BodyText"/>
        <w:spacing w:line="307" w:lineRule="auto" w:before="13"/>
        <w:ind w:right="1129"/>
        <w:jc w:val="left"/>
      </w:pPr>
      <w:r>
        <w:rPr>
          <w:spacing w:val="-5"/>
        </w:rPr>
        <w:t>壹级资质”、“建筑智能化工程设计与施工壹级资质”、安全生产许可证、医疗器械产品经营企业许可证、医疗器械生产企业</w:t>
      </w:r>
      <w:r>
        <w:rPr>
          <w:spacing w:val="-85"/>
        </w:rPr>
        <w:t> </w:t>
      </w:r>
      <w:r>
        <w:rPr>
          <w:spacing w:val="-85"/>
        </w:rPr>
      </w:r>
      <w:r>
        <w:rPr>
          <w:spacing w:val="-2"/>
        </w:rPr>
        <w:t>许可证等含金量较高的行业资质证书，使公司在激烈的市场竞争中占有独特的比较优势。报告期内，公司被评为“</w:t>
      </w:r>
      <w:r>
        <w:rPr>
          <w:rFonts w:ascii="Times New Roman" w:hAnsi="Times New Roman" w:cs="Times New Roman" w:eastAsia="Times New Roman" w:hint="default"/>
          <w:spacing w:val="-2"/>
        </w:rPr>
        <w:t>2018</w:t>
      </w:r>
      <w:r>
        <w:rPr>
          <w:spacing w:val="-2"/>
        </w:rPr>
        <w:t>年度</w:t>
      </w:r>
      <w:r>
        <w:rPr>
          <w:spacing w:val="-64"/>
        </w:rPr>
        <w:t> </w:t>
      </w:r>
      <w:r>
        <w:rPr>
          <w:spacing w:val="-7"/>
        </w:rPr>
        <w:t>浙江省软件行业成长型百强企业”、“</w:t>
      </w:r>
      <w:r>
        <w:rPr>
          <w:rFonts w:ascii="Times New Roman" w:hAnsi="Times New Roman" w:cs="Times New Roman" w:eastAsia="Times New Roman" w:hint="default"/>
          <w:spacing w:val="-7"/>
        </w:rPr>
        <w:t>2018</w:t>
      </w:r>
      <w:r>
        <w:rPr>
          <w:spacing w:val="-7"/>
        </w:rPr>
        <w:t>浙江省物联网年度产品及科技创新奖”、“</w:t>
      </w:r>
      <w:r>
        <w:rPr>
          <w:rFonts w:ascii="Times New Roman" w:hAnsi="Times New Roman" w:cs="Times New Roman" w:eastAsia="Times New Roman" w:hint="default"/>
          <w:spacing w:val="-7"/>
        </w:rPr>
        <w:t>2018</w:t>
      </w:r>
      <w:r>
        <w:rPr>
          <w:spacing w:val="-7"/>
        </w:rPr>
        <w:t>年浙江省电子信息产业百家重点企</w:t>
      </w:r>
      <w:r>
        <w:rPr>
          <w:spacing w:val="-43"/>
        </w:rPr>
        <w:t> </w:t>
      </w:r>
      <w:r>
        <w:rPr>
          <w:spacing w:val="-30"/>
        </w:rPr>
        <w:t>业”。</w:t>
      </w:r>
    </w:p>
    <w:p>
      <w:pPr>
        <w:pStyle w:val="BodyText"/>
        <w:spacing w:line="240" w:lineRule="auto" w:before="26"/>
        <w:ind w:left="472" w:right="0"/>
        <w:jc w:val="left"/>
      </w:pPr>
      <w:r>
        <w:rPr/>
        <w:t>报告期内，公司核心竞争力未发生重大变化。</w:t>
      </w:r>
    </w:p>
    <w:p>
      <w:pPr>
        <w:spacing w:after="0" w:line="240" w:lineRule="auto"/>
        <w:jc w:val="left"/>
        <w:sectPr>
          <w:pgSz w:w="11910" w:h="16840"/>
          <w:pgMar w:header="907" w:footer="1016"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0"/>
          <w:szCs w:val="20"/>
        </w:rPr>
      </w:pPr>
    </w:p>
    <w:p>
      <w:pPr>
        <w:pStyle w:val="Heading1"/>
        <w:spacing w:line="240" w:lineRule="auto"/>
        <w:ind w:left="3007" w:right="0"/>
        <w:jc w:val="left"/>
        <w:rPr>
          <w:b w:val="0"/>
          <w:bCs w:val="0"/>
        </w:rPr>
      </w:pPr>
      <w:bookmarkStart w:name="第四节经营情况讨论与分析" w:id="34"/>
      <w:bookmarkEnd w:id="34"/>
      <w:r>
        <w:rPr>
          <w:b w:val="0"/>
          <w:bCs w:val="0"/>
        </w:rPr>
      </w:r>
      <w:bookmarkStart w:name="_bookmark2" w:id="35"/>
      <w:bookmarkEnd w:id="35"/>
      <w:r>
        <w:rPr>
          <w:b w:val="0"/>
          <w:bCs w:val="0"/>
        </w:rPr>
      </w:r>
      <w:r>
        <w:rPr/>
        <w:t>第四节经营情况讨论与分析</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pStyle w:val="Heading2"/>
        <w:spacing w:line="240" w:lineRule="auto" w:before="26"/>
        <w:ind w:right="0"/>
        <w:jc w:val="left"/>
        <w:rPr>
          <w:b w:val="0"/>
          <w:bCs w:val="0"/>
        </w:rPr>
      </w:pPr>
      <w:bookmarkStart w:name="一、概述" w:id="36"/>
      <w:bookmarkEnd w:id="36"/>
      <w:r>
        <w:rPr>
          <w:b w:val="0"/>
          <w:bCs w:val="0"/>
        </w:rPr>
      </w:r>
      <w:r>
        <w:rPr/>
        <w:t>一、概述</w:t>
      </w:r>
      <w:r>
        <w:rPr>
          <w:b w:val="0"/>
          <w:bCs w:val="0"/>
        </w:rPr>
      </w:r>
    </w:p>
    <w:p>
      <w:pPr>
        <w:spacing w:line="240" w:lineRule="auto" w:before="6"/>
        <w:rPr>
          <w:rFonts w:ascii="宋体" w:hAnsi="宋体" w:cs="宋体" w:eastAsia="宋体" w:hint="default"/>
          <w:b/>
          <w:bCs/>
          <w:sz w:val="26"/>
          <w:szCs w:val="26"/>
        </w:rPr>
      </w:pPr>
    </w:p>
    <w:p>
      <w:pPr>
        <w:pStyle w:val="Heading5"/>
        <w:spacing w:line="240" w:lineRule="auto"/>
        <w:ind w:left="472" w:right="0"/>
        <w:jc w:val="left"/>
        <w:rPr>
          <w:b w:val="0"/>
          <w:bCs w:val="0"/>
        </w:rPr>
      </w:pPr>
      <w:r>
        <w:rPr/>
        <w:t>一、管理层经营情况讨论与分析</w:t>
      </w:r>
      <w:r>
        <w:rPr>
          <w:b w:val="0"/>
          <w:bCs w:val="0"/>
        </w:rPr>
      </w:r>
    </w:p>
    <w:p>
      <w:pPr>
        <w:pStyle w:val="BodyText"/>
        <w:spacing w:line="240" w:lineRule="auto" w:before="76"/>
        <w:ind w:left="472" w:right="0"/>
        <w:jc w:val="left"/>
      </w:pPr>
      <w:r>
        <w:rPr/>
        <w:t>（一）总体经营情况</w:t>
      </w:r>
    </w:p>
    <w:p>
      <w:pPr>
        <w:pStyle w:val="BodyText"/>
        <w:spacing w:line="300" w:lineRule="auto" w:before="76"/>
        <w:ind w:right="1051" w:firstLine="360"/>
        <w:jc w:val="both"/>
      </w:pPr>
      <w:r>
        <w:rPr>
          <w:rFonts w:ascii="Times New Roman" w:hAnsi="Times New Roman" w:cs="Times New Roman" w:eastAsia="Times New Roman" w:hint="default"/>
        </w:rPr>
        <w:t>2018</w:t>
      </w:r>
      <w:r>
        <w:rPr/>
        <w:t>年是国家深入贯彻落实“十三五”医改规划的重要一年，医疗信息化政策密集推出，行业迎来投资建设的高峰期， 公司的发展充满了挑战和机遇。</w:t>
      </w:r>
    </w:p>
    <w:p>
      <w:pPr>
        <w:pStyle w:val="BodyText"/>
        <w:spacing w:line="316" w:lineRule="auto" w:before="31"/>
        <w:ind w:right="1129" w:firstLine="360"/>
        <w:jc w:val="both"/>
      </w:pPr>
      <w:r>
        <w:rPr>
          <w:spacing w:val="-2"/>
        </w:rPr>
        <w:t>公司经营管理层在董事会的领导下，继续秉持“创造智慧医卫，服务健康事业”的企业宗旨，始终以市场为导向，以客</w:t>
      </w:r>
      <w:r>
        <w:rPr/>
        <w:t> </w:t>
      </w:r>
      <w:r>
        <w:rPr>
          <w:spacing w:val="-2"/>
        </w:rPr>
        <w:t>户需求为出发点，专注于医疗卫生信息化领域的建设、研发及服务创新，着力打造以“便民、惠民、智慧、智能”为核心的</w:t>
      </w:r>
      <w:r>
        <w:rPr>
          <w:spacing w:val="-62"/>
        </w:rPr>
        <w:t> </w:t>
      </w:r>
      <w:r>
        <w:rPr>
          <w:spacing w:val="-62"/>
        </w:rPr>
      </w:r>
      <w:r>
        <w:rPr/>
        <w:t>新型“未来医疗”生态服务体系。</w:t>
      </w:r>
    </w:p>
    <w:p>
      <w:pPr>
        <w:pStyle w:val="BodyText"/>
        <w:spacing w:line="309" w:lineRule="auto" w:before="19"/>
        <w:ind w:right="1130" w:firstLine="360"/>
        <w:jc w:val="both"/>
      </w:pPr>
      <w:r>
        <w:rPr/>
        <w:t>得助于近年来公司在“医疗大数据、医卫物联网、互联网</w:t>
      </w:r>
      <w:r>
        <w:rPr>
          <w:rFonts w:ascii="Times New Roman" w:hAnsi="Times New Roman" w:cs="Times New Roman" w:eastAsia="Times New Roman" w:hint="default"/>
        </w:rPr>
        <w:t>+</w:t>
      </w:r>
      <w:r>
        <w:rPr/>
        <w:t>医疗”等创新业务领域的战略部署和研发夯实，目前公司业 </w:t>
      </w:r>
      <w:r>
        <w:rPr>
          <w:spacing w:val="-2"/>
        </w:rPr>
        <w:t>已形成了以医疗卫生信息化业务为主体，医卫物联网、互联网业务为拓展补充的“一体两翼”三大产品服务板块，基于三大</w:t>
      </w:r>
      <w:r>
        <w:rPr>
          <w:spacing w:val="-64"/>
        </w:rPr>
        <w:t> </w:t>
      </w:r>
      <w:r>
        <w:rPr>
          <w:spacing w:val="-64"/>
        </w:rPr>
      </w:r>
      <w:r>
        <w:rPr/>
        <w:t>产品服务板块，</w:t>
      </w:r>
      <w:r>
        <w:rPr>
          <w:rFonts w:ascii="Times New Roman" w:hAnsi="Times New Roman" w:cs="Times New Roman" w:eastAsia="Times New Roman" w:hint="default"/>
        </w:rPr>
        <w:t>2018</w:t>
      </w:r>
      <w:r>
        <w:rPr/>
        <w:t>年底公司调整了业务架构整体规划，完成了三大事业群的的搭建。</w:t>
      </w:r>
    </w:p>
    <w:p>
      <w:pPr>
        <w:pStyle w:val="BodyText"/>
        <w:spacing w:line="300" w:lineRule="auto" w:before="5"/>
        <w:ind w:right="1129" w:firstLine="360"/>
        <w:jc w:val="both"/>
      </w:pPr>
      <w:r>
        <w:rPr>
          <w:spacing w:val="-1"/>
        </w:rPr>
        <w:t>报告期内，公司实现营业收入</w:t>
      </w:r>
      <w:r>
        <w:rPr>
          <w:rFonts w:ascii="Times New Roman" w:hAnsi="Times New Roman" w:cs="Times New Roman" w:eastAsia="Times New Roman" w:hint="default"/>
          <w:spacing w:val="-1"/>
        </w:rPr>
        <w:t>129,028.84</w:t>
      </w:r>
      <w:r>
        <w:rPr>
          <w:spacing w:val="-1"/>
        </w:rPr>
        <w:t>万元，较上年同期增长</w:t>
      </w:r>
      <w:r>
        <w:rPr>
          <w:rFonts w:ascii="Times New Roman" w:hAnsi="Times New Roman" w:cs="Times New Roman" w:eastAsia="Times New Roman" w:hint="default"/>
          <w:spacing w:val="-1"/>
        </w:rPr>
        <w:t>11.91%</w:t>
      </w:r>
      <w:r>
        <w:rPr>
          <w:spacing w:val="-1"/>
        </w:rPr>
        <w:t>，其中母公司实现营业收入</w:t>
      </w:r>
      <w:r>
        <w:rPr>
          <w:rFonts w:ascii="Times New Roman" w:hAnsi="Times New Roman" w:cs="Times New Roman" w:eastAsia="Times New Roman" w:hint="default"/>
          <w:spacing w:val="-1"/>
        </w:rPr>
        <w:t>79,972.81</w:t>
      </w:r>
      <w:r>
        <w:rPr>
          <w:spacing w:val="-1"/>
        </w:rPr>
        <w:t>万元，较上</w:t>
      </w:r>
      <w:r>
        <w:rPr/>
        <w:t> 年同期增长</w:t>
      </w:r>
      <w:r>
        <w:rPr>
          <w:rFonts w:ascii="Times New Roman" w:hAnsi="Times New Roman" w:cs="Times New Roman" w:eastAsia="Times New Roman" w:hint="default"/>
        </w:rPr>
        <w:t>30.12%</w:t>
      </w:r>
      <w:r>
        <w:rPr/>
        <w:t>；实现归属于上市公司股东的净利润</w:t>
      </w:r>
      <w:r>
        <w:rPr>
          <w:rFonts w:ascii="Times New Roman" w:hAnsi="Times New Roman" w:cs="Times New Roman" w:eastAsia="Times New Roman" w:hint="default"/>
        </w:rPr>
        <w:t>21,268.11</w:t>
      </w:r>
      <w:r>
        <w:rPr/>
        <w:t>万元，较上年同期增长</w:t>
      </w:r>
      <w:r>
        <w:rPr>
          <w:rFonts w:ascii="Times New Roman" w:hAnsi="Times New Roman" w:cs="Times New Roman" w:eastAsia="Times New Roman" w:hint="default"/>
        </w:rPr>
        <w:t>30.28%</w:t>
      </w:r>
      <w:r>
        <w:rPr/>
        <w:t>，其中实现归属于上市公司</w:t>
      </w:r>
      <w:r>
        <w:rPr>
          <w:spacing w:val="-41"/>
        </w:rPr>
        <w:t> </w:t>
      </w:r>
      <w:r>
        <w:rPr>
          <w:spacing w:val="-41"/>
        </w:rPr>
      </w:r>
      <w:r>
        <w:rPr/>
        <w:t>股东的扣除非经常性损益的净利润</w:t>
      </w:r>
      <w:r>
        <w:rPr>
          <w:rFonts w:ascii="Times New Roman" w:hAnsi="Times New Roman" w:cs="Times New Roman" w:eastAsia="Times New Roman" w:hint="default"/>
        </w:rPr>
        <w:t>19,961.30</w:t>
      </w:r>
      <w:r>
        <w:rPr/>
        <w:t>万元，较上年同期增长</w:t>
      </w:r>
      <w:r>
        <w:rPr>
          <w:rFonts w:ascii="Times New Roman" w:hAnsi="Times New Roman" w:cs="Times New Roman" w:eastAsia="Times New Roman" w:hint="default"/>
        </w:rPr>
        <w:t>29.43%</w:t>
      </w:r>
      <w:r>
        <w:rPr/>
        <w:t>。</w:t>
      </w:r>
    </w:p>
    <w:p>
      <w:pPr>
        <w:spacing w:line="240" w:lineRule="auto" w:before="12"/>
        <w:rPr>
          <w:rFonts w:ascii="宋体" w:hAnsi="宋体" w:cs="宋体" w:eastAsia="宋体" w:hint="default"/>
          <w:sz w:val="8"/>
          <w:szCs w:val="8"/>
        </w:rPr>
      </w:pPr>
    </w:p>
    <w:p>
      <w:pPr>
        <w:spacing w:line="4140" w:lineRule="exact"/>
        <w:ind w:left="1872" w:right="0" w:firstLine="0"/>
        <w:rPr>
          <w:rFonts w:ascii="宋体" w:hAnsi="宋体" w:cs="宋体" w:eastAsia="宋体" w:hint="default"/>
          <w:sz w:val="20"/>
          <w:szCs w:val="20"/>
        </w:rPr>
      </w:pPr>
      <w:r>
        <w:rPr>
          <w:rFonts w:ascii="宋体" w:hAnsi="宋体" w:cs="宋体" w:eastAsia="宋体" w:hint="default"/>
          <w:position w:val="-82"/>
          <w:sz w:val="20"/>
          <w:szCs w:val="20"/>
        </w:rPr>
        <w:drawing>
          <wp:inline distT="0" distB="0" distL="0" distR="0">
            <wp:extent cx="4114800" cy="2628900"/>
            <wp:effectExtent l="0" t="0" r="0" b="0"/>
            <wp:docPr id="19" name="image11.png" descr=""/>
            <wp:cNvGraphicFramePr>
              <a:graphicFrameLocks noChangeAspect="1"/>
            </wp:cNvGraphicFramePr>
            <a:graphic>
              <a:graphicData uri="http://schemas.openxmlformats.org/drawingml/2006/picture">
                <pic:pic>
                  <pic:nvPicPr>
                    <pic:cNvPr id="20" name="image11.png"/>
                    <pic:cNvPicPr/>
                  </pic:nvPicPr>
                  <pic:blipFill>
                    <a:blip r:embed="rId25" cstate="print"/>
                    <a:stretch>
                      <a:fillRect/>
                    </a:stretch>
                  </pic:blipFill>
                  <pic:spPr>
                    <a:xfrm>
                      <a:off x="0" y="0"/>
                      <a:ext cx="4114800" cy="2628900"/>
                    </a:xfrm>
                    <a:prstGeom prst="rect">
                      <a:avLst/>
                    </a:prstGeom>
                  </pic:spPr>
                </pic:pic>
              </a:graphicData>
            </a:graphic>
          </wp:inline>
        </w:drawing>
      </w:r>
      <w:r>
        <w:rPr>
          <w:rFonts w:ascii="宋体" w:hAnsi="宋体" w:cs="宋体" w:eastAsia="宋体" w:hint="default"/>
          <w:position w:val="-82"/>
          <w:sz w:val="20"/>
          <w:szCs w:val="20"/>
        </w:rPr>
      </w:r>
    </w:p>
    <w:p>
      <w:pPr>
        <w:spacing w:after="0" w:line="4140" w:lineRule="exact"/>
        <w:rPr>
          <w:rFonts w:ascii="宋体" w:hAnsi="宋体" w:cs="宋体" w:eastAsia="宋体" w:hint="default"/>
          <w:sz w:val="20"/>
          <w:szCs w:val="20"/>
        </w:rPr>
        <w:sectPr>
          <w:pgSz w:w="11910" w:h="16840"/>
          <w:pgMar w:header="907" w:footer="1016" w:top="1100" w:bottom="1200" w:left="1020" w:right="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spacing w:line="3810" w:lineRule="exact"/>
        <w:ind w:left="1797" w:right="0" w:firstLine="0"/>
        <w:rPr>
          <w:rFonts w:ascii="宋体" w:hAnsi="宋体" w:cs="宋体" w:eastAsia="宋体" w:hint="default"/>
          <w:sz w:val="20"/>
          <w:szCs w:val="20"/>
        </w:rPr>
      </w:pPr>
      <w:r>
        <w:rPr>
          <w:rFonts w:ascii="宋体" w:hAnsi="宋体" w:cs="宋体" w:eastAsia="宋体" w:hint="default"/>
          <w:position w:val="-75"/>
          <w:sz w:val="20"/>
          <w:szCs w:val="20"/>
        </w:rPr>
        <w:drawing>
          <wp:inline distT="0" distB="0" distL="0" distR="0">
            <wp:extent cx="4209486" cy="2419350"/>
            <wp:effectExtent l="0" t="0" r="0" b="0"/>
            <wp:docPr id="21" name="image12.png" descr=""/>
            <wp:cNvGraphicFramePr>
              <a:graphicFrameLocks noChangeAspect="1"/>
            </wp:cNvGraphicFramePr>
            <a:graphic>
              <a:graphicData uri="http://schemas.openxmlformats.org/drawingml/2006/picture">
                <pic:pic>
                  <pic:nvPicPr>
                    <pic:cNvPr id="22" name="image12.png"/>
                    <pic:cNvPicPr/>
                  </pic:nvPicPr>
                  <pic:blipFill>
                    <a:blip r:embed="rId26" cstate="print"/>
                    <a:stretch>
                      <a:fillRect/>
                    </a:stretch>
                  </pic:blipFill>
                  <pic:spPr>
                    <a:xfrm>
                      <a:off x="0" y="0"/>
                      <a:ext cx="4209486" cy="2419350"/>
                    </a:xfrm>
                    <a:prstGeom prst="rect">
                      <a:avLst/>
                    </a:prstGeom>
                  </pic:spPr>
                </pic:pic>
              </a:graphicData>
            </a:graphic>
          </wp:inline>
        </w:drawing>
      </w:r>
      <w:r>
        <w:rPr>
          <w:rFonts w:ascii="宋体" w:hAnsi="宋体" w:cs="宋体" w:eastAsia="宋体" w:hint="default"/>
          <w:position w:val="-75"/>
          <w:sz w:val="20"/>
          <w:szCs w:val="20"/>
        </w:rPr>
      </w:r>
    </w:p>
    <w:p>
      <w:pPr>
        <w:spacing w:line="240" w:lineRule="auto" w:before="12"/>
        <w:rPr>
          <w:rFonts w:ascii="宋体" w:hAnsi="宋体" w:cs="宋体" w:eastAsia="宋体" w:hint="default"/>
          <w:sz w:val="6"/>
          <w:szCs w:val="6"/>
        </w:rPr>
      </w:pPr>
    </w:p>
    <w:p>
      <w:pPr>
        <w:pStyle w:val="Heading5"/>
        <w:spacing w:line="240" w:lineRule="auto" w:before="44"/>
        <w:ind w:right="0"/>
        <w:jc w:val="left"/>
        <w:rPr>
          <w:b w:val="0"/>
          <w:bCs w:val="0"/>
        </w:rPr>
      </w:pPr>
      <w:r>
        <w:rPr/>
        <w:t>（二）报告期内，公司开展的主要工作回顾</w:t>
      </w:r>
      <w:r>
        <w:rPr>
          <w:b w:val="0"/>
          <w:bCs w:val="0"/>
        </w:rPr>
      </w:r>
    </w:p>
    <w:p>
      <w:pPr>
        <w:pStyle w:val="Heading5"/>
        <w:spacing w:line="240" w:lineRule="auto" w:before="76"/>
        <w:ind w:right="0"/>
        <w:jc w:val="left"/>
        <w:rPr>
          <w:b w:val="0"/>
          <w:bCs w:val="0"/>
        </w:rPr>
      </w:pPr>
      <w:r>
        <w:rPr>
          <w:rFonts w:ascii="Times New Roman" w:hAnsi="Times New Roman" w:cs="Times New Roman" w:eastAsia="Times New Roman" w:hint="default"/>
        </w:rPr>
        <w:t>1</w:t>
      </w:r>
      <w:r>
        <w:rPr/>
        <w:t>、受益国家政策利好，医疗卫生信息化产品业务快速增长</w:t>
      </w:r>
      <w:r>
        <w:rPr>
          <w:b w:val="0"/>
          <w:bCs w:val="0"/>
        </w:rPr>
      </w:r>
    </w:p>
    <w:p>
      <w:pPr>
        <w:pStyle w:val="BodyText"/>
        <w:spacing w:line="307" w:lineRule="auto" w:before="63"/>
        <w:ind w:right="1130" w:firstLine="360"/>
        <w:jc w:val="both"/>
      </w:pPr>
      <w:r>
        <w:rPr>
          <w:rFonts w:ascii="Times New Roman" w:hAnsi="Times New Roman" w:cs="Times New Roman" w:eastAsia="Times New Roman" w:hint="default"/>
          <w:spacing w:val="-2"/>
        </w:rPr>
        <w:t>2018</w:t>
      </w:r>
      <w:r>
        <w:rPr>
          <w:spacing w:val="-2"/>
        </w:rPr>
        <w:t>年，随着医疗服务需求的不断攀升、计算机技术的快速发展，国家以提高医疗机构信息化建设水平为导向，密集出</w:t>
      </w:r>
      <w:r>
        <w:rPr/>
        <w:t> </w:t>
      </w:r>
      <w:r>
        <w:rPr>
          <w:spacing w:val="-6"/>
        </w:rPr>
        <w:t>台了《关于建立现代医院管理制度的指导意见》、《关于印发进一步改善医疗服务行动计划（</w:t>
      </w:r>
      <w:r>
        <w:rPr>
          <w:rFonts w:ascii="Times New Roman" w:hAnsi="Times New Roman" w:cs="Times New Roman" w:eastAsia="Times New Roman" w:hint="default"/>
          <w:spacing w:val="-6"/>
        </w:rPr>
        <w:t>2018-2020</w:t>
      </w:r>
      <w:r>
        <w:rPr>
          <w:spacing w:val="-6"/>
        </w:rPr>
        <w:t>年）的通知》、《全国</w:t>
      </w:r>
      <w:r>
        <w:rPr>
          <w:spacing w:val="-61"/>
        </w:rPr>
        <w:t> </w:t>
      </w:r>
      <w:r>
        <w:rPr>
          <w:spacing w:val="-61"/>
        </w:rPr>
      </w:r>
      <w:r>
        <w:rPr>
          <w:spacing w:val="-8"/>
        </w:rPr>
        <w:t>医院信息化建设标准与规范（试行）》、《电子病历系统应用水平分级评价管理办法（试行）》等一系列政策法规，助推了医疗</w:t>
      </w:r>
      <w:r>
        <w:rPr>
          <w:spacing w:val="-84"/>
        </w:rPr>
        <w:t> </w:t>
      </w:r>
      <w:r>
        <w:rPr>
          <w:spacing w:val="-84"/>
        </w:rPr>
      </w:r>
      <w:r>
        <w:rPr/>
        <w:t>卫生信息化行业的快速发展，开启了新一轮的景气周期。</w:t>
      </w:r>
    </w:p>
    <w:p>
      <w:pPr>
        <w:pStyle w:val="BodyText"/>
        <w:spacing w:line="307" w:lineRule="auto" w:before="26"/>
        <w:ind w:right="1034" w:firstLine="360"/>
        <w:jc w:val="left"/>
      </w:pPr>
      <w:r>
        <w:rPr/>
        <w:t>报告期内，公司医疗卫生信息化业务遍地开花，新增千万级大单中标</w:t>
      </w:r>
      <w:r>
        <w:rPr>
          <w:rFonts w:ascii="Times New Roman" w:hAnsi="Times New Roman" w:cs="Times New Roman" w:eastAsia="Times New Roman" w:hint="default"/>
        </w:rPr>
        <w:t>10</w:t>
      </w:r>
      <w:r>
        <w:rPr/>
        <w:t>余个，其中“淄博市中心医院信息化建设项目” </w:t>
      </w:r>
      <w:r>
        <w:rPr>
          <w:spacing w:val="-2"/>
        </w:rPr>
        <w:t>创出公司单合同中标金额新高，奠定年度业绩增长的基础；公司基于大数据业务的订单总额过亿，不仅成功实现了原定的战</w:t>
      </w:r>
      <w:r>
        <w:rPr>
          <w:spacing w:val="-63"/>
        </w:rPr>
        <w:t> </w:t>
      </w:r>
      <w:r>
        <w:rPr>
          <w:spacing w:val="-63"/>
        </w:rPr>
      </w:r>
      <w:r>
        <w:rPr/>
        <w:t>略规划，同时助力公司医疗行业业务全年实现营收</w:t>
      </w:r>
      <w:r>
        <w:rPr>
          <w:rFonts w:ascii="Times New Roman" w:hAnsi="Times New Roman" w:cs="Times New Roman" w:eastAsia="Times New Roman" w:hint="default"/>
        </w:rPr>
        <w:t>83,158.62</w:t>
      </w:r>
      <w:r>
        <w:rPr/>
        <w:t>万元，同比增长</w:t>
      </w:r>
      <w:r>
        <w:rPr>
          <w:rFonts w:ascii="Times New Roman" w:hAnsi="Times New Roman" w:cs="Times New Roman" w:eastAsia="Times New Roman" w:hint="default"/>
        </w:rPr>
        <w:t>38.49%</w:t>
      </w:r>
      <w:r>
        <w:rPr/>
        <w:t>，是公司业绩增长的主要驱动力，也进</w:t>
      </w:r>
      <w:r>
        <w:rPr>
          <w:spacing w:val="-27"/>
        </w:rPr>
        <w:t> </w:t>
      </w:r>
      <w:r>
        <w:rPr>
          <w:spacing w:val="-27"/>
        </w:rPr>
      </w:r>
      <w:r>
        <w:rPr/>
        <w:t>一步巩固了公司医疗卫生信息化业务的市场份额，夯实了公司医疗卫生信息化领军企业地位。</w:t>
      </w:r>
    </w:p>
    <w:p>
      <w:pPr>
        <w:spacing w:line="240" w:lineRule="auto" w:before="6"/>
        <w:rPr>
          <w:rFonts w:ascii="宋体" w:hAnsi="宋体" w:cs="宋体" w:eastAsia="宋体" w:hint="default"/>
          <w:sz w:val="10"/>
          <w:szCs w:val="10"/>
        </w:rPr>
      </w:pPr>
    </w:p>
    <w:p>
      <w:pPr>
        <w:spacing w:line="3810" w:lineRule="exact"/>
        <w:ind w:left="1092" w:right="0" w:firstLine="0"/>
        <w:rPr>
          <w:rFonts w:ascii="宋体" w:hAnsi="宋体" w:cs="宋体" w:eastAsia="宋体" w:hint="default"/>
          <w:sz w:val="20"/>
          <w:szCs w:val="20"/>
        </w:rPr>
      </w:pPr>
      <w:r>
        <w:rPr>
          <w:rFonts w:ascii="宋体" w:hAnsi="宋体" w:cs="宋体" w:eastAsia="宋体" w:hint="default"/>
          <w:position w:val="-75"/>
          <w:sz w:val="20"/>
          <w:szCs w:val="20"/>
        </w:rPr>
        <w:drawing>
          <wp:inline distT="0" distB="0" distL="0" distR="0">
            <wp:extent cx="5103792" cy="2419350"/>
            <wp:effectExtent l="0" t="0" r="0" b="0"/>
            <wp:docPr id="23" name="image13.png" descr=""/>
            <wp:cNvGraphicFramePr>
              <a:graphicFrameLocks noChangeAspect="1"/>
            </wp:cNvGraphicFramePr>
            <a:graphic>
              <a:graphicData uri="http://schemas.openxmlformats.org/drawingml/2006/picture">
                <pic:pic>
                  <pic:nvPicPr>
                    <pic:cNvPr id="24" name="image13.png"/>
                    <pic:cNvPicPr/>
                  </pic:nvPicPr>
                  <pic:blipFill>
                    <a:blip r:embed="rId27" cstate="print"/>
                    <a:stretch>
                      <a:fillRect/>
                    </a:stretch>
                  </pic:blipFill>
                  <pic:spPr>
                    <a:xfrm>
                      <a:off x="0" y="0"/>
                      <a:ext cx="5103792" cy="2419350"/>
                    </a:xfrm>
                    <a:prstGeom prst="rect">
                      <a:avLst/>
                    </a:prstGeom>
                  </pic:spPr>
                </pic:pic>
              </a:graphicData>
            </a:graphic>
          </wp:inline>
        </w:drawing>
      </w:r>
      <w:r>
        <w:rPr>
          <w:rFonts w:ascii="宋体" w:hAnsi="宋体" w:cs="宋体" w:eastAsia="宋体" w:hint="default"/>
          <w:position w:val="-75"/>
          <w:sz w:val="20"/>
          <w:szCs w:val="20"/>
        </w:rPr>
      </w:r>
    </w:p>
    <w:p>
      <w:pPr>
        <w:pStyle w:val="BodyText"/>
        <w:spacing w:line="300" w:lineRule="auto" w:before="135"/>
        <w:ind w:right="1130" w:firstLine="360"/>
        <w:jc w:val="both"/>
      </w:pPr>
      <w:r>
        <w:rPr>
          <w:spacing w:val="-2"/>
        </w:rPr>
        <w:t>另外，公司区域卫生系统标杆项目“健康中山”顺利验收，截至</w:t>
      </w:r>
      <w:r>
        <w:rPr>
          <w:rFonts w:ascii="Times New Roman" w:hAnsi="Times New Roman" w:cs="Times New Roman" w:eastAsia="Times New Roman" w:hint="default"/>
          <w:spacing w:val="-2"/>
        </w:rPr>
        <w:t>2018</w:t>
      </w:r>
      <w:r>
        <w:rPr>
          <w:spacing w:val="-2"/>
        </w:rPr>
        <w:t>年底，中山信息平台接入了全市公立医院和社区卫</w:t>
      </w:r>
      <w:r>
        <w:rPr/>
        <w:t> </w:t>
      </w:r>
      <w:r>
        <w:rPr>
          <w:spacing w:val="-1"/>
        </w:rPr>
        <w:t>生服务中心，共采集包括门诊记录、住院记录、检验报告等医疗数据</w:t>
      </w:r>
      <w:r>
        <w:rPr>
          <w:rFonts w:ascii="Times New Roman" w:hAnsi="Times New Roman" w:cs="Times New Roman" w:eastAsia="Times New Roman" w:hint="default"/>
          <w:spacing w:val="-1"/>
        </w:rPr>
        <w:t>4.7</w:t>
      </w:r>
      <w:r>
        <w:rPr>
          <w:spacing w:val="-1"/>
        </w:rPr>
        <w:t>亿条，实现预约挂号</w:t>
      </w:r>
      <w:r>
        <w:rPr>
          <w:rFonts w:ascii="Times New Roman" w:hAnsi="Times New Roman" w:cs="Times New Roman" w:eastAsia="Times New Roman" w:hint="default"/>
          <w:spacing w:val="-1"/>
        </w:rPr>
        <w:t>181</w:t>
      </w:r>
      <w:r>
        <w:rPr>
          <w:spacing w:val="-1"/>
        </w:rPr>
        <w:t>万次。“健康中山”按时完</w:t>
      </w:r>
      <w:r>
        <w:rPr>
          <w:spacing w:val="-81"/>
        </w:rPr>
        <w:t> </w:t>
      </w:r>
      <w:r>
        <w:rPr>
          <w:spacing w:val="-81"/>
        </w:rPr>
      </w:r>
      <w:r>
        <w:rPr>
          <w:spacing w:val="-2"/>
        </w:rPr>
        <w:t>成了中山市区域卫生信息平台建设任务，实现了中山全市医疗健康数据的互联互通，为后续公司开展为期</w:t>
      </w:r>
      <w:r>
        <w:rPr>
          <w:rFonts w:ascii="Times New Roman" w:hAnsi="Times New Roman" w:cs="Times New Roman" w:eastAsia="Times New Roman" w:hint="default"/>
          <w:spacing w:val="-2"/>
        </w:rPr>
        <w:t>10</w:t>
      </w:r>
      <w:r>
        <w:rPr>
          <w:spacing w:val="-2"/>
        </w:rPr>
        <w:t>年的以医疗大数</w:t>
      </w:r>
      <w:r>
        <w:rPr>
          <w:spacing w:val="-63"/>
        </w:rPr>
        <w:t> </w:t>
      </w:r>
      <w:r>
        <w:rPr/>
        <w:t>据为核心的特许运营业务和“健康中山”模式的异地复制，奠定了坚实的基础。</w:t>
      </w:r>
    </w:p>
    <w:p>
      <w:pPr>
        <w:pStyle w:val="Heading5"/>
        <w:spacing w:line="240" w:lineRule="auto" w:before="31"/>
        <w:ind w:right="0"/>
        <w:jc w:val="left"/>
        <w:rPr>
          <w:b w:val="0"/>
          <w:bCs w:val="0"/>
        </w:rPr>
      </w:pPr>
      <w:r>
        <w:rPr>
          <w:rFonts w:ascii="Times New Roman" w:hAnsi="Times New Roman" w:cs="Times New Roman" w:eastAsia="Times New Roman" w:hint="default"/>
        </w:rPr>
        <w:t>2</w:t>
      </w:r>
      <w:r>
        <w:rPr/>
        <w:t>、深入探索行业新需求，积极布局医疗卫生物联网、互联网创新业务</w:t>
      </w:r>
      <w:r>
        <w:rPr>
          <w:b w:val="0"/>
          <w:bCs w:val="0"/>
        </w:rPr>
      </w:r>
    </w:p>
    <w:p>
      <w:pPr>
        <w:pStyle w:val="BodyText"/>
        <w:spacing w:line="300" w:lineRule="auto" w:before="63"/>
        <w:ind w:right="1130" w:firstLine="360"/>
        <w:jc w:val="both"/>
      </w:pPr>
      <w:r>
        <w:rPr>
          <w:spacing w:val="-8"/>
        </w:rPr>
        <w:t>《“健康中国</w:t>
      </w:r>
      <w:r>
        <w:rPr>
          <w:rFonts w:ascii="Times New Roman" w:hAnsi="Times New Roman" w:cs="Times New Roman" w:eastAsia="Times New Roman" w:hint="default"/>
          <w:spacing w:val="-8"/>
        </w:rPr>
        <w:t>2030</w:t>
      </w:r>
      <w:r>
        <w:rPr>
          <w:spacing w:val="-8"/>
        </w:rPr>
        <w:t>”规划纲要》、《“十三五”全国人口健康信息化发展规划》等新政策明确提出“建设健康信息化服务体</w:t>
      </w:r>
      <w:r>
        <w:rPr/>
        <w:t> </w:t>
      </w:r>
      <w:r>
        <w:rPr>
          <w:spacing w:val="-3"/>
          <w:w w:val="99"/>
        </w:rPr>
        <w:t>系”的两大重要目标：“完善人口健康信息服务体系建设和推进健康医疗大数据应用。”目前，随着物联网、</w:t>
      </w:r>
      <w:r>
        <w:rPr>
          <w:rFonts w:ascii="Times New Roman" w:hAnsi="Times New Roman" w:cs="Times New Roman" w:eastAsia="Times New Roman" w:hint="default"/>
          <w:spacing w:val="-3"/>
          <w:w w:val="99"/>
        </w:rPr>
        <w:t>5G</w:t>
      </w:r>
      <w:r>
        <w:rPr>
          <w:spacing w:val="-3"/>
          <w:w w:val="99"/>
        </w:rPr>
        <w:t>、大数据分</w:t>
      </w:r>
      <w:r>
        <w:rPr>
          <w:spacing w:val="-56"/>
          <w:w w:val="99"/>
        </w:rPr>
        <w:t> </w:t>
      </w:r>
      <w:r>
        <w:rPr>
          <w:spacing w:val="-56"/>
          <w:w w:val="99"/>
        </w:rPr>
      </w:r>
      <w:r>
        <w:rPr/>
        <w:t>析、</w:t>
      </w:r>
      <w:r>
        <w:rPr>
          <w:rFonts w:ascii="Times New Roman" w:hAnsi="Times New Roman" w:cs="Times New Roman" w:eastAsia="Times New Roman" w:hint="default"/>
        </w:rPr>
        <w:t>AI</w:t>
      </w:r>
      <w:r>
        <w:rPr/>
        <w:t>、区块链等新技术的日趋成熟并在医疗信息化领域的应用落地，公司认为在这一政策导向和技术迭代的大背景下，</w:t>
      </w:r>
    </w:p>
    <w:p>
      <w:pPr>
        <w:spacing w:after="0" w:line="300" w:lineRule="auto"/>
        <w:jc w:val="both"/>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right="0"/>
        <w:jc w:val="left"/>
      </w:pPr>
      <w:r>
        <w:rPr>
          <w:spacing w:val="-2"/>
        </w:rPr>
        <w:t>新的需求、新的市场正在形成，未来健康大数据、健康城市、互联网医院、智慧医疗物联网整体解决方案等基于数据应用的</w:t>
      </w:r>
      <w:r>
        <w:rPr>
          <w:spacing w:val="-63"/>
        </w:rPr>
        <w:t> </w:t>
      </w:r>
      <w:r>
        <w:rPr>
          <w:spacing w:val="-63"/>
        </w:rPr>
      </w:r>
      <w:r>
        <w:rPr/>
        <w:t>医疗健康创新业务，将成为医疗卫生信息化深化发展的重要方向。</w:t>
      </w:r>
    </w:p>
    <w:p>
      <w:pPr>
        <w:pStyle w:val="BodyText"/>
        <w:spacing w:line="314" w:lineRule="auto" w:before="19"/>
        <w:ind w:right="0" w:firstLine="360"/>
        <w:jc w:val="left"/>
      </w:pPr>
      <w:r>
        <w:rPr>
          <w:spacing w:val="-4"/>
        </w:rPr>
        <w:t>有鉴于此，</w:t>
      </w:r>
      <w:r>
        <w:rPr>
          <w:rFonts w:ascii="Times New Roman" w:hAnsi="Times New Roman" w:cs="Times New Roman" w:eastAsia="Times New Roman" w:hint="default"/>
          <w:spacing w:val="-4"/>
        </w:rPr>
        <w:t>2018</w:t>
      </w:r>
      <w:r>
        <w:rPr>
          <w:spacing w:val="-4"/>
        </w:rPr>
        <w:t>年末，基于公司在大数据、人工智能、智慧医疗等领域的战略部署不断落地、业务发展模式的日益清晰，</w:t>
      </w:r>
      <w:r>
        <w:rPr/>
        <w:t> </w:t>
      </w:r>
      <w:r>
        <w:rPr>
          <w:spacing w:val="-2"/>
        </w:rPr>
        <w:t>结合自身业务特点及产品服务优势，公司经营管理层适时调整了产品及服务架构，组建了医卫信息化事业群、医卫物联网事</w:t>
      </w:r>
      <w:r>
        <w:rPr>
          <w:spacing w:val="-63"/>
        </w:rPr>
        <w:t> </w:t>
      </w:r>
      <w:r>
        <w:rPr>
          <w:spacing w:val="-63"/>
        </w:rPr>
      </w:r>
      <w:r>
        <w:rPr>
          <w:spacing w:val="-2"/>
        </w:rPr>
        <w:t>业群、医卫互联网事业群，将公司业务划分为三大业务版图，其中新划分的医卫物联网事业群和医卫互联网事业群两大创新</w:t>
      </w:r>
      <w:r>
        <w:rPr>
          <w:spacing w:val="-63"/>
        </w:rPr>
        <w:t> </w:t>
      </w:r>
      <w:r>
        <w:rPr>
          <w:spacing w:val="-63"/>
        </w:rPr>
      </w:r>
      <w:r>
        <w:rPr>
          <w:spacing w:val="-2"/>
        </w:rPr>
        <w:t>业务群将依托于公司优势业务群医卫信息化业务群，是公司打造新型智慧医疗生态服务体系的重要拓展和补充。未来，三大</w:t>
      </w:r>
      <w:r>
        <w:rPr>
          <w:spacing w:val="-63"/>
        </w:rPr>
        <w:t> </w:t>
      </w:r>
      <w:r>
        <w:rPr>
          <w:spacing w:val="-63"/>
        </w:rPr>
      </w:r>
      <w:r>
        <w:rPr/>
        <w:t>事业群的协同发展，将助力医卫互联网、医卫物联网、健康城市、大数据应用等创新业务成为公司未来业绩新的增长点。</w:t>
      </w:r>
    </w:p>
    <w:p>
      <w:pPr>
        <w:pStyle w:val="BodyText"/>
        <w:spacing w:line="316" w:lineRule="auto" w:before="20"/>
        <w:ind w:right="1034" w:firstLine="360"/>
        <w:jc w:val="left"/>
      </w:pPr>
      <w:r>
        <w:rPr/>
        <w:t>公司“健康中山”运营平台正式发布，加速推进了公司在健康城市运营业务的拓展，同时，公司围绕打造“健康城市” </w:t>
      </w:r>
      <w:r>
        <w:rPr>
          <w:spacing w:val="-2"/>
        </w:rPr>
        <w:t>运营业务生态体系分别与华为、网易、蚂蚁金服、腾讯、联想等优秀的设备制造、互联网、数据应用厂商达成了合作意向并</w:t>
      </w:r>
      <w:r>
        <w:rPr>
          <w:spacing w:val="-63"/>
        </w:rPr>
        <w:t> </w:t>
      </w:r>
      <w:r>
        <w:rPr>
          <w:spacing w:val="-63"/>
        </w:rPr>
      </w:r>
      <w:r>
        <w:rPr>
          <w:spacing w:val="-2"/>
        </w:rPr>
        <w:t>签署了合作协议，通过强强联合协同、优质资源的进一步整合，助力公司在大数据、人工智能、智能医疗等创新领域的快速</w:t>
      </w:r>
      <w:r>
        <w:rPr>
          <w:spacing w:val="-63"/>
        </w:rPr>
        <w:t> </w:t>
      </w:r>
      <w:r>
        <w:rPr>
          <w:spacing w:val="-63"/>
        </w:rPr>
      </w:r>
      <w:r>
        <w:rPr/>
        <w:t>成长。</w:t>
      </w:r>
    </w:p>
    <w:p>
      <w:pPr>
        <w:spacing w:line="57" w:lineRule="exact"/>
        <w:ind w:left="733" w:right="0" w:firstLine="0"/>
        <w:rPr>
          <w:rFonts w:ascii="宋体" w:hAnsi="宋体" w:cs="宋体" w:eastAsia="宋体" w:hint="default"/>
          <w:sz w:val="5"/>
          <w:szCs w:val="5"/>
        </w:rPr>
      </w:pPr>
      <w:r>
        <w:rPr>
          <w:rFonts w:ascii="宋体" w:hAnsi="宋体" w:cs="宋体" w:eastAsia="宋体" w:hint="default"/>
          <w:position w:val="0"/>
          <w:sz w:val="5"/>
          <w:szCs w:val="5"/>
        </w:rPr>
        <w:pict>
          <v:group style="width:420pt;height:2.9pt;mso-position-horizontal-relative:char;mso-position-vertical-relative:line" coordorigin="0,0" coordsize="8400,58">
            <v:group style="position:absolute;left:29;top:29;width:8342;height:2" coordorigin="29,29" coordsize="8342,2">
              <v:shape style="position:absolute;left:29;top:29;width:8342;height:2" coordorigin="29,29" coordsize="8342,0" path="m29,29l8371,29e" filled="false" stroked="true" strokeweight="2.88pt" strokecolor="#000000">
                <v:path arrowok="t"/>
              </v:shape>
            </v:group>
          </v:group>
        </w:pict>
      </w:r>
      <w:r>
        <w:rPr>
          <w:rFonts w:ascii="宋体" w:hAnsi="宋体" w:cs="宋体" w:eastAsia="宋体" w:hint="default"/>
          <w:position w:val="0"/>
          <w:sz w:val="5"/>
          <w:szCs w:val="5"/>
        </w:rPr>
      </w:r>
    </w:p>
    <w:tbl>
      <w:tblPr>
        <w:tblW w:w="0" w:type="auto"/>
        <w:jc w:val="left"/>
        <w:tblInd w:w="731" w:type="dxa"/>
        <w:tblLayout w:type="fixed"/>
        <w:tblCellMar>
          <w:top w:w="0" w:type="dxa"/>
          <w:left w:w="0" w:type="dxa"/>
          <w:bottom w:w="0" w:type="dxa"/>
          <w:right w:w="0" w:type="dxa"/>
        </w:tblCellMar>
        <w:tblLook w:val="01E0"/>
      </w:tblPr>
      <w:tblGrid>
        <w:gridCol w:w="1249"/>
        <w:gridCol w:w="5428"/>
        <w:gridCol w:w="1670"/>
      </w:tblGrid>
      <w:tr>
        <w:trPr>
          <w:trHeight w:val="412" w:hRule="exact"/>
        </w:trPr>
        <w:tc>
          <w:tcPr>
            <w:tcW w:w="1249" w:type="dxa"/>
            <w:tcBorders>
              <w:top w:val="single" w:sz="6" w:space="0" w:color="000000"/>
              <w:left w:val="nil" w:sz="6" w:space="0" w:color="auto"/>
              <w:bottom w:val="single" w:sz="8" w:space="0" w:color="000000"/>
              <w:right w:val="single" w:sz="8" w:space="0" w:color="000000"/>
            </w:tcBorders>
            <w:shd w:val="clear" w:color="auto" w:fill="BDBDBD"/>
          </w:tcPr>
          <w:p>
            <w:pPr>
              <w:pStyle w:val="TableParagraph"/>
              <w:spacing w:line="240" w:lineRule="auto" w:before="54"/>
              <w:ind w:left="264" w:right="0"/>
              <w:jc w:val="left"/>
              <w:rPr>
                <w:rFonts w:ascii="宋体" w:hAnsi="宋体" w:cs="宋体" w:eastAsia="宋体" w:hint="default"/>
                <w:sz w:val="18"/>
                <w:szCs w:val="18"/>
              </w:rPr>
            </w:pPr>
            <w:r>
              <w:rPr>
                <w:rFonts w:ascii="宋体" w:hAnsi="宋体" w:cs="宋体" w:eastAsia="宋体" w:hint="default"/>
                <w:b/>
                <w:bCs/>
                <w:sz w:val="18"/>
                <w:szCs w:val="18"/>
              </w:rPr>
              <w:t>合作对象</w:t>
            </w:r>
            <w:r>
              <w:rPr>
                <w:rFonts w:ascii="宋体" w:hAnsi="宋体" w:cs="宋体" w:eastAsia="宋体" w:hint="default"/>
                <w:sz w:val="18"/>
                <w:szCs w:val="18"/>
              </w:rPr>
            </w:r>
          </w:p>
        </w:tc>
        <w:tc>
          <w:tcPr>
            <w:tcW w:w="5428" w:type="dxa"/>
            <w:tcBorders>
              <w:top w:val="single" w:sz="6" w:space="0" w:color="000000"/>
              <w:left w:val="single" w:sz="8" w:space="0" w:color="000000"/>
              <w:bottom w:val="single" w:sz="8" w:space="0" w:color="000000"/>
              <w:right w:val="single" w:sz="8" w:space="0" w:color="000000"/>
            </w:tcBorders>
            <w:shd w:val="clear" w:color="auto" w:fill="BDBDBD"/>
          </w:tcPr>
          <w:p>
            <w:pPr>
              <w:pStyle w:val="TableParagraph"/>
              <w:spacing w:line="240" w:lineRule="auto" w:before="54"/>
              <w:ind w:left="2" w:right="0"/>
              <w:jc w:val="center"/>
              <w:rPr>
                <w:rFonts w:ascii="宋体" w:hAnsi="宋体" w:cs="宋体" w:eastAsia="宋体" w:hint="default"/>
                <w:sz w:val="18"/>
                <w:szCs w:val="18"/>
              </w:rPr>
            </w:pPr>
            <w:r>
              <w:rPr>
                <w:rFonts w:ascii="宋体" w:hAnsi="宋体" w:cs="宋体" w:eastAsia="宋体" w:hint="default"/>
                <w:b/>
                <w:bCs/>
                <w:sz w:val="18"/>
                <w:szCs w:val="18"/>
              </w:rPr>
              <w:t>合作内容</w:t>
            </w:r>
            <w:r>
              <w:rPr>
                <w:rFonts w:ascii="宋体" w:hAnsi="宋体" w:cs="宋体" w:eastAsia="宋体" w:hint="default"/>
                <w:sz w:val="18"/>
                <w:szCs w:val="18"/>
              </w:rPr>
            </w:r>
          </w:p>
        </w:tc>
        <w:tc>
          <w:tcPr>
            <w:tcW w:w="1670" w:type="dxa"/>
            <w:tcBorders>
              <w:top w:val="single" w:sz="6" w:space="0" w:color="000000"/>
              <w:left w:val="single" w:sz="8" w:space="0" w:color="000000"/>
              <w:bottom w:val="single" w:sz="8" w:space="0" w:color="000000"/>
              <w:right w:val="nil" w:sz="6" w:space="0" w:color="auto"/>
            </w:tcBorders>
            <w:shd w:val="clear" w:color="auto" w:fill="BDBDBD"/>
          </w:tcPr>
          <w:p>
            <w:pPr>
              <w:pStyle w:val="TableParagraph"/>
              <w:spacing w:line="240" w:lineRule="auto" w:before="54"/>
              <w:ind w:left="283" w:right="0"/>
              <w:jc w:val="left"/>
              <w:rPr>
                <w:rFonts w:ascii="宋体" w:hAnsi="宋体" w:cs="宋体" w:eastAsia="宋体" w:hint="default"/>
                <w:sz w:val="18"/>
                <w:szCs w:val="18"/>
              </w:rPr>
            </w:pPr>
            <w:r>
              <w:rPr>
                <w:rFonts w:ascii="宋体" w:hAnsi="宋体" w:cs="宋体" w:eastAsia="宋体" w:hint="default"/>
                <w:b/>
                <w:bCs/>
                <w:sz w:val="18"/>
                <w:szCs w:val="18"/>
              </w:rPr>
              <w:t>协议签署日期</w:t>
            </w:r>
            <w:r>
              <w:rPr>
                <w:rFonts w:ascii="宋体" w:hAnsi="宋体" w:cs="宋体" w:eastAsia="宋体" w:hint="default"/>
                <w:sz w:val="18"/>
                <w:szCs w:val="18"/>
              </w:rPr>
            </w:r>
          </w:p>
        </w:tc>
      </w:tr>
      <w:tr>
        <w:trPr>
          <w:trHeight w:val="362" w:hRule="exact"/>
        </w:trPr>
        <w:tc>
          <w:tcPr>
            <w:tcW w:w="1249" w:type="dxa"/>
            <w:tcBorders>
              <w:top w:val="single" w:sz="8" w:space="0" w:color="000000"/>
              <w:left w:val="nil" w:sz="6" w:space="0" w:color="auto"/>
              <w:bottom w:val="nil" w:sz="6" w:space="0" w:color="auto"/>
              <w:right w:val="single" w:sz="8" w:space="0" w:color="000000"/>
            </w:tcBorders>
          </w:tcPr>
          <w:p>
            <w:pPr/>
          </w:p>
        </w:tc>
        <w:tc>
          <w:tcPr>
            <w:tcW w:w="5428" w:type="dxa"/>
            <w:tcBorders>
              <w:top w:val="single" w:sz="8" w:space="0" w:color="000000"/>
              <w:left w:val="single" w:sz="8" w:space="0" w:color="000000"/>
              <w:bottom w:val="nil" w:sz="6" w:space="0" w:color="auto"/>
              <w:right w:val="single" w:sz="8" w:space="0" w:color="000000"/>
            </w:tcBorders>
          </w:tcPr>
          <w:p>
            <w:pPr>
              <w:pStyle w:val="TableParagraph"/>
              <w:spacing w:line="240" w:lineRule="auto" w:before="50"/>
              <w:ind w:left="98" w:right="0"/>
              <w:jc w:val="left"/>
              <w:rPr>
                <w:rFonts w:ascii="宋体" w:hAnsi="宋体" w:cs="宋体" w:eastAsia="宋体" w:hint="default"/>
                <w:sz w:val="18"/>
                <w:szCs w:val="18"/>
              </w:rPr>
            </w:pPr>
            <w:r>
              <w:rPr>
                <w:rFonts w:ascii="宋体" w:hAnsi="宋体" w:cs="宋体" w:eastAsia="宋体" w:hint="default"/>
                <w:sz w:val="18"/>
                <w:szCs w:val="18"/>
              </w:rPr>
              <w:t>未来双方将就共同打造“未来医疗”新模式的生态体系，共同打造</w:t>
            </w:r>
          </w:p>
        </w:tc>
        <w:tc>
          <w:tcPr>
            <w:tcW w:w="1670" w:type="dxa"/>
            <w:tcBorders>
              <w:top w:val="single" w:sz="8" w:space="0" w:color="000000"/>
              <w:left w:val="single" w:sz="8" w:space="0" w:color="000000"/>
              <w:bottom w:val="nil" w:sz="6" w:space="0" w:color="auto"/>
              <w:right w:val="nil" w:sz="6" w:space="0" w:color="auto"/>
            </w:tcBorders>
          </w:tcPr>
          <w:p>
            <w:pPr/>
          </w:p>
        </w:tc>
      </w:tr>
      <w:tr>
        <w:trPr>
          <w:trHeight w:val="624" w:hRule="exact"/>
        </w:trPr>
        <w:tc>
          <w:tcPr>
            <w:tcW w:w="1249" w:type="dxa"/>
            <w:tcBorders>
              <w:top w:val="nil" w:sz="6" w:space="0" w:color="auto"/>
              <w:left w:val="nil" w:sz="6" w:space="0" w:color="auto"/>
              <w:bottom w:val="nil" w:sz="6" w:space="0" w:color="auto"/>
              <w:right w:val="single" w:sz="8"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蚂蚁金服</w:t>
            </w:r>
          </w:p>
        </w:tc>
        <w:tc>
          <w:tcPr>
            <w:tcW w:w="5428" w:type="dxa"/>
            <w:tcBorders>
              <w:top w:val="nil" w:sz="6" w:space="0" w:color="auto"/>
              <w:left w:val="single" w:sz="8" w:space="0" w:color="000000"/>
              <w:bottom w:val="nil" w:sz="6" w:space="0" w:color="auto"/>
              <w:right w:val="single" w:sz="8" w:space="0" w:color="000000"/>
            </w:tcBorders>
          </w:tcPr>
          <w:p>
            <w:pPr>
              <w:pStyle w:val="TableParagraph"/>
              <w:spacing w:line="316" w:lineRule="auto" w:before="10"/>
              <w:ind w:left="98" w:right="95"/>
              <w:jc w:val="left"/>
              <w:rPr>
                <w:rFonts w:ascii="宋体" w:hAnsi="宋体" w:cs="宋体" w:eastAsia="宋体" w:hint="default"/>
                <w:sz w:val="18"/>
                <w:szCs w:val="18"/>
              </w:rPr>
            </w:pPr>
            <w:r>
              <w:rPr>
                <w:rFonts w:ascii="宋体" w:hAnsi="宋体" w:cs="宋体" w:eastAsia="宋体" w:hint="default"/>
                <w:sz w:val="18"/>
                <w:szCs w:val="18"/>
              </w:rPr>
              <w:t>“未来医疗”新模式的就医体验，将共同开展支付宝业务合作，共 同进行大数据、人工智能方面探索创新，共同推进生物识别技术在</w:t>
            </w:r>
          </w:p>
        </w:tc>
        <w:tc>
          <w:tcPr>
            <w:tcW w:w="1670" w:type="dxa"/>
            <w:tcBorders>
              <w:top w:val="nil" w:sz="6" w:space="0" w:color="auto"/>
              <w:left w:val="single" w:sz="8"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r>
      <w:tr>
        <w:trPr>
          <w:trHeight w:val="362" w:hRule="exact"/>
        </w:trPr>
        <w:tc>
          <w:tcPr>
            <w:tcW w:w="1249" w:type="dxa"/>
            <w:tcBorders>
              <w:top w:val="nil" w:sz="6" w:space="0" w:color="auto"/>
              <w:left w:val="nil" w:sz="6" w:space="0" w:color="auto"/>
              <w:bottom w:val="single" w:sz="8" w:space="0" w:color="000000"/>
              <w:right w:val="single" w:sz="8" w:space="0" w:color="000000"/>
            </w:tcBorders>
          </w:tcPr>
          <w:p>
            <w:pPr/>
          </w:p>
        </w:tc>
        <w:tc>
          <w:tcPr>
            <w:tcW w:w="5428"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10"/>
              <w:ind w:left="98" w:right="0"/>
              <w:jc w:val="left"/>
              <w:rPr>
                <w:rFonts w:ascii="宋体" w:hAnsi="宋体" w:cs="宋体" w:eastAsia="宋体" w:hint="default"/>
                <w:sz w:val="18"/>
                <w:szCs w:val="18"/>
              </w:rPr>
            </w:pPr>
            <w:r>
              <w:rPr>
                <w:rFonts w:ascii="宋体" w:hAnsi="宋体" w:cs="宋体" w:eastAsia="宋体" w:hint="default"/>
                <w:sz w:val="18"/>
                <w:szCs w:val="18"/>
              </w:rPr>
              <w:t>健康医疗领域落地应用等方面进行合作。</w:t>
            </w:r>
          </w:p>
        </w:tc>
        <w:tc>
          <w:tcPr>
            <w:tcW w:w="1670" w:type="dxa"/>
            <w:tcBorders>
              <w:top w:val="nil" w:sz="6" w:space="0" w:color="auto"/>
              <w:left w:val="single" w:sz="8" w:space="0" w:color="000000"/>
              <w:bottom w:val="single" w:sz="8" w:space="0" w:color="000000"/>
              <w:right w:val="nil" w:sz="6" w:space="0" w:color="auto"/>
            </w:tcBorders>
          </w:tcPr>
          <w:p>
            <w:pPr/>
          </w:p>
        </w:tc>
      </w:tr>
      <w:tr>
        <w:trPr>
          <w:trHeight w:val="367" w:hRule="exact"/>
        </w:trPr>
        <w:tc>
          <w:tcPr>
            <w:tcW w:w="1249" w:type="dxa"/>
            <w:tcBorders>
              <w:top w:val="single" w:sz="8" w:space="0" w:color="000000"/>
              <w:left w:val="nil" w:sz="6" w:space="0" w:color="auto"/>
              <w:bottom w:val="nil" w:sz="6" w:space="0" w:color="auto"/>
              <w:right w:val="single" w:sz="8" w:space="0" w:color="000000"/>
            </w:tcBorders>
          </w:tcPr>
          <w:p>
            <w:pPr/>
          </w:p>
        </w:tc>
        <w:tc>
          <w:tcPr>
            <w:tcW w:w="5428" w:type="dxa"/>
            <w:tcBorders>
              <w:top w:val="single" w:sz="8" w:space="0" w:color="000000"/>
              <w:left w:val="single" w:sz="8" w:space="0" w:color="000000"/>
              <w:bottom w:val="nil" w:sz="6" w:space="0" w:color="auto"/>
              <w:right w:val="single" w:sz="8" w:space="0" w:color="000000"/>
            </w:tcBorders>
          </w:tcPr>
          <w:p>
            <w:pPr>
              <w:pStyle w:val="TableParagraph"/>
              <w:spacing w:line="240" w:lineRule="auto" w:before="51"/>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）共同打造健康城市整体建设运营解决方案，推进人脸识别、电</w:t>
            </w:r>
          </w:p>
        </w:tc>
        <w:tc>
          <w:tcPr>
            <w:tcW w:w="1670" w:type="dxa"/>
            <w:tcBorders>
              <w:top w:val="single" w:sz="8" w:space="0" w:color="000000"/>
              <w:left w:val="single" w:sz="8" w:space="0" w:color="000000"/>
              <w:bottom w:val="nil" w:sz="6" w:space="0" w:color="auto"/>
              <w:right w:val="nil" w:sz="6" w:space="0" w:color="auto"/>
            </w:tcBorders>
          </w:tcPr>
          <w:p>
            <w:pPr/>
          </w:p>
        </w:tc>
      </w:tr>
      <w:tr>
        <w:trPr>
          <w:trHeight w:val="312" w:hRule="exact"/>
        </w:trPr>
        <w:tc>
          <w:tcPr>
            <w:tcW w:w="1249" w:type="dxa"/>
            <w:tcBorders>
              <w:top w:val="nil" w:sz="6" w:space="0" w:color="auto"/>
              <w:left w:val="nil" w:sz="6" w:space="0" w:color="auto"/>
              <w:bottom w:val="nil" w:sz="6" w:space="0" w:color="auto"/>
              <w:right w:val="single" w:sz="8" w:space="0" w:color="000000"/>
            </w:tcBorders>
          </w:tcPr>
          <w:p>
            <w:pPr/>
          </w:p>
        </w:tc>
        <w:tc>
          <w:tcPr>
            <w:tcW w:w="5428" w:type="dxa"/>
            <w:tcBorders>
              <w:top w:val="nil" w:sz="6" w:space="0" w:color="auto"/>
              <w:left w:val="single" w:sz="8" w:space="0" w:color="000000"/>
              <w:bottom w:val="nil" w:sz="6" w:space="0" w:color="auto"/>
              <w:right w:val="single" w:sz="8" w:space="0" w:color="000000"/>
            </w:tcBorders>
          </w:tcPr>
          <w:p>
            <w:pPr>
              <w:pStyle w:val="TableParagraph"/>
              <w:spacing w:line="240" w:lineRule="auto" w:before="5"/>
              <w:ind w:left="98" w:right="0"/>
              <w:jc w:val="left"/>
              <w:rPr>
                <w:rFonts w:ascii="宋体" w:hAnsi="宋体" w:cs="宋体" w:eastAsia="宋体" w:hint="default"/>
                <w:sz w:val="18"/>
                <w:szCs w:val="18"/>
              </w:rPr>
            </w:pPr>
            <w:r>
              <w:rPr>
                <w:rFonts w:ascii="宋体" w:hAnsi="宋体" w:cs="宋体" w:eastAsia="宋体" w:hint="default"/>
                <w:sz w:val="18"/>
                <w:szCs w:val="18"/>
              </w:rPr>
              <w:t>子社保卡、微信城市门户、微信支付等便民惠民服务；</w:t>
            </w:r>
            <w:r>
              <w:rPr>
                <w:rFonts w:ascii="Times New Roman" w:hAnsi="Times New Roman" w:cs="Times New Roman" w:eastAsia="Times New Roman" w:hint="default"/>
                <w:sz w:val="18"/>
                <w:szCs w:val="18"/>
              </w:rPr>
              <w:t>2</w:t>
            </w:r>
            <w:r>
              <w:rPr>
                <w:rFonts w:ascii="宋体" w:hAnsi="宋体" w:cs="宋体" w:eastAsia="宋体" w:hint="default"/>
                <w:sz w:val="18"/>
                <w:szCs w:val="18"/>
              </w:rPr>
              <w:t>）共同研</w:t>
            </w:r>
          </w:p>
        </w:tc>
        <w:tc>
          <w:tcPr>
            <w:tcW w:w="1670" w:type="dxa"/>
            <w:tcBorders>
              <w:top w:val="nil" w:sz="6" w:space="0" w:color="auto"/>
              <w:left w:val="single" w:sz="8" w:space="0" w:color="000000"/>
              <w:bottom w:val="nil" w:sz="6" w:space="0" w:color="auto"/>
              <w:right w:val="nil" w:sz="6" w:space="0" w:color="auto"/>
            </w:tcBorders>
          </w:tcPr>
          <w:p>
            <w:pPr/>
          </w:p>
        </w:tc>
      </w:tr>
      <w:tr>
        <w:trPr>
          <w:trHeight w:val="619" w:hRule="exact"/>
        </w:trPr>
        <w:tc>
          <w:tcPr>
            <w:tcW w:w="1249" w:type="dxa"/>
            <w:tcBorders>
              <w:top w:val="nil" w:sz="6" w:space="0" w:color="auto"/>
              <w:left w:val="nil" w:sz="6" w:space="0" w:color="auto"/>
              <w:bottom w:val="nil" w:sz="6" w:space="0" w:color="auto"/>
              <w:right w:val="single" w:sz="8" w:space="0" w:color="000000"/>
            </w:tcBorders>
          </w:tcPr>
          <w:p>
            <w:pPr>
              <w:pStyle w:val="TableParagraph"/>
              <w:spacing w:line="240" w:lineRule="auto" w:before="161"/>
              <w:ind w:left="108" w:right="0"/>
              <w:jc w:val="left"/>
              <w:rPr>
                <w:rFonts w:ascii="宋体" w:hAnsi="宋体" w:cs="宋体" w:eastAsia="宋体" w:hint="default"/>
                <w:sz w:val="18"/>
                <w:szCs w:val="18"/>
              </w:rPr>
            </w:pPr>
            <w:r>
              <w:rPr>
                <w:rFonts w:ascii="宋体" w:hAnsi="宋体" w:cs="宋体" w:eastAsia="宋体" w:hint="default"/>
                <w:sz w:val="18"/>
                <w:szCs w:val="18"/>
              </w:rPr>
              <w:t>腾讯</w:t>
            </w:r>
          </w:p>
        </w:tc>
        <w:tc>
          <w:tcPr>
            <w:tcW w:w="5428" w:type="dxa"/>
            <w:tcBorders>
              <w:top w:val="nil" w:sz="6" w:space="0" w:color="auto"/>
              <w:left w:val="single" w:sz="8" w:space="0" w:color="000000"/>
              <w:bottom w:val="nil" w:sz="6" w:space="0" w:color="auto"/>
              <w:right w:val="single" w:sz="8" w:space="0" w:color="000000"/>
            </w:tcBorders>
          </w:tcPr>
          <w:p>
            <w:pPr>
              <w:pStyle w:val="TableParagraph"/>
              <w:spacing w:line="316" w:lineRule="auto" w:before="5"/>
              <w:ind w:left="98" w:right="7"/>
              <w:jc w:val="left"/>
              <w:rPr>
                <w:rFonts w:ascii="宋体" w:hAnsi="宋体" w:cs="宋体" w:eastAsia="宋体" w:hint="default"/>
                <w:sz w:val="18"/>
                <w:szCs w:val="18"/>
              </w:rPr>
            </w:pPr>
            <w:r>
              <w:rPr>
                <w:rFonts w:ascii="宋体" w:hAnsi="宋体" w:cs="宋体" w:eastAsia="宋体" w:hint="default"/>
                <w:sz w:val="18"/>
                <w:szCs w:val="18"/>
              </w:rPr>
              <w:t>发基于腾讯觅影人工智能、微信智慧医院的医疗卫生行业增值产 </w:t>
            </w:r>
            <w:r>
              <w:rPr>
                <w:rFonts w:ascii="宋体" w:hAnsi="宋体" w:cs="宋体" w:eastAsia="宋体" w:hint="default"/>
                <w:spacing w:val="-4"/>
                <w:sz w:val="18"/>
                <w:szCs w:val="18"/>
              </w:rPr>
              <w:t>品，为医院、基层医疗的人工智能可收费服务的开展搭建支持平台；</w:t>
            </w:r>
          </w:p>
        </w:tc>
        <w:tc>
          <w:tcPr>
            <w:tcW w:w="1670" w:type="dxa"/>
            <w:tcBorders>
              <w:top w:val="nil" w:sz="6" w:space="0" w:color="auto"/>
              <w:left w:val="single" w:sz="8" w:space="0" w:color="000000"/>
              <w:bottom w:val="nil" w:sz="6" w:space="0" w:color="auto"/>
              <w:right w:val="nil" w:sz="6" w:space="0" w:color="auto"/>
            </w:tcBorders>
          </w:tcPr>
          <w:p>
            <w:pPr>
              <w:pStyle w:val="TableParagraph"/>
              <w:spacing w:line="240" w:lineRule="auto" w:before="161"/>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r>
      <w:tr>
        <w:trPr>
          <w:trHeight w:val="317" w:hRule="exact"/>
        </w:trPr>
        <w:tc>
          <w:tcPr>
            <w:tcW w:w="1249" w:type="dxa"/>
            <w:tcBorders>
              <w:top w:val="nil" w:sz="6" w:space="0" w:color="auto"/>
              <w:left w:val="nil" w:sz="6" w:space="0" w:color="auto"/>
              <w:bottom w:val="nil" w:sz="6" w:space="0" w:color="auto"/>
              <w:right w:val="single" w:sz="8" w:space="0" w:color="000000"/>
            </w:tcBorders>
          </w:tcPr>
          <w:p>
            <w:pPr/>
          </w:p>
        </w:tc>
        <w:tc>
          <w:tcPr>
            <w:tcW w:w="5428" w:type="dxa"/>
            <w:tcBorders>
              <w:top w:val="nil" w:sz="6" w:space="0" w:color="auto"/>
              <w:left w:val="single" w:sz="8" w:space="0" w:color="000000"/>
              <w:bottom w:val="nil" w:sz="6" w:space="0" w:color="auto"/>
              <w:right w:val="single" w:sz="8" w:space="0" w:color="000000"/>
            </w:tcBorders>
          </w:tcPr>
          <w:p>
            <w:pPr>
              <w:pStyle w:val="TableParagraph"/>
              <w:spacing w:line="240" w:lineRule="auto" w:before="10"/>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）融合双方产品优势，共同探索以腾讯平台为核心的开放式医院</w:t>
            </w:r>
          </w:p>
        </w:tc>
        <w:tc>
          <w:tcPr>
            <w:tcW w:w="1670" w:type="dxa"/>
            <w:tcBorders>
              <w:top w:val="nil" w:sz="6" w:space="0" w:color="auto"/>
              <w:left w:val="single" w:sz="8" w:space="0" w:color="000000"/>
              <w:bottom w:val="nil" w:sz="6" w:space="0" w:color="auto"/>
              <w:right w:val="nil" w:sz="6" w:space="0" w:color="auto"/>
            </w:tcBorders>
          </w:tcPr>
          <w:p>
            <w:pPr/>
          </w:p>
        </w:tc>
      </w:tr>
      <w:tr>
        <w:trPr>
          <w:trHeight w:val="357" w:hRule="exact"/>
        </w:trPr>
        <w:tc>
          <w:tcPr>
            <w:tcW w:w="1249" w:type="dxa"/>
            <w:tcBorders>
              <w:top w:val="nil" w:sz="6" w:space="0" w:color="auto"/>
              <w:left w:val="nil" w:sz="6" w:space="0" w:color="auto"/>
              <w:bottom w:val="single" w:sz="8" w:space="0" w:color="000000"/>
              <w:right w:val="single" w:sz="8" w:space="0" w:color="000000"/>
            </w:tcBorders>
          </w:tcPr>
          <w:p>
            <w:pPr/>
          </w:p>
        </w:tc>
        <w:tc>
          <w:tcPr>
            <w:tcW w:w="5428"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5"/>
              <w:ind w:left="98" w:right="0"/>
              <w:jc w:val="left"/>
              <w:rPr>
                <w:rFonts w:ascii="宋体" w:hAnsi="宋体" w:cs="宋体" w:eastAsia="宋体" w:hint="default"/>
                <w:sz w:val="18"/>
                <w:szCs w:val="18"/>
              </w:rPr>
            </w:pPr>
            <w:r>
              <w:rPr>
                <w:rFonts w:ascii="宋体" w:hAnsi="宋体" w:cs="宋体" w:eastAsia="宋体" w:hint="default"/>
                <w:sz w:val="18"/>
                <w:szCs w:val="18"/>
              </w:rPr>
              <w:t>信息化发展思路，提升合作站位，创新深度合作模式。</w:t>
            </w:r>
          </w:p>
        </w:tc>
        <w:tc>
          <w:tcPr>
            <w:tcW w:w="1670" w:type="dxa"/>
            <w:tcBorders>
              <w:top w:val="nil" w:sz="6" w:space="0" w:color="auto"/>
              <w:left w:val="single" w:sz="8" w:space="0" w:color="000000"/>
              <w:bottom w:val="single" w:sz="8" w:space="0" w:color="000000"/>
              <w:right w:val="nil" w:sz="6" w:space="0" w:color="auto"/>
            </w:tcBorders>
          </w:tcPr>
          <w:p>
            <w:pPr/>
          </w:p>
        </w:tc>
      </w:tr>
      <w:tr>
        <w:trPr>
          <w:trHeight w:val="363" w:hRule="exact"/>
        </w:trPr>
        <w:tc>
          <w:tcPr>
            <w:tcW w:w="1249" w:type="dxa"/>
            <w:tcBorders>
              <w:top w:val="single" w:sz="8" w:space="0" w:color="000000"/>
              <w:left w:val="nil" w:sz="6" w:space="0" w:color="auto"/>
              <w:bottom w:val="nil" w:sz="6" w:space="0" w:color="auto"/>
              <w:right w:val="single" w:sz="8" w:space="0" w:color="000000"/>
            </w:tcBorders>
          </w:tcPr>
          <w:p>
            <w:pPr/>
          </w:p>
        </w:tc>
        <w:tc>
          <w:tcPr>
            <w:tcW w:w="5428" w:type="dxa"/>
            <w:tcBorders>
              <w:top w:val="single" w:sz="8" w:space="0" w:color="000000"/>
              <w:left w:val="single" w:sz="8" w:space="0" w:color="000000"/>
              <w:bottom w:val="nil" w:sz="6" w:space="0" w:color="auto"/>
              <w:right w:val="single" w:sz="8" w:space="0" w:color="000000"/>
            </w:tcBorders>
          </w:tcPr>
          <w:p>
            <w:pPr>
              <w:pStyle w:val="TableParagraph"/>
              <w:spacing w:line="240" w:lineRule="auto" w:before="52"/>
              <w:ind w:left="98" w:right="0"/>
              <w:jc w:val="left"/>
              <w:rPr>
                <w:rFonts w:ascii="宋体" w:hAnsi="宋体" w:cs="宋体" w:eastAsia="宋体" w:hint="default"/>
                <w:sz w:val="18"/>
                <w:szCs w:val="18"/>
              </w:rPr>
            </w:pPr>
            <w:r>
              <w:rPr>
                <w:rFonts w:ascii="宋体" w:hAnsi="宋体" w:cs="宋体" w:eastAsia="宋体" w:hint="default"/>
                <w:sz w:val="18"/>
                <w:szCs w:val="18"/>
              </w:rPr>
              <w:t>联想、创业慧康、慧康物联三方将以共同建设领先的智能设备、数</w:t>
            </w:r>
          </w:p>
        </w:tc>
        <w:tc>
          <w:tcPr>
            <w:tcW w:w="1670" w:type="dxa"/>
            <w:tcBorders>
              <w:top w:val="single" w:sz="8" w:space="0" w:color="000000"/>
              <w:left w:val="single" w:sz="8" w:space="0" w:color="000000"/>
              <w:bottom w:val="nil" w:sz="6" w:space="0" w:color="auto"/>
              <w:right w:val="nil" w:sz="6" w:space="0" w:color="auto"/>
            </w:tcBorders>
          </w:tcPr>
          <w:p>
            <w:pPr/>
          </w:p>
        </w:tc>
      </w:tr>
      <w:tr>
        <w:trPr>
          <w:trHeight w:val="316" w:hRule="exact"/>
        </w:trPr>
        <w:tc>
          <w:tcPr>
            <w:tcW w:w="1249" w:type="dxa"/>
            <w:tcBorders>
              <w:top w:val="nil" w:sz="6" w:space="0" w:color="auto"/>
              <w:left w:val="nil" w:sz="6" w:space="0" w:color="auto"/>
              <w:bottom w:val="nil" w:sz="6" w:space="0" w:color="auto"/>
              <w:right w:val="single" w:sz="8" w:space="0" w:color="000000"/>
            </w:tcBorders>
          </w:tcPr>
          <w:p>
            <w:pPr/>
          </w:p>
        </w:tc>
        <w:tc>
          <w:tcPr>
            <w:tcW w:w="5428" w:type="dxa"/>
            <w:tcBorders>
              <w:top w:val="nil" w:sz="6" w:space="0" w:color="auto"/>
              <w:left w:val="single" w:sz="8" w:space="0" w:color="000000"/>
              <w:bottom w:val="nil" w:sz="6" w:space="0" w:color="auto"/>
              <w:right w:val="single" w:sz="8" w:space="0" w:color="000000"/>
            </w:tcBorders>
          </w:tcPr>
          <w:p>
            <w:pPr>
              <w:pStyle w:val="TableParagraph"/>
              <w:spacing w:line="240" w:lineRule="auto" w:before="10"/>
              <w:ind w:left="98" w:right="0"/>
              <w:jc w:val="left"/>
              <w:rPr>
                <w:rFonts w:ascii="宋体" w:hAnsi="宋体" w:cs="宋体" w:eastAsia="宋体" w:hint="default"/>
                <w:sz w:val="18"/>
                <w:szCs w:val="18"/>
              </w:rPr>
            </w:pPr>
            <w:r>
              <w:rPr>
                <w:rFonts w:ascii="宋体" w:hAnsi="宋体" w:cs="宋体" w:eastAsia="宋体" w:hint="default"/>
                <w:sz w:val="18"/>
                <w:szCs w:val="18"/>
              </w:rPr>
              <w:t>字病房、穿戴设备、人工智能体系为核心，围绕“互联网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健康”</w:t>
            </w:r>
          </w:p>
        </w:tc>
        <w:tc>
          <w:tcPr>
            <w:tcW w:w="1670" w:type="dxa"/>
            <w:tcBorders>
              <w:top w:val="nil" w:sz="6" w:space="0" w:color="auto"/>
              <w:left w:val="single" w:sz="8" w:space="0" w:color="000000"/>
              <w:bottom w:val="nil" w:sz="6" w:space="0" w:color="auto"/>
              <w:right w:val="nil" w:sz="6" w:space="0" w:color="auto"/>
            </w:tcBorders>
          </w:tcPr>
          <w:p>
            <w:pPr/>
          </w:p>
        </w:tc>
      </w:tr>
      <w:tr>
        <w:trPr>
          <w:trHeight w:val="624" w:hRule="exact"/>
        </w:trPr>
        <w:tc>
          <w:tcPr>
            <w:tcW w:w="1249" w:type="dxa"/>
            <w:tcBorders>
              <w:top w:val="nil" w:sz="6" w:space="0" w:color="auto"/>
              <w:left w:val="nil" w:sz="6" w:space="0" w:color="auto"/>
              <w:bottom w:val="nil" w:sz="6" w:space="0" w:color="auto"/>
              <w:right w:val="single" w:sz="8"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联想</w:t>
            </w:r>
          </w:p>
        </w:tc>
        <w:tc>
          <w:tcPr>
            <w:tcW w:w="5428" w:type="dxa"/>
            <w:tcBorders>
              <w:top w:val="nil" w:sz="6" w:space="0" w:color="auto"/>
              <w:left w:val="single" w:sz="8" w:space="0" w:color="000000"/>
              <w:bottom w:val="nil" w:sz="6" w:space="0" w:color="auto"/>
              <w:right w:val="single" w:sz="8" w:space="0" w:color="000000"/>
            </w:tcBorders>
          </w:tcPr>
          <w:p>
            <w:pPr>
              <w:pStyle w:val="TableParagraph"/>
              <w:spacing w:line="300" w:lineRule="auto" w:before="6"/>
              <w:ind w:left="98" w:right="7"/>
              <w:jc w:val="left"/>
              <w:rPr>
                <w:rFonts w:ascii="宋体" w:hAnsi="宋体" w:cs="宋体" w:eastAsia="宋体" w:hint="default"/>
                <w:sz w:val="18"/>
                <w:szCs w:val="18"/>
              </w:rPr>
            </w:pPr>
            <w:r>
              <w:rPr>
                <w:rFonts w:ascii="宋体" w:hAnsi="宋体" w:cs="宋体" w:eastAsia="宋体" w:hint="default"/>
                <w:sz w:val="18"/>
                <w:szCs w:val="18"/>
              </w:rPr>
              <w:t>领域，开展长期合作：</w:t>
            </w:r>
            <w:r>
              <w:rPr>
                <w:rFonts w:ascii="Times New Roman" w:hAnsi="Times New Roman" w:cs="Times New Roman" w:eastAsia="Times New Roman" w:hint="default"/>
                <w:sz w:val="18"/>
                <w:szCs w:val="18"/>
              </w:rPr>
              <w:t>1</w:t>
            </w:r>
            <w:r>
              <w:rPr>
                <w:rFonts w:ascii="宋体" w:hAnsi="宋体" w:cs="宋体" w:eastAsia="宋体" w:hint="default"/>
                <w:sz w:val="18"/>
                <w:szCs w:val="18"/>
              </w:rPr>
              <w:t>、能力互补，优化“互联网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健康”生态体 </w:t>
            </w:r>
            <w:r>
              <w:rPr>
                <w:rFonts w:ascii="宋体" w:hAnsi="宋体" w:cs="宋体" w:eastAsia="宋体" w:hint="default"/>
                <w:spacing w:val="-4"/>
                <w:sz w:val="18"/>
                <w:szCs w:val="18"/>
              </w:rPr>
              <w:t>系；</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、基于物联网新技术共同合作试点智慧医疗创新业务模式；</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w:t>
            </w:r>
          </w:p>
        </w:tc>
        <w:tc>
          <w:tcPr>
            <w:tcW w:w="1670" w:type="dxa"/>
            <w:tcBorders>
              <w:top w:val="nil" w:sz="6" w:space="0" w:color="auto"/>
              <w:left w:val="single" w:sz="8"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9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r>
      <w:tr>
        <w:trPr>
          <w:trHeight w:val="312" w:hRule="exact"/>
        </w:trPr>
        <w:tc>
          <w:tcPr>
            <w:tcW w:w="1249" w:type="dxa"/>
            <w:tcBorders>
              <w:top w:val="nil" w:sz="6" w:space="0" w:color="auto"/>
              <w:left w:val="nil" w:sz="6" w:space="0" w:color="auto"/>
              <w:bottom w:val="nil" w:sz="6" w:space="0" w:color="auto"/>
              <w:right w:val="single" w:sz="8" w:space="0" w:color="000000"/>
            </w:tcBorders>
          </w:tcPr>
          <w:p>
            <w:pPr/>
          </w:p>
        </w:tc>
        <w:tc>
          <w:tcPr>
            <w:tcW w:w="5428" w:type="dxa"/>
            <w:tcBorders>
              <w:top w:val="nil" w:sz="6" w:space="0" w:color="auto"/>
              <w:left w:val="single" w:sz="8" w:space="0" w:color="000000"/>
              <w:bottom w:val="nil" w:sz="6" w:space="0" w:color="auto"/>
              <w:right w:val="single" w:sz="8" w:space="0" w:color="000000"/>
            </w:tcBorders>
          </w:tcPr>
          <w:p>
            <w:pPr>
              <w:pStyle w:val="TableParagraph"/>
              <w:spacing w:line="240" w:lineRule="auto" w:before="6"/>
              <w:ind w:left="98" w:right="0"/>
              <w:jc w:val="left"/>
              <w:rPr>
                <w:rFonts w:ascii="宋体" w:hAnsi="宋体" w:cs="宋体" w:eastAsia="宋体" w:hint="default"/>
                <w:sz w:val="18"/>
                <w:szCs w:val="18"/>
              </w:rPr>
            </w:pPr>
            <w:r>
              <w:rPr>
                <w:rFonts w:ascii="宋体" w:hAnsi="宋体" w:cs="宋体" w:eastAsia="宋体" w:hint="default"/>
                <w:sz w:val="18"/>
                <w:szCs w:val="18"/>
              </w:rPr>
              <w:t>共同推进物联网技术在健康医疗领域落地应用；</w:t>
            </w:r>
            <w:r>
              <w:rPr>
                <w:rFonts w:ascii="Times New Roman" w:hAnsi="Times New Roman" w:cs="Times New Roman" w:eastAsia="Times New Roman" w:hint="default"/>
                <w:sz w:val="18"/>
                <w:szCs w:val="18"/>
              </w:rPr>
              <w:t>4</w:t>
            </w:r>
            <w:r>
              <w:rPr>
                <w:rFonts w:ascii="宋体" w:hAnsi="宋体" w:cs="宋体" w:eastAsia="宋体" w:hint="default"/>
                <w:sz w:val="18"/>
                <w:szCs w:val="18"/>
              </w:rPr>
              <w:t>、全国范围内展</w:t>
            </w:r>
          </w:p>
        </w:tc>
        <w:tc>
          <w:tcPr>
            <w:tcW w:w="1670" w:type="dxa"/>
            <w:tcBorders>
              <w:top w:val="nil" w:sz="6" w:space="0" w:color="auto"/>
              <w:left w:val="single" w:sz="8" w:space="0" w:color="000000"/>
              <w:bottom w:val="nil" w:sz="6" w:space="0" w:color="auto"/>
              <w:right w:val="nil" w:sz="6" w:space="0" w:color="auto"/>
            </w:tcBorders>
          </w:tcPr>
          <w:p>
            <w:pPr/>
          </w:p>
        </w:tc>
      </w:tr>
      <w:tr>
        <w:trPr>
          <w:trHeight w:val="376" w:hRule="exact"/>
        </w:trPr>
        <w:tc>
          <w:tcPr>
            <w:tcW w:w="1249" w:type="dxa"/>
            <w:tcBorders>
              <w:top w:val="nil" w:sz="6" w:space="0" w:color="auto"/>
              <w:left w:val="nil" w:sz="6" w:space="0" w:color="auto"/>
              <w:bottom w:val="single" w:sz="23" w:space="0" w:color="000000"/>
              <w:right w:val="single" w:sz="8" w:space="0" w:color="000000"/>
            </w:tcBorders>
          </w:tcPr>
          <w:p>
            <w:pPr/>
          </w:p>
        </w:tc>
        <w:tc>
          <w:tcPr>
            <w:tcW w:w="5428" w:type="dxa"/>
            <w:tcBorders>
              <w:top w:val="nil" w:sz="6" w:space="0" w:color="auto"/>
              <w:left w:val="single" w:sz="8" w:space="0" w:color="000000"/>
              <w:bottom w:val="single" w:sz="23" w:space="0" w:color="000000"/>
              <w:right w:val="single" w:sz="8" w:space="0" w:color="000000"/>
            </w:tcBorders>
          </w:tcPr>
          <w:p>
            <w:pPr>
              <w:pStyle w:val="TableParagraph"/>
              <w:spacing w:line="240" w:lineRule="auto" w:before="6"/>
              <w:ind w:left="98" w:right="0"/>
              <w:jc w:val="left"/>
              <w:rPr>
                <w:rFonts w:ascii="宋体" w:hAnsi="宋体" w:cs="宋体" w:eastAsia="宋体" w:hint="default"/>
                <w:sz w:val="18"/>
                <w:szCs w:val="18"/>
              </w:rPr>
            </w:pPr>
            <w:r>
              <w:rPr>
                <w:rFonts w:ascii="宋体" w:hAnsi="宋体" w:cs="宋体" w:eastAsia="宋体" w:hint="default"/>
                <w:sz w:val="18"/>
                <w:szCs w:val="18"/>
              </w:rPr>
              <w:t>开物联网业务，并共同推进优化、提升健康医疗的智能体验。</w:t>
            </w:r>
          </w:p>
        </w:tc>
        <w:tc>
          <w:tcPr>
            <w:tcW w:w="1670" w:type="dxa"/>
            <w:tcBorders>
              <w:top w:val="nil" w:sz="6" w:space="0" w:color="auto"/>
              <w:left w:val="single" w:sz="8" w:space="0" w:color="000000"/>
              <w:bottom w:val="single" w:sz="23" w:space="0" w:color="000000"/>
              <w:right w:val="nil" w:sz="6" w:space="0" w:color="auto"/>
            </w:tcBorders>
          </w:tcPr>
          <w:p>
            <w:pPr/>
          </w:p>
        </w:tc>
      </w:tr>
    </w:tbl>
    <w:p>
      <w:pPr>
        <w:spacing w:line="240" w:lineRule="auto" w:before="11"/>
        <w:rPr>
          <w:rFonts w:ascii="宋体" w:hAnsi="宋体" w:cs="宋体" w:eastAsia="宋体" w:hint="default"/>
          <w:sz w:val="2"/>
          <w:szCs w:val="2"/>
        </w:rPr>
      </w:pPr>
    </w:p>
    <w:p>
      <w:pPr>
        <w:spacing w:line="20" w:lineRule="exact"/>
        <w:ind w:left="754" w:right="0" w:firstLine="0"/>
        <w:rPr>
          <w:rFonts w:ascii="宋体" w:hAnsi="宋体" w:cs="宋体" w:eastAsia="宋体" w:hint="default"/>
          <w:sz w:val="2"/>
          <w:szCs w:val="2"/>
        </w:rPr>
      </w:pPr>
      <w:r>
        <w:rPr>
          <w:rFonts w:ascii="宋体" w:hAnsi="宋体" w:cs="宋体" w:eastAsia="宋体" w:hint="default"/>
          <w:sz w:val="2"/>
          <w:szCs w:val="2"/>
        </w:rPr>
        <w:pict>
          <v:group style="width:417.85pt;height:.75pt;mso-position-horizontal-relative:char;mso-position-vertical-relative:line" coordorigin="0,0" coordsize="8357,15">
            <v:group style="position:absolute;left:7;top:7;width:8342;height:2" coordorigin="7,7" coordsize="8342,2">
              <v:shape style="position:absolute;left:7;top:7;width:8342;height:2" coordorigin="7,7" coordsize="8342,0" path="m7,7l8349,7e" filled="false" stroked="true" strokeweight=".72pt" strokecolor="#000000">
                <v:path arrowok="t"/>
              </v:shape>
            </v:group>
          </v:group>
        </w:pict>
      </w:r>
      <w:r>
        <w:rPr>
          <w:rFonts w:ascii="宋体" w:hAnsi="宋体" w:cs="宋体" w:eastAsia="宋体" w:hint="default"/>
          <w:sz w:val="2"/>
          <w:szCs w:val="2"/>
        </w:rPr>
      </w:r>
    </w:p>
    <w:p>
      <w:pPr>
        <w:pStyle w:val="BodyText"/>
        <w:spacing w:line="304" w:lineRule="auto" w:before="8"/>
        <w:ind w:right="1034" w:firstLine="360"/>
        <w:jc w:val="left"/>
      </w:pPr>
      <w:r>
        <w:rPr/>
        <w:t>报告期内，自</w:t>
      </w:r>
      <w:r>
        <w:rPr>
          <w:rFonts w:ascii="Times New Roman" w:hAnsi="Times New Roman" w:cs="Times New Roman" w:eastAsia="Times New Roman" w:hint="default"/>
        </w:rPr>
        <w:t>6</w:t>
      </w:r>
      <w:r>
        <w:rPr/>
        <w:t>月份起至今，公司医疗互联网业务群已经实现</w:t>
      </w:r>
      <w:r>
        <w:rPr>
          <w:rFonts w:ascii="Times New Roman" w:hAnsi="Times New Roman" w:cs="Times New Roman" w:eastAsia="Times New Roman" w:hint="default"/>
        </w:rPr>
        <w:t>600</w:t>
      </w:r>
      <w:r>
        <w:rPr/>
        <w:t>多家客户的医疗信息化软件平台与支付业务实现对接， </w:t>
      </w:r>
      <w:r>
        <w:rPr>
          <w:spacing w:val="-3"/>
        </w:rPr>
        <w:t>截至</w:t>
      </w:r>
      <w:r>
        <w:rPr>
          <w:rFonts w:ascii="Times New Roman" w:hAnsi="Times New Roman" w:cs="Times New Roman" w:eastAsia="Times New Roman" w:hint="default"/>
          <w:spacing w:val="-3"/>
        </w:rPr>
        <w:t>2018</w:t>
      </w:r>
      <w:r>
        <w:rPr>
          <w:spacing w:val="-3"/>
        </w:rPr>
        <w:t>年末，累计实现支付交易次数</w:t>
      </w:r>
      <w:r>
        <w:rPr>
          <w:rFonts w:ascii="Times New Roman" w:hAnsi="Times New Roman" w:cs="Times New Roman" w:eastAsia="Times New Roman" w:hint="default"/>
          <w:spacing w:val="-3"/>
        </w:rPr>
        <w:t>1,500</w:t>
      </w:r>
      <w:r>
        <w:rPr>
          <w:spacing w:val="-3"/>
        </w:rPr>
        <w:t>万笔，获得增量收益（支付返佣）约</w:t>
      </w:r>
      <w:r>
        <w:rPr>
          <w:rFonts w:ascii="Times New Roman" w:hAnsi="Times New Roman" w:cs="Times New Roman" w:eastAsia="Times New Roman" w:hint="default"/>
          <w:spacing w:val="-3"/>
        </w:rPr>
        <w:t>400</w:t>
      </w:r>
      <w:r>
        <w:rPr>
          <w:spacing w:val="-3"/>
        </w:rPr>
        <w:t>万元，提升了患者就医实时结算的体验，</w:t>
      </w:r>
      <w:r>
        <w:rPr>
          <w:spacing w:val="-37"/>
        </w:rPr>
        <w:t> </w:t>
      </w:r>
      <w:r>
        <w:rPr>
          <w:spacing w:val="-37"/>
        </w:rPr>
      </w:r>
      <w:r>
        <w:rPr>
          <w:spacing w:val="-2"/>
        </w:rPr>
        <w:t>未来公司还将继续探索落地其他增值业务，包括药品供应链管理、保险理赔、信用体系、大数据人像侧写等。此外，公司积</w:t>
      </w:r>
      <w:r>
        <w:rPr>
          <w:spacing w:val="-63"/>
        </w:rPr>
        <w:t> </w:t>
      </w:r>
      <w:r>
        <w:rPr>
          <w:spacing w:val="-63"/>
        </w:rPr>
      </w:r>
      <w:r>
        <w:rPr>
          <w:spacing w:val="-4"/>
        </w:rPr>
        <w:t>极打造“互联网医院”重塑医疗服务模式，已成功建设</w:t>
      </w:r>
      <w:r>
        <w:rPr>
          <w:rFonts w:ascii="Times New Roman" w:hAnsi="Times New Roman" w:cs="Times New Roman" w:eastAsia="Times New Roman" w:hint="default"/>
          <w:spacing w:val="-4"/>
        </w:rPr>
        <w:t>70</w:t>
      </w:r>
      <w:r>
        <w:rPr>
          <w:spacing w:val="-4"/>
        </w:rPr>
        <w:t>多家医院的互联网医院项目，典型案例包括复旦大学附属金山医院、</w:t>
      </w:r>
      <w:r>
        <w:rPr>
          <w:spacing w:val="-40"/>
        </w:rPr>
        <w:t> </w:t>
      </w:r>
      <w:r>
        <w:rPr>
          <w:spacing w:val="-40"/>
        </w:rPr>
      </w:r>
      <w:r>
        <w:rPr/>
        <w:t>上海东方医院等。</w:t>
      </w:r>
    </w:p>
    <w:p>
      <w:pPr>
        <w:spacing w:line="300" w:lineRule="auto" w:before="28"/>
        <w:ind w:left="472"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、加速产品开发与技术升级，丰富产品线应对市场多元化需求</w:t>
      </w:r>
      <w:r>
        <w:rPr>
          <w:rFonts w:ascii="宋体" w:hAnsi="宋体" w:cs="宋体" w:eastAsia="宋体" w:hint="default"/>
          <w:b/>
          <w:bCs/>
          <w:w w:val="99"/>
          <w:sz w:val="18"/>
          <w:szCs w:val="18"/>
        </w:rPr>
        <w:t> </w:t>
      </w:r>
      <w:r>
        <w:rPr>
          <w:rFonts w:ascii="宋体" w:hAnsi="宋体" w:cs="宋体" w:eastAsia="宋体" w:hint="default"/>
          <w:spacing w:val="-2"/>
          <w:sz w:val="18"/>
          <w:szCs w:val="18"/>
        </w:rPr>
        <w:t>公司研发工作及行业前沿技术研究系企业发展的重要驱动力之一，公司研发部门每年均会根据公司战略发展目标制定产</w:t>
      </w:r>
    </w:p>
    <w:p>
      <w:pPr>
        <w:pStyle w:val="BodyText"/>
        <w:spacing w:line="312" w:lineRule="auto" w:before="31"/>
        <w:ind w:right="1130"/>
        <w:jc w:val="both"/>
      </w:pPr>
      <w:r>
        <w:rPr>
          <w:spacing w:val="-2"/>
        </w:rPr>
        <w:t>品研发策略，对已有的产品线按照客户需求研发新产品。自</w:t>
      </w:r>
      <w:r>
        <w:rPr>
          <w:rFonts w:ascii="Times New Roman" w:hAnsi="Times New Roman" w:cs="Times New Roman" w:eastAsia="Times New Roman" w:hint="default"/>
          <w:spacing w:val="-2"/>
        </w:rPr>
        <w:t>2015</w:t>
      </w:r>
      <w:r>
        <w:rPr>
          <w:spacing w:val="-2"/>
        </w:rPr>
        <w:t>年上市以来，随着医疗卫生信息化应用场景的深化，公司一</w:t>
      </w:r>
      <w:r>
        <w:rPr>
          <w:spacing w:val="-62"/>
        </w:rPr>
        <w:t> </w:t>
      </w:r>
      <w:r>
        <w:rPr>
          <w:spacing w:val="-62"/>
        </w:rPr>
      </w:r>
      <w:r>
        <w:rPr>
          <w:spacing w:val="-2"/>
        </w:rPr>
        <w:t>直在积极探索传统医疗信息化行业与医疗、医药、医保等行业融合发展，推进基于云计算、大数据、物联网等新技术创新医</w:t>
      </w:r>
      <w:r>
        <w:rPr>
          <w:spacing w:val="-63"/>
        </w:rPr>
        <w:t> </w:t>
      </w:r>
      <w:r>
        <w:rPr>
          <w:spacing w:val="-63"/>
        </w:rPr>
      </w:r>
      <w:r>
        <w:rPr>
          <w:spacing w:val="-2"/>
        </w:rPr>
        <w:t>疗卫生信息化服务，赋能传统的医疗信息化行业，以满足机构、患者、居民等大卫生大健康生态产业，多场景多业务的医疗</w:t>
      </w:r>
      <w:r>
        <w:rPr>
          <w:spacing w:val="-63"/>
        </w:rPr>
        <w:t> </w:t>
      </w:r>
      <w:r>
        <w:rPr>
          <w:spacing w:val="-63"/>
        </w:rPr>
      </w:r>
      <w:r>
        <w:rPr/>
        <w:t>健康智能化服务需求。</w:t>
      </w:r>
    </w:p>
    <w:p>
      <w:pPr>
        <w:pStyle w:val="BodyText"/>
        <w:spacing w:line="316" w:lineRule="auto" w:before="22"/>
        <w:ind w:right="1125" w:firstLine="360"/>
        <w:jc w:val="both"/>
      </w:pPr>
      <w:r>
        <w:rPr>
          <w:spacing w:val="-2"/>
        </w:rPr>
        <w:t>报告期内，公司根据公司战略规划在健康医学人工智能、物联网产品深度应用、大健康大数据产品、全息数字人等服务</w:t>
      </w:r>
      <w:r>
        <w:rPr/>
        <w:t> </w:t>
      </w:r>
      <w:r>
        <w:rPr>
          <w:spacing w:val="-8"/>
        </w:rPr>
        <w:t>产品领域进行了研究和开发投入，发布了“智能医疗服务机器人解决方案”、“患者画像系统”、“区域卫生大数据智能决算系</w:t>
      </w:r>
      <w:r>
        <w:rPr>
          <w:spacing w:val="-86"/>
        </w:rPr>
        <w:t> </w:t>
      </w:r>
      <w:r>
        <w:rPr>
          <w:spacing w:val="-86"/>
        </w:rPr>
      </w:r>
      <w:r>
        <w:rPr>
          <w:spacing w:val="-2"/>
        </w:rPr>
        <w:t>统”等一系列新技术、新产品。为公司构建以“便民、惠民、智慧、智能”为核心的新型智慧医疗生态服务体系跨出了坚实</w:t>
      </w:r>
      <w:r>
        <w:rPr>
          <w:spacing w:val="-60"/>
        </w:rPr>
        <w:t> </w:t>
      </w:r>
      <w:r>
        <w:rPr>
          <w:spacing w:val="-60"/>
        </w:rPr>
      </w:r>
      <w:r>
        <w:rPr/>
        <w:t>的一步，也为公司“一体两翼”事业群板块，医卫互联网、医卫物联网业务的后续开展奠定了技术产品基础。</w:t>
      </w:r>
    </w:p>
    <w:p>
      <w:pPr>
        <w:spacing w:after="0" w:line="316" w:lineRule="auto"/>
        <w:jc w:val="both"/>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00" w:lineRule="auto" w:before="44"/>
        <w:ind w:right="1130" w:firstLine="360"/>
        <w:jc w:val="both"/>
      </w:pPr>
      <w:r>
        <w:rPr/>
        <w:t>报告期内，</w:t>
      </w:r>
      <w:r>
        <w:rPr>
          <w:rFonts w:ascii="Times New Roman" w:hAnsi="Times New Roman" w:cs="Times New Roman" w:eastAsia="Times New Roman" w:hint="default"/>
        </w:rPr>
        <w:t>2018</w:t>
      </w:r>
      <w:r>
        <w:rPr/>
        <w:t>年度，公司发生研发投入</w:t>
      </w:r>
      <w:r>
        <w:rPr>
          <w:rFonts w:ascii="Times New Roman" w:hAnsi="Times New Roman" w:cs="Times New Roman" w:eastAsia="Times New Roman" w:hint="default"/>
        </w:rPr>
        <w:t>16,271.35</w:t>
      </w:r>
      <w:r>
        <w:rPr/>
        <w:t>万元，同比增长</w:t>
      </w:r>
      <w:r>
        <w:rPr>
          <w:rFonts w:ascii="Times New Roman" w:hAnsi="Times New Roman" w:cs="Times New Roman" w:eastAsia="Times New Roman" w:hint="default"/>
        </w:rPr>
        <w:t>40.60%</w:t>
      </w:r>
      <w:r>
        <w:rPr/>
        <w:t>，占公司营业收入的</w:t>
      </w:r>
      <w:r>
        <w:rPr>
          <w:rFonts w:ascii="Times New Roman" w:hAnsi="Times New Roman" w:cs="Times New Roman" w:eastAsia="Times New Roman" w:hint="default"/>
        </w:rPr>
        <w:t>12.61%</w:t>
      </w:r>
      <w:r>
        <w:rPr/>
        <w:t>。新增《区域卫 </w:t>
      </w:r>
      <w:r>
        <w:rPr>
          <w:spacing w:val="-5"/>
          <w:w w:val="99"/>
        </w:rPr>
        <w:t>生大数据智能分析平台软件</w:t>
      </w:r>
      <w:r>
        <w:rPr>
          <w:rFonts w:ascii="Times New Roman" w:hAnsi="Times New Roman" w:cs="Times New Roman" w:eastAsia="Times New Roman" w:hint="default"/>
          <w:spacing w:val="-5"/>
          <w:w w:val="99"/>
        </w:rPr>
        <w:t>V1.0</w:t>
      </w:r>
      <w:r>
        <w:rPr>
          <w:spacing w:val="-5"/>
          <w:w w:val="99"/>
        </w:rPr>
        <w:t>》、《创业互联网医院系统软件</w:t>
      </w:r>
      <w:r>
        <w:rPr>
          <w:rFonts w:ascii="Times New Roman" w:hAnsi="Times New Roman" w:cs="Times New Roman" w:eastAsia="Times New Roman" w:hint="default"/>
          <w:spacing w:val="-5"/>
          <w:w w:val="99"/>
        </w:rPr>
        <w:t>V2.0</w:t>
      </w:r>
      <w:r>
        <w:rPr>
          <w:spacing w:val="-5"/>
          <w:w w:val="99"/>
        </w:rPr>
        <w:t>》等</w:t>
      </w:r>
      <w:r>
        <w:rPr>
          <w:rFonts w:ascii="Times New Roman" w:hAnsi="Times New Roman" w:cs="Times New Roman" w:eastAsia="Times New Roman" w:hint="default"/>
          <w:spacing w:val="-5"/>
          <w:w w:val="99"/>
        </w:rPr>
        <w:t>47</w:t>
      </w:r>
      <w:r>
        <w:rPr>
          <w:spacing w:val="-5"/>
          <w:w w:val="99"/>
        </w:rPr>
        <w:t>项计算机软件著作权，新增《一种基于影像金字塔</w:t>
      </w:r>
      <w:r>
        <w:rPr>
          <w:spacing w:val="-46"/>
          <w:w w:val="99"/>
        </w:rPr>
        <w:t> </w:t>
      </w:r>
      <w:r>
        <w:rPr>
          <w:spacing w:val="-46"/>
          <w:w w:val="99"/>
        </w:rPr>
      </w:r>
      <w:r>
        <w:rPr>
          <w:spacing w:val="-4"/>
        </w:rPr>
        <w:t>分层的数字切片图像存储及显示方法》、《一种基于面阵相机的超分辨率数字切片扫描方法》等发明专利</w:t>
      </w:r>
      <w:r>
        <w:rPr>
          <w:rFonts w:ascii="Times New Roman" w:hAnsi="Times New Roman" w:cs="Times New Roman" w:eastAsia="Times New Roman" w:hint="default"/>
          <w:spacing w:val="-4"/>
        </w:rPr>
        <w:t>11</w:t>
      </w:r>
      <w:r>
        <w:rPr>
          <w:spacing w:val="-4"/>
        </w:rPr>
        <w:t>项。</w:t>
      </w:r>
    </w:p>
    <w:p>
      <w:pPr>
        <w:spacing w:line="300" w:lineRule="auto" w:before="13"/>
        <w:ind w:left="472" w:right="0" w:firstLine="2"/>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、坚持品牌建设，提升公司知名度和行业影响力</w:t>
      </w:r>
      <w:r>
        <w:rPr>
          <w:rFonts w:ascii="宋体" w:hAnsi="宋体" w:cs="宋体" w:eastAsia="宋体" w:hint="default"/>
          <w:b/>
          <w:bCs/>
          <w:w w:val="99"/>
          <w:sz w:val="18"/>
          <w:szCs w:val="18"/>
        </w:rPr>
        <w:t> </w:t>
      </w:r>
      <w:r>
        <w:rPr>
          <w:rFonts w:ascii="宋体" w:hAnsi="宋体" w:cs="宋体" w:eastAsia="宋体" w:hint="default"/>
          <w:spacing w:val="-2"/>
          <w:sz w:val="18"/>
          <w:szCs w:val="18"/>
        </w:rPr>
        <w:t>公司一直专注自身医疗卫生信息化行业的品牌建设，品牌建设是企业的核心战略之一。公司始终认为品牌代表着产品质</w:t>
      </w:r>
    </w:p>
    <w:p>
      <w:pPr>
        <w:pStyle w:val="BodyText"/>
        <w:spacing w:line="314" w:lineRule="auto" w:before="31"/>
        <w:ind w:right="1130"/>
        <w:jc w:val="both"/>
      </w:pPr>
      <w:r>
        <w:rPr>
          <w:spacing w:val="-2"/>
        </w:rPr>
        <w:t>量和内涵，是影响客户选择供应商的重要考量因素。根据全国医疗信息化联盟统计，我国医疗信息化行业市场规模排名前七</w:t>
      </w:r>
      <w:r>
        <w:rPr>
          <w:spacing w:val="-63"/>
        </w:rPr>
        <w:t> </w:t>
      </w:r>
      <w:r>
        <w:rPr>
          <w:spacing w:val="-63"/>
        </w:rPr>
      </w:r>
      <w:r>
        <w:rPr/>
        <w:t>的企业占比合计</w:t>
      </w:r>
      <w:r>
        <w:rPr>
          <w:rFonts w:ascii="Times New Roman" w:hAnsi="Times New Roman" w:cs="Times New Roman" w:eastAsia="Times New Roman" w:hint="default"/>
        </w:rPr>
        <w:t>28.8%</w:t>
      </w:r>
      <w:r>
        <w:rPr/>
        <w:t>，预计前十的规模占比仅在</w:t>
      </w:r>
      <w:r>
        <w:rPr>
          <w:rFonts w:ascii="Times New Roman" w:hAnsi="Times New Roman" w:cs="Times New Roman" w:eastAsia="Times New Roman" w:hint="default"/>
        </w:rPr>
        <w:t>30%</w:t>
      </w:r>
      <w:r>
        <w:rPr/>
        <w:t>左右，呈现出较低的市场集中度。但随着医疗卫生信息化行业的产品</w:t>
      </w:r>
      <w:r>
        <w:rPr>
          <w:spacing w:val="-74"/>
        </w:rPr>
        <w:t> </w:t>
      </w:r>
      <w:r>
        <w:rPr>
          <w:spacing w:val="-74"/>
        </w:rPr>
      </w:r>
      <w:r>
        <w:rPr>
          <w:spacing w:val="-2"/>
        </w:rPr>
        <w:t>化程度不断深化，整体解决方案需求日益突显，医疗信息化行业的客户势必将越来越倾向于在具有整体解决方案和丰富产品</w:t>
      </w:r>
      <w:r>
        <w:rPr>
          <w:spacing w:val="-64"/>
        </w:rPr>
        <w:t> </w:t>
      </w:r>
      <w:r>
        <w:rPr>
          <w:spacing w:val="-64"/>
        </w:rPr>
      </w:r>
      <w:r>
        <w:rPr>
          <w:spacing w:val="-2"/>
        </w:rPr>
        <w:t>经验的龙头公司中选择自己的供应商，市场集中度有望持续提升，届时公司的知名度和美誉度等品牌效应将是公司在竞争中</w:t>
      </w:r>
      <w:r>
        <w:rPr>
          <w:spacing w:val="-64"/>
        </w:rPr>
        <w:t> </w:t>
      </w:r>
      <w:r>
        <w:rPr>
          <w:spacing w:val="-64"/>
        </w:rPr>
      </w:r>
      <w:r>
        <w:rPr/>
        <w:t>获得优势的重要条件。</w:t>
      </w:r>
    </w:p>
    <w:p>
      <w:pPr>
        <w:pStyle w:val="BodyText"/>
        <w:spacing w:line="316" w:lineRule="auto" w:before="20"/>
        <w:ind w:right="1130" w:firstLine="360"/>
        <w:jc w:val="both"/>
      </w:pPr>
      <w:r>
        <w:rPr>
          <w:spacing w:val="-2"/>
        </w:rPr>
        <w:t>报告期内，为了使公司名称能更准确地反映公司的发展方向和业务特征，突出公司智慧医疗主业，让投资者和客户能够</w:t>
      </w:r>
      <w:r>
        <w:rPr/>
        <w:t> </w:t>
      </w:r>
      <w:r>
        <w:rPr>
          <w:spacing w:val="-2"/>
        </w:rPr>
        <w:t>更直观的了解公司战略方向，公司董事会决定公司中文名称拟由“创业软件股份有限公司”变更为“创业慧康科技股份有限</w:t>
      </w:r>
      <w:r>
        <w:rPr>
          <w:spacing w:val="-64"/>
        </w:rPr>
        <w:t> </w:t>
      </w:r>
      <w:r>
        <w:rPr>
          <w:spacing w:val="-64"/>
        </w:rPr>
      </w:r>
      <w:r>
        <w:rPr>
          <w:spacing w:val="-2"/>
        </w:rPr>
        <w:t>公司”。此次公司自成立至今对外使用二十一年的“创业软件”商号，改为全新的“创业慧康”商号，是公司提升企业品牌</w:t>
      </w:r>
      <w:r>
        <w:rPr>
          <w:spacing w:val="-65"/>
        </w:rPr>
        <w:t> </w:t>
      </w:r>
      <w:r>
        <w:rPr>
          <w:spacing w:val="-65"/>
        </w:rPr>
      </w:r>
      <w:r>
        <w:rPr>
          <w:spacing w:val="-2"/>
        </w:rPr>
        <w:t>形象和重铸品牌价值的重大改革，也是公司发展成长的里程碑事件，表明公司专注于医疗卫生健康信息化领域的决心，显示</w:t>
      </w:r>
      <w:r>
        <w:rPr>
          <w:spacing w:val="-63"/>
        </w:rPr>
        <w:t> </w:t>
      </w:r>
      <w:r>
        <w:rPr>
          <w:spacing w:val="-63"/>
        </w:rPr>
      </w:r>
      <w:r>
        <w:rPr/>
        <w:t>了公司致力于成为国内最优秀的医疗卫生健康信息化服务提供商和运营商的信心。</w:t>
      </w:r>
    </w:p>
    <w:p>
      <w:pPr>
        <w:pStyle w:val="BodyText"/>
        <w:spacing w:line="300" w:lineRule="auto" w:before="19"/>
        <w:ind w:right="1130" w:firstLine="360"/>
        <w:jc w:val="both"/>
      </w:pPr>
      <w:r>
        <w:rPr>
          <w:spacing w:val="2"/>
        </w:rPr>
        <w:t>报</w:t>
      </w:r>
      <w:r>
        <w:rPr/>
        <w:t>告</w:t>
      </w:r>
      <w:r>
        <w:rPr>
          <w:spacing w:val="2"/>
        </w:rPr>
        <w:t>期内</w:t>
      </w:r>
      <w:r>
        <w:rPr/>
        <w:t>，</w:t>
      </w:r>
      <w:r>
        <w:rPr>
          <w:spacing w:val="2"/>
        </w:rPr>
        <w:t>公司还</w:t>
      </w:r>
      <w:r>
        <w:rPr/>
        <w:t>策</w:t>
      </w:r>
      <w:r>
        <w:rPr>
          <w:spacing w:val="2"/>
        </w:rPr>
        <w:t>划、</w:t>
      </w:r>
      <w:r>
        <w:rPr/>
        <w:t>组</w:t>
      </w:r>
      <w:r>
        <w:rPr>
          <w:spacing w:val="2"/>
        </w:rPr>
        <w:t>织包</w:t>
      </w:r>
      <w:r>
        <w:rPr/>
        <w:t>括</w:t>
      </w:r>
      <w:r>
        <w:rPr>
          <w:spacing w:val="2"/>
        </w:rPr>
        <w:t>“粤</w:t>
      </w:r>
      <w:r>
        <w:rPr/>
        <w:t>港</w:t>
      </w:r>
      <w:r>
        <w:rPr>
          <w:spacing w:val="2"/>
        </w:rPr>
        <w:t>澳大</w:t>
      </w:r>
      <w:r>
        <w:rPr/>
        <w:t>湾</w:t>
      </w:r>
      <w:r>
        <w:rPr>
          <w:spacing w:val="2"/>
        </w:rPr>
        <w:t>区智慧</w:t>
      </w:r>
      <w:r>
        <w:rPr/>
        <w:t>医</w:t>
      </w:r>
      <w:r>
        <w:rPr>
          <w:spacing w:val="2"/>
        </w:rPr>
        <w:t>疗卫</w:t>
      </w:r>
      <w:r>
        <w:rPr/>
        <w:t>生</w:t>
      </w:r>
      <w:r>
        <w:rPr>
          <w:spacing w:val="2"/>
        </w:rPr>
        <w:t>发展</w:t>
      </w:r>
      <w:r>
        <w:rPr/>
        <w:t>论</w:t>
      </w:r>
      <w:r>
        <w:rPr>
          <w:spacing w:val="2"/>
        </w:rPr>
        <w:t>坛</w:t>
      </w:r>
      <w:r>
        <w:rPr>
          <w:spacing w:val="-89"/>
        </w:rPr>
        <w:t>”</w:t>
      </w:r>
      <w:r>
        <w:rPr>
          <w:spacing w:val="-87"/>
        </w:rPr>
        <w:t>、</w:t>
      </w:r>
      <w:r>
        <w:rPr/>
        <w:t>“</w:t>
      </w:r>
      <w:r>
        <w:rPr>
          <w:spacing w:val="2"/>
        </w:rPr>
        <w:t>西</w:t>
      </w:r>
      <w:r>
        <w:rPr/>
        <w:t>湖</w:t>
      </w:r>
      <w:r>
        <w:rPr>
          <w:spacing w:val="2"/>
        </w:rPr>
        <w:t>论坛</w:t>
      </w:r>
      <w:r>
        <w:rPr>
          <w:spacing w:val="-89"/>
        </w:rPr>
        <w:t>”、</w:t>
      </w:r>
      <w:r>
        <w:rPr>
          <w:spacing w:val="2"/>
        </w:rPr>
        <w:t>“</w:t>
      </w:r>
      <w:r>
        <w:rPr>
          <w:rFonts w:ascii="Times New Roman" w:hAnsi="Times New Roman" w:cs="Times New Roman" w:eastAsia="Times New Roman" w:hint="default"/>
          <w:w w:val="99"/>
        </w:rPr>
        <w:t>C</w:t>
      </w:r>
      <w:r>
        <w:rPr>
          <w:rFonts w:ascii="Times New Roman" w:hAnsi="Times New Roman" w:cs="Times New Roman" w:eastAsia="Times New Roman" w:hint="default"/>
          <w:spacing w:val="-1"/>
          <w:w w:val="99"/>
        </w:rPr>
        <w:t>H</w:t>
      </w:r>
      <w:r>
        <w:rPr>
          <w:rFonts w:ascii="Times New Roman" w:hAnsi="Times New Roman" w:cs="Times New Roman" w:eastAsia="Times New Roman" w:hint="default"/>
          <w:w w:val="99"/>
        </w:rPr>
        <w:t>I</w:t>
      </w:r>
      <w:r>
        <w:rPr>
          <w:rFonts w:ascii="Times New Roman" w:hAnsi="Times New Roman" w:cs="Times New Roman" w:eastAsia="Times New Roman" w:hint="default"/>
          <w:spacing w:val="-1"/>
          <w:w w:val="99"/>
        </w:rPr>
        <w:t>N</w:t>
      </w:r>
      <w:r>
        <w:rPr>
          <w:rFonts w:ascii="Times New Roman" w:hAnsi="Times New Roman" w:cs="Times New Roman" w:eastAsia="Times New Roman" w:hint="default"/>
          <w:w w:val="99"/>
        </w:rPr>
        <w:t>C</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1</w:t>
      </w:r>
      <w:r>
        <w:rPr>
          <w:rFonts w:ascii="Times New Roman" w:hAnsi="Times New Roman" w:cs="Times New Roman" w:eastAsia="Times New Roman" w:hint="default"/>
          <w:spacing w:val="1"/>
        </w:rPr>
        <w:t>9</w:t>
      </w:r>
      <w:r>
        <w:rPr>
          <w:spacing w:val="-89"/>
        </w:rPr>
        <w:t>”</w:t>
      </w:r>
      <w:r>
        <w:rPr>
          <w:spacing w:val="-87"/>
        </w:rPr>
        <w:t>、</w:t>
      </w:r>
      <w:r>
        <w:rPr/>
        <w:t>“</w:t>
      </w:r>
      <w:r>
        <w:rPr>
          <w:spacing w:val="2"/>
        </w:rPr>
        <w:t>中</w:t>
      </w:r>
      <w:r>
        <w:rPr/>
        <w:t>国</w:t>
      </w:r>
      <w:r>
        <w:rPr>
          <w:spacing w:val="2"/>
        </w:rPr>
        <w:t>卫</w:t>
      </w:r>
      <w:r>
        <w:rPr/>
        <w:t>生</w:t>
      </w:r>
      <w:r>
        <w:rPr/>
        <w:t> 信息大会</w:t>
      </w:r>
      <w:r>
        <w:rPr>
          <w:spacing w:val="-12"/>
        </w:rPr>
        <w:t>”</w:t>
      </w:r>
      <w:r>
        <w:rPr/>
        <w:t>等高级别的行业政策</w:t>
      </w:r>
      <w:r>
        <w:rPr>
          <w:spacing w:val="-15"/>
        </w:rPr>
        <w:t>、</w:t>
      </w:r>
      <w:r>
        <w:rPr/>
        <w:t>技术研讨会议</w:t>
      </w:r>
      <w:r>
        <w:rPr>
          <w:rFonts w:ascii="Times New Roman" w:hAnsi="Times New Roman" w:cs="Times New Roman" w:eastAsia="Times New Roman" w:hint="default"/>
          <w:spacing w:val="1"/>
        </w:rPr>
        <w:t>4</w:t>
      </w:r>
      <w:r>
        <w:rPr>
          <w:rFonts w:ascii="Times New Roman" w:hAnsi="Times New Roman" w:cs="Times New Roman" w:eastAsia="Times New Roman" w:hint="default"/>
          <w:spacing w:val="-2"/>
        </w:rPr>
        <w:t>0</w:t>
      </w:r>
      <w:r>
        <w:rPr/>
        <w:t>余次</w:t>
      </w:r>
      <w:r>
        <w:rPr>
          <w:spacing w:val="-15"/>
        </w:rPr>
        <w:t>；</w:t>
      </w:r>
      <w:r>
        <w:rPr/>
        <w:t>同</w:t>
      </w:r>
      <w:r>
        <w:rPr>
          <w:spacing w:val="2"/>
        </w:rPr>
        <w:t>时</w:t>
      </w:r>
      <w:r>
        <w:rPr>
          <w:spacing w:val="-15"/>
        </w:rPr>
        <w:t>，</w:t>
      </w:r>
      <w:r>
        <w:rPr/>
        <w:t>荣</w:t>
      </w:r>
      <w:r>
        <w:rPr>
          <w:spacing w:val="-12"/>
        </w:rPr>
        <w:t>获</w:t>
      </w:r>
      <w:r>
        <w:rPr>
          <w:spacing w:val="-3"/>
        </w:rPr>
        <w:t>“</w:t>
      </w:r>
      <w:r>
        <w:rPr/>
        <w:t>浙江省物联网年度科技创新</w:t>
      </w:r>
      <w:r>
        <w:rPr>
          <w:spacing w:val="2"/>
        </w:rPr>
        <w:t>奖</w:t>
      </w:r>
      <w:r>
        <w:rPr>
          <w:spacing w:val="-92"/>
        </w:rPr>
        <w:t>”</w:t>
      </w:r>
      <w:r>
        <w:rPr>
          <w:spacing w:val="-104"/>
        </w:rPr>
        <w:t>、</w:t>
      </w:r>
      <w:r>
        <w:rPr/>
        <w:t>“</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8</w:t>
      </w:r>
      <w:r>
        <w:rPr/>
        <w:t>年度省软件行 业成长型百强企业</w:t>
      </w:r>
      <w:r>
        <w:rPr>
          <w:spacing w:val="-89"/>
        </w:rPr>
        <w:t>”</w:t>
      </w:r>
      <w:r>
        <w:rPr>
          <w:spacing w:val="-92"/>
        </w:rPr>
        <w:t>、</w:t>
      </w:r>
      <w:r>
        <w:rPr/>
        <w:t>“</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8</w:t>
      </w:r>
      <w:r>
        <w:rPr/>
        <w:t>年浙江省电子信息产业百家重点企业”等荣誉和肯定，有效的提升了公司知名度和影响力。</w:t>
      </w:r>
    </w:p>
    <w:p>
      <w:pPr>
        <w:spacing w:line="300" w:lineRule="auto" w:before="13"/>
        <w:ind w:left="472" w:right="0" w:firstLine="2"/>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5</w:t>
      </w:r>
      <w:r>
        <w:rPr>
          <w:rFonts w:ascii="宋体" w:hAnsi="宋体" w:cs="宋体" w:eastAsia="宋体" w:hint="default"/>
          <w:b/>
          <w:bCs/>
          <w:sz w:val="18"/>
          <w:szCs w:val="18"/>
        </w:rPr>
        <w:t>、着力抓好人力资源管理体系建设，持续推进人才优化机制</w:t>
      </w:r>
      <w:r>
        <w:rPr>
          <w:rFonts w:ascii="宋体" w:hAnsi="宋体" w:cs="宋体" w:eastAsia="宋体" w:hint="default"/>
          <w:b/>
          <w:bCs/>
          <w:w w:val="99"/>
          <w:sz w:val="18"/>
          <w:szCs w:val="18"/>
        </w:rPr>
        <w:t> </w:t>
      </w:r>
      <w:r>
        <w:rPr>
          <w:rFonts w:ascii="宋体" w:hAnsi="宋体" w:cs="宋体" w:eastAsia="宋体" w:hint="default"/>
          <w:spacing w:val="-4"/>
          <w:sz w:val="18"/>
          <w:szCs w:val="18"/>
        </w:rPr>
        <w:t>人力资源的开发和管理是公司发展战略的重要组成部分之一，公司长期实施战略人力资源管理，通过人力资源战略规划、</w:t>
      </w:r>
    </w:p>
    <w:p>
      <w:pPr>
        <w:pStyle w:val="BodyText"/>
        <w:spacing w:line="316" w:lineRule="auto" w:before="31"/>
        <w:ind w:right="1130"/>
        <w:jc w:val="both"/>
      </w:pPr>
      <w:r>
        <w:rPr>
          <w:spacing w:val="-2"/>
        </w:rPr>
        <w:t>人才培养和引进、中长期加短期激励措施及用人制度的完善等，增强公司核心技术团队的活力和创新能力，从而提升公司核</w:t>
      </w:r>
      <w:r>
        <w:rPr>
          <w:spacing w:val="-63"/>
        </w:rPr>
        <w:t> </w:t>
      </w:r>
      <w:r>
        <w:rPr>
          <w:spacing w:val="-63"/>
        </w:rPr>
      </w:r>
      <w:r>
        <w:rPr/>
        <w:t>心竞争力。</w:t>
      </w:r>
    </w:p>
    <w:p>
      <w:pPr>
        <w:pStyle w:val="BodyText"/>
        <w:spacing w:line="314" w:lineRule="auto" w:before="19"/>
        <w:ind w:right="1130" w:firstLine="360"/>
        <w:jc w:val="both"/>
      </w:pPr>
      <w:r>
        <w:rPr>
          <w:spacing w:val="-2"/>
        </w:rPr>
        <w:t>报告期内，基于公司医疗物联网业务发展需要，自</w:t>
      </w:r>
      <w:r>
        <w:rPr>
          <w:rFonts w:ascii="Times New Roman" w:hAnsi="Times New Roman" w:cs="Times New Roman" w:eastAsia="Times New Roman" w:hint="default"/>
          <w:spacing w:val="-2"/>
        </w:rPr>
        <w:t>2018</w:t>
      </w:r>
      <w:r>
        <w:rPr>
          <w:spacing w:val="-2"/>
        </w:rPr>
        <w:t>年始，在确保全资子公司慧康物联（原博泰服务）固有业务增长</w:t>
      </w:r>
      <w:r>
        <w:rPr/>
        <w:t> </w:t>
      </w:r>
      <w:r>
        <w:rPr>
          <w:spacing w:val="-2"/>
        </w:rPr>
        <w:t>性的前提下，为充分发挥慧康物联专业技术服务体系优势，人力资源部启动母子公司间的人员整合协同计划，以医疗产业的</w:t>
      </w:r>
      <w:r>
        <w:rPr>
          <w:spacing w:val="-63"/>
        </w:rPr>
        <w:t> </w:t>
      </w:r>
      <w:r>
        <w:rPr>
          <w:spacing w:val="-63"/>
        </w:rPr>
      </w:r>
      <w:r>
        <w:rPr>
          <w:spacing w:val="-2"/>
        </w:rPr>
        <w:t>信息技术的诊断、硬件集成维护、软件升级服务、银医互通、移动医疗、可穿戴设备等软硬件结合的医疗物联网整体解决方</w:t>
      </w:r>
      <w:r>
        <w:rPr>
          <w:spacing w:val="-63"/>
        </w:rPr>
        <w:t> </w:t>
      </w:r>
      <w:r>
        <w:rPr>
          <w:spacing w:val="-63"/>
        </w:rPr>
      </w:r>
      <w:r>
        <w:rPr>
          <w:spacing w:val="-2"/>
        </w:rPr>
        <w:t>案领域技能培训为突破口，为慧康物联（原博泰服务）相关技术人员从金融领域技术服务向医疗物联网领域技术服务的成功</w:t>
      </w:r>
      <w:r>
        <w:rPr>
          <w:spacing w:val="-65"/>
        </w:rPr>
        <w:t> </w:t>
      </w:r>
      <w:r>
        <w:rPr>
          <w:spacing w:val="-65"/>
        </w:rPr>
      </w:r>
      <w:r>
        <w:rPr/>
        <w:t>转型奠定了坚实的基础。</w:t>
      </w:r>
    </w:p>
    <w:p>
      <w:pPr>
        <w:pStyle w:val="BodyText"/>
        <w:spacing w:line="316" w:lineRule="auto" w:before="20"/>
        <w:ind w:right="1034" w:firstLine="360"/>
        <w:jc w:val="left"/>
      </w:pPr>
      <w:r>
        <w:rPr>
          <w:spacing w:val="-2"/>
        </w:rPr>
        <w:t>另外，基于企业的发展战略制定核心人才队伍建设规划，打造核心人才队伍，培育员工的核心专长与技能，支撑企业核</w:t>
      </w:r>
      <w:r>
        <w:rPr/>
        <w:t> </w:t>
      </w:r>
      <w:r>
        <w:rPr>
          <w:spacing w:val="-2"/>
        </w:rPr>
        <w:t>心竞争力的形成；形成战略绩效目标，将绩效目标层层分解，向下推行实施，并设计具有指导性的核心人才引进、培育、开</w:t>
      </w:r>
      <w:r>
        <w:rPr>
          <w:spacing w:val="-63"/>
        </w:rPr>
        <w:t> </w:t>
      </w:r>
      <w:r>
        <w:rPr>
          <w:spacing w:val="-63"/>
        </w:rPr>
      </w:r>
      <w:r>
        <w:rPr>
          <w:spacing w:val="-2"/>
        </w:rPr>
        <w:t>发、激励策略，推进高级管理人才培训项目，通过管理业务学习、管理团队交流、外部考察研学等方式促进管理干部能力提</w:t>
      </w:r>
      <w:r>
        <w:rPr>
          <w:spacing w:val="-63"/>
        </w:rPr>
        <w:t> </w:t>
      </w:r>
      <w:r>
        <w:rPr>
          <w:spacing w:val="-63"/>
        </w:rPr>
      </w:r>
      <w:r>
        <w:rPr/>
        <w:t>升，为团队发展、梯队人才培养提供有力保障；同时带动企业学习力的提升，营造出“比、学、赶、帮、超”的学习组织； </w:t>
      </w:r>
      <w:r>
        <w:rPr>
          <w:spacing w:val="-2"/>
        </w:rPr>
        <w:t>报告期内，公司推进目标管理的落实，在营销、研发、工程等业务序列，开展目标管理，明确可量化目标，推进目标执行落</w:t>
      </w:r>
      <w:r>
        <w:rPr>
          <w:spacing w:val="-62"/>
        </w:rPr>
        <w:t> </w:t>
      </w:r>
      <w:r>
        <w:rPr>
          <w:spacing w:val="-62"/>
        </w:rPr>
      </w:r>
      <w:r>
        <w:rPr>
          <w:spacing w:val="-2"/>
        </w:rPr>
        <w:t>地，使得管理更科学，更高效。此外，公司还策划了不同主题的企业文化活动，营造了和谐、统一的企业文化氛围，通过人</w:t>
      </w:r>
      <w:r>
        <w:rPr>
          <w:spacing w:val="-62"/>
        </w:rPr>
        <w:t> </w:t>
      </w:r>
      <w:r>
        <w:rPr>
          <w:spacing w:val="-62"/>
        </w:rPr>
      </w:r>
      <w:r>
        <w:rPr/>
        <w:t>文关怀加深了企业的凝聚力。</w:t>
      </w:r>
    </w:p>
    <w:p>
      <w:pPr>
        <w:spacing w:line="300" w:lineRule="auto" w:before="19"/>
        <w:ind w:left="472" w:right="0" w:firstLine="2"/>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6</w:t>
      </w:r>
      <w:r>
        <w:rPr>
          <w:rFonts w:ascii="宋体" w:hAnsi="宋体" w:cs="宋体" w:eastAsia="宋体" w:hint="default"/>
          <w:b/>
          <w:bCs/>
          <w:sz w:val="18"/>
          <w:szCs w:val="18"/>
        </w:rPr>
        <w:t>、持续提高信息披露质量，建立良好的投资者关系管理体系</w:t>
      </w:r>
      <w:r>
        <w:rPr>
          <w:rFonts w:ascii="宋体" w:hAnsi="宋体" w:cs="宋体" w:eastAsia="宋体" w:hint="default"/>
          <w:b/>
          <w:bCs/>
          <w:w w:val="99"/>
          <w:sz w:val="18"/>
          <w:szCs w:val="18"/>
        </w:rPr>
        <w:t> </w:t>
      </w:r>
      <w:r>
        <w:rPr>
          <w:rFonts w:ascii="宋体" w:hAnsi="宋体" w:cs="宋体" w:eastAsia="宋体" w:hint="default"/>
          <w:spacing w:val="-4"/>
          <w:sz w:val="18"/>
          <w:szCs w:val="18"/>
        </w:rPr>
        <w:t>投资者关系工作是公司通过信息披露与交流，加强与投资者及潜在投资者之间的沟通，增进投资者对公司的了解和认同，</w:t>
      </w:r>
    </w:p>
    <w:p>
      <w:pPr>
        <w:pStyle w:val="BodyText"/>
        <w:spacing w:line="316" w:lineRule="auto" w:before="31"/>
        <w:ind w:right="1130"/>
        <w:jc w:val="both"/>
      </w:pPr>
      <w:r>
        <w:rPr>
          <w:spacing w:val="-5"/>
        </w:rPr>
        <w:t>提升公司治理水平，以实现公司整体利益最大化和保护投资者合法权益的重要工作。近年来，监管机构陆续发布和实施了《关</w:t>
      </w:r>
      <w:r>
        <w:rPr>
          <w:spacing w:val="-77"/>
        </w:rPr>
        <w:t> </w:t>
      </w:r>
      <w:r>
        <w:rPr>
          <w:spacing w:val="-77"/>
        </w:rPr>
      </w:r>
      <w:r>
        <w:rPr>
          <w:spacing w:val="-2"/>
        </w:rPr>
        <w:t>于进一步做好投资者关系管理信息披露工作的通知》及退市新规，同时投资者及媒体的监督意识也逐渐增强，这对公司在内</w:t>
      </w:r>
      <w:r>
        <w:rPr>
          <w:spacing w:val="-63"/>
        </w:rPr>
        <w:t> </w:t>
      </w:r>
      <w:r>
        <w:rPr>
          <w:spacing w:val="-63"/>
        </w:rPr>
      </w:r>
      <w:r>
        <w:rPr/>
        <w:t>部治理、信息披露机制、投资者关系等方面提出了更高的要求和标准。</w:t>
      </w:r>
    </w:p>
    <w:p>
      <w:pPr>
        <w:pStyle w:val="BodyText"/>
        <w:spacing w:line="314" w:lineRule="auto" w:before="19"/>
        <w:ind w:right="0" w:firstLine="360"/>
        <w:jc w:val="left"/>
      </w:pPr>
      <w:r>
        <w:rPr>
          <w:spacing w:val="-2"/>
        </w:rPr>
        <w:t>报告期内，公司在顺应监管要求的同时，秉承注重与投资者之间的关系维护的初衷，严格按照《深圳证券交易所创业板</w:t>
      </w:r>
      <w:r>
        <w:rPr/>
        <w:t> </w:t>
      </w:r>
      <w:r>
        <w:rPr>
          <w:spacing w:val="-2"/>
        </w:rPr>
        <w:t>股票上市规则》等相关规定的要求，及时、准确、真实、完整地进行信息披露，累计发布临时公告</w:t>
      </w:r>
      <w:r>
        <w:rPr>
          <w:rFonts w:ascii="Times New Roman" w:hAnsi="Times New Roman" w:cs="Times New Roman" w:eastAsia="Times New Roman" w:hint="default"/>
          <w:spacing w:val="-2"/>
        </w:rPr>
        <w:t>110</w:t>
      </w:r>
      <w:r>
        <w:rPr>
          <w:spacing w:val="-2"/>
        </w:rPr>
        <w:t>次；通过投资者电话、</w:t>
      </w:r>
      <w:r>
        <w:rPr>
          <w:spacing w:val="-60"/>
        </w:rPr>
        <w:t> </w:t>
      </w:r>
      <w:r>
        <w:rPr>
          <w:spacing w:val="-60"/>
        </w:rPr>
      </w:r>
      <w:r>
        <w:rPr>
          <w:spacing w:val="-2"/>
        </w:rPr>
        <w:t>电子邮箱、公司网站和深交所互动易平台等多种方式与投资者进行日常互动，回答网上投资者提问百余条，累计接待调研机</w:t>
      </w:r>
      <w:r>
        <w:rPr>
          <w:spacing w:val="-63"/>
        </w:rPr>
        <w:t> </w:t>
      </w:r>
      <w:r>
        <w:rPr>
          <w:spacing w:val="-63"/>
        </w:rPr>
      </w:r>
      <w:r>
        <w:rPr>
          <w:spacing w:val="-2"/>
        </w:rPr>
        <w:t>构近百余家，与投资者建立了良好的互动环境，提高了公司的透明度；同时，公司还开通微信“投资者关系”小程序，方便</w:t>
      </w:r>
      <w:r>
        <w:rPr>
          <w:spacing w:val="-62"/>
        </w:rPr>
        <w:t> </w:t>
      </w:r>
      <w:r>
        <w:rPr>
          <w:spacing w:val="-62"/>
        </w:rPr>
      </w:r>
      <w:r>
        <w:rPr>
          <w:spacing w:val="-2"/>
        </w:rPr>
        <w:t>了机构调研工作的开展，积极促进投资者、调研机构与公司间的沟通交流。另外，随着投资标的选择多样化和市场化程度日</w:t>
      </w:r>
    </w:p>
    <w:p>
      <w:pPr>
        <w:spacing w:after="0" w:line="314" w:lineRule="auto"/>
        <w:jc w:val="left"/>
        <w:sectPr>
          <w:footerReference w:type="default" r:id="rId28"/>
          <w:pgSz w:w="11910" w:h="16840"/>
          <w:pgMar w:footer="1016" w:header="907" w:top="1100" w:bottom="1200" w:left="1020" w:right="0"/>
          <w:pgNumType w:start="30"/>
        </w:sectPr>
      </w:pPr>
    </w:p>
    <w:p>
      <w:pPr>
        <w:spacing w:line="240" w:lineRule="auto" w:before="13"/>
        <w:rPr>
          <w:rFonts w:ascii="宋体" w:hAnsi="宋体" w:cs="宋体" w:eastAsia="宋体" w:hint="default"/>
          <w:sz w:val="22"/>
          <w:szCs w:val="22"/>
        </w:rPr>
      </w:pPr>
    </w:p>
    <w:p>
      <w:pPr>
        <w:pStyle w:val="BodyText"/>
        <w:spacing w:line="316" w:lineRule="auto" w:before="44"/>
        <w:ind w:right="0"/>
        <w:jc w:val="left"/>
      </w:pPr>
      <w:r>
        <w:rPr>
          <w:spacing w:val="-2"/>
        </w:rPr>
        <w:t>益提高，价值投资将成为主流。报告期内，公司管理层积极参与公司价值投资宣传活动，受邀参加全国各地投资机构组织的</w:t>
      </w:r>
      <w:r>
        <w:rPr>
          <w:spacing w:val="-64"/>
        </w:rPr>
        <w:t> </w:t>
      </w:r>
      <w:r>
        <w:rPr>
          <w:spacing w:val="-64"/>
        </w:rPr>
      </w:r>
      <w:r>
        <w:rPr/>
        <w:t>反路演、策略会等活动数十次，良好的向资本市场展示了公司的战略规划和发展进程，使公司形象得到了提升。</w:t>
      </w:r>
    </w:p>
    <w:p>
      <w:pPr>
        <w:spacing w:line="240" w:lineRule="auto" w:before="9"/>
        <w:rPr>
          <w:rFonts w:ascii="宋体" w:hAnsi="宋体" w:cs="宋体" w:eastAsia="宋体" w:hint="default"/>
          <w:sz w:val="20"/>
          <w:szCs w:val="20"/>
        </w:rPr>
      </w:pPr>
    </w:p>
    <w:p>
      <w:pPr>
        <w:pStyle w:val="Heading2"/>
        <w:spacing w:line="240" w:lineRule="auto"/>
        <w:ind w:right="0"/>
        <w:jc w:val="left"/>
        <w:rPr>
          <w:b w:val="0"/>
          <w:bCs w:val="0"/>
        </w:rPr>
      </w:pPr>
      <w:bookmarkStart w:name="二、主营业务分析" w:id="37"/>
      <w:bookmarkEnd w:id="37"/>
      <w:r>
        <w:rPr>
          <w:b w:val="0"/>
          <w:bCs w:val="0"/>
        </w:rPr>
      </w:r>
      <w:r>
        <w:rPr/>
        <w:t>二、主营业务分析</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概述" w:id="38"/>
      <w:bookmarkEnd w:id="38"/>
      <w:r>
        <w:rPr>
          <w:b w:val="0"/>
          <w:bCs w:val="0"/>
        </w:rPr>
      </w:r>
      <w:r>
        <w:rPr>
          <w:rFonts w:ascii="Times New Roman" w:hAnsi="Times New Roman" w:cs="Times New Roman" w:eastAsia="Times New Roman" w:hint="default"/>
        </w:rPr>
        <w:t>1</w:t>
      </w:r>
      <w:r>
        <w:rPr/>
        <w:t>、概述</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参见“经营情况讨论与分析”中的“一、概述”相关内容。</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2、收入与成本" w:id="39"/>
      <w:bookmarkEnd w:id="39"/>
      <w:r>
        <w:rPr>
          <w:b w:val="0"/>
          <w:bCs w:val="0"/>
        </w:rPr>
      </w:r>
      <w:r>
        <w:rPr>
          <w:rFonts w:ascii="Times New Roman" w:hAnsi="Times New Roman" w:cs="Times New Roman" w:eastAsia="Times New Roman" w:hint="default"/>
        </w:rPr>
        <w:t>2</w:t>
      </w:r>
      <w:r>
        <w:rPr/>
        <w:t>、收入与成本</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1）营业收入构成" w:id="40"/>
      <w:bookmarkEnd w:id="40"/>
      <w:r>
        <w:rPr>
          <w:b w:val="0"/>
          <w:bCs w:val="0"/>
        </w:rPr>
      </w:r>
      <w:r>
        <w:rPr/>
        <w:t>（</w:t>
      </w:r>
      <w:r>
        <w:rPr>
          <w:rFonts w:ascii="Times New Roman" w:hAnsi="Times New Roman" w:cs="Times New Roman" w:eastAsia="Times New Roman" w:hint="default"/>
        </w:rPr>
        <w:t>1</w:t>
      </w:r>
      <w:r>
        <w:rPr/>
        <w:t>）营业收入构成</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6974"/>
        <w:jc w:val="left"/>
      </w:pPr>
      <w:r>
        <w:rPr/>
        <w:t>公司是否需要遵守光伏产业链相关业的披露要求 否</w:t>
      </w:r>
    </w:p>
    <w:p>
      <w:pPr>
        <w:pStyle w:val="BodyText"/>
        <w:spacing w:line="340" w:lineRule="auto" w:before="29"/>
        <w:ind w:right="1395"/>
        <w:jc w:val="left"/>
      </w:pPr>
      <w:r>
        <w:rPr/>
        <w:t>公司是否需遵守《深圳证券交易所创业板行业信息披露指引第</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号——上市公司从事广播电影电视业务》的披露要求： 否</w:t>
      </w:r>
    </w:p>
    <w:p>
      <w:pPr>
        <w:pStyle w:val="BodyText"/>
        <w:spacing w:line="340" w:lineRule="auto" w:before="39"/>
        <w:ind w:right="1575"/>
        <w:jc w:val="left"/>
      </w:pPr>
      <w:r>
        <w:rPr/>
        <w:t>公司是否需遵守《深圳证券交易所创业板行业信息披露指引第</w:t>
      </w:r>
      <w:r>
        <w:rPr>
          <w:spacing w:val="-45"/>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号——上市公司从事互联网游戏业务》的披露要求： 否</w:t>
      </w:r>
    </w:p>
    <w:p>
      <w:pPr>
        <w:pStyle w:val="BodyText"/>
        <w:spacing w:line="338" w:lineRule="auto" w:before="41"/>
        <w:ind w:right="1139"/>
        <w:jc w:val="left"/>
      </w:pPr>
      <w:r>
        <w:rPr/>
        <w:t>公司是否需遵守《深圳证券交易所创业板行业信息披露指引第</w:t>
      </w:r>
      <w:r>
        <w:rPr>
          <w:spacing w:val="-46"/>
        </w:rPr>
        <w:t> </w:t>
      </w: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号——上市公司从事</w:t>
      </w:r>
      <w:r>
        <w:rPr>
          <w:spacing w:val="-46"/>
        </w:rPr>
        <w:t> </w:t>
      </w:r>
      <w:r>
        <w:rPr>
          <w:rFonts w:ascii="Times New Roman" w:hAnsi="Times New Roman" w:cs="Times New Roman" w:eastAsia="Times New Roman" w:hint="default"/>
        </w:rPr>
        <w:t>LED</w:t>
      </w:r>
      <w:r>
        <w:rPr>
          <w:rFonts w:ascii="Times New Roman" w:hAnsi="Times New Roman" w:cs="Times New Roman" w:eastAsia="Times New Roman" w:hint="default"/>
          <w:spacing w:val="-1"/>
        </w:rPr>
        <w:t> </w:t>
      </w:r>
      <w:r>
        <w:rPr/>
        <w:t>产业链相关业务》的披露要求： 否</w:t>
      </w:r>
    </w:p>
    <w:p>
      <w:pPr>
        <w:pStyle w:val="BodyText"/>
        <w:spacing w:line="340" w:lineRule="auto" w:before="43"/>
        <w:ind w:right="1665"/>
        <w:jc w:val="left"/>
      </w:pPr>
      <w:r>
        <w:rPr/>
        <w:t>公司是否需遵守《深圳证券交易所创业板行业信息披露指引第</w:t>
      </w:r>
      <w:r>
        <w:rPr>
          <w:spacing w:val="-45"/>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号——上市公司从事医疗器械业务》的披露要求： 否</w:t>
      </w:r>
    </w:p>
    <w:p>
      <w:pPr>
        <w:pStyle w:val="BodyText"/>
        <w:spacing w:line="340" w:lineRule="auto" w:before="39"/>
        <w:ind w:right="1665"/>
        <w:jc w:val="left"/>
      </w:pPr>
      <w:r>
        <w:rPr/>
        <w:t>公司是否需遵守《深圳证券交易所行业信息披露指引第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号——上市公司从软件与信息技术服务业务》的披露要求 是</w:t>
      </w:r>
    </w:p>
    <w:p>
      <w:pPr>
        <w:pStyle w:val="BodyText"/>
        <w:spacing w:line="240" w:lineRule="auto" w:before="41"/>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18"/>
        <w:gridCol w:w="1008"/>
        <w:gridCol w:w="1010"/>
        <w:gridCol w:w="1011"/>
        <w:gridCol w:w="1011"/>
        <w:gridCol w:w="1004"/>
        <w:gridCol w:w="1004"/>
        <w:gridCol w:w="1002"/>
        <w:gridCol w:w="1002"/>
      </w:tblGrid>
      <w:tr>
        <w:trPr>
          <w:trHeight w:val="402" w:hRule="exact"/>
        </w:trPr>
        <w:tc>
          <w:tcPr>
            <w:tcW w:w="1518" w:type="dxa"/>
            <w:vMerge w:val="restart"/>
            <w:tcBorders>
              <w:top w:val="single" w:sz="4" w:space="0" w:color="000000"/>
              <w:left w:val="single" w:sz="4" w:space="0" w:color="000000"/>
              <w:right w:val="single" w:sz="4" w:space="0" w:color="000000"/>
            </w:tcBorders>
            <w:shd w:val="clear" w:color="auto" w:fill="D2D2D2"/>
          </w:tcPr>
          <w:p>
            <w:pPr/>
          </w:p>
        </w:tc>
        <w:tc>
          <w:tcPr>
            <w:tcW w:w="404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4012"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w:t>
            </w:r>
          </w:p>
        </w:tc>
      </w:tr>
      <w:tr>
        <w:trPr>
          <w:trHeight w:val="402" w:hRule="exact"/>
        </w:trPr>
        <w:tc>
          <w:tcPr>
            <w:tcW w:w="1518" w:type="dxa"/>
            <w:vMerge/>
            <w:tcBorders>
              <w:left w:val="single" w:sz="4" w:space="0" w:color="000000"/>
              <w:bottom w:val="single" w:sz="4" w:space="0" w:color="000000"/>
              <w:right w:val="single" w:sz="4" w:space="0" w:color="000000"/>
            </w:tcBorders>
            <w:shd w:val="clear" w:color="auto" w:fill="D2D2D2"/>
          </w:tcPr>
          <w:p>
            <w:pPr/>
          </w:p>
        </w:tc>
        <w:tc>
          <w:tcPr>
            <w:tcW w:w="10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9"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0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9"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0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9"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0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8" w:right="0"/>
              <w:jc w:val="left"/>
              <w:rPr>
                <w:rFonts w:ascii="宋体" w:hAnsi="宋体" w:cs="宋体" w:eastAsia="宋体" w:hint="default"/>
                <w:sz w:val="18"/>
                <w:szCs w:val="18"/>
              </w:rPr>
            </w:pPr>
            <w:r>
              <w:rPr>
                <w:rFonts w:ascii="宋体" w:hAnsi="宋体" w:cs="宋体" w:eastAsia="宋体" w:hint="default"/>
                <w:sz w:val="18"/>
                <w:szCs w:val="18"/>
              </w:rPr>
              <w:t>第四季度</w:t>
            </w:r>
          </w:p>
        </w:tc>
        <w:tc>
          <w:tcPr>
            <w:tcW w:w="10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5"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0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7"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0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6"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0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5"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714" w:hRule="exact"/>
        </w:trPr>
        <w:tc>
          <w:tcPr>
            <w:tcW w:w="15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5" w:right="0"/>
              <w:jc w:val="left"/>
              <w:rPr>
                <w:rFonts w:ascii="Times New Roman" w:hAnsi="Times New Roman" w:cs="Times New Roman" w:eastAsia="Times New Roman" w:hint="default"/>
                <w:sz w:val="18"/>
                <w:szCs w:val="18"/>
              </w:rPr>
            </w:pPr>
            <w:r>
              <w:rPr>
                <w:rFonts w:ascii="Times New Roman"/>
                <w:sz w:val="18"/>
              </w:rPr>
              <w:t>254,321,5</w:t>
            </w:r>
          </w:p>
          <w:p>
            <w:pPr>
              <w:pStyle w:val="TableParagraph"/>
              <w:spacing w:line="240" w:lineRule="auto" w:before="105"/>
              <w:ind w:left="489" w:right="0"/>
              <w:jc w:val="left"/>
              <w:rPr>
                <w:rFonts w:ascii="Times New Roman" w:hAnsi="Times New Roman" w:cs="Times New Roman" w:eastAsia="Times New Roman" w:hint="default"/>
                <w:sz w:val="18"/>
                <w:szCs w:val="18"/>
              </w:rPr>
            </w:pPr>
            <w:r>
              <w:rPr>
                <w:rFonts w:ascii="Times New Roman"/>
                <w:sz w:val="18"/>
              </w:rPr>
              <w:t>21.27</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7" w:right="0"/>
              <w:jc w:val="left"/>
              <w:rPr>
                <w:rFonts w:ascii="Times New Roman" w:hAnsi="Times New Roman" w:cs="Times New Roman" w:eastAsia="Times New Roman" w:hint="default"/>
                <w:sz w:val="18"/>
                <w:szCs w:val="18"/>
              </w:rPr>
            </w:pPr>
            <w:r>
              <w:rPr>
                <w:rFonts w:ascii="Times New Roman"/>
                <w:sz w:val="18"/>
              </w:rPr>
              <w:t>272,496,5</w:t>
            </w:r>
          </w:p>
          <w:p>
            <w:pPr>
              <w:pStyle w:val="TableParagraph"/>
              <w:spacing w:line="240" w:lineRule="auto" w:before="105"/>
              <w:ind w:left="491" w:right="0"/>
              <w:jc w:val="left"/>
              <w:rPr>
                <w:rFonts w:ascii="Times New Roman" w:hAnsi="Times New Roman" w:cs="Times New Roman" w:eastAsia="Times New Roman" w:hint="default"/>
                <w:sz w:val="18"/>
                <w:szCs w:val="18"/>
              </w:rPr>
            </w:pPr>
            <w:r>
              <w:rPr>
                <w:rFonts w:ascii="Times New Roman"/>
                <w:sz w:val="18"/>
              </w:rPr>
              <w:t>54.92</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7" w:right="0"/>
              <w:jc w:val="left"/>
              <w:rPr>
                <w:rFonts w:ascii="Times New Roman" w:hAnsi="Times New Roman" w:cs="Times New Roman" w:eastAsia="Times New Roman" w:hint="default"/>
                <w:sz w:val="18"/>
                <w:szCs w:val="18"/>
              </w:rPr>
            </w:pPr>
            <w:r>
              <w:rPr>
                <w:rFonts w:ascii="Times New Roman"/>
                <w:sz w:val="18"/>
              </w:rPr>
              <w:t>273,160,5</w:t>
            </w:r>
          </w:p>
          <w:p>
            <w:pPr>
              <w:pStyle w:val="TableParagraph"/>
              <w:spacing w:line="240" w:lineRule="auto" w:before="105"/>
              <w:ind w:left="492" w:right="0"/>
              <w:jc w:val="left"/>
              <w:rPr>
                <w:rFonts w:ascii="Times New Roman" w:hAnsi="Times New Roman" w:cs="Times New Roman" w:eastAsia="Times New Roman" w:hint="default"/>
                <w:sz w:val="18"/>
                <w:szCs w:val="18"/>
              </w:rPr>
            </w:pPr>
            <w:r>
              <w:rPr>
                <w:rFonts w:ascii="Times New Roman"/>
                <w:sz w:val="18"/>
              </w:rPr>
              <w:t>94.19</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7" w:right="0"/>
              <w:jc w:val="left"/>
              <w:rPr>
                <w:rFonts w:ascii="Times New Roman" w:hAnsi="Times New Roman" w:cs="Times New Roman" w:eastAsia="Times New Roman" w:hint="default"/>
                <w:sz w:val="18"/>
                <w:szCs w:val="18"/>
              </w:rPr>
            </w:pPr>
            <w:r>
              <w:rPr>
                <w:rFonts w:ascii="Times New Roman"/>
                <w:sz w:val="18"/>
              </w:rPr>
              <w:t>490,309,6</w:t>
            </w:r>
          </w:p>
          <w:p>
            <w:pPr>
              <w:pStyle w:val="TableParagraph"/>
              <w:spacing w:line="240" w:lineRule="auto" w:before="105"/>
              <w:ind w:left="494" w:right="0"/>
              <w:jc w:val="left"/>
              <w:rPr>
                <w:rFonts w:ascii="Times New Roman" w:hAnsi="Times New Roman" w:cs="Times New Roman" w:eastAsia="Times New Roman" w:hint="default"/>
                <w:sz w:val="18"/>
                <w:szCs w:val="18"/>
              </w:rPr>
            </w:pPr>
            <w:r>
              <w:rPr>
                <w:rFonts w:ascii="Times New Roman"/>
                <w:sz w:val="18"/>
              </w:rPr>
              <w:t>91.05</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1" w:right="0"/>
              <w:jc w:val="left"/>
              <w:rPr>
                <w:rFonts w:ascii="Times New Roman" w:hAnsi="Times New Roman" w:cs="Times New Roman" w:eastAsia="Times New Roman" w:hint="default"/>
                <w:sz w:val="18"/>
                <w:szCs w:val="18"/>
              </w:rPr>
            </w:pPr>
            <w:r>
              <w:rPr>
                <w:rFonts w:ascii="Times New Roman"/>
                <w:sz w:val="18"/>
              </w:rPr>
              <w:t>239,745,5</w:t>
            </w:r>
          </w:p>
          <w:p>
            <w:pPr>
              <w:pStyle w:val="TableParagraph"/>
              <w:spacing w:line="240" w:lineRule="auto" w:before="105"/>
              <w:ind w:left="486" w:right="0"/>
              <w:jc w:val="left"/>
              <w:rPr>
                <w:rFonts w:ascii="Times New Roman" w:hAnsi="Times New Roman" w:cs="Times New Roman" w:eastAsia="Times New Roman" w:hint="default"/>
                <w:sz w:val="18"/>
                <w:szCs w:val="18"/>
              </w:rPr>
            </w:pPr>
            <w:r>
              <w:rPr>
                <w:rFonts w:ascii="Times New Roman"/>
                <w:sz w:val="18"/>
              </w:rPr>
              <w:t>98.13</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1" w:right="0"/>
              <w:jc w:val="left"/>
              <w:rPr>
                <w:rFonts w:ascii="Times New Roman" w:hAnsi="Times New Roman" w:cs="Times New Roman" w:eastAsia="Times New Roman" w:hint="default"/>
                <w:sz w:val="18"/>
                <w:szCs w:val="18"/>
              </w:rPr>
            </w:pPr>
            <w:r>
              <w:rPr>
                <w:rFonts w:ascii="Times New Roman"/>
                <w:sz w:val="18"/>
              </w:rPr>
              <w:t>255,860,3</w:t>
            </w:r>
          </w:p>
          <w:p>
            <w:pPr>
              <w:pStyle w:val="TableParagraph"/>
              <w:spacing w:line="240" w:lineRule="auto" w:before="105"/>
              <w:ind w:left="485" w:right="0"/>
              <w:jc w:val="left"/>
              <w:rPr>
                <w:rFonts w:ascii="Times New Roman" w:hAnsi="Times New Roman" w:cs="Times New Roman" w:eastAsia="Times New Roman" w:hint="default"/>
                <w:sz w:val="18"/>
                <w:szCs w:val="18"/>
              </w:rPr>
            </w:pPr>
            <w:r>
              <w:rPr>
                <w:rFonts w:ascii="Times New Roman"/>
                <w:sz w:val="18"/>
              </w:rPr>
              <w:t>75.70</w:t>
            </w: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7" w:right="0"/>
              <w:jc w:val="left"/>
              <w:rPr>
                <w:rFonts w:ascii="Times New Roman" w:hAnsi="Times New Roman" w:cs="Times New Roman" w:eastAsia="Times New Roman" w:hint="default"/>
                <w:sz w:val="18"/>
                <w:szCs w:val="18"/>
              </w:rPr>
            </w:pPr>
            <w:r>
              <w:rPr>
                <w:rFonts w:ascii="Times New Roman"/>
                <w:sz w:val="18"/>
              </w:rPr>
              <w:t>263,638,7</w:t>
            </w:r>
          </w:p>
          <w:p>
            <w:pPr>
              <w:pStyle w:val="TableParagraph"/>
              <w:spacing w:line="240" w:lineRule="auto" w:before="105"/>
              <w:ind w:left="484" w:right="0"/>
              <w:jc w:val="left"/>
              <w:rPr>
                <w:rFonts w:ascii="Times New Roman" w:hAnsi="Times New Roman" w:cs="Times New Roman" w:eastAsia="Times New Roman" w:hint="default"/>
                <w:sz w:val="18"/>
                <w:szCs w:val="18"/>
              </w:rPr>
            </w:pPr>
            <w:r>
              <w:rPr>
                <w:rFonts w:ascii="Times New Roman"/>
                <w:sz w:val="18"/>
              </w:rPr>
              <w:t>97.88</w:t>
            </w: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9" w:right="0"/>
              <w:jc w:val="left"/>
              <w:rPr>
                <w:rFonts w:ascii="Times New Roman" w:hAnsi="Times New Roman" w:cs="Times New Roman" w:eastAsia="Times New Roman" w:hint="default"/>
                <w:sz w:val="18"/>
                <w:szCs w:val="18"/>
              </w:rPr>
            </w:pPr>
            <w:r>
              <w:rPr>
                <w:rFonts w:ascii="Times New Roman"/>
                <w:sz w:val="18"/>
              </w:rPr>
              <w:t>393,708,1</w:t>
            </w:r>
          </w:p>
          <w:p>
            <w:pPr>
              <w:pStyle w:val="TableParagraph"/>
              <w:spacing w:line="240" w:lineRule="auto" w:before="105"/>
              <w:ind w:left="483" w:right="0"/>
              <w:jc w:val="left"/>
              <w:rPr>
                <w:rFonts w:ascii="Times New Roman" w:hAnsi="Times New Roman" w:cs="Times New Roman" w:eastAsia="Times New Roman" w:hint="default"/>
                <w:sz w:val="18"/>
                <w:szCs w:val="18"/>
              </w:rPr>
            </w:pPr>
            <w:r>
              <w:rPr>
                <w:rFonts w:ascii="Times New Roman"/>
                <w:sz w:val="18"/>
              </w:rPr>
              <w:t>66.38</w:t>
            </w:r>
          </w:p>
        </w:tc>
      </w:tr>
      <w:tr>
        <w:trPr>
          <w:trHeight w:val="714" w:hRule="exact"/>
        </w:trPr>
        <w:tc>
          <w:tcPr>
            <w:tcW w:w="15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44"/>
              <w:jc w:val="left"/>
              <w:rPr>
                <w:rFonts w:ascii="宋体" w:hAnsi="宋体" w:cs="宋体" w:eastAsia="宋体" w:hint="default"/>
                <w:sz w:val="18"/>
                <w:szCs w:val="18"/>
              </w:rPr>
            </w:pPr>
            <w:r>
              <w:rPr>
                <w:rFonts w:ascii="宋体" w:hAnsi="宋体" w:cs="宋体" w:eastAsia="宋体" w:hint="default"/>
                <w:sz w:val="18"/>
                <w:szCs w:val="18"/>
              </w:rPr>
              <w:t>归属于上市公司 股东的净利润</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5" w:right="0"/>
              <w:jc w:val="left"/>
              <w:rPr>
                <w:rFonts w:ascii="Times New Roman" w:hAnsi="Times New Roman" w:cs="Times New Roman" w:eastAsia="Times New Roman" w:hint="default"/>
                <w:sz w:val="18"/>
                <w:szCs w:val="18"/>
              </w:rPr>
            </w:pPr>
            <w:r>
              <w:rPr>
                <w:rFonts w:ascii="Times New Roman"/>
                <w:sz w:val="18"/>
              </w:rPr>
              <w:t>44,172,84</w:t>
            </w:r>
          </w:p>
          <w:p>
            <w:pPr>
              <w:pStyle w:val="TableParagraph"/>
              <w:spacing w:line="240" w:lineRule="auto" w:before="105"/>
              <w:ind w:left="580" w:right="0"/>
              <w:jc w:val="left"/>
              <w:rPr>
                <w:rFonts w:ascii="Times New Roman" w:hAnsi="Times New Roman" w:cs="Times New Roman" w:eastAsia="Times New Roman" w:hint="default"/>
                <w:sz w:val="18"/>
                <w:szCs w:val="18"/>
              </w:rPr>
            </w:pPr>
            <w:r>
              <w:rPr>
                <w:rFonts w:ascii="Times New Roman"/>
                <w:sz w:val="18"/>
              </w:rPr>
              <w:t>0.29</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7" w:right="0"/>
              <w:jc w:val="left"/>
              <w:rPr>
                <w:rFonts w:ascii="Times New Roman" w:hAnsi="Times New Roman" w:cs="Times New Roman" w:eastAsia="Times New Roman" w:hint="default"/>
                <w:sz w:val="18"/>
                <w:szCs w:val="18"/>
              </w:rPr>
            </w:pPr>
            <w:r>
              <w:rPr>
                <w:rFonts w:ascii="Times New Roman"/>
                <w:sz w:val="18"/>
              </w:rPr>
              <w:t>16,989,04</w:t>
            </w:r>
          </w:p>
          <w:p>
            <w:pPr>
              <w:pStyle w:val="TableParagraph"/>
              <w:spacing w:line="240" w:lineRule="auto" w:before="105"/>
              <w:ind w:left="583" w:right="0"/>
              <w:jc w:val="left"/>
              <w:rPr>
                <w:rFonts w:ascii="Times New Roman" w:hAnsi="Times New Roman" w:cs="Times New Roman" w:eastAsia="Times New Roman" w:hint="default"/>
                <w:sz w:val="18"/>
                <w:szCs w:val="18"/>
              </w:rPr>
            </w:pPr>
            <w:r>
              <w:rPr>
                <w:rFonts w:ascii="Times New Roman"/>
                <w:sz w:val="18"/>
              </w:rPr>
              <w:t>1.47</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7" w:right="0"/>
              <w:jc w:val="left"/>
              <w:rPr>
                <w:rFonts w:ascii="Times New Roman" w:hAnsi="Times New Roman" w:cs="Times New Roman" w:eastAsia="Times New Roman" w:hint="default"/>
                <w:sz w:val="18"/>
                <w:szCs w:val="18"/>
              </w:rPr>
            </w:pPr>
            <w:r>
              <w:rPr>
                <w:rFonts w:ascii="Times New Roman"/>
                <w:sz w:val="18"/>
              </w:rPr>
              <w:t>50,664,42</w:t>
            </w:r>
          </w:p>
          <w:p>
            <w:pPr>
              <w:pStyle w:val="TableParagraph"/>
              <w:spacing w:line="240" w:lineRule="auto" w:before="105"/>
              <w:ind w:left="583" w:right="0"/>
              <w:jc w:val="left"/>
              <w:rPr>
                <w:rFonts w:ascii="Times New Roman" w:hAnsi="Times New Roman" w:cs="Times New Roman" w:eastAsia="Times New Roman" w:hint="default"/>
                <w:sz w:val="18"/>
                <w:szCs w:val="18"/>
              </w:rPr>
            </w:pPr>
            <w:r>
              <w:rPr>
                <w:rFonts w:ascii="Times New Roman"/>
                <w:sz w:val="18"/>
              </w:rPr>
              <w:t>6.91</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7" w:right="0"/>
              <w:jc w:val="left"/>
              <w:rPr>
                <w:rFonts w:ascii="Times New Roman" w:hAnsi="Times New Roman" w:cs="Times New Roman" w:eastAsia="Times New Roman" w:hint="default"/>
                <w:sz w:val="18"/>
                <w:szCs w:val="18"/>
              </w:rPr>
            </w:pPr>
            <w:r>
              <w:rPr>
                <w:rFonts w:ascii="Times New Roman"/>
                <w:sz w:val="18"/>
              </w:rPr>
              <w:t>100,854,8</w:t>
            </w:r>
          </w:p>
          <w:p>
            <w:pPr>
              <w:pStyle w:val="TableParagraph"/>
              <w:spacing w:line="240" w:lineRule="auto" w:before="105"/>
              <w:ind w:left="494" w:right="0"/>
              <w:jc w:val="left"/>
              <w:rPr>
                <w:rFonts w:ascii="Times New Roman" w:hAnsi="Times New Roman" w:cs="Times New Roman" w:eastAsia="Times New Roman" w:hint="default"/>
                <w:sz w:val="18"/>
                <w:szCs w:val="18"/>
              </w:rPr>
            </w:pPr>
            <w:r>
              <w:rPr>
                <w:rFonts w:ascii="Times New Roman"/>
                <w:sz w:val="18"/>
              </w:rPr>
              <w:t>07.60</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1" w:right="0"/>
              <w:jc w:val="left"/>
              <w:rPr>
                <w:rFonts w:ascii="Times New Roman" w:hAnsi="Times New Roman" w:cs="Times New Roman" w:eastAsia="Times New Roman" w:hint="default"/>
                <w:sz w:val="18"/>
                <w:szCs w:val="18"/>
              </w:rPr>
            </w:pPr>
            <w:r>
              <w:rPr>
                <w:rFonts w:ascii="Times New Roman"/>
                <w:sz w:val="18"/>
              </w:rPr>
              <w:t>20,750,32</w:t>
            </w:r>
          </w:p>
          <w:p>
            <w:pPr>
              <w:pStyle w:val="TableParagraph"/>
              <w:spacing w:line="240" w:lineRule="auto" w:before="105"/>
              <w:ind w:left="575" w:right="0"/>
              <w:jc w:val="left"/>
              <w:rPr>
                <w:rFonts w:ascii="Times New Roman" w:hAnsi="Times New Roman" w:cs="Times New Roman" w:eastAsia="Times New Roman" w:hint="default"/>
                <w:sz w:val="18"/>
                <w:szCs w:val="18"/>
              </w:rPr>
            </w:pPr>
            <w:r>
              <w:rPr>
                <w:rFonts w:ascii="Times New Roman"/>
                <w:sz w:val="18"/>
              </w:rPr>
              <w:t>8.84</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8" w:right="0"/>
              <w:jc w:val="left"/>
              <w:rPr>
                <w:rFonts w:ascii="Times New Roman" w:hAnsi="Times New Roman" w:cs="Times New Roman" w:eastAsia="Times New Roman" w:hint="default"/>
                <w:sz w:val="18"/>
                <w:szCs w:val="18"/>
              </w:rPr>
            </w:pPr>
            <w:r>
              <w:rPr>
                <w:rFonts w:ascii="Times New Roman"/>
                <w:sz w:val="18"/>
              </w:rPr>
              <w:t>11,935,89</w:t>
            </w:r>
          </w:p>
          <w:p>
            <w:pPr>
              <w:pStyle w:val="TableParagraph"/>
              <w:spacing w:line="240" w:lineRule="auto" w:before="105"/>
              <w:ind w:left="576" w:right="0"/>
              <w:jc w:val="left"/>
              <w:rPr>
                <w:rFonts w:ascii="Times New Roman" w:hAnsi="Times New Roman" w:cs="Times New Roman" w:eastAsia="Times New Roman" w:hint="default"/>
                <w:sz w:val="18"/>
                <w:szCs w:val="18"/>
              </w:rPr>
            </w:pPr>
            <w:r>
              <w:rPr>
                <w:rFonts w:ascii="Times New Roman"/>
                <w:sz w:val="18"/>
              </w:rPr>
              <w:t>0.55</w:t>
            </w: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7" w:right="0"/>
              <w:jc w:val="left"/>
              <w:rPr>
                <w:rFonts w:ascii="Times New Roman" w:hAnsi="Times New Roman" w:cs="Times New Roman" w:eastAsia="Times New Roman" w:hint="default"/>
                <w:sz w:val="18"/>
                <w:szCs w:val="18"/>
              </w:rPr>
            </w:pPr>
            <w:r>
              <w:rPr>
                <w:rFonts w:ascii="Times New Roman"/>
                <w:sz w:val="18"/>
              </w:rPr>
              <w:t>34,702,05</w:t>
            </w:r>
          </w:p>
          <w:p>
            <w:pPr>
              <w:pStyle w:val="TableParagraph"/>
              <w:spacing w:line="240" w:lineRule="auto" w:before="105"/>
              <w:ind w:left="573" w:right="0"/>
              <w:jc w:val="left"/>
              <w:rPr>
                <w:rFonts w:ascii="Times New Roman" w:hAnsi="Times New Roman" w:cs="Times New Roman" w:eastAsia="Times New Roman" w:hint="default"/>
                <w:sz w:val="18"/>
                <w:szCs w:val="18"/>
              </w:rPr>
            </w:pPr>
            <w:r>
              <w:rPr>
                <w:rFonts w:ascii="Times New Roman"/>
                <w:sz w:val="18"/>
              </w:rPr>
              <w:t>1.68</w:t>
            </w: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9" w:right="0"/>
              <w:jc w:val="left"/>
              <w:rPr>
                <w:rFonts w:ascii="Times New Roman" w:hAnsi="Times New Roman" w:cs="Times New Roman" w:eastAsia="Times New Roman" w:hint="default"/>
                <w:sz w:val="18"/>
                <w:szCs w:val="18"/>
              </w:rPr>
            </w:pPr>
            <w:r>
              <w:rPr>
                <w:rFonts w:ascii="Times New Roman"/>
                <w:sz w:val="18"/>
              </w:rPr>
              <w:t>95,855,95</w:t>
            </w:r>
          </w:p>
          <w:p>
            <w:pPr>
              <w:pStyle w:val="TableParagraph"/>
              <w:spacing w:line="240" w:lineRule="auto" w:before="105"/>
              <w:ind w:left="574" w:right="0"/>
              <w:jc w:val="left"/>
              <w:rPr>
                <w:rFonts w:ascii="Times New Roman" w:hAnsi="Times New Roman" w:cs="Times New Roman" w:eastAsia="Times New Roman" w:hint="default"/>
                <w:sz w:val="18"/>
                <w:szCs w:val="18"/>
              </w:rPr>
            </w:pPr>
            <w:r>
              <w:rPr>
                <w:rFonts w:ascii="Times New Roman"/>
                <w:sz w:val="18"/>
              </w:rPr>
              <w:t>6.74</w:t>
            </w:r>
          </w:p>
        </w:tc>
      </w:tr>
    </w:tbl>
    <w:p>
      <w:pPr>
        <w:pStyle w:val="BodyText"/>
        <w:spacing w:line="338" w:lineRule="auto" w:before="50"/>
        <w:ind w:right="1184"/>
        <w:jc w:val="left"/>
      </w:pPr>
      <w:r>
        <w:rPr/>
        <w:t>说明经营季节性（或周期性）发生的原因及波动风险 受医疗卫生信息化软件行业特性影响，公司销售额和利润相对集中在四季度。 </w:t>
      </w:r>
      <w:r>
        <w:rPr>
          <w:rFonts w:ascii="Times New Roman" w:hAnsi="Times New Roman" w:cs="Times New Roman" w:eastAsia="Times New Roman" w:hint="default"/>
        </w:rPr>
        <w:t>2018</w:t>
      </w:r>
      <w:r>
        <w:rPr/>
        <w:t>年四季度的营业收入和归属于上市公司股东的净利润占全年的比重分别为</w:t>
      </w:r>
      <w:r>
        <w:rPr>
          <w:rFonts w:ascii="Times New Roman" w:hAnsi="Times New Roman" w:cs="Times New Roman" w:eastAsia="Times New Roman" w:hint="default"/>
        </w:rPr>
        <w:t>38.00%</w:t>
      </w:r>
      <w:r>
        <w:rPr/>
        <w:t>和</w:t>
      </w:r>
      <w:r>
        <w:rPr>
          <w:rFonts w:ascii="Times New Roman" w:hAnsi="Times New Roman" w:cs="Times New Roman" w:eastAsia="Times New Roman" w:hint="default"/>
        </w:rPr>
        <w:t>47.42%</w:t>
      </w:r>
      <w:r>
        <w:rPr/>
        <w:t>；</w:t>
      </w:r>
      <w:r>
        <w:rPr>
          <w:rFonts w:ascii="Times New Roman" w:hAnsi="Times New Roman" w:cs="Times New Roman" w:eastAsia="Times New Roman" w:hint="default"/>
        </w:rPr>
        <w:t>2017</w:t>
      </w:r>
      <w:r>
        <w:rPr/>
        <w:t>年四季度的营业收入</w:t>
      </w:r>
    </w:p>
    <w:p>
      <w:pPr>
        <w:pStyle w:val="BodyText"/>
        <w:spacing w:line="230" w:lineRule="exact"/>
        <w:ind w:right="0"/>
        <w:jc w:val="left"/>
      </w:pPr>
      <w:r>
        <w:rPr/>
        <w:t>和归属于上市公司股东的净利润占全年的比重分别为</w:t>
      </w:r>
      <w:r>
        <w:rPr>
          <w:rFonts w:ascii="Times New Roman" w:hAnsi="Times New Roman" w:cs="Times New Roman" w:eastAsia="Times New Roman" w:hint="default"/>
        </w:rPr>
        <w:t>34.15%</w:t>
      </w:r>
      <w:r>
        <w:rPr/>
        <w:t>和</w:t>
      </w:r>
      <w:r>
        <w:rPr>
          <w:rFonts w:ascii="Times New Roman" w:hAnsi="Times New Roman" w:cs="Times New Roman" w:eastAsia="Times New Roman" w:hint="default"/>
        </w:rPr>
        <w:t>58.72%</w:t>
      </w:r>
      <w:r>
        <w:rPr/>
        <w:t>。</w:t>
      </w:r>
    </w:p>
    <w:p>
      <w:pPr>
        <w:pStyle w:val="BodyText"/>
        <w:spacing w:line="240" w:lineRule="auto" w:before="103"/>
        <w:ind w:right="0"/>
        <w:jc w:val="left"/>
      </w:pPr>
      <w:r>
        <w:rPr/>
        <w:t>营业收入整体情况</w:t>
      </w:r>
    </w:p>
    <w:p>
      <w:pPr>
        <w:pStyle w:val="BodyText"/>
        <w:spacing w:line="240" w:lineRule="auto" w:before="115"/>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45" w:type="dxa"/>
        <w:tblLayout w:type="fixed"/>
        <w:tblCellMar>
          <w:top w:w="0" w:type="dxa"/>
          <w:left w:w="0" w:type="dxa"/>
          <w:bottom w:w="0" w:type="dxa"/>
          <w:right w:w="0" w:type="dxa"/>
        </w:tblCellMar>
        <w:tblLook w:val="01E0"/>
      </w:tblPr>
      <w:tblGrid>
        <w:gridCol w:w="1596"/>
        <w:gridCol w:w="1594"/>
        <w:gridCol w:w="1594"/>
        <w:gridCol w:w="1594"/>
        <w:gridCol w:w="1594"/>
        <w:gridCol w:w="1594"/>
      </w:tblGrid>
      <w:tr>
        <w:trPr>
          <w:trHeight w:val="402" w:hRule="exact"/>
        </w:trPr>
        <w:tc>
          <w:tcPr>
            <w:tcW w:w="1596" w:type="dxa"/>
            <w:vMerge w:val="restart"/>
            <w:tcBorders>
              <w:top w:val="single" w:sz="4" w:space="0" w:color="000000"/>
              <w:left w:val="single" w:sz="4" w:space="0" w:color="000000"/>
              <w:right w:val="single" w:sz="4" w:space="0" w:color="000000"/>
            </w:tcBorders>
            <w:shd w:val="clear" w:color="auto" w:fill="D2D2D2"/>
          </w:tcPr>
          <w:p>
            <w:pP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0" w:hRule="exact"/>
        </w:trPr>
        <w:tc>
          <w:tcPr>
            <w:tcW w:w="1596"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61"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63"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4"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45" w:type="dxa"/>
        <w:tblLayout w:type="fixed"/>
        <w:tblCellMar>
          <w:top w:w="0" w:type="dxa"/>
          <w:left w:w="0" w:type="dxa"/>
          <w:bottom w:w="0" w:type="dxa"/>
          <w:right w:w="0" w:type="dxa"/>
        </w:tblCellMar>
        <w:tblLook w:val="01E0"/>
      </w:tblPr>
      <w:tblGrid>
        <w:gridCol w:w="1596"/>
        <w:gridCol w:w="1594"/>
        <w:gridCol w:w="1594"/>
        <w:gridCol w:w="1594"/>
        <w:gridCol w:w="1594"/>
        <w:gridCol w:w="1594"/>
      </w:tblGrid>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1,290,288,361.43</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z w:val="18"/>
              </w:rPr>
              <w:t>100%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1,152,952,938.09</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100%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2"/>
                <w:sz w:val="18"/>
              </w:rPr>
              <w:t>11.91%</w:t>
            </w:r>
          </w:p>
        </w:tc>
      </w:tr>
      <w:tr>
        <w:trPr>
          <w:trHeight w:val="402" w:hRule="exact"/>
        </w:trPr>
        <w:tc>
          <w:tcPr>
            <w:tcW w:w="9566"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医疗行业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831,586,233.15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64.45%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600,470,639.50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52.08%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38.49%</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非医疗行业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458,702,128.28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35.55%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552,482,298.59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47.92%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-16.97%</w:t>
            </w:r>
          </w:p>
        </w:tc>
      </w:tr>
      <w:tr>
        <w:trPr>
          <w:trHeight w:val="402" w:hRule="exact"/>
        </w:trPr>
        <w:tc>
          <w:tcPr>
            <w:tcW w:w="9566"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软件销售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352,150,398.08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27.29%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287,769,157.10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24.96%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22.37%</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服务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631,622,505.40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48.95%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687,847,429.70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59.66%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-8.17%</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178,386,179.84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13.83%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126,611,960.69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10.98%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40.89%</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6"/>
              <w:jc w:val="right"/>
              <w:rPr>
                <w:rFonts w:ascii="Times New Roman" w:hAnsi="Times New Roman" w:cs="Times New Roman" w:eastAsia="Times New Roman" w:hint="default"/>
                <w:sz w:val="18"/>
                <w:szCs w:val="18"/>
              </w:rPr>
            </w:pPr>
            <w:r>
              <w:rPr>
                <w:rFonts w:ascii="Times New Roman"/>
                <w:spacing w:val="-1"/>
                <w:sz w:val="18"/>
              </w:rPr>
              <w:t>128,129,278.11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z w:val="18"/>
              </w:rPr>
              <w:t>9.93%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50,724,390.60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4.40%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152.60%</w:t>
            </w:r>
          </w:p>
        </w:tc>
      </w:tr>
      <w:tr>
        <w:trPr>
          <w:trHeight w:val="402" w:hRule="exact"/>
        </w:trPr>
        <w:tc>
          <w:tcPr>
            <w:tcW w:w="9566"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华东地区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615,744,062.71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47.72%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497,529,664.04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43.15%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23.76%</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华南地区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160,364,981.98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12.43%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190,763,090.44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16.55%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-15.94%</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华北地区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192,966,863.96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14.96%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103,913,865.55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9.01%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85.70%</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华中地区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95,100,625.84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z w:val="18"/>
              </w:rPr>
              <w:t>7.37%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107,351,727.48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9.31%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2"/>
                <w:sz w:val="18"/>
              </w:rPr>
              <w:t>-11.41%</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西北地区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54,625,329.42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z w:val="18"/>
              </w:rPr>
              <w:t>4.23%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58,226,241.73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5.05%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-6.18%</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其他地区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171,486,497.52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13.29%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195,168,348.85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16.93%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-12.13%</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6"/>
          <w:szCs w:val="26"/>
        </w:rPr>
      </w:pPr>
    </w:p>
    <w:p>
      <w:pPr>
        <w:pStyle w:val="Heading3"/>
        <w:spacing w:line="240" w:lineRule="auto" w:before="34"/>
        <w:ind w:right="0"/>
        <w:jc w:val="left"/>
        <w:rPr>
          <w:b w:val="0"/>
          <w:bCs w:val="0"/>
        </w:rPr>
      </w:pPr>
      <w:bookmarkStart w:name="（2）占公司营业收入或营业利润10%以上的行业、产品或地区情况" w:id="41"/>
      <w:bookmarkEnd w:id="41"/>
      <w:r>
        <w:rPr>
          <w:b w:val="0"/>
          <w:bCs w:val="0"/>
        </w:rPr>
      </w:r>
      <w:r>
        <w:rPr/>
        <w:t>（</w:t>
      </w:r>
      <w:r>
        <w:rPr>
          <w:rFonts w:ascii="Times New Roman" w:hAnsi="Times New Roman" w:cs="Times New Roman" w:eastAsia="Times New Roman" w:hint="default"/>
        </w:rPr>
        <w:t>2</w:t>
      </w:r>
      <w:r>
        <w:rPr/>
        <w:t>）占公司营业收入或营业利润</w:t>
      </w:r>
      <w:r>
        <w:rPr>
          <w:spacing w:val="-66"/>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907" w:footer="1016" w:top="1100" w:bottom="1200" w:left="1020" w:right="0"/>
        </w:sectPr>
      </w:pPr>
    </w:p>
    <w:p>
      <w:pPr>
        <w:pStyle w:val="BodyText"/>
        <w:spacing w:line="357" w:lineRule="auto" w:before="44"/>
        <w:ind w:right="5832"/>
        <w:jc w:val="left"/>
      </w:pPr>
      <w:r>
        <w:rPr/>
        <w:t>√ 适用</w:t>
      </w:r>
      <w:r>
        <w:rPr>
          <w:spacing w:val="-1"/>
        </w:rPr>
        <w:t> </w:t>
      </w:r>
      <w:r>
        <w:rPr/>
        <w:t>□不适用</w:t>
      </w:r>
      <w:r>
        <w:rPr/>
        <w:t> 公司是否需要遵守特殊行业的披露要求 是</w:t>
      </w:r>
    </w:p>
    <w:p>
      <w:pPr>
        <w:pStyle w:val="BodyText"/>
        <w:spacing w:line="240" w:lineRule="auto" w:before="29"/>
        <w:ind w:right="5832"/>
        <w:jc w:val="left"/>
      </w:pPr>
      <w:r>
        <w:rPr/>
        <w:t>软件与信息技术服务业</w:t>
      </w:r>
    </w:p>
    <w:p>
      <w:pPr>
        <w:pStyle w:val="BodyText"/>
        <w:spacing w:line="240" w:lineRule="auto" w:before="117"/>
        <w:ind w:right="-17"/>
        <w:jc w:val="left"/>
      </w:pPr>
      <w:r>
        <w:rPr/>
        <w:t>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号——上市公司从事软件与信息技术服务业务》的披露要求</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55"/>
        <w:ind w:left="-33" w:right="0"/>
        <w:jc w:val="left"/>
      </w:pPr>
      <w:r>
        <w:rPr/>
        <w:t>单位：元</w:t>
      </w:r>
    </w:p>
    <w:p>
      <w:pPr>
        <w:spacing w:after="0" w:line="240" w:lineRule="auto"/>
        <w:jc w:val="left"/>
        <w:sectPr>
          <w:type w:val="continuous"/>
          <w:pgSz w:w="11910" w:h="16840"/>
          <w:pgMar w:top="1100" w:bottom="1200" w:left="1020" w:right="0"/>
          <w:cols w:num="2" w:equalWidth="0">
            <w:col w:w="9025" w:space="40"/>
            <w:col w:w="1825"/>
          </w:cols>
        </w:sectPr>
      </w:pP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7"/>
        <w:gridCol w:w="1366"/>
        <w:gridCol w:w="1366"/>
        <w:gridCol w:w="1367"/>
        <w:gridCol w:w="1367"/>
        <w:gridCol w:w="1367"/>
        <w:gridCol w:w="1371"/>
      </w:tblGrid>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7" w:right="136" w:hanging="89"/>
              <w:jc w:val="left"/>
              <w:rPr>
                <w:rFonts w:ascii="宋体" w:hAnsi="宋体" w:cs="宋体" w:eastAsia="宋体" w:hint="default"/>
                <w:sz w:val="18"/>
                <w:szCs w:val="18"/>
              </w:rPr>
            </w:pPr>
            <w:r>
              <w:rPr>
                <w:rFonts w:ascii="宋体" w:hAnsi="宋体" w:cs="宋体" w:eastAsia="宋体" w:hint="default"/>
                <w:sz w:val="18"/>
                <w:szCs w:val="18"/>
              </w:rPr>
              <w:t>营业收入比上 年同期增减</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8" w:right="137" w:hanging="92"/>
              <w:jc w:val="left"/>
              <w:rPr>
                <w:rFonts w:ascii="宋体" w:hAnsi="宋体" w:cs="宋体" w:eastAsia="宋体" w:hint="default"/>
                <w:sz w:val="18"/>
                <w:szCs w:val="18"/>
              </w:rPr>
            </w:pPr>
            <w:r>
              <w:rPr>
                <w:rFonts w:ascii="宋体" w:hAnsi="宋体" w:cs="宋体" w:eastAsia="宋体" w:hint="default"/>
                <w:sz w:val="18"/>
                <w:szCs w:val="18"/>
              </w:rPr>
              <w:t>营业成本比上 年同期增减</w:t>
            </w:r>
          </w:p>
        </w:tc>
        <w:tc>
          <w:tcPr>
            <w:tcW w:w="13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21" w:right="138" w:hanging="180"/>
              <w:jc w:val="left"/>
              <w:rPr>
                <w:rFonts w:ascii="宋体" w:hAnsi="宋体" w:cs="宋体" w:eastAsia="宋体" w:hint="default"/>
                <w:sz w:val="18"/>
                <w:szCs w:val="18"/>
              </w:rPr>
            </w:pPr>
            <w:r>
              <w:rPr>
                <w:rFonts w:ascii="宋体" w:hAnsi="宋体" w:cs="宋体" w:eastAsia="宋体" w:hint="default"/>
                <w:sz w:val="18"/>
                <w:szCs w:val="18"/>
              </w:rPr>
              <w:t>毛利率比上年 同期增减</w:t>
            </w:r>
          </w:p>
        </w:tc>
      </w:tr>
      <w:tr>
        <w:trPr>
          <w:trHeight w:val="402"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分客户所处行业</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医疗行业</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center"/>
              <w:rPr>
                <w:rFonts w:ascii="Times New Roman" w:hAnsi="Times New Roman" w:cs="Times New Roman" w:eastAsia="Times New Roman" w:hint="default"/>
                <w:sz w:val="18"/>
                <w:szCs w:val="18"/>
              </w:rPr>
            </w:pPr>
            <w:r>
              <w:rPr>
                <w:rFonts w:ascii="Times New Roman"/>
                <w:sz w:val="18"/>
              </w:rPr>
              <w:t>831,586,233.15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 w:right="0"/>
              <w:jc w:val="center"/>
              <w:rPr>
                <w:rFonts w:ascii="Times New Roman" w:hAnsi="Times New Roman" w:cs="Times New Roman" w:eastAsia="Times New Roman" w:hint="default"/>
                <w:sz w:val="18"/>
                <w:szCs w:val="18"/>
              </w:rPr>
            </w:pPr>
            <w:r>
              <w:rPr>
                <w:rFonts w:ascii="Times New Roman"/>
                <w:sz w:val="18"/>
              </w:rPr>
              <w:t>381,807,624.79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54.09%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38.49%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38.02%</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0.16%</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非医疗行业</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4" w:right="0"/>
              <w:jc w:val="center"/>
              <w:rPr>
                <w:rFonts w:ascii="Times New Roman" w:hAnsi="Times New Roman" w:cs="Times New Roman" w:eastAsia="Times New Roman" w:hint="default"/>
                <w:sz w:val="18"/>
                <w:szCs w:val="18"/>
              </w:rPr>
            </w:pPr>
            <w:r>
              <w:rPr>
                <w:rFonts w:ascii="Times New Roman"/>
                <w:sz w:val="18"/>
              </w:rPr>
              <w:t>458,702,128.28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5" w:right="0"/>
              <w:jc w:val="center"/>
              <w:rPr>
                <w:rFonts w:ascii="Times New Roman" w:hAnsi="Times New Roman" w:cs="Times New Roman" w:eastAsia="Times New Roman" w:hint="default"/>
                <w:sz w:val="18"/>
                <w:szCs w:val="18"/>
              </w:rPr>
            </w:pPr>
            <w:r>
              <w:rPr>
                <w:rFonts w:ascii="Times New Roman"/>
                <w:sz w:val="18"/>
              </w:rPr>
              <w:t>266,506,077.49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41.90%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-16.97%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-14.61%</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-1.61%</w:t>
            </w:r>
          </w:p>
        </w:tc>
      </w:tr>
      <w:tr>
        <w:trPr>
          <w:trHeight w:val="402"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软件销售</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4" w:right="0"/>
              <w:jc w:val="center"/>
              <w:rPr>
                <w:rFonts w:ascii="Times New Roman" w:hAnsi="Times New Roman" w:cs="Times New Roman" w:eastAsia="Times New Roman" w:hint="default"/>
                <w:sz w:val="18"/>
                <w:szCs w:val="18"/>
              </w:rPr>
            </w:pPr>
            <w:r>
              <w:rPr>
                <w:rFonts w:ascii="Times New Roman"/>
                <w:sz w:val="18"/>
              </w:rPr>
              <w:t>352,150,398.08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5" w:right="0"/>
              <w:jc w:val="center"/>
              <w:rPr>
                <w:rFonts w:ascii="Times New Roman" w:hAnsi="Times New Roman" w:cs="Times New Roman" w:eastAsia="Times New Roman" w:hint="default"/>
                <w:sz w:val="18"/>
                <w:szCs w:val="18"/>
              </w:rPr>
            </w:pPr>
            <w:r>
              <w:rPr>
                <w:rFonts w:ascii="Times New Roman"/>
                <w:sz w:val="18"/>
              </w:rPr>
              <w:t>130,340,629.03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62.99%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22.37%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1.38%</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7.67%</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服务</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center"/>
              <w:rPr>
                <w:rFonts w:ascii="Times New Roman" w:hAnsi="Times New Roman" w:cs="Times New Roman" w:eastAsia="Times New Roman" w:hint="default"/>
                <w:sz w:val="18"/>
                <w:szCs w:val="18"/>
              </w:rPr>
            </w:pPr>
            <w:r>
              <w:rPr>
                <w:rFonts w:ascii="Times New Roman"/>
                <w:sz w:val="18"/>
              </w:rPr>
              <w:t>631,622,505.40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 w:right="0"/>
              <w:jc w:val="center"/>
              <w:rPr>
                <w:rFonts w:ascii="Times New Roman" w:hAnsi="Times New Roman" w:cs="Times New Roman" w:eastAsia="Times New Roman" w:hint="default"/>
                <w:sz w:val="18"/>
                <w:szCs w:val="18"/>
              </w:rPr>
            </w:pPr>
            <w:r>
              <w:rPr>
                <w:rFonts w:ascii="Times New Roman"/>
                <w:sz w:val="18"/>
              </w:rPr>
              <w:t>286,609,791.55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54.62%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-8.17%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-15.18%</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3.75%</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4" w:right="0"/>
              <w:jc w:val="center"/>
              <w:rPr>
                <w:rFonts w:ascii="Times New Roman" w:hAnsi="Times New Roman" w:cs="Times New Roman" w:eastAsia="Times New Roman" w:hint="default"/>
                <w:sz w:val="18"/>
                <w:szCs w:val="18"/>
              </w:rPr>
            </w:pPr>
            <w:r>
              <w:rPr>
                <w:rFonts w:ascii="Times New Roman"/>
                <w:sz w:val="18"/>
              </w:rPr>
              <w:t>178,386,179.84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5" w:right="0"/>
              <w:jc w:val="center"/>
              <w:rPr>
                <w:rFonts w:ascii="Times New Roman" w:hAnsi="Times New Roman" w:cs="Times New Roman" w:eastAsia="Times New Roman" w:hint="default"/>
                <w:sz w:val="18"/>
                <w:szCs w:val="18"/>
              </w:rPr>
            </w:pPr>
            <w:r>
              <w:rPr>
                <w:rFonts w:ascii="Times New Roman"/>
                <w:sz w:val="18"/>
              </w:rPr>
              <w:t>145,958,834.35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18.18%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40.89%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51.06%</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-5.50%</w:t>
            </w:r>
          </w:p>
        </w:tc>
      </w:tr>
      <w:tr>
        <w:trPr>
          <w:trHeight w:val="400"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分地区</w:t>
            </w:r>
          </w:p>
        </w:tc>
      </w:tr>
    </w:tbl>
    <w:p>
      <w:pPr>
        <w:spacing w:after="0" w:line="240" w:lineRule="auto"/>
        <w:jc w:val="left"/>
        <w:rPr>
          <w:rFonts w:ascii="宋体" w:hAnsi="宋体" w:cs="宋体" w:eastAsia="宋体" w:hint="default"/>
          <w:sz w:val="18"/>
          <w:szCs w:val="18"/>
        </w:rPr>
        <w:sectPr>
          <w:type w:val="continuous"/>
          <w:pgSz w:w="11910" w:h="16840"/>
          <w:pgMar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367"/>
        <w:gridCol w:w="1366"/>
        <w:gridCol w:w="1366"/>
        <w:gridCol w:w="1367"/>
        <w:gridCol w:w="1367"/>
        <w:gridCol w:w="1367"/>
        <w:gridCol w:w="1371"/>
      </w:tblGrid>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华东地区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615,744,062.71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294,954,977.35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52.10%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23.76%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17.16%</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2.70%</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华南地区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160,364,981.98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102,427,742.79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36.13%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-15.94%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-10.87%</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-3.63%</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华北地区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192,966,863.96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108,950,515.82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43.54%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85.70%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2"/>
                <w:sz w:val="18"/>
              </w:rPr>
              <w:t>113.43%</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-7.34%</w:t>
            </w:r>
          </w:p>
        </w:tc>
      </w:tr>
    </w:tbl>
    <w:p>
      <w:pPr>
        <w:spacing w:line="240" w:lineRule="auto" w:before="6"/>
        <w:rPr>
          <w:rFonts w:ascii="宋体" w:hAnsi="宋体" w:cs="宋体" w:eastAsia="宋体" w:hint="default"/>
          <w:sz w:val="27"/>
          <w:szCs w:val="27"/>
        </w:rPr>
      </w:pPr>
    </w:p>
    <w:p>
      <w:pPr>
        <w:pStyle w:val="BodyText"/>
        <w:spacing w:line="240" w:lineRule="auto" w:before="44"/>
        <w:ind w:right="0"/>
        <w:jc w:val="left"/>
      </w:pPr>
      <w:r>
        <w:rPr/>
        <w:t>公司主营业务数据统计口径在报告期发生调整的情况下，公司最近</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年按报告期末口径调整后的主营业务数据</w:t>
      </w:r>
    </w:p>
    <w:p>
      <w:pPr>
        <w:pStyle w:val="BodyText"/>
        <w:spacing w:line="240" w:lineRule="auto" w:before="101"/>
        <w:ind w:left="204" w:right="0"/>
        <w:jc w:val="left"/>
      </w:pPr>
      <w:r>
        <w:rPr/>
        <w:t>□ 适用 √</w:t>
      </w:r>
      <w:r>
        <w:rPr>
          <w:spacing w:val="-3"/>
        </w:rPr>
        <w:t> </w:t>
      </w:r>
      <w:r>
        <w:rPr/>
        <w:t>不适用</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3）公司实物销售收入是否大于劳务收入" w:id="42"/>
      <w:bookmarkEnd w:id="42"/>
      <w:r>
        <w:rPr>
          <w:b w:val="0"/>
          <w:bCs w:val="0"/>
        </w:rPr>
      </w:r>
      <w:r>
        <w:rPr/>
        <w:t>（</w:t>
      </w:r>
      <w:r>
        <w:rPr>
          <w:rFonts w:ascii="Times New Roman" w:hAnsi="Times New Roman" w:cs="Times New Roman" w:eastAsia="Times New Roman" w:hint="default"/>
        </w:rPr>
        <w:t>3</w:t>
      </w:r>
      <w:r>
        <w:rPr/>
        <w:t>）公司实物销售收入是否大于劳务收入</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204" w:right="0"/>
        <w:jc w:val="left"/>
      </w:pPr>
      <w:r>
        <w:rPr/>
        <w:t>□是</w:t>
      </w:r>
      <w:r>
        <w:rPr>
          <w:spacing w:val="-2"/>
        </w:rPr>
        <w:t> </w:t>
      </w:r>
      <w:r>
        <w:rPr/>
        <w:t>√否</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4）公司已签订的重大销售合同截至本报告期的履行情况" w:id="43"/>
      <w:bookmarkEnd w:id="43"/>
      <w:r>
        <w:rPr>
          <w:b w:val="0"/>
          <w:bCs w:val="0"/>
        </w:rPr>
      </w:r>
      <w:r>
        <w:rPr/>
        <w:t>（</w:t>
      </w:r>
      <w:r>
        <w:rPr>
          <w:rFonts w:ascii="Times New Roman" w:hAnsi="Times New Roman" w:cs="Times New Roman" w:eastAsia="Times New Roman" w:hint="default"/>
        </w:rPr>
        <w:t>4</w:t>
      </w:r>
      <w:r>
        <w:rPr/>
        <w:t>）公司已签订的重大销售合同截至本报告期的履行情况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204" w:right="0"/>
        <w:jc w:val="left"/>
      </w:pPr>
      <w:r>
        <w:rPr/>
        <w:t>□ 适用 √</w:t>
      </w:r>
      <w:r>
        <w:rPr>
          <w:spacing w:val="-3"/>
        </w:rPr>
        <w:t> </w:t>
      </w:r>
      <w:r>
        <w:rPr/>
        <w:t>不适用</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5）营业成本构成" w:id="44"/>
      <w:bookmarkEnd w:id="44"/>
      <w:r>
        <w:rPr>
          <w:b w:val="0"/>
          <w:bCs w:val="0"/>
        </w:rPr>
      </w:r>
      <w:r>
        <w:rPr/>
        <w:t>（</w:t>
      </w:r>
      <w:r>
        <w:rPr>
          <w:rFonts w:ascii="Times New Roman" w:hAnsi="Times New Roman" w:cs="Times New Roman" w:eastAsia="Times New Roman" w:hint="default"/>
        </w:rPr>
        <w:t>5</w:t>
      </w:r>
      <w:r>
        <w:rPr/>
        <w:t>）营业成本构成</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907" w:footer="1016" w:top="1100" w:bottom="1200" w:left="1020" w:right="0"/>
        </w:sectPr>
      </w:pPr>
    </w:p>
    <w:p>
      <w:pPr>
        <w:pStyle w:val="BodyText"/>
        <w:spacing w:line="338" w:lineRule="auto" w:before="44"/>
        <w:ind w:right="-17"/>
        <w:jc w:val="left"/>
      </w:pPr>
      <w:r>
        <w:rPr/>
        <w:t>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号——上市公司从事软件与信息技术服务业务》的披露要求 主营业务成本构成</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left="-33" w:right="0"/>
        <w:jc w:val="left"/>
      </w:pPr>
      <w:r>
        <w:rPr/>
        <w:t>单位：元</w:t>
      </w:r>
    </w:p>
    <w:p>
      <w:pPr>
        <w:spacing w:after="0" w:line="240" w:lineRule="auto"/>
        <w:jc w:val="left"/>
        <w:sectPr>
          <w:type w:val="continuous"/>
          <w:pgSz w:w="11910" w:h="16840"/>
          <w:pgMar w:top="1100" w:bottom="1200" w:left="1020" w:right="0"/>
          <w:cols w:num="2" w:equalWidth="0">
            <w:col w:w="9025" w:space="40"/>
            <w:col w:w="1825"/>
          </w:cols>
        </w:sectPr>
      </w:pP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6"/>
        <w:gridCol w:w="1594"/>
        <w:gridCol w:w="1594"/>
        <w:gridCol w:w="1594"/>
        <w:gridCol w:w="1594"/>
        <w:gridCol w:w="1594"/>
      </w:tblGrid>
      <w:tr>
        <w:trPr>
          <w:trHeight w:val="402" w:hRule="exact"/>
        </w:trPr>
        <w:tc>
          <w:tcPr>
            <w:tcW w:w="15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33" w:right="0"/>
              <w:jc w:val="left"/>
              <w:rPr>
                <w:rFonts w:ascii="宋体" w:hAnsi="宋体" w:cs="宋体" w:eastAsia="宋体" w:hint="default"/>
                <w:sz w:val="18"/>
                <w:szCs w:val="18"/>
              </w:rPr>
            </w:pPr>
            <w:r>
              <w:rPr>
                <w:rFonts w:ascii="宋体" w:hAnsi="宋体" w:cs="宋体" w:eastAsia="宋体" w:hint="default"/>
                <w:sz w:val="18"/>
                <w:szCs w:val="18"/>
              </w:rPr>
              <w:t>成本构成</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本报告期</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上年同期</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596"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61" w:right="0"/>
              <w:jc w:val="left"/>
              <w:rPr>
                <w:rFonts w:ascii="宋体" w:hAnsi="宋体" w:cs="宋体" w:eastAsia="宋体" w:hint="default"/>
                <w:sz w:val="18"/>
                <w:szCs w:val="18"/>
              </w:rPr>
            </w:pPr>
            <w:r>
              <w:rPr>
                <w:rFonts w:ascii="宋体" w:hAnsi="宋体" w:cs="宋体" w:eastAsia="宋体" w:hint="default"/>
                <w:sz w:val="18"/>
                <w:szCs w:val="18"/>
              </w:rPr>
              <w:t>占营业成本比重</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59"/>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59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197,677,237.54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30.49%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100,080,775.50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17.01%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13.48%</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174,211,635.63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26.88%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209,269,382.14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35.55%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z w:val="18"/>
              </w:rPr>
              <w:t>-8.67%</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备件周转服务费</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2"/>
                <w:sz w:val="18"/>
              </w:rPr>
              <w:t>115,119,923.51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17.76%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145,487,923.93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24.71%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-6.95%</w:t>
            </w:r>
          </w:p>
        </w:tc>
      </w:tr>
    </w:tbl>
    <w:p>
      <w:pPr>
        <w:pStyle w:val="BodyText"/>
        <w:spacing w:line="240" w:lineRule="auto" w:before="50"/>
        <w:ind w:right="0"/>
        <w:jc w:val="left"/>
      </w:pPr>
      <w:r>
        <w:rPr/>
        <w:t>产品分类</w:t>
      </w:r>
    </w:p>
    <w:p>
      <w:pPr>
        <w:pStyle w:val="BodyText"/>
        <w:spacing w:line="240" w:lineRule="auto" w:before="117"/>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704"/>
        <w:gridCol w:w="1032"/>
        <w:gridCol w:w="1367"/>
        <w:gridCol w:w="1367"/>
        <w:gridCol w:w="1367"/>
        <w:gridCol w:w="1367"/>
        <w:gridCol w:w="1367"/>
      </w:tblGrid>
      <w:tr>
        <w:trPr>
          <w:trHeight w:val="402" w:hRule="exact"/>
        </w:trPr>
        <w:tc>
          <w:tcPr>
            <w:tcW w:w="170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485" w:right="0"/>
              <w:jc w:val="left"/>
              <w:rPr>
                <w:rFonts w:ascii="宋体" w:hAnsi="宋体" w:cs="宋体" w:eastAsia="宋体" w:hint="default"/>
                <w:sz w:val="18"/>
                <w:szCs w:val="18"/>
              </w:rPr>
            </w:pPr>
            <w:r>
              <w:rPr>
                <w:rFonts w:ascii="宋体" w:hAnsi="宋体" w:cs="宋体" w:eastAsia="宋体" w:hint="default"/>
                <w:sz w:val="18"/>
                <w:szCs w:val="18"/>
              </w:rPr>
              <w:t>产品分类</w:t>
            </w:r>
          </w:p>
        </w:tc>
        <w:tc>
          <w:tcPr>
            <w:tcW w:w="10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329"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714" w:hRule="exact"/>
        </w:trPr>
        <w:tc>
          <w:tcPr>
            <w:tcW w:w="1704" w:type="dxa"/>
            <w:vMerge/>
            <w:tcBorders>
              <w:left w:val="single" w:sz="4" w:space="0" w:color="000000"/>
              <w:bottom w:val="single" w:sz="4" w:space="0" w:color="000000"/>
              <w:right w:val="single" w:sz="4" w:space="0" w:color="000000"/>
            </w:tcBorders>
            <w:shd w:val="clear" w:color="auto" w:fill="D2D2D2"/>
          </w:tcPr>
          <w:p>
            <w:pPr/>
          </w:p>
        </w:tc>
        <w:tc>
          <w:tcPr>
            <w:tcW w:w="1032"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87" w:right="136" w:hanging="449"/>
              <w:jc w:val="left"/>
              <w:rPr>
                <w:rFonts w:ascii="宋体" w:hAnsi="宋体" w:cs="宋体" w:eastAsia="宋体" w:hint="default"/>
                <w:sz w:val="18"/>
                <w:szCs w:val="18"/>
              </w:rPr>
            </w:pPr>
            <w:r>
              <w:rPr>
                <w:rFonts w:ascii="宋体" w:hAnsi="宋体" w:cs="宋体" w:eastAsia="宋体" w:hint="default"/>
                <w:sz w:val="18"/>
                <w:szCs w:val="18"/>
              </w:rPr>
              <w:t>占营业成本比 重</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87" w:right="136" w:hanging="449"/>
              <w:jc w:val="left"/>
              <w:rPr>
                <w:rFonts w:ascii="宋体" w:hAnsi="宋体" w:cs="宋体" w:eastAsia="宋体" w:hint="default"/>
                <w:sz w:val="18"/>
                <w:szCs w:val="18"/>
              </w:rPr>
            </w:pPr>
            <w:r>
              <w:rPr>
                <w:rFonts w:ascii="宋体" w:hAnsi="宋体" w:cs="宋体" w:eastAsia="宋体" w:hint="default"/>
                <w:sz w:val="18"/>
                <w:szCs w:val="18"/>
              </w:rPr>
              <w:t>占营业成本比 重</w:t>
            </w: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软件销售</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61,961,799.65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z w:val="18"/>
              </w:rPr>
              <w:t>9.56%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63,876,496.99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10.85%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-1.29%</w:t>
            </w:r>
          </w:p>
        </w:tc>
      </w:tr>
      <w:tr>
        <w:trPr>
          <w:trHeight w:val="714"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服务</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98"/>
              <w:jc w:val="left"/>
              <w:rPr>
                <w:rFonts w:ascii="宋体" w:hAnsi="宋体" w:cs="宋体" w:eastAsia="宋体" w:hint="default"/>
                <w:sz w:val="18"/>
                <w:szCs w:val="18"/>
              </w:rPr>
            </w:pPr>
            <w:r>
              <w:rPr>
                <w:rFonts w:ascii="宋体" w:hAnsi="宋体" w:cs="宋体" w:eastAsia="宋体" w:hint="default"/>
                <w:sz w:val="18"/>
                <w:szCs w:val="18"/>
              </w:rPr>
              <w:t>备件周转 服务费</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115,119,923.51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17.76%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145,487,923.93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24.71%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-6.95%</w:t>
            </w:r>
          </w:p>
        </w:tc>
      </w:tr>
      <w:tr>
        <w:trPr>
          <w:trHeight w:val="402"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82" w:right="0"/>
              <w:jc w:val="left"/>
              <w:rPr>
                <w:rFonts w:ascii="宋体" w:hAnsi="宋体" w:cs="宋体" w:eastAsia="宋体" w:hint="default"/>
                <w:sz w:val="18"/>
                <w:szCs w:val="18"/>
              </w:rPr>
            </w:pPr>
            <w:r>
              <w:rPr>
                <w:rFonts w:ascii="宋体" w:hAnsi="宋体" w:cs="宋体" w:eastAsia="宋体" w:hint="default"/>
                <w:sz w:val="18"/>
                <w:szCs w:val="18"/>
              </w:rPr>
              <w:t>其中：软件服务</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70,594,397.80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10.89%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55,737,500.15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z w:val="18"/>
              </w:rPr>
              <w:t>9.47%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1.42%</w:t>
            </w:r>
          </w:p>
        </w:tc>
      </w:tr>
      <w:tr>
        <w:trPr>
          <w:trHeight w:val="402"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141,450,951.16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21.82%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96,625,258.85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16.41%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5.41%</w:t>
            </w:r>
          </w:p>
        </w:tc>
      </w:tr>
      <w:tr>
        <w:trPr>
          <w:trHeight w:val="402"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56,226,286.38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z w:val="18"/>
              </w:rPr>
              <w:t>8.67%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3,455,516.65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z w:val="18"/>
              </w:rPr>
              <w:t>0.59%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8.08%</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0"/>
        <w:jc w:val="left"/>
        <w:rPr>
          <w:b w:val="0"/>
          <w:bCs w:val="0"/>
        </w:rPr>
      </w:pPr>
      <w:bookmarkStart w:name="（6）报告期内合并范围是否发生变动" w:id="45"/>
      <w:bookmarkEnd w:id="45"/>
      <w:r>
        <w:rPr>
          <w:b w:val="0"/>
          <w:bCs w:val="0"/>
        </w:rPr>
      </w:r>
      <w:r>
        <w:rPr/>
        <w:t>（</w:t>
      </w:r>
      <w:r>
        <w:rPr>
          <w:rFonts w:ascii="Times New Roman" w:hAnsi="Times New Roman" w:cs="Times New Roman" w:eastAsia="Times New Roman" w:hint="default"/>
        </w:rPr>
        <w:t>6</w:t>
      </w:r>
      <w:r>
        <w:rPr/>
        <w:t>）报告期内合并范围是否发生变动</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6074"/>
        <w:jc w:val="left"/>
      </w:pPr>
      <w:r>
        <w:rPr/>
        <w:t>√是</w:t>
      </w:r>
      <w:r>
        <w:rPr>
          <w:spacing w:val="1"/>
        </w:rPr>
        <w:t> </w:t>
      </w:r>
      <w:r>
        <w:rPr/>
        <w:t>□否</w:t>
      </w:r>
      <w:r>
        <w:rPr/>
        <w:t> 杭州鼎泰医康科技有限公司本期注销，不再纳入合并范围。</w:t>
      </w:r>
    </w:p>
    <w:p>
      <w:pPr>
        <w:spacing w:line="240" w:lineRule="auto" w:before="12"/>
        <w:rPr>
          <w:rFonts w:ascii="宋体" w:hAnsi="宋体" w:cs="宋体" w:eastAsia="宋体" w:hint="default"/>
          <w:sz w:val="19"/>
          <w:szCs w:val="19"/>
        </w:rPr>
      </w:pPr>
    </w:p>
    <w:p>
      <w:pPr>
        <w:pStyle w:val="Heading3"/>
        <w:spacing w:line="240" w:lineRule="auto"/>
        <w:ind w:right="0"/>
        <w:jc w:val="left"/>
        <w:rPr>
          <w:b w:val="0"/>
          <w:bCs w:val="0"/>
        </w:rPr>
      </w:pPr>
      <w:bookmarkStart w:name="（7）公司报告期内业务、产品或服务发生重大变化或调整有关情况" w:id="46"/>
      <w:bookmarkEnd w:id="46"/>
      <w:r>
        <w:rPr>
          <w:b w:val="0"/>
          <w:bCs w:val="0"/>
        </w:rPr>
      </w:r>
      <w:r>
        <w:rPr/>
        <w:t>（</w:t>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204" w:right="0"/>
        <w:jc w:val="left"/>
      </w:pPr>
      <w:r>
        <w:rPr/>
        <w:t>□ 适用 √</w:t>
      </w:r>
      <w:r>
        <w:rPr>
          <w:spacing w:val="-3"/>
        </w:rPr>
        <w:t> </w:t>
      </w:r>
      <w:r>
        <w:rPr/>
        <w:t>不适用</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8）主要销售客户和主要供应商情况" w:id="47"/>
      <w:bookmarkEnd w:id="47"/>
      <w:r>
        <w:rPr>
          <w:b w:val="0"/>
          <w:bCs w:val="0"/>
        </w:rPr>
      </w:r>
      <w:r>
        <w:rPr/>
        <w:t>（</w:t>
      </w:r>
      <w:r>
        <w:rPr>
          <w:rFonts w:ascii="Times New Roman" w:hAnsi="Times New Roman" w:cs="Times New Roman" w:eastAsia="Times New Roman" w:hint="default"/>
        </w:rPr>
        <w:t>8</w:t>
      </w:r>
      <w:r>
        <w:rPr/>
        <w:t>）主要销售客户和主要供应商情况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公司主要销售客户情况</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257"/>
        <w:gridCol w:w="5311"/>
      </w:tblGrid>
      <w:tr>
        <w:trPr>
          <w:trHeight w:val="402"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191,150,621.73</w:t>
            </w:r>
          </w:p>
        </w:tc>
      </w:tr>
      <w:tr>
        <w:trPr>
          <w:trHeight w:val="402"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14.81%</w:t>
            </w:r>
          </w:p>
        </w:tc>
      </w:tr>
      <w:tr>
        <w:trPr>
          <w:trHeight w:val="714"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83"/>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 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51"/>
        <w:ind w:right="0"/>
        <w:jc w:val="left"/>
      </w:pPr>
      <w:r>
        <w:rPr/>
        <w:t>公司前</w:t>
      </w:r>
      <w:r>
        <w:rPr>
          <w:spacing w:val="-45"/>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大客户资料</w:t>
      </w:r>
    </w:p>
    <w:p>
      <w:pPr>
        <w:spacing w:line="240" w:lineRule="auto" w:before="0"/>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802"/>
        <w:gridCol w:w="3301"/>
        <w:gridCol w:w="2322"/>
        <w:gridCol w:w="3143"/>
      </w:tblGrid>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17"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16"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57"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1" w:right="0"/>
              <w:jc w:val="left"/>
              <w:rPr>
                <w:rFonts w:ascii="Times New Roman" w:hAnsi="Times New Roman" w:cs="Times New Roman" w:eastAsia="Times New Roman" w:hint="default"/>
                <w:sz w:val="18"/>
                <w:szCs w:val="18"/>
              </w:rPr>
            </w:pPr>
            <w:r>
              <w:rPr>
                <w:rFonts w:ascii="Times New Roman"/>
                <w:sz w:val="18"/>
              </w:rPr>
              <w:t>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49,328,760.70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3.82%</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01" w:right="0"/>
              <w:jc w:val="left"/>
              <w:rPr>
                <w:rFonts w:ascii="Times New Roman" w:hAnsi="Times New Roman" w:cs="Times New Roman" w:eastAsia="Times New Roman" w:hint="default"/>
                <w:sz w:val="18"/>
                <w:szCs w:val="18"/>
              </w:rPr>
            </w:pPr>
            <w:r>
              <w:rPr>
                <w:rFonts w:ascii="Times New Roman"/>
                <w:sz w:val="18"/>
              </w:rPr>
              <w:t>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42,478,151.35</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3.29%</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1" w:right="0"/>
              <w:jc w:val="left"/>
              <w:rPr>
                <w:rFonts w:ascii="Times New Roman" w:hAnsi="Times New Roman" w:cs="Times New Roman" w:eastAsia="Times New Roman" w:hint="default"/>
                <w:sz w:val="18"/>
                <w:szCs w:val="18"/>
              </w:rPr>
            </w:pPr>
            <w:r>
              <w:rPr>
                <w:rFonts w:ascii="Times New Roman"/>
                <w:sz w:val="18"/>
              </w:rPr>
              <w:t>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39,695,616.54</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3.08%</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01" w:right="0"/>
              <w:jc w:val="left"/>
              <w:rPr>
                <w:rFonts w:ascii="Times New Roman" w:hAnsi="Times New Roman" w:cs="Times New Roman" w:eastAsia="Times New Roman" w:hint="default"/>
                <w:sz w:val="18"/>
                <w:szCs w:val="18"/>
              </w:rPr>
            </w:pPr>
            <w:r>
              <w:rPr>
                <w:rFonts w:ascii="Times New Roman"/>
                <w:sz w:val="18"/>
              </w:rPr>
              <w:t>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33,162,728.14</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2.57%</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1" w:right="0"/>
              <w:jc w:val="left"/>
              <w:rPr>
                <w:rFonts w:ascii="Times New Roman" w:hAnsi="Times New Roman" w:cs="Times New Roman" w:eastAsia="Times New Roman" w:hint="default"/>
                <w:sz w:val="18"/>
                <w:szCs w:val="18"/>
              </w:rPr>
            </w:pPr>
            <w:r>
              <w:rPr>
                <w:rFonts w:ascii="Times New Roman"/>
                <w:sz w:val="18"/>
              </w:rPr>
              <w:t>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26,485,365.00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2.05%</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191,150,621.73</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14.81%</w:t>
            </w:r>
          </w:p>
        </w:tc>
      </w:tr>
    </w:tbl>
    <w:p>
      <w:pPr>
        <w:pStyle w:val="BodyText"/>
        <w:spacing w:line="240" w:lineRule="auto" w:before="51"/>
        <w:ind w:right="0"/>
        <w:jc w:val="left"/>
      </w:pPr>
      <w:r>
        <w:rPr/>
        <w:t>主要客户其他情况说明</w:t>
      </w:r>
    </w:p>
    <w:p>
      <w:pPr>
        <w:pStyle w:val="BodyText"/>
        <w:spacing w:line="360" w:lineRule="auto" w:before="115"/>
        <w:ind w:right="9134" w:firstLine="91"/>
        <w:jc w:val="left"/>
      </w:pPr>
      <w:r>
        <w:rPr/>
        <w:t>□ 适用 √</w:t>
      </w:r>
      <w:r>
        <w:rPr>
          <w:spacing w:val="-3"/>
        </w:rPr>
        <w:t> </w:t>
      </w:r>
      <w:r>
        <w:rPr/>
        <w:t>不适用</w:t>
      </w:r>
      <w:r>
        <w:rPr/>
        <w:t> 公司主要供应商情况</w:t>
      </w:r>
    </w:p>
    <w:tbl>
      <w:tblPr>
        <w:tblW w:w="0" w:type="auto"/>
        <w:jc w:val="left"/>
        <w:tblInd w:w="109" w:type="dxa"/>
        <w:tblLayout w:type="fixed"/>
        <w:tblCellMar>
          <w:top w:w="0" w:type="dxa"/>
          <w:left w:w="0" w:type="dxa"/>
          <w:bottom w:w="0" w:type="dxa"/>
          <w:right w:w="0" w:type="dxa"/>
        </w:tblCellMar>
        <w:tblLook w:val="01E0"/>
      </w:tblPr>
      <w:tblGrid>
        <w:gridCol w:w="4257"/>
        <w:gridCol w:w="5311"/>
      </w:tblGrid>
      <w:tr>
        <w:trPr>
          <w:trHeight w:val="402"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181,131,747.40</w:t>
            </w:r>
          </w:p>
        </w:tc>
      </w:tr>
      <w:tr>
        <w:trPr>
          <w:trHeight w:val="402"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46.16%</w:t>
            </w:r>
          </w:p>
        </w:tc>
      </w:tr>
      <w:tr>
        <w:trPr>
          <w:trHeight w:val="714"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1" w:right="183"/>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 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67"/>
        <w:ind w:right="0"/>
        <w:jc w:val="left"/>
      </w:pPr>
      <w:r>
        <w:rPr/>
        <w:t>公司前</w:t>
      </w:r>
      <w:r>
        <w:rPr>
          <w:spacing w:val="-45"/>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名供应商资料</w:t>
      </w:r>
    </w:p>
    <w:p>
      <w:pPr>
        <w:spacing w:line="240" w:lineRule="auto" w:before="1"/>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935"/>
        <w:gridCol w:w="3168"/>
        <w:gridCol w:w="2322"/>
        <w:gridCol w:w="3143"/>
      </w:tblGrid>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82"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16"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7"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0"/>
              <w:ind w:left="101" w:right="0"/>
              <w:jc w:val="left"/>
              <w:rPr>
                <w:rFonts w:ascii="Times New Roman" w:hAnsi="Times New Roman" w:cs="Times New Roman" w:eastAsia="Times New Roman" w:hint="default"/>
                <w:sz w:val="18"/>
                <w:szCs w:val="18"/>
              </w:rPr>
            </w:pPr>
            <w:r>
              <w:rPr>
                <w:rFonts w:ascii="Times New Roman"/>
                <w:sz w:val="18"/>
              </w:rPr>
              <w:t>1</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104,127,436.53</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26.53%</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1" w:right="0"/>
              <w:jc w:val="left"/>
              <w:rPr>
                <w:rFonts w:ascii="Times New Roman" w:hAnsi="Times New Roman" w:cs="Times New Roman" w:eastAsia="Times New Roman" w:hint="default"/>
                <w:sz w:val="18"/>
                <w:szCs w:val="18"/>
              </w:rPr>
            </w:pPr>
            <w:r>
              <w:rPr>
                <w:rFonts w:ascii="Times New Roman"/>
                <w:sz w:val="18"/>
              </w:rPr>
              <w:t>2</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47,983,093.15</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12.23%</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0"/>
              <w:ind w:left="101" w:right="0"/>
              <w:jc w:val="left"/>
              <w:rPr>
                <w:rFonts w:ascii="Times New Roman" w:hAnsi="Times New Roman" w:cs="Times New Roman" w:eastAsia="Times New Roman" w:hint="default"/>
                <w:sz w:val="18"/>
                <w:szCs w:val="18"/>
              </w:rPr>
            </w:pPr>
            <w:r>
              <w:rPr>
                <w:rFonts w:ascii="Times New Roman"/>
                <w:sz w:val="18"/>
              </w:rPr>
              <w:t>3</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11,419,153.46</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z w:val="18"/>
              </w:rPr>
              <w:t>2.91%</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1" w:right="0"/>
              <w:jc w:val="left"/>
              <w:rPr>
                <w:rFonts w:ascii="Times New Roman" w:hAnsi="Times New Roman" w:cs="Times New Roman" w:eastAsia="Times New Roman" w:hint="default"/>
                <w:sz w:val="18"/>
                <w:szCs w:val="18"/>
              </w:rPr>
            </w:pPr>
            <w:r>
              <w:rPr>
                <w:rFonts w:ascii="Times New Roman"/>
                <w:sz w:val="18"/>
              </w:rPr>
              <w:t>4</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9,650,485.44</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2.46%</w:t>
            </w:r>
          </w:p>
        </w:tc>
      </w:tr>
      <w:tr>
        <w:trPr>
          <w:trHeight w:val="400"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0"/>
              <w:ind w:left="101" w:right="0"/>
              <w:jc w:val="left"/>
              <w:rPr>
                <w:rFonts w:ascii="Times New Roman" w:hAnsi="Times New Roman" w:cs="Times New Roman" w:eastAsia="Times New Roman" w:hint="default"/>
                <w:sz w:val="18"/>
                <w:szCs w:val="18"/>
              </w:rPr>
            </w:pPr>
            <w:r>
              <w:rPr>
                <w:rFonts w:ascii="Times New Roman"/>
                <w:sz w:val="18"/>
              </w:rPr>
              <w:t>5</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7,951,578.82</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z w:val="18"/>
              </w:rPr>
              <w:t>2.03%</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935"/>
        <w:gridCol w:w="3168"/>
        <w:gridCol w:w="2322"/>
        <w:gridCol w:w="3143"/>
      </w:tblGrid>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84" w:right="0"/>
              <w:jc w:val="left"/>
              <w:rPr>
                <w:rFonts w:ascii="Times New Roman" w:hAnsi="Times New Roman" w:cs="Times New Roman" w:eastAsia="Times New Roman" w:hint="default"/>
                <w:sz w:val="18"/>
                <w:szCs w:val="18"/>
              </w:rPr>
            </w:pPr>
            <w:r>
              <w:rPr>
                <w:rFonts w:ascii="Times New Roman"/>
                <w:sz w:val="18"/>
              </w:rPr>
              <w:t>181,131,747.40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46.16%</w:t>
            </w:r>
          </w:p>
        </w:tc>
      </w:tr>
    </w:tbl>
    <w:p>
      <w:pPr>
        <w:pStyle w:val="BodyText"/>
        <w:spacing w:line="240" w:lineRule="auto" w:before="51"/>
        <w:ind w:right="0"/>
        <w:jc w:val="left"/>
      </w:pPr>
      <w:r>
        <w:rPr/>
        <w:t>主要供应商其他情况说明</w:t>
      </w:r>
    </w:p>
    <w:p>
      <w:pPr>
        <w:pStyle w:val="BodyText"/>
        <w:spacing w:line="240" w:lineRule="auto" w:before="117"/>
        <w:ind w:left="204" w:right="0"/>
        <w:jc w:val="left"/>
      </w:pPr>
      <w:r>
        <w:rPr/>
        <w:t>□ 适用 √</w:t>
      </w:r>
      <w:r>
        <w:rPr>
          <w:spacing w:val="-3"/>
        </w:rPr>
        <w:t> </w:t>
      </w:r>
      <w:r>
        <w:rPr/>
        <w:t>不适用</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3、费用" w:id="48"/>
      <w:bookmarkEnd w:id="48"/>
      <w:r>
        <w:rPr>
          <w:b w:val="0"/>
          <w:bCs w:val="0"/>
        </w:rPr>
      </w:r>
      <w:r>
        <w:rPr>
          <w:rFonts w:ascii="Times New Roman" w:hAnsi="Times New Roman" w:cs="Times New Roman" w:eastAsia="Times New Roman" w:hint="default"/>
        </w:rPr>
        <w:t>3</w:t>
      </w:r>
      <w:r>
        <w:rPr/>
        <w:t>、费用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5"/>
        <w:gridCol w:w="1637"/>
        <w:gridCol w:w="1637"/>
        <w:gridCol w:w="1461"/>
        <w:gridCol w:w="2918"/>
      </w:tblGrid>
      <w:tr>
        <w:trPr>
          <w:trHeight w:val="402" w:hRule="exact"/>
        </w:trPr>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tc>
        <w:tc>
          <w:tcPr>
            <w:tcW w:w="14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65"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13"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02" w:hRule="exact"/>
        </w:trPr>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119,474,828.74</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108,188,001.84</w:t>
            </w:r>
          </w:p>
        </w:tc>
        <w:tc>
          <w:tcPr>
            <w:tcW w:w="1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10.43%</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151,709,086.59</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152,415,963.38</w:t>
            </w:r>
          </w:p>
        </w:tc>
        <w:tc>
          <w:tcPr>
            <w:tcW w:w="1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-0.46%</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7,544,515.68</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-1,984,408.58</w:t>
            </w:r>
          </w:p>
        </w:tc>
        <w:tc>
          <w:tcPr>
            <w:tcW w:w="1461" w:type="dxa"/>
            <w:tcBorders>
              <w:top w:val="single" w:sz="4" w:space="0" w:color="000000"/>
              <w:left w:val="single" w:sz="4" w:space="0" w:color="000000"/>
              <w:bottom w:val="single" w:sz="4" w:space="0" w:color="000000"/>
              <w:right w:val="single" w:sz="4" w:space="0" w:color="000000"/>
            </w:tcBorders>
          </w:tcPr>
          <w:p>
            <w:pP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2" w:right="104"/>
              <w:jc w:val="left"/>
              <w:rPr>
                <w:rFonts w:ascii="宋体" w:hAnsi="宋体" w:cs="宋体" w:eastAsia="宋体" w:hint="default"/>
                <w:sz w:val="18"/>
                <w:szCs w:val="18"/>
              </w:rPr>
            </w:pPr>
            <w:r>
              <w:rPr>
                <w:rFonts w:ascii="宋体" w:hAnsi="宋体" w:cs="宋体" w:eastAsia="宋体" w:hint="default"/>
                <w:sz w:val="18"/>
                <w:szCs w:val="18"/>
              </w:rPr>
              <w:t>财务费用增加主要系本期银行借款 增加所致。</w:t>
            </w:r>
          </w:p>
        </w:tc>
      </w:tr>
      <w:tr>
        <w:trPr>
          <w:trHeight w:val="402" w:hRule="exact"/>
        </w:trPr>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129,852,419.99</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115,725,190.48</w:t>
            </w:r>
          </w:p>
        </w:tc>
        <w:tc>
          <w:tcPr>
            <w:tcW w:w="14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12.21%</w:t>
            </w:r>
          </w:p>
        </w:tc>
        <w:tc>
          <w:tcPr>
            <w:tcW w:w="291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4"/>
        <w:rPr>
          <w:rFonts w:ascii="宋体" w:hAnsi="宋体" w:cs="宋体" w:eastAsia="宋体" w:hint="default"/>
          <w:sz w:val="19"/>
          <w:szCs w:val="19"/>
        </w:rPr>
      </w:pPr>
    </w:p>
    <w:p>
      <w:pPr>
        <w:pStyle w:val="Heading3"/>
        <w:spacing w:line="240" w:lineRule="auto" w:before="34"/>
        <w:ind w:right="0"/>
        <w:jc w:val="left"/>
        <w:rPr>
          <w:b w:val="0"/>
          <w:bCs w:val="0"/>
        </w:rPr>
      </w:pPr>
      <w:bookmarkStart w:name="4、研发投入" w:id="49"/>
      <w:bookmarkEnd w:id="49"/>
      <w:r>
        <w:rPr>
          <w:b w:val="0"/>
          <w:bCs w:val="0"/>
        </w:rPr>
      </w:r>
      <w:r>
        <w:rPr>
          <w:rFonts w:ascii="Times New Roman" w:hAnsi="Times New Roman" w:cs="Times New Roman" w:eastAsia="Times New Roman" w:hint="default"/>
        </w:rPr>
        <w:t>4</w:t>
      </w:r>
      <w:r>
        <w:rPr/>
        <w:t>、研发投入</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 </w:t>
      </w:r>
      <w:r>
        <w:rPr>
          <w:spacing w:val="1"/>
        </w:rPr>
        <w:t> </w:t>
      </w:r>
      <w:r>
        <w:rPr/>
        <w:t>□不适用</w:t>
      </w:r>
    </w:p>
    <w:p>
      <w:pPr>
        <w:pStyle w:val="BodyText"/>
        <w:spacing w:line="319" w:lineRule="auto" w:before="115"/>
        <w:ind w:right="1156" w:firstLine="360"/>
        <w:jc w:val="both"/>
      </w:pP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年度，公司密切关注行业发展趋势，积极跟随卫健委等的政策导向，加大研发投入，坚持技术创新，保障新产品 开发与技术升级有序进行。</w:t>
      </w:r>
      <w:r>
        <w:rPr>
          <w:rFonts w:ascii="Times New Roman" w:hAnsi="Times New Roman" w:cs="Times New Roman" w:eastAsia="Times New Roman" w:hint="default"/>
        </w:rPr>
        <w:t>2018</w:t>
      </w:r>
      <w:r>
        <w:rPr>
          <w:rFonts w:ascii="Times New Roman" w:hAnsi="Times New Roman" w:cs="Times New Roman" w:eastAsia="Times New Roman" w:hint="default"/>
          <w:spacing w:val="-3"/>
        </w:rPr>
        <w:t> </w:t>
      </w:r>
      <w:r>
        <w:rPr/>
        <w:t>年度，公司发生研发投入</w:t>
      </w:r>
      <w:r>
        <w:rPr>
          <w:spacing w:val="-47"/>
        </w:rPr>
        <w:t> </w:t>
      </w:r>
      <w:r>
        <w:rPr>
          <w:rFonts w:ascii="Times New Roman" w:hAnsi="Times New Roman" w:cs="Times New Roman" w:eastAsia="Times New Roman" w:hint="default"/>
        </w:rPr>
        <w:t>16,271.35</w:t>
      </w:r>
      <w:r>
        <w:rPr>
          <w:rFonts w:ascii="Times New Roman" w:hAnsi="Times New Roman" w:cs="Times New Roman" w:eastAsia="Times New Roman" w:hint="default"/>
          <w:spacing w:val="-3"/>
        </w:rPr>
        <w:t> </w:t>
      </w:r>
      <w:r>
        <w:rPr/>
        <w:t>万元，同比增长</w:t>
      </w:r>
      <w:r>
        <w:rPr>
          <w:spacing w:val="-49"/>
        </w:rPr>
        <w:t> </w:t>
      </w:r>
      <w:r>
        <w:rPr>
          <w:rFonts w:ascii="Times New Roman" w:hAnsi="Times New Roman" w:cs="Times New Roman" w:eastAsia="Times New Roman" w:hint="default"/>
        </w:rPr>
        <w:t>40.60%</w:t>
      </w:r>
      <w:r>
        <w:rPr/>
        <w:t>，占公司营业收入的</w:t>
      </w:r>
      <w:r>
        <w:rPr>
          <w:spacing w:val="-47"/>
        </w:rPr>
        <w:t> </w:t>
      </w:r>
      <w:r>
        <w:rPr>
          <w:rFonts w:ascii="Times New Roman" w:hAnsi="Times New Roman" w:cs="Times New Roman" w:eastAsia="Times New Roman" w:hint="default"/>
        </w:rPr>
        <w:t>12.61%</w:t>
      </w:r>
      <w:r>
        <w:rPr/>
        <w:t>。 近三年公司研发投入金额及占营业收入的比例</w:t>
      </w:r>
    </w:p>
    <w:p>
      <w:pPr>
        <w:spacing w:line="240" w:lineRule="auto" w:before="8"/>
        <w:rPr>
          <w:rFonts w:ascii="宋体" w:hAnsi="宋体" w:cs="宋体" w:eastAsia="宋体" w:hint="default"/>
          <w:sz w:val="3"/>
          <w:szCs w:val="3"/>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880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876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609</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28.79%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pacing w:val="-1"/>
                <w:sz w:val="18"/>
              </w:rPr>
              <w:t>22.42%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29.38%</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162,713,489.51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115,725,190.48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84,530,838.31</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12.61%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pacing w:val="-1"/>
                <w:sz w:val="18"/>
              </w:rPr>
              <w:t>10.04%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15.41%</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pacing w:val="-6"/>
                <w:sz w:val="18"/>
                <w:szCs w:val="18"/>
              </w:rPr>
              <w:t>研发支出资本化的金额（元）</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32,861,069.52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18"/>
              <w:jc w:val="left"/>
              <w:rPr>
                <w:rFonts w:ascii="宋体" w:hAnsi="宋体" w:cs="宋体" w:eastAsia="宋体" w:hint="default"/>
                <w:sz w:val="18"/>
                <w:szCs w:val="18"/>
              </w:rPr>
            </w:pPr>
            <w:r>
              <w:rPr>
                <w:rFonts w:ascii="宋体" w:hAnsi="宋体" w:cs="宋体" w:eastAsia="宋体" w:hint="default"/>
                <w:sz w:val="18"/>
                <w:szCs w:val="18"/>
              </w:rPr>
              <w:t>资本化研发支出占研发投入 的比例</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20.20%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1" w:right="118"/>
              <w:jc w:val="left"/>
              <w:rPr>
                <w:rFonts w:ascii="宋体" w:hAnsi="宋体" w:cs="宋体" w:eastAsia="宋体" w:hint="default"/>
                <w:sz w:val="18"/>
                <w:szCs w:val="18"/>
              </w:rPr>
            </w:pPr>
            <w:r>
              <w:rPr>
                <w:rFonts w:ascii="宋体" w:hAnsi="宋体" w:cs="宋体" w:eastAsia="宋体" w:hint="default"/>
                <w:sz w:val="18"/>
                <w:szCs w:val="18"/>
              </w:rPr>
              <w:t>资本化研发支出占当期净利 润的比重</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14.93%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51"/>
        <w:ind w:right="0"/>
        <w:jc w:val="left"/>
      </w:pPr>
      <w:r>
        <w:rPr/>
        <w:t>研发投入总额占营业收入的比重较上年发生显著变化的原因</w:t>
      </w:r>
    </w:p>
    <w:p>
      <w:pPr>
        <w:pStyle w:val="BodyText"/>
        <w:spacing w:line="360" w:lineRule="auto" w:before="115"/>
        <w:ind w:right="6794" w:firstLine="91"/>
        <w:jc w:val="left"/>
      </w:pPr>
      <w:r>
        <w:rPr/>
        <w:t>□ 适用 √</w:t>
      </w:r>
      <w:r>
        <w:rPr>
          <w:spacing w:val="-3"/>
        </w:rPr>
        <w:t> </w:t>
      </w:r>
      <w:r>
        <w:rPr/>
        <w:t>不适用</w:t>
      </w:r>
      <w:r>
        <w:rPr/>
        <w:t> 研发投入资本化率大幅变动的原因及其合理性说明</w:t>
      </w:r>
    </w:p>
    <w:p>
      <w:pPr>
        <w:pStyle w:val="BodyText"/>
        <w:spacing w:line="240" w:lineRule="auto" w:before="27"/>
        <w:ind w:left="204" w:right="0"/>
        <w:jc w:val="left"/>
      </w:pPr>
      <w:r>
        <w:rPr/>
        <w:t>□ 适用 √</w:t>
      </w:r>
      <w:r>
        <w:rPr>
          <w:spacing w:val="-3"/>
        </w:rPr>
        <w:t> </w:t>
      </w:r>
      <w:r>
        <w:rPr/>
        <w:t>不适用</w:t>
      </w:r>
    </w:p>
    <w:p>
      <w:pPr>
        <w:pStyle w:val="BodyText"/>
        <w:spacing w:line="340" w:lineRule="auto" w:before="115"/>
        <w:ind w:left="472" w:right="0" w:hanging="360"/>
        <w:jc w:val="left"/>
      </w:pPr>
      <w:r>
        <w:rPr/>
        <w:t>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号——上市公司从事软件与信息技术服务业务》的披露要求 </w:t>
      </w:r>
      <w:r>
        <w:rPr>
          <w:spacing w:val="-2"/>
        </w:rPr>
        <w:t>结合软件行业研发流程及自身研发的特点，公司研发项目通过立项评审后进入开发阶段。开发项目达到预定用途后确认</w:t>
      </w:r>
    </w:p>
    <w:p>
      <w:pPr>
        <w:pStyle w:val="BodyText"/>
        <w:spacing w:line="240" w:lineRule="auto" w:before="1"/>
        <w:ind w:right="0"/>
        <w:jc w:val="left"/>
      </w:pPr>
      <w:r>
        <w:rPr/>
        <w:t>为无形资产核算。</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0"/>
        <w:jc w:val="left"/>
        <w:rPr>
          <w:b w:val="0"/>
          <w:bCs w:val="0"/>
        </w:rPr>
      </w:pPr>
      <w:bookmarkStart w:name="5、现金流" w:id="50"/>
      <w:bookmarkEnd w:id="50"/>
      <w:r>
        <w:rPr>
          <w:b w:val="0"/>
          <w:bCs w:val="0"/>
        </w:rPr>
      </w:r>
      <w:r>
        <w:rPr>
          <w:rFonts w:ascii="Times New Roman" w:hAnsi="Times New Roman" w:cs="Times New Roman" w:eastAsia="Times New Roman" w:hint="default"/>
        </w:rPr>
        <w:t>5</w:t>
      </w:r>
      <w:r>
        <w:rPr/>
        <w:t>、现金流</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1,302,493,637.06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1,263,469,481.15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3.09%</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1,132,796,018.98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1,088,003,139.50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4.12%</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18"/>
              <w:jc w:val="left"/>
              <w:rPr>
                <w:rFonts w:ascii="宋体" w:hAnsi="宋体" w:cs="宋体" w:eastAsia="宋体" w:hint="default"/>
                <w:sz w:val="18"/>
                <w:szCs w:val="18"/>
              </w:rPr>
            </w:pPr>
            <w:r>
              <w:rPr>
                <w:rFonts w:ascii="宋体" w:hAnsi="宋体" w:cs="宋体" w:eastAsia="宋体" w:hint="default"/>
                <w:sz w:val="18"/>
                <w:szCs w:val="18"/>
              </w:rPr>
              <w:t>经营活动产生的现金流量净 额</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169,697,618.08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175,466,341.65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-3.29%</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33,279,568.60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184,575,792.08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-81.97%</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190,312,914.62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315,959,611.37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-39.77%</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1" w:right="118"/>
              <w:jc w:val="left"/>
              <w:rPr>
                <w:rFonts w:ascii="宋体" w:hAnsi="宋体" w:cs="宋体" w:eastAsia="宋体" w:hint="default"/>
                <w:sz w:val="18"/>
                <w:szCs w:val="18"/>
              </w:rPr>
            </w:pPr>
            <w:r>
              <w:rPr>
                <w:rFonts w:ascii="宋体" w:hAnsi="宋体" w:cs="宋体" w:eastAsia="宋体" w:hint="default"/>
                <w:sz w:val="18"/>
                <w:szCs w:val="18"/>
              </w:rPr>
              <w:t>投资活动产生的现金流量净 额</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-157,033,346.02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-131,383,819.29</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458,962,402.24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191,868,000.00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139.21%</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366,240,716.79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192,944,883.02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89.82%</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18"/>
              <w:jc w:val="left"/>
              <w:rPr>
                <w:rFonts w:ascii="宋体" w:hAnsi="宋体" w:cs="宋体" w:eastAsia="宋体" w:hint="default"/>
                <w:sz w:val="18"/>
                <w:szCs w:val="18"/>
              </w:rPr>
            </w:pPr>
            <w:r>
              <w:rPr>
                <w:rFonts w:ascii="宋体" w:hAnsi="宋体" w:cs="宋体" w:eastAsia="宋体" w:hint="default"/>
                <w:sz w:val="18"/>
                <w:szCs w:val="18"/>
              </w:rPr>
              <w:t>筹资活动产生的现金流量净 额</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92,721,685.45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-1,076,883.02</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105,385,957.51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43,005,639.34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145.05%</w:t>
            </w:r>
          </w:p>
        </w:tc>
      </w:tr>
    </w:tbl>
    <w:p>
      <w:pPr>
        <w:pStyle w:val="BodyText"/>
        <w:spacing w:line="240" w:lineRule="auto" w:before="51"/>
        <w:ind w:right="0"/>
        <w:jc w:val="left"/>
      </w:pPr>
      <w:r>
        <w:rPr/>
        <w:t>相关数据同比发生重大变动的主要影响因素说明</w:t>
      </w:r>
    </w:p>
    <w:p>
      <w:pPr>
        <w:pStyle w:val="BodyText"/>
        <w:spacing w:line="338" w:lineRule="auto" w:before="117"/>
        <w:ind w:left="472" w:right="2294" w:hanging="360"/>
        <w:jc w:val="left"/>
      </w:pPr>
      <w:r>
        <w:rPr/>
        <w:t>√ 适用</w:t>
      </w:r>
      <w:r>
        <w:rPr>
          <w:spacing w:val="1"/>
        </w:rPr>
        <w:t> </w:t>
      </w:r>
      <w:r>
        <w:rPr/>
        <w:t>□不适用</w:t>
      </w:r>
      <w:r>
        <w:rPr/>
        <w:t> 投资活动现金流入和流出较上年同期降幅较大，主要系理财产品购买和赎回金额减少所致。 筹资活动现金流入较上年同期增幅较大，主要系本期短期借款增加、收到员工持股计划购股款等所致。</w:t>
      </w:r>
    </w:p>
    <w:p>
      <w:pPr>
        <w:pStyle w:val="BodyText"/>
        <w:spacing w:line="360" w:lineRule="auto" w:before="2"/>
        <w:ind w:right="3914" w:firstLine="360"/>
        <w:jc w:val="left"/>
      </w:pPr>
      <w:r>
        <w:rPr/>
        <w:t>筹资活动现金流出较上年同期增幅较大，主要系本期偿还银行短期借款增加所致。 报告期内公司经营活动产生的现金净流量与本年度净利润存在重大差异的原因说明</w:t>
      </w:r>
    </w:p>
    <w:p>
      <w:pPr>
        <w:pStyle w:val="BodyText"/>
        <w:spacing w:line="240" w:lineRule="auto" w:before="27"/>
        <w:ind w:left="204" w:right="0"/>
        <w:jc w:val="left"/>
      </w:pPr>
      <w:r>
        <w:rPr/>
        <w:t>□ 适用  √</w:t>
      </w:r>
      <w:r>
        <w:rPr>
          <w:spacing w:val="-1"/>
        </w:rPr>
        <w:t> </w:t>
      </w:r>
      <w:r>
        <w:rPr/>
        <w:t>不适用</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bookmarkStart w:name="三、非主营业务情况" w:id="51"/>
      <w:bookmarkEnd w:id="51"/>
      <w:r>
        <w:rPr>
          <w:b w:val="0"/>
          <w:bCs w:val="0"/>
        </w:rPr>
      </w:r>
      <w:r>
        <w:rPr/>
        <w:t>三、非主营业务情况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204" w:right="0"/>
        <w:jc w:val="left"/>
      </w:pPr>
      <w:r>
        <w:rPr/>
        <w:t>□ 适用  √</w:t>
      </w:r>
      <w:r>
        <w:rPr>
          <w:spacing w:val="-1"/>
        </w:rPr>
        <w:t> </w:t>
      </w:r>
      <w:r>
        <w:rPr/>
        <w:t>不适用</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bookmarkStart w:name="四、资产及负债状况" w:id="52"/>
      <w:bookmarkEnd w:id="52"/>
      <w:r>
        <w:rPr>
          <w:b w:val="0"/>
          <w:bCs w:val="0"/>
        </w:rPr>
      </w:r>
      <w:r>
        <w:rPr/>
        <w:t>四、资产及负债状况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资产构成重大变动情况" w:id="53"/>
      <w:bookmarkEnd w:id="53"/>
      <w:r>
        <w:rPr>
          <w:b w:val="0"/>
          <w:bCs w:val="0"/>
        </w:rPr>
      </w:r>
      <w:r>
        <w:rPr>
          <w:rFonts w:ascii="Times New Roman" w:hAnsi="Times New Roman" w:cs="Times New Roman" w:eastAsia="Times New Roman" w:hint="default"/>
        </w:rPr>
        <w:t>1</w:t>
      </w:r>
      <w:r>
        <w:rPr/>
        <w:t>、资产构成重大变动情况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164"/>
        <w:gridCol w:w="1063"/>
        <w:gridCol w:w="1195"/>
        <w:gridCol w:w="1063"/>
        <w:gridCol w:w="798"/>
        <w:gridCol w:w="2918"/>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
        </w:tc>
        <w:tc>
          <w:tcPr>
            <w:tcW w:w="222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25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304" w:right="122" w:hanging="180"/>
              <w:jc w:val="left"/>
              <w:rPr>
                <w:rFonts w:ascii="宋体" w:hAnsi="宋体" w:cs="宋体" w:eastAsia="宋体" w:hint="default"/>
                <w:sz w:val="18"/>
                <w:szCs w:val="18"/>
              </w:rPr>
            </w:pPr>
            <w:r>
              <w:rPr>
                <w:rFonts w:ascii="宋体" w:hAnsi="宋体" w:cs="宋体" w:eastAsia="宋体" w:hint="default"/>
                <w:sz w:val="18"/>
                <w:szCs w:val="18"/>
              </w:rPr>
              <w:t>比重增 减</w:t>
            </w:r>
          </w:p>
        </w:tc>
        <w:tc>
          <w:tcPr>
            <w:tcW w:w="291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915"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714"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346" w:right="164" w:hanging="180"/>
              <w:jc w:val="left"/>
              <w:rPr>
                <w:rFonts w:ascii="宋体" w:hAnsi="宋体" w:cs="宋体" w:eastAsia="宋体" w:hint="default"/>
                <w:sz w:val="18"/>
                <w:szCs w:val="18"/>
              </w:rPr>
            </w:pPr>
            <w:r>
              <w:rPr>
                <w:rFonts w:ascii="宋体" w:hAnsi="宋体" w:cs="宋体" w:eastAsia="宋体" w:hint="default"/>
                <w:sz w:val="18"/>
                <w:szCs w:val="18"/>
              </w:rPr>
              <w:t>占总资产 比例</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347" w:right="164" w:hanging="180"/>
              <w:jc w:val="left"/>
              <w:rPr>
                <w:rFonts w:ascii="宋体" w:hAnsi="宋体" w:cs="宋体" w:eastAsia="宋体" w:hint="default"/>
                <w:sz w:val="18"/>
                <w:szCs w:val="18"/>
              </w:rPr>
            </w:pPr>
            <w:r>
              <w:rPr>
                <w:rFonts w:ascii="宋体" w:hAnsi="宋体" w:cs="宋体" w:eastAsia="宋体" w:hint="default"/>
                <w:sz w:val="18"/>
                <w:szCs w:val="18"/>
              </w:rPr>
              <w:t>占总资产 比例</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2918" w:type="dxa"/>
            <w:vMerge/>
            <w:tcBorders>
              <w:left w:val="single" w:sz="4" w:space="0" w:color="000000"/>
              <w:bottom w:val="single" w:sz="4" w:space="0" w:color="000000"/>
              <w:right w:val="single" w:sz="4" w:space="0" w:color="000000"/>
            </w:tcBorders>
            <w:shd w:val="clear" w:color="auto" w:fill="D2D2D2"/>
          </w:tcPr>
          <w:p>
            <w:pPr/>
          </w:p>
        </w:tc>
      </w:tr>
      <w:tr>
        <w:trPr>
          <w:trHeight w:val="71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468,367,664.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95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97" w:right="0"/>
              <w:jc w:val="left"/>
              <w:rPr>
                <w:rFonts w:ascii="Times New Roman" w:hAnsi="Times New Roman" w:cs="Times New Roman" w:eastAsia="Times New Roman" w:hint="default"/>
                <w:sz w:val="18"/>
                <w:szCs w:val="18"/>
              </w:rPr>
            </w:pPr>
            <w:r>
              <w:rPr>
                <w:rFonts w:ascii="Times New Roman"/>
                <w:sz w:val="18"/>
              </w:rPr>
              <w:t>15.21%</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361,081,959.</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81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95" w:right="0"/>
              <w:jc w:val="left"/>
              <w:rPr>
                <w:rFonts w:ascii="Times New Roman" w:hAnsi="Times New Roman" w:cs="Times New Roman" w:eastAsia="Times New Roman" w:hint="default"/>
                <w:sz w:val="18"/>
                <w:szCs w:val="18"/>
              </w:rPr>
            </w:pPr>
            <w:r>
              <w:rPr>
                <w:rFonts w:ascii="Times New Roman"/>
                <w:sz w:val="18"/>
              </w:rPr>
              <w:t>13.38%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0" w:right="0"/>
              <w:jc w:val="left"/>
              <w:rPr>
                <w:rFonts w:ascii="Times New Roman" w:hAnsi="Times New Roman" w:cs="Times New Roman" w:eastAsia="Times New Roman" w:hint="default"/>
                <w:sz w:val="18"/>
                <w:szCs w:val="18"/>
              </w:rPr>
            </w:pPr>
            <w:r>
              <w:rPr>
                <w:rFonts w:ascii="Times New Roman"/>
                <w:sz w:val="18"/>
              </w:rPr>
              <w:t>1.83%</w:t>
            </w:r>
          </w:p>
        </w:tc>
        <w:tc>
          <w:tcPr>
            <w:tcW w:w="291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368"/>
        <w:gridCol w:w="1164"/>
        <w:gridCol w:w="1063"/>
        <w:gridCol w:w="1195"/>
        <w:gridCol w:w="1063"/>
        <w:gridCol w:w="798"/>
        <w:gridCol w:w="2918"/>
      </w:tblGrid>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579,520,829.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18.82%</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447,674,875.</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18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16.59%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2.23%</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87,484,101.2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2.84%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89,824,846.3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3.33%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-0.49%</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6" w:right="0"/>
              <w:jc w:val="left"/>
              <w:rPr>
                <w:rFonts w:ascii="Times New Roman" w:hAnsi="Times New Roman" w:cs="Times New Roman" w:eastAsia="Times New Roman" w:hint="default"/>
                <w:sz w:val="18"/>
                <w:szCs w:val="18"/>
              </w:rPr>
            </w:pPr>
            <w:r>
              <w:rPr>
                <w:rFonts w:ascii="Times New Roman"/>
                <w:sz w:val="18"/>
              </w:rPr>
              <w:t>3,469,909.40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2"/>
                <w:sz w:val="18"/>
              </w:rPr>
              <w:t>0.11%</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38" w:right="0"/>
              <w:jc w:val="left"/>
              <w:rPr>
                <w:rFonts w:ascii="Times New Roman" w:hAnsi="Times New Roman" w:cs="Times New Roman" w:eastAsia="Times New Roman" w:hint="default"/>
                <w:sz w:val="18"/>
                <w:szCs w:val="18"/>
              </w:rPr>
            </w:pPr>
            <w:r>
              <w:rPr>
                <w:rFonts w:ascii="Times New Roman"/>
                <w:sz w:val="18"/>
              </w:rPr>
              <w:t>3,691,834.64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0.14%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7"/>
              <w:jc w:val="right"/>
              <w:rPr>
                <w:rFonts w:ascii="Times New Roman" w:hAnsi="Times New Roman" w:cs="Times New Roman" w:eastAsia="Times New Roman" w:hint="default"/>
                <w:sz w:val="18"/>
                <w:szCs w:val="18"/>
              </w:rPr>
            </w:pPr>
            <w:r>
              <w:rPr>
                <w:rFonts w:ascii="Times New Roman"/>
                <w:sz w:val="18"/>
              </w:rPr>
              <w:t>-0.03%</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174,191,056.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5.66%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42,169,001.6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1.56%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4.10%</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300,209,659.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9.75%</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310,211,428.</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25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11.49%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-1.74%</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59,837,374.7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1.94%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35,404,389.8</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1.31%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0.63%</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177,500,000.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5.77%</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100,000,000.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3.71%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2.06%</w:t>
            </w:r>
          </w:p>
        </w:tc>
        <w:tc>
          <w:tcPr>
            <w:tcW w:w="291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4"/>
        <w:rPr>
          <w:rFonts w:ascii="宋体" w:hAnsi="宋体" w:cs="宋体" w:eastAsia="宋体" w:hint="default"/>
          <w:sz w:val="19"/>
          <w:szCs w:val="19"/>
        </w:rPr>
      </w:pPr>
    </w:p>
    <w:p>
      <w:pPr>
        <w:pStyle w:val="Heading3"/>
        <w:spacing w:line="240" w:lineRule="auto" w:before="34"/>
        <w:ind w:right="0"/>
        <w:jc w:val="left"/>
        <w:rPr>
          <w:b w:val="0"/>
          <w:bCs w:val="0"/>
        </w:rPr>
      </w:pPr>
      <w:bookmarkStart w:name="2、以公允价值计量的资产和负债" w:id="54"/>
      <w:bookmarkEnd w:id="54"/>
      <w:r>
        <w:rPr>
          <w:b w:val="0"/>
          <w:bCs w:val="0"/>
        </w:rPr>
      </w:r>
      <w:r>
        <w:rPr>
          <w:rFonts w:ascii="Times New Roman" w:hAnsi="Times New Roman" w:cs="Times New Roman" w:eastAsia="Times New Roman" w:hint="default"/>
        </w:rPr>
        <w:t>2</w:t>
      </w:r>
      <w:r>
        <w:rPr/>
        <w:t>、以公允价值计量的资产和负债</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204" w:right="0"/>
        <w:jc w:val="left"/>
      </w:pPr>
      <w:r>
        <w:rPr/>
        <w:t>□ 适用  √</w:t>
      </w:r>
      <w:r>
        <w:rPr>
          <w:spacing w:val="-1"/>
        </w:rPr>
        <w:t> </w:t>
      </w:r>
      <w:r>
        <w:rPr/>
        <w:t>不适用</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3、截至报告期末的资产权利受限情况" w:id="55"/>
      <w:bookmarkEnd w:id="55"/>
      <w:r>
        <w:rPr>
          <w:b w:val="0"/>
          <w:bCs w:val="0"/>
        </w:rPr>
      </w:r>
      <w:r>
        <w:rPr>
          <w:rFonts w:ascii="Times New Roman" w:hAnsi="Times New Roman" w:cs="Times New Roman" w:eastAsia="Times New Roman" w:hint="default"/>
        </w:rPr>
        <w:t>3</w:t>
      </w:r>
      <w:r>
        <w:rPr/>
        <w:t>、截至报告期末的资产权利受限情况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2839"/>
        <w:gridCol w:w="2088"/>
        <w:gridCol w:w="4625"/>
      </w:tblGrid>
      <w:tr>
        <w:trPr>
          <w:trHeight w:val="342" w:hRule="exact"/>
        </w:trPr>
        <w:tc>
          <w:tcPr>
            <w:tcW w:w="2839" w:type="dxa"/>
            <w:tcBorders>
              <w:top w:val="single" w:sz="4" w:space="0" w:color="000000"/>
              <w:left w:val="single" w:sz="4" w:space="0" w:color="000000"/>
              <w:bottom w:val="single" w:sz="4" w:space="0" w:color="000000"/>
              <w:right w:val="single" w:sz="4" w:space="0" w:color="000000"/>
            </w:tcBorders>
            <w:shd w:val="clear" w:color="auto" w:fill="BDBDBD"/>
          </w:tcPr>
          <w:p>
            <w:pPr>
              <w:pStyle w:val="TableParagraph"/>
              <w:spacing w:line="271" w:lineRule="exact"/>
              <w:ind w:right="2"/>
              <w:jc w:val="center"/>
              <w:rPr>
                <w:rFonts w:ascii="宋体" w:hAnsi="宋体" w:cs="宋体" w:eastAsia="宋体" w:hint="default"/>
                <w:sz w:val="21"/>
                <w:szCs w:val="21"/>
              </w:rPr>
            </w:pPr>
            <w:r>
              <w:rPr>
                <w:rFonts w:ascii="宋体" w:hAnsi="宋体" w:cs="宋体" w:eastAsia="宋体" w:hint="default"/>
                <w:sz w:val="21"/>
                <w:szCs w:val="21"/>
              </w:rPr>
              <w:t>项目</w:t>
            </w:r>
          </w:p>
        </w:tc>
        <w:tc>
          <w:tcPr>
            <w:tcW w:w="2088" w:type="dxa"/>
            <w:tcBorders>
              <w:top w:val="single" w:sz="4" w:space="0" w:color="000000"/>
              <w:left w:val="single" w:sz="4" w:space="0" w:color="000000"/>
              <w:bottom w:val="single" w:sz="4" w:space="0" w:color="000000"/>
              <w:right w:val="single" w:sz="4" w:space="0" w:color="000000"/>
            </w:tcBorders>
            <w:shd w:val="clear" w:color="auto" w:fill="BDBDBD"/>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期末账面价值</w:t>
            </w:r>
          </w:p>
        </w:tc>
        <w:tc>
          <w:tcPr>
            <w:tcW w:w="4625" w:type="dxa"/>
            <w:tcBorders>
              <w:top w:val="single" w:sz="4" w:space="0" w:color="000000"/>
              <w:left w:val="single" w:sz="4" w:space="0" w:color="000000"/>
              <w:bottom w:val="single" w:sz="4" w:space="0" w:color="000000"/>
              <w:right w:val="single" w:sz="4" w:space="0" w:color="000000"/>
            </w:tcBorders>
            <w:shd w:val="clear" w:color="auto" w:fill="BDBDBD"/>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受限原因</w:t>
            </w:r>
          </w:p>
        </w:tc>
      </w:tr>
      <w:tr>
        <w:trPr>
          <w:trHeight w:val="654" w:hRule="exact"/>
        </w:trPr>
        <w:tc>
          <w:tcPr>
            <w:tcW w:w="2839"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货币资金</w:t>
            </w:r>
          </w:p>
        </w:tc>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 w:right="0"/>
              <w:jc w:val="center"/>
              <w:rPr>
                <w:rFonts w:ascii="Times New Roman" w:hAnsi="Times New Roman" w:cs="Times New Roman" w:eastAsia="Times New Roman" w:hint="default"/>
                <w:sz w:val="21"/>
                <w:szCs w:val="21"/>
              </w:rPr>
            </w:pPr>
            <w:r>
              <w:rPr>
                <w:rFonts w:ascii="Times New Roman"/>
                <w:sz w:val="21"/>
              </w:rPr>
              <w:t>2,693,421.66</w:t>
            </w:r>
          </w:p>
        </w:tc>
        <w:tc>
          <w:tcPr>
            <w:tcW w:w="462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6" w:right="0"/>
              <w:jc w:val="left"/>
              <w:rPr>
                <w:rFonts w:ascii="宋体" w:hAnsi="宋体" w:cs="宋体" w:eastAsia="宋体" w:hint="default"/>
                <w:sz w:val="21"/>
                <w:szCs w:val="21"/>
              </w:rPr>
            </w:pPr>
            <w:r>
              <w:rPr>
                <w:rFonts w:ascii="宋体" w:hAnsi="宋体" w:cs="宋体" w:eastAsia="宋体" w:hint="default"/>
                <w:spacing w:val="19"/>
                <w:sz w:val="21"/>
                <w:szCs w:val="21"/>
              </w:rPr>
              <w:t>均系其他货币资金，</w:t>
            </w:r>
            <w:r>
              <w:rPr>
                <w:rFonts w:ascii="宋体" w:hAnsi="宋体" w:cs="宋体" w:eastAsia="宋体" w:hint="default"/>
                <w:spacing w:val="-93"/>
                <w:sz w:val="21"/>
                <w:szCs w:val="21"/>
              </w:rPr>
              <w:t> </w:t>
            </w:r>
            <w:r>
              <w:rPr>
                <w:rFonts w:ascii="宋体" w:hAnsi="宋体" w:cs="宋体" w:eastAsia="宋体" w:hint="default"/>
                <w:spacing w:val="19"/>
                <w:sz w:val="21"/>
                <w:szCs w:val="21"/>
              </w:rPr>
              <w:t>包括银行承兑汇票保证金</w:t>
            </w:r>
          </w:p>
          <w:p>
            <w:pPr>
              <w:pStyle w:val="TableParagraph"/>
              <w:spacing w:line="240" w:lineRule="auto" w:before="37"/>
              <w:ind w:left="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724,912.66</w:t>
            </w:r>
            <w:r>
              <w:rPr>
                <w:rFonts w:ascii="宋体" w:hAnsi="宋体" w:cs="宋体" w:eastAsia="宋体" w:hint="default"/>
                <w:sz w:val="21"/>
                <w:szCs w:val="21"/>
              </w:rPr>
              <w:t>元和保函保证金</w:t>
            </w:r>
            <w:r>
              <w:rPr>
                <w:rFonts w:ascii="Times New Roman" w:hAnsi="Times New Roman" w:cs="Times New Roman" w:eastAsia="Times New Roman" w:hint="default"/>
                <w:sz w:val="21"/>
                <w:szCs w:val="21"/>
              </w:rPr>
              <w:t>1,968,509.00</w:t>
            </w:r>
            <w:r>
              <w:rPr>
                <w:rFonts w:ascii="宋体" w:hAnsi="宋体" w:cs="宋体" w:eastAsia="宋体" w:hint="default"/>
                <w:sz w:val="21"/>
                <w:szCs w:val="21"/>
              </w:rPr>
              <w:t>元。</w:t>
            </w:r>
          </w:p>
        </w:tc>
      </w:tr>
      <w:tr>
        <w:trPr>
          <w:trHeight w:val="342" w:hRule="exact"/>
        </w:trPr>
        <w:tc>
          <w:tcPr>
            <w:tcW w:w="2839"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2"/>
              <w:jc w:val="center"/>
              <w:rPr>
                <w:rFonts w:ascii="宋体" w:hAnsi="宋体" w:cs="宋体" w:eastAsia="宋体" w:hint="default"/>
                <w:sz w:val="21"/>
                <w:szCs w:val="21"/>
              </w:rPr>
            </w:pPr>
            <w:r>
              <w:rPr>
                <w:rFonts w:ascii="宋体" w:hAnsi="宋体" w:cs="宋体" w:eastAsia="宋体" w:hint="default"/>
                <w:sz w:val="21"/>
                <w:szCs w:val="21"/>
              </w:rPr>
              <w:t>合计</w:t>
            </w:r>
          </w:p>
        </w:tc>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left="1" w:right="0"/>
              <w:jc w:val="center"/>
              <w:rPr>
                <w:rFonts w:ascii="Times New Roman" w:hAnsi="Times New Roman" w:cs="Times New Roman" w:eastAsia="Times New Roman" w:hint="default"/>
                <w:sz w:val="21"/>
                <w:szCs w:val="21"/>
              </w:rPr>
            </w:pPr>
            <w:r>
              <w:rPr>
                <w:rFonts w:ascii="Times New Roman"/>
                <w:sz w:val="21"/>
              </w:rPr>
              <w:t>2,693,421.66</w:t>
            </w:r>
          </w:p>
        </w:tc>
        <w:tc>
          <w:tcPr>
            <w:tcW w:w="462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1"/>
          <w:szCs w:val="21"/>
        </w:rPr>
      </w:pPr>
    </w:p>
    <w:p>
      <w:pPr>
        <w:pStyle w:val="Heading2"/>
        <w:spacing w:line="240" w:lineRule="auto" w:before="26"/>
        <w:ind w:right="0"/>
        <w:jc w:val="left"/>
        <w:rPr>
          <w:b w:val="0"/>
          <w:bCs w:val="0"/>
        </w:rPr>
      </w:pPr>
      <w:bookmarkStart w:name="五、投资状况分析" w:id="56"/>
      <w:bookmarkEnd w:id="56"/>
      <w:r>
        <w:rPr>
          <w:b w:val="0"/>
          <w:bCs w:val="0"/>
        </w:rPr>
      </w:r>
      <w:r>
        <w:rPr/>
        <w:t>五、投资状况分析</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总体情况" w:id="57"/>
      <w:bookmarkEnd w:id="57"/>
      <w:r>
        <w:rPr>
          <w:b w:val="0"/>
          <w:bCs w:val="0"/>
        </w:rPr>
      </w:r>
      <w:r>
        <w:rPr>
          <w:rFonts w:ascii="Times New Roman" w:hAnsi="Times New Roman" w:cs="Times New Roman" w:eastAsia="Times New Roman" w:hint="default"/>
        </w:rPr>
        <w:t>1</w:t>
      </w:r>
      <w:r>
        <w:rPr/>
        <w:t>、总体情况</w:t>
      </w:r>
      <w:r>
        <w:rPr>
          <w:b w:val="0"/>
          <w:bCs w:val="0"/>
        </w:rPr>
      </w:r>
    </w:p>
    <w:p>
      <w:pPr>
        <w:spacing w:line="240" w:lineRule="auto" w:before="7"/>
        <w:rPr>
          <w:rFonts w:ascii="宋体" w:hAnsi="宋体" w:cs="宋体" w:eastAsia="宋体" w:hint="default"/>
          <w:b/>
          <w:bCs/>
          <w:sz w:val="26"/>
          <w:szCs w:val="26"/>
        </w:rPr>
      </w:pPr>
    </w:p>
    <w:p>
      <w:pPr>
        <w:pStyle w:val="BodyText"/>
        <w:tabs>
          <w:tab w:pos="1012" w:val="left" w:leader="none"/>
        </w:tabs>
        <w:spacing w:line="240" w:lineRule="auto"/>
        <w:ind w:right="0"/>
        <w:jc w:val="left"/>
      </w:pPr>
      <w:r>
        <w:rPr/>
        <w:t>√</w:t>
      </w:r>
      <w:r>
        <w:rPr>
          <w:spacing w:val="1"/>
        </w:rPr>
        <w:t> </w:t>
      </w:r>
      <w:r>
        <w:rPr/>
        <w:t>适用</w:t>
        <w:tab/>
        <w:t>□不适用</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8" w:right="0"/>
              <w:jc w:val="left"/>
              <w:rPr>
                <w:rFonts w:ascii="宋体" w:hAnsi="宋体" w:cs="宋体" w:eastAsia="宋体" w:hint="default"/>
                <w:sz w:val="18"/>
                <w:szCs w:val="18"/>
              </w:rPr>
            </w:pPr>
            <w:r>
              <w:rPr>
                <w:rFonts w:ascii="宋体" w:hAnsi="宋体" w:cs="宋体" w:eastAsia="宋体" w:hint="default"/>
                <w:sz w:val="18"/>
                <w:szCs w:val="18"/>
              </w:rPr>
              <w:t>报告期投资额（元）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90"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950" w:right="0"/>
              <w:jc w:val="left"/>
              <w:rPr>
                <w:rFonts w:ascii="Times New Roman" w:hAnsi="Times New Roman" w:cs="Times New Roman" w:eastAsia="Times New Roman" w:hint="default"/>
                <w:sz w:val="18"/>
                <w:szCs w:val="18"/>
              </w:rPr>
            </w:pPr>
            <w:r>
              <w:rPr>
                <w:rFonts w:ascii="Times New Roman"/>
                <w:sz w:val="18"/>
              </w:rPr>
              <w:t>170,608,868.41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816" w:right="0"/>
              <w:jc w:val="left"/>
              <w:rPr>
                <w:rFonts w:ascii="Times New Roman" w:hAnsi="Times New Roman" w:cs="Times New Roman" w:eastAsia="Times New Roman" w:hint="default"/>
                <w:sz w:val="18"/>
                <w:szCs w:val="18"/>
              </w:rPr>
            </w:pPr>
            <w:r>
              <w:rPr>
                <w:rFonts w:ascii="Times New Roman"/>
                <w:sz w:val="18"/>
              </w:rPr>
              <w:t>1,533,863,553.59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-88.88%</w:t>
            </w:r>
          </w:p>
        </w:tc>
      </w:tr>
    </w:tbl>
    <w:p>
      <w:pPr>
        <w:spacing w:line="240" w:lineRule="auto" w:before="3"/>
        <w:rPr>
          <w:rFonts w:ascii="宋体" w:hAnsi="宋体" w:cs="宋体" w:eastAsia="宋体" w:hint="default"/>
          <w:sz w:val="19"/>
          <w:szCs w:val="19"/>
        </w:rPr>
      </w:pPr>
    </w:p>
    <w:p>
      <w:pPr>
        <w:pStyle w:val="Heading3"/>
        <w:spacing w:line="240" w:lineRule="auto" w:before="34"/>
        <w:ind w:right="0"/>
        <w:jc w:val="left"/>
        <w:rPr>
          <w:b w:val="0"/>
          <w:bCs w:val="0"/>
        </w:rPr>
      </w:pPr>
      <w:bookmarkStart w:name="2、报告期内获取的重大的股权投资情况" w:id="58"/>
      <w:bookmarkEnd w:id="58"/>
      <w:r>
        <w:rPr>
          <w:b w:val="0"/>
          <w:bCs w:val="0"/>
        </w:rPr>
      </w:r>
      <w:r>
        <w:rPr>
          <w:rFonts w:ascii="Times New Roman" w:hAnsi="Times New Roman" w:cs="Times New Roman" w:eastAsia="Times New Roman" w:hint="default"/>
        </w:rPr>
        <w:t>2</w:t>
      </w:r>
      <w:r>
        <w:rPr/>
        <w:t>、报告期内获取的重大的股权投资情况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204" w:right="0"/>
        <w:jc w:val="left"/>
      </w:pPr>
      <w:r>
        <w:rPr/>
        <w:t>□ 适用  √</w:t>
      </w:r>
      <w:r>
        <w:rPr>
          <w:spacing w:val="-1"/>
        </w:rPr>
        <w:t> </w:t>
      </w:r>
      <w:r>
        <w:rPr/>
        <w:t>不适用</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3、报告期内正在进行的重大的非股权投资情况" w:id="59"/>
      <w:bookmarkEnd w:id="59"/>
      <w:r>
        <w:rPr>
          <w:b w:val="0"/>
          <w:bCs w:val="0"/>
        </w:rPr>
      </w:r>
      <w:r>
        <w:rPr>
          <w:rFonts w:ascii="Times New Roman" w:hAnsi="Times New Roman" w:cs="Times New Roman" w:eastAsia="Times New Roman" w:hint="default"/>
        </w:rPr>
        <w:t>3</w:t>
      </w:r>
      <w:r>
        <w:rPr/>
        <w:t>、报告期内正在进行的重大的非股权投资情况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204" w:right="0"/>
        <w:jc w:val="left"/>
      </w:pPr>
      <w:r>
        <w:rPr/>
        <w:t>□ 适用  √</w:t>
      </w:r>
      <w:r>
        <w:rPr>
          <w:spacing w:val="-1"/>
        </w:rPr>
        <w:t> </w:t>
      </w:r>
      <w:r>
        <w:rPr/>
        <w:t>不适用</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0"/>
        <w:jc w:val="left"/>
        <w:rPr>
          <w:b w:val="0"/>
          <w:bCs w:val="0"/>
        </w:rPr>
      </w:pPr>
      <w:bookmarkStart w:name="4、以公允价值计量的金融资产" w:id="60"/>
      <w:bookmarkEnd w:id="60"/>
      <w:r>
        <w:rPr>
          <w:b w:val="0"/>
          <w:bCs w:val="0"/>
        </w:rPr>
      </w:r>
      <w:r>
        <w:rPr>
          <w:rFonts w:ascii="Times New Roman" w:hAnsi="Times New Roman" w:cs="Times New Roman" w:eastAsia="Times New Roman" w:hint="default"/>
        </w:rPr>
        <w:t>4</w:t>
      </w:r>
      <w:r>
        <w:rPr/>
        <w:t>、以公允价值计量的金融资产</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204" w:right="0"/>
        <w:jc w:val="left"/>
      </w:pPr>
      <w:r>
        <w:rPr/>
        <w:t>□ 适用  √</w:t>
      </w:r>
      <w:r>
        <w:rPr>
          <w:spacing w:val="-1"/>
        </w:rPr>
        <w:t> </w:t>
      </w:r>
      <w:r>
        <w:rPr/>
        <w:t>不适用</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5、募集资金使用情况" w:id="61"/>
      <w:bookmarkEnd w:id="61"/>
      <w:r>
        <w:rPr>
          <w:b w:val="0"/>
          <w:bCs w:val="0"/>
        </w:rPr>
      </w:r>
      <w:r>
        <w:rPr>
          <w:rFonts w:ascii="Times New Roman" w:hAnsi="Times New Roman" w:cs="Times New Roman" w:eastAsia="Times New Roman" w:hint="default"/>
        </w:rPr>
        <w:t>5</w:t>
      </w:r>
      <w:r>
        <w:rPr/>
        <w:t>、募集资金使用情况</w:t>
      </w:r>
      <w:r>
        <w:rPr>
          <w:b w:val="0"/>
          <w:bCs w:val="0"/>
        </w:rPr>
      </w:r>
    </w:p>
    <w:p>
      <w:pPr>
        <w:spacing w:line="240" w:lineRule="auto" w:before="4"/>
        <w:rPr>
          <w:rFonts w:ascii="宋体" w:hAnsi="宋体" w:cs="宋体" w:eastAsia="宋体" w:hint="default"/>
          <w:b/>
          <w:bCs/>
          <w:sz w:val="26"/>
          <w:szCs w:val="26"/>
        </w:rPr>
      </w:pPr>
    </w:p>
    <w:p>
      <w:pPr>
        <w:pStyle w:val="BodyText"/>
        <w:spacing w:line="360" w:lineRule="auto"/>
        <w:ind w:right="8054" w:firstLine="91"/>
        <w:jc w:val="left"/>
      </w:pPr>
      <w:r>
        <w:rPr/>
        <w:t>□ 适用 √</w:t>
      </w:r>
      <w:r>
        <w:rPr>
          <w:spacing w:val="-1"/>
        </w:rPr>
        <w:t> </w:t>
      </w:r>
      <w:r>
        <w:rPr/>
        <w:t>不适用</w:t>
      </w:r>
      <w:r>
        <w:rPr/>
        <w:t> 公司报告期无募集资金使用情况。</w:t>
      </w:r>
    </w:p>
    <w:p>
      <w:pPr>
        <w:spacing w:line="240" w:lineRule="auto" w:before="2"/>
        <w:rPr>
          <w:rFonts w:ascii="宋体" w:hAnsi="宋体" w:cs="宋体" w:eastAsia="宋体" w:hint="default"/>
          <w:sz w:val="18"/>
          <w:szCs w:val="18"/>
        </w:rPr>
      </w:pPr>
    </w:p>
    <w:p>
      <w:pPr>
        <w:pStyle w:val="Heading2"/>
        <w:spacing w:line="240" w:lineRule="auto"/>
        <w:ind w:right="0"/>
        <w:jc w:val="left"/>
        <w:rPr>
          <w:b w:val="0"/>
          <w:bCs w:val="0"/>
        </w:rPr>
      </w:pPr>
      <w:bookmarkStart w:name="六、重大资产和股权出售" w:id="62"/>
      <w:bookmarkEnd w:id="62"/>
      <w:r>
        <w:rPr>
          <w:b w:val="0"/>
          <w:bCs w:val="0"/>
        </w:rPr>
      </w:r>
      <w:r>
        <w:rPr/>
        <w:t>六、重大资产和股权出售</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出售重大资产情况" w:id="63"/>
      <w:bookmarkEnd w:id="63"/>
      <w:r>
        <w:rPr>
          <w:b w:val="0"/>
          <w:bCs w:val="0"/>
        </w:rPr>
      </w:r>
      <w:r>
        <w:rPr>
          <w:rFonts w:ascii="Times New Roman" w:hAnsi="Times New Roman" w:cs="Times New Roman" w:eastAsia="Times New Roman" w:hint="default"/>
        </w:rPr>
        <w:t>1</w:t>
      </w:r>
      <w:r>
        <w:rPr/>
        <w:t>、出售重大资产情况</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8414" w:firstLine="91"/>
        <w:jc w:val="left"/>
      </w:pPr>
      <w:r>
        <w:rPr/>
        <w:t>□ 适用 √</w:t>
      </w:r>
      <w:r>
        <w:rPr>
          <w:spacing w:val="-1"/>
        </w:rPr>
        <w:t> </w:t>
      </w:r>
      <w:r>
        <w:rPr/>
        <w:t>不适用</w:t>
      </w:r>
      <w:r>
        <w:rPr/>
        <w:t> 公司报告期未出售重大资产。</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2、出售重大股权情况" w:id="64"/>
      <w:bookmarkEnd w:id="64"/>
      <w:r>
        <w:rPr>
          <w:b w:val="0"/>
          <w:bCs w:val="0"/>
        </w:rPr>
      </w:r>
      <w:r>
        <w:rPr>
          <w:rFonts w:ascii="Times New Roman" w:hAnsi="Times New Roman" w:cs="Times New Roman" w:eastAsia="Times New Roman" w:hint="default"/>
        </w:rPr>
        <w:t>2</w:t>
      </w:r>
      <w:r>
        <w:rPr/>
        <w:t>、出售重大股权情况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204" w:right="0"/>
        <w:jc w:val="left"/>
      </w:pPr>
      <w:r>
        <w:rPr/>
        <w:t>□ 适用  √</w:t>
      </w:r>
      <w:r>
        <w:rPr>
          <w:spacing w:val="-1"/>
        </w:rPr>
        <w:t> </w:t>
      </w:r>
      <w:r>
        <w:rPr/>
        <w:t>不适用</w:t>
      </w:r>
    </w:p>
    <w:p>
      <w:pPr>
        <w:spacing w:line="240" w:lineRule="auto" w:before="3"/>
        <w:rPr>
          <w:rFonts w:ascii="宋体" w:hAnsi="宋体" w:cs="宋体" w:eastAsia="宋体" w:hint="default"/>
          <w:sz w:val="25"/>
          <w:szCs w:val="25"/>
        </w:rPr>
      </w:pPr>
    </w:p>
    <w:p>
      <w:pPr>
        <w:pStyle w:val="Heading2"/>
        <w:spacing w:line="240" w:lineRule="auto"/>
        <w:ind w:right="0"/>
        <w:jc w:val="left"/>
        <w:rPr>
          <w:b w:val="0"/>
          <w:bCs w:val="0"/>
        </w:rPr>
      </w:pPr>
      <w:bookmarkStart w:name="七、主要控股参股公司分析" w:id="65"/>
      <w:bookmarkEnd w:id="65"/>
      <w:r>
        <w:rPr>
          <w:b w:val="0"/>
          <w:bCs w:val="0"/>
        </w:rPr>
      </w:r>
      <w:r>
        <w:rPr/>
        <w:t>七、主要控股参股公司分析</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907" w:footer="1016" w:top="1100" w:bottom="1200" w:left="1020" w:right="0"/>
        </w:sectPr>
      </w:pPr>
    </w:p>
    <w:p>
      <w:pPr>
        <w:pStyle w:val="BodyText"/>
        <w:spacing w:line="240" w:lineRule="auto" w:before="44"/>
        <w:ind w:right="-17"/>
        <w:jc w:val="left"/>
      </w:pPr>
      <w:r>
        <w:rPr/>
        <w:t>√ 适用 </w:t>
      </w:r>
      <w:r>
        <w:rPr>
          <w:spacing w:val="1"/>
        </w:rPr>
        <w:t> </w:t>
      </w:r>
      <w:r>
        <w:rPr/>
        <w:t>□不适用</w:t>
      </w:r>
    </w:p>
    <w:p>
      <w:pPr>
        <w:pStyle w:val="BodyText"/>
        <w:spacing w:line="240" w:lineRule="auto" w:before="117"/>
        <w:ind w:right="-17"/>
        <w:jc w:val="left"/>
      </w:pPr>
      <w:r>
        <w:rPr/>
        <w:t>主要子公司及对公司净利润影响达</w:t>
      </w:r>
      <w:r>
        <w:rPr>
          <w:spacing w:val="-48"/>
        </w:rPr>
        <w:t> </w:t>
      </w:r>
      <w:r>
        <w:rPr>
          <w:rFonts w:ascii="Times New Roman" w:hAnsi="Times New Roman" w:cs="Times New Roman" w:eastAsia="Times New Roman" w:hint="default"/>
        </w:rPr>
        <w:t>10%</w:t>
      </w:r>
      <w:r>
        <w:rPr/>
        <w:t>以上的参股公司情况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100" w:bottom="1200" w:left="1020" w:right="0"/>
          <w:cols w:num="2" w:equalWidth="0">
            <w:col w:w="4808" w:space="4111"/>
            <w:col w:w="1971"/>
          </w:cols>
        </w:sectPr>
      </w:pP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54"/>
        <w:gridCol w:w="1073"/>
        <w:gridCol w:w="1168"/>
        <w:gridCol w:w="1045"/>
        <w:gridCol w:w="1046"/>
        <w:gridCol w:w="1045"/>
        <w:gridCol w:w="1045"/>
        <w:gridCol w:w="1045"/>
        <w:gridCol w:w="1046"/>
      </w:tblGrid>
      <w:tr>
        <w:trPr>
          <w:trHeight w:val="402" w:hRule="exact"/>
        </w:trPr>
        <w:tc>
          <w:tcPr>
            <w:tcW w:w="10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62"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10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71"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1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18"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注册资本</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7"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7"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5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57"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7"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361" w:hRule="exact"/>
        </w:trPr>
        <w:tc>
          <w:tcPr>
            <w:tcW w:w="105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杭州慧康</w:t>
            </w:r>
          </w:p>
        </w:tc>
        <w:tc>
          <w:tcPr>
            <w:tcW w:w="1073" w:type="dxa"/>
            <w:tcBorders>
              <w:top w:val="single" w:sz="4" w:space="0" w:color="000000"/>
              <w:left w:val="single" w:sz="4" w:space="0" w:color="000000"/>
              <w:bottom w:val="nil" w:sz="6" w:space="0" w:color="auto"/>
              <w:right w:val="single" w:sz="4" w:space="0" w:color="000000"/>
            </w:tcBorders>
          </w:tcPr>
          <w:p>
            <w:pPr/>
          </w:p>
        </w:tc>
        <w:tc>
          <w:tcPr>
            <w:tcW w:w="11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IT</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运维服</w:t>
            </w:r>
          </w:p>
        </w:tc>
        <w:tc>
          <w:tcPr>
            <w:tcW w:w="1045" w:type="dxa"/>
            <w:tcBorders>
              <w:top w:val="single" w:sz="4" w:space="0" w:color="000000"/>
              <w:left w:val="single" w:sz="4" w:space="0" w:color="000000"/>
              <w:bottom w:val="nil" w:sz="6" w:space="0" w:color="auto"/>
              <w:right w:val="single" w:sz="4" w:space="0" w:color="000000"/>
            </w:tcBorders>
          </w:tcPr>
          <w:p>
            <w:pPr/>
          </w:p>
        </w:tc>
        <w:tc>
          <w:tcPr>
            <w:tcW w:w="1046" w:type="dxa"/>
            <w:tcBorders>
              <w:top w:val="single" w:sz="4" w:space="0" w:color="000000"/>
              <w:left w:val="single" w:sz="4" w:space="0" w:color="000000"/>
              <w:bottom w:val="nil" w:sz="6" w:space="0" w:color="auto"/>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
        </w:tc>
        <w:tc>
          <w:tcPr>
            <w:tcW w:w="1045" w:type="dxa"/>
            <w:tcBorders>
              <w:top w:val="single" w:sz="4" w:space="0" w:color="000000"/>
              <w:left w:val="single" w:sz="4" w:space="0" w:color="000000"/>
              <w:bottom w:val="nil" w:sz="6" w:space="0" w:color="auto"/>
              <w:right w:val="single" w:sz="4" w:space="0" w:color="000000"/>
            </w:tcBorders>
          </w:tcPr>
          <w:p>
            <w:pPr/>
          </w:p>
        </w:tc>
        <w:tc>
          <w:tcPr>
            <w:tcW w:w="1046" w:type="dxa"/>
            <w:tcBorders>
              <w:top w:val="single" w:sz="4" w:space="0" w:color="000000"/>
              <w:left w:val="single" w:sz="4" w:space="0" w:color="000000"/>
              <w:bottom w:val="nil" w:sz="6" w:space="0" w:color="auto"/>
              <w:right w:val="single" w:sz="4" w:space="0" w:color="000000"/>
            </w:tcBorders>
          </w:tcPr>
          <w:p>
            <w:pPr/>
          </w:p>
        </w:tc>
      </w:tr>
      <w:tr>
        <w:trPr>
          <w:trHeight w:val="624" w:hRule="exact"/>
        </w:trPr>
        <w:tc>
          <w:tcPr>
            <w:tcW w:w="1054" w:type="dxa"/>
            <w:tcBorders>
              <w:top w:val="nil" w:sz="6" w:space="0" w:color="auto"/>
              <w:left w:val="single" w:sz="4" w:space="0" w:color="000000"/>
              <w:bottom w:val="nil" w:sz="6" w:space="0" w:color="auto"/>
              <w:right w:val="single" w:sz="4" w:space="0" w:color="000000"/>
            </w:tcBorders>
          </w:tcPr>
          <w:p>
            <w:pPr>
              <w:pStyle w:val="TableParagraph"/>
              <w:spacing w:line="316" w:lineRule="auto" w:before="5"/>
              <w:ind w:left="101" w:right="220"/>
              <w:jc w:val="left"/>
              <w:rPr>
                <w:rFonts w:ascii="宋体" w:hAnsi="宋体" w:cs="宋体" w:eastAsia="宋体" w:hint="default"/>
                <w:sz w:val="18"/>
                <w:szCs w:val="18"/>
              </w:rPr>
            </w:pPr>
            <w:r>
              <w:rPr>
                <w:rFonts w:ascii="宋体" w:hAnsi="宋体" w:cs="宋体" w:eastAsia="宋体" w:hint="default"/>
                <w:sz w:val="18"/>
                <w:szCs w:val="18"/>
              </w:rPr>
              <w:t>物联网科 技有限公</w:t>
            </w:r>
          </w:p>
        </w:tc>
        <w:tc>
          <w:tcPr>
            <w:tcW w:w="1073"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left="104"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168" w:type="dxa"/>
            <w:tcBorders>
              <w:top w:val="nil" w:sz="6" w:space="0" w:color="auto"/>
              <w:left w:val="single" w:sz="4" w:space="0" w:color="000000"/>
              <w:bottom w:val="nil" w:sz="6" w:space="0" w:color="auto"/>
              <w:right w:val="single" w:sz="4" w:space="0" w:color="000000"/>
            </w:tcBorders>
          </w:tcPr>
          <w:p>
            <w:pPr>
              <w:pStyle w:val="TableParagraph"/>
              <w:spacing w:line="316" w:lineRule="auto" w:before="5"/>
              <w:ind w:left="103" w:right="152"/>
              <w:jc w:val="left"/>
              <w:rPr>
                <w:rFonts w:ascii="宋体" w:hAnsi="宋体" w:cs="宋体" w:eastAsia="宋体" w:hint="default"/>
                <w:sz w:val="18"/>
                <w:szCs w:val="18"/>
              </w:rPr>
            </w:pPr>
            <w:r>
              <w:rPr>
                <w:rFonts w:ascii="宋体" w:hAnsi="宋体" w:cs="宋体" w:eastAsia="宋体" w:hint="default"/>
                <w:sz w:val="18"/>
                <w:szCs w:val="18"/>
              </w:rPr>
              <w:t>务、系统集 成、物联网</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9"/>
              <w:jc w:val="center"/>
              <w:rPr>
                <w:rFonts w:ascii="Times New Roman" w:hAnsi="Times New Roman" w:cs="Times New Roman" w:eastAsia="Times New Roman" w:hint="default"/>
                <w:sz w:val="18"/>
                <w:szCs w:val="18"/>
              </w:rPr>
            </w:pPr>
            <w:r>
              <w:rPr>
                <w:rFonts w:ascii="Times New Roman"/>
                <w:sz w:val="18"/>
              </w:rPr>
              <w:t>30,000,000</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left="122" w:right="0"/>
              <w:jc w:val="left"/>
              <w:rPr>
                <w:rFonts w:ascii="Times New Roman" w:hAnsi="Times New Roman" w:cs="Times New Roman" w:eastAsia="Times New Roman" w:hint="default"/>
                <w:sz w:val="18"/>
                <w:szCs w:val="18"/>
              </w:rPr>
            </w:pPr>
            <w:r>
              <w:rPr>
                <w:rFonts w:ascii="Times New Roman"/>
                <w:sz w:val="18"/>
              </w:rPr>
              <w:t>409,010,76</w:t>
            </w:r>
          </w:p>
          <w:p>
            <w:pPr>
              <w:pStyle w:val="TableParagraph"/>
              <w:spacing w:line="240" w:lineRule="auto" w:before="105"/>
              <w:ind w:left="617" w:right="0"/>
              <w:jc w:val="left"/>
              <w:rPr>
                <w:rFonts w:ascii="Times New Roman" w:hAnsi="Times New Roman" w:cs="Times New Roman" w:eastAsia="Times New Roman" w:hint="default"/>
                <w:sz w:val="18"/>
                <w:szCs w:val="18"/>
              </w:rPr>
            </w:pPr>
            <w:r>
              <w:rPr>
                <w:rFonts w:ascii="Times New Roman"/>
                <w:sz w:val="18"/>
              </w:rPr>
              <w:t>8.19</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left="123" w:right="0"/>
              <w:jc w:val="left"/>
              <w:rPr>
                <w:rFonts w:ascii="Times New Roman" w:hAnsi="Times New Roman" w:cs="Times New Roman" w:eastAsia="Times New Roman" w:hint="default"/>
                <w:sz w:val="18"/>
                <w:szCs w:val="18"/>
              </w:rPr>
            </w:pPr>
            <w:r>
              <w:rPr>
                <w:rFonts w:ascii="Times New Roman"/>
                <w:sz w:val="18"/>
              </w:rPr>
              <w:t>283,222,37</w:t>
            </w:r>
          </w:p>
          <w:p>
            <w:pPr>
              <w:pStyle w:val="TableParagraph"/>
              <w:spacing w:line="240" w:lineRule="auto" w:before="105"/>
              <w:ind w:left="617" w:right="0"/>
              <w:jc w:val="left"/>
              <w:rPr>
                <w:rFonts w:ascii="Times New Roman" w:hAnsi="Times New Roman" w:cs="Times New Roman" w:eastAsia="Times New Roman" w:hint="default"/>
                <w:sz w:val="18"/>
                <w:szCs w:val="18"/>
              </w:rPr>
            </w:pPr>
            <w:r>
              <w:rPr>
                <w:rFonts w:ascii="Times New Roman"/>
                <w:sz w:val="18"/>
              </w:rPr>
              <w:t>5.96</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left="122" w:right="0"/>
              <w:jc w:val="left"/>
              <w:rPr>
                <w:rFonts w:ascii="Times New Roman" w:hAnsi="Times New Roman" w:cs="Times New Roman" w:eastAsia="Times New Roman" w:hint="default"/>
                <w:sz w:val="18"/>
                <w:szCs w:val="18"/>
              </w:rPr>
            </w:pPr>
            <w:r>
              <w:rPr>
                <w:rFonts w:ascii="Times New Roman"/>
                <w:sz w:val="18"/>
              </w:rPr>
              <w:t>396,977,84</w:t>
            </w:r>
          </w:p>
          <w:p>
            <w:pPr>
              <w:pStyle w:val="TableParagraph"/>
              <w:spacing w:line="240" w:lineRule="auto" w:before="105"/>
              <w:ind w:left="616" w:right="0"/>
              <w:jc w:val="left"/>
              <w:rPr>
                <w:rFonts w:ascii="Times New Roman" w:hAnsi="Times New Roman" w:cs="Times New Roman" w:eastAsia="Times New Roman" w:hint="default"/>
                <w:sz w:val="18"/>
                <w:szCs w:val="18"/>
              </w:rPr>
            </w:pPr>
            <w:r>
              <w:rPr>
                <w:rFonts w:ascii="Times New Roman"/>
                <w:sz w:val="18"/>
              </w:rPr>
              <w:t>1.66</w:t>
            </w:r>
          </w:p>
        </w:tc>
        <w:tc>
          <w:tcPr>
            <w:tcW w:w="1045"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left="121" w:right="0"/>
              <w:jc w:val="left"/>
              <w:rPr>
                <w:rFonts w:ascii="Times New Roman" w:hAnsi="Times New Roman" w:cs="Times New Roman" w:eastAsia="Times New Roman" w:hint="default"/>
                <w:sz w:val="18"/>
                <w:szCs w:val="18"/>
              </w:rPr>
            </w:pPr>
            <w:r>
              <w:rPr>
                <w:rFonts w:ascii="Times New Roman"/>
                <w:sz w:val="18"/>
              </w:rPr>
              <w:t>133,837,34</w:t>
            </w:r>
          </w:p>
          <w:p>
            <w:pPr>
              <w:pStyle w:val="TableParagraph"/>
              <w:spacing w:line="240" w:lineRule="auto" w:before="105"/>
              <w:ind w:left="617" w:right="0"/>
              <w:jc w:val="left"/>
              <w:rPr>
                <w:rFonts w:ascii="Times New Roman" w:hAnsi="Times New Roman" w:cs="Times New Roman" w:eastAsia="Times New Roman" w:hint="default"/>
                <w:sz w:val="18"/>
                <w:szCs w:val="18"/>
              </w:rPr>
            </w:pPr>
            <w:r>
              <w:rPr>
                <w:rFonts w:ascii="Times New Roman"/>
                <w:sz w:val="18"/>
              </w:rPr>
              <w:t>9.48</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left="129" w:right="0"/>
              <w:jc w:val="left"/>
              <w:rPr>
                <w:rFonts w:ascii="Times New Roman" w:hAnsi="Times New Roman" w:cs="Times New Roman" w:eastAsia="Times New Roman" w:hint="default"/>
                <w:sz w:val="18"/>
                <w:szCs w:val="18"/>
              </w:rPr>
            </w:pPr>
            <w:r>
              <w:rPr>
                <w:rFonts w:ascii="Times New Roman"/>
                <w:sz w:val="18"/>
              </w:rPr>
              <w:t>117,088,82</w:t>
            </w:r>
          </w:p>
          <w:p>
            <w:pPr>
              <w:pStyle w:val="TableParagraph"/>
              <w:spacing w:line="240" w:lineRule="auto" w:before="105"/>
              <w:ind w:left="617" w:right="0"/>
              <w:jc w:val="left"/>
              <w:rPr>
                <w:rFonts w:ascii="Times New Roman" w:hAnsi="Times New Roman" w:cs="Times New Roman" w:eastAsia="Times New Roman" w:hint="default"/>
                <w:sz w:val="18"/>
                <w:szCs w:val="18"/>
              </w:rPr>
            </w:pPr>
            <w:r>
              <w:rPr>
                <w:rFonts w:ascii="Times New Roman"/>
                <w:sz w:val="18"/>
              </w:rPr>
              <w:t>6.15</w:t>
            </w:r>
          </w:p>
        </w:tc>
      </w:tr>
      <w:tr>
        <w:trPr>
          <w:trHeight w:val="353" w:hRule="exact"/>
        </w:trPr>
        <w:tc>
          <w:tcPr>
            <w:tcW w:w="105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073" w:type="dxa"/>
            <w:tcBorders>
              <w:top w:val="nil" w:sz="6" w:space="0" w:color="auto"/>
              <w:left w:val="single" w:sz="4" w:space="0" w:color="000000"/>
              <w:bottom w:val="single" w:sz="4" w:space="0" w:color="000000"/>
              <w:right w:val="single" w:sz="4" w:space="0" w:color="000000"/>
            </w:tcBorders>
          </w:tcPr>
          <w:p>
            <w:pPr/>
          </w:p>
        </w:tc>
        <w:tc>
          <w:tcPr>
            <w:tcW w:w="116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医院建设等</w:t>
            </w:r>
          </w:p>
        </w:tc>
        <w:tc>
          <w:tcPr>
            <w:tcW w:w="1045" w:type="dxa"/>
            <w:tcBorders>
              <w:top w:val="nil" w:sz="6" w:space="0" w:color="auto"/>
              <w:left w:val="single" w:sz="4" w:space="0" w:color="000000"/>
              <w:bottom w:val="single" w:sz="4" w:space="0" w:color="000000"/>
              <w:right w:val="single" w:sz="4" w:space="0" w:color="000000"/>
            </w:tcBorders>
          </w:tcPr>
          <w:p>
            <w:pPr/>
          </w:p>
        </w:tc>
        <w:tc>
          <w:tcPr>
            <w:tcW w:w="1046" w:type="dxa"/>
            <w:tcBorders>
              <w:top w:val="nil" w:sz="6" w:space="0" w:color="auto"/>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
        </w:tc>
        <w:tc>
          <w:tcPr>
            <w:tcW w:w="1045" w:type="dxa"/>
            <w:tcBorders>
              <w:top w:val="nil" w:sz="6" w:space="0" w:color="auto"/>
              <w:left w:val="single" w:sz="4" w:space="0" w:color="000000"/>
              <w:bottom w:val="single" w:sz="4" w:space="0" w:color="000000"/>
              <w:right w:val="single" w:sz="4" w:space="0" w:color="000000"/>
            </w:tcBorders>
          </w:tcPr>
          <w:p>
            <w:pPr/>
          </w:p>
        </w:tc>
        <w:tc>
          <w:tcPr>
            <w:tcW w:w="1046" w:type="dxa"/>
            <w:tcBorders>
              <w:top w:val="nil" w:sz="6" w:space="0" w:color="auto"/>
              <w:left w:val="single" w:sz="4" w:space="0" w:color="000000"/>
              <w:bottom w:val="single" w:sz="4" w:space="0" w:color="000000"/>
              <w:right w:val="single" w:sz="4" w:space="0" w:color="000000"/>
            </w:tcBorders>
          </w:tcPr>
          <w:p>
            <w:pPr/>
          </w:p>
        </w:tc>
      </w:tr>
    </w:tbl>
    <w:p>
      <w:pPr>
        <w:pStyle w:val="BodyText"/>
        <w:spacing w:line="240" w:lineRule="auto" w:before="50"/>
        <w:ind w:right="0"/>
        <w:jc w:val="both"/>
      </w:pPr>
      <w:r>
        <w:rPr/>
        <w:t>报告期内取得和处置子公司的情况</w:t>
      </w:r>
    </w:p>
    <w:p>
      <w:pPr>
        <w:pStyle w:val="BodyText"/>
        <w:spacing w:line="240" w:lineRule="auto" w:before="115"/>
        <w:ind w:left="204" w:right="0"/>
        <w:jc w:val="both"/>
      </w:pPr>
      <w:r>
        <w:rPr/>
        <w:t>□ 适用  √</w:t>
      </w:r>
      <w:r>
        <w:rPr>
          <w:spacing w:val="-1"/>
        </w:rPr>
        <w:t> </w:t>
      </w:r>
      <w:r>
        <w:rPr/>
        <w:t>不适用</w:t>
      </w:r>
    </w:p>
    <w:p>
      <w:pPr>
        <w:pStyle w:val="BodyText"/>
        <w:spacing w:line="312" w:lineRule="auto" w:before="117"/>
        <w:ind w:right="1132"/>
        <w:jc w:val="both"/>
      </w:pPr>
      <w:r>
        <w:rPr/>
        <w:t>主要控股参股公司情况说明：杭州慧康物联网科技有限公司（原博泰服务）以</w:t>
      </w:r>
      <w:r>
        <w:rPr>
          <w:spacing w:val="-46"/>
        </w:rPr>
        <w:t> </w:t>
      </w:r>
      <w:r>
        <w:rPr>
          <w:rFonts w:ascii="Times New Roman" w:hAnsi="Times New Roman" w:cs="Times New Roman" w:eastAsia="Times New Roman" w:hint="default"/>
        </w:rPr>
        <w:t>IT</w:t>
      </w:r>
      <w:r>
        <w:rPr>
          <w:rFonts w:ascii="Times New Roman" w:hAnsi="Times New Roman" w:cs="Times New Roman" w:eastAsia="Times New Roman" w:hint="default"/>
          <w:spacing w:val="-3"/>
        </w:rPr>
        <w:t> </w:t>
      </w:r>
      <w:r>
        <w:rPr/>
        <w:t>运维服务、物联网医院建设、系统集成为 </w:t>
      </w:r>
      <w:r>
        <w:rPr>
          <w:spacing w:val="-2"/>
        </w:rPr>
        <w:t>主要业务，具体为为医疗机构提供系统集成、数据采集、患者安全、资产和物资管理等方面的，以物联网技术为核心的便民</w:t>
      </w:r>
      <w:r>
        <w:rPr>
          <w:spacing w:val="-65"/>
        </w:rPr>
        <w:t> </w:t>
      </w:r>
      <w:r>
        <w:rPr>
          <w:spacing w:val="-65"/>
        </w:rPr>
      </w:r>
      <w:r>
        <w:rPr>
          <w:spacing w:val="-2"/>
        </w:rPr>
        <w:t>服务、临床应用服务、运营管理服务、健康服务等医疗应用服务；为金融机构客户提供包括金融自助设备的全周期一体化解</w:t>
      </w:r>
      <w:r>
        <w:rPr>
          <w:spacing w:val="-66"/>
        </w:rPr>
        <w:t> </w:t>
      </w:r>
      <w:r>
        <w:rPr>
          <w:spacing w:val="-66"/>
        </w:rPr>
      </w:r>
      <w:r>
        <w:rPr/>
        <w:t>决方案。</w:t>
      </w:r>
    </w:p>
    <w:p>
      <w:pPr>
        <w:spacing w:line="240" w:lineRule="auto" w:before="12"/>
        <w:rPr>
          <w:rFonts w:ascii="宋体" w:hAnsi="宋体" w:cs="宋体" w:eastAsia="宋体" w:hint="default"/>
          <w:sz w:val="20"/>
          <w:szCs w:val="20"/>
        </w:rPr>
      </w:pPr>
    </w:p>
    <w:p>
      <w:pPr>
        <w:pStyle w:val="Heading2"/>
        <w:spacing w:line="240" w:lineRule="auto"/>
        <w:ind w:right="0"/>
        <w:jc w:val="both"/>
        <w:rPr>
          <w:b w:val="0"/>
          <w:bCs w:val="0"/>
        </w:rPr>
      </w:pPr>
      <w:bookmarkStart w:name="八、公司控制的结构化主体情况" w:id="66"/>
      <w:bookmarkEnd w:id="66"/>
      <w:r>
        <w:rPr>
          <w:b w:val="0"/>
          <w:bCs w:val="0"/>
        </w:rPr>
      </w:r>
      <w:r>
        <w:rPr/>
        <w:t>八、公司控制的结构化主体情况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204" w:right="0"/>
        <w:jc w:val="both"/>
      </w:pPr>
      <w:r>
        <w:rPr/>
        <w:t>□ 适用  √</w:t>
      </w:r>
      <w:r>
        <w:rPr>
          <w:spacing w:val="-1"/>
        </w:rPr>
        <w:t> </w:t>
      </w:r>
      <w:r>
        <w:rPr/>
        <w:t>不适用</w:t>
      </w:r>
    </w:p>
    <w:p>
      <w:pPr>
        <w:spacing w:after="0" w:line="240" w:lineRule="auto"/>
        <w:jc w:val="both"/>
        <w:sectPr>
          <w:type w:val="continuous"/>
          <w:pgSz w:w="11910" w:h="16840"/>
          <w:pgMar w:top="1100" w:bottom="1200" w:left="1020" w:right="0"/>
        </w:sectPr>
      </w:pPr>
    </w:p>
    <w:p>
      <w:pPr>
        <w:spacing w:line="240" w:lineRule="auto" w:before="9"/>
        <w:rPr>
          <w:rFonts w:ascii="宋体" w:hAnsi="宋体" w:cs="宋体" w:eastAsia="宋体" w:hint="default"/>
          <w:sz w:val="20"/>
          <w:szCs w:val="20"/>
        </w:rPr>
      </w:pPr>
    </w:p>
    <w:p>
      <w:pPr>
        <w:pStyle w:val="Heading2"/>
        <w:spacing w:line="240" w:lineRule="auto" w:before="26"/>
        <w:ind w:right="0"/>
        <w:jc w:val="left"/>
        <w:rPr>
          <w:b w:val="0"/>
          <w:bCs w:val="0"/>
        </w:rPr>
      </w:pPr>
      <w:bookmarkStart w:name="九、公司未来发展的展望" w:id="67"/>
      <w:bookmarkEnd w:id="67"/>
      <w:r>
        <w:rPr>
          <w:b w:val="0"/>
          <w:bCs w:val="0"/>
        </w:rPr>
      </w:r>
      <w:r>
        <w:rPr/>
        <w:t>九、公司未来发展的展望</w:t>
      </w:r>
      <w:r>
        <w:rPr>
          <w:b w:val="0"/>
          <w:bCs w:val="0"/>
        </w:rPr>
      </w:r>
    </w:p>
    <w:p>
      <w:pPr>
        <w:spacing w:line="240" w:lineRule="auto" w:before="6"/>
        <w:rPr>
          <w:rFonts w:ascii="宋体" w:hAnsi="宋体" w:cs="宋体" w:eastAsia="宋体" w:hint="default"/>
          <w:b/>
          <w:bCs/>
          <w:sz w:val="26"/>
          <w:szCs w:val="26"/>
        </w:rPr>
      </w:pPr>
    </w:p>
    <w:p>
      <w:pPr>
        <w:pStyle w:val="Heading5"/>
        <w:spacing w:line="240" w:lineRule="auto"/>
        <w:ind w:right="0"/>
        <w:jc w:val="left"/>
        <w:rPr>
          <w:b w:val="0"/>
          <w:bCs w:val="0"/>
        </w:rPr>
      </w:pPr>
      <w:r>
        <w:rPr/>
        <w:t>（一）公司所处行业趋势和格局</w:t>
      </w:r>
      <w:r>
        <w:rPr>
          <w:b w:val="0"/>
          <w:bCs w:val="0"/>
        </w:rPr>
      </w:r>
    </w:p>
    <w:p>
      <w:pPr>
        <w:pStyle w:val="BodyText"/>
        <w:spacing w:line="240" w:lineRule="auto" w:before="117"/>
        <w:ind w:left="472" w:right="0"/>
        <w:jc w:val="left"/>
      </w:pPr>
      <w:bookmarkStart w:name="1、政策背景" w:id="68"/>
      <w:bookmarkEnd w:id="68"/>
      <w:r>
        <w:rPr/>
      </w:r>
      <w:r>
        <w:rPr>
          <w:rFonts w:ascii="Times New Roman" w:hAnsi="Times New Roman" w:cs="Times New Roman" w:eastAsia="Times New Roman" w:hint="default"/>
        </w:rPr>
        <w:t>1</w:t>
      </w:r>
      <w:r>
        <w:rPr/>
        <w:t>、政策背景</w:t>
      </w:r>
    </w:p>
    <w:p>
      <w:pPr>
        <w:pStyle w:val="BodyText"/>
        <w:spacing w:line="240" w:lineRule="auto" w:before="101"/>
        <w:ind w:left="472" w:right="0"/>
        <w:jc w:val="left"/>
      </w:pPr>
      <w:r>
        <w:rPr/>
        <w:t>（</w:t>
      </w:r>
      <w:r>
        <w:rPr>
          <w:rFonts w:ascii="Times New Roman" w:hAnsi="Times New Roman" w:cs="Times New Roman" w:eastAsia="Times New Roman" w:hint="default"/>
        </w:rPr>
        <w:t>1</w:t>
      </w:r>
      <w:r>
        <w:rPr/>
        <w:t>）医卫信息化行业近年政策</w:t>
      </w:r>
    </w:p>
    <w:p>
      <w:pPr>
        <w:spacing w:line="240" w:lineRule="auto" w:before="1"/>
        <w:rPr>
          <w:rFonts w:ascii="宋体" w:hAnsi="宋体" w:cs="宋体" w:eastAsia="宋体" w:hint="default"/>
          <w:sz w:val="7"/>
          <w:szCs w:val="7"/>
        </w:rPr>
      </w:pPr>
    </w:p>
    <w:p>
      <w:pPr>
        <w:spacing w:line="614" w:lineRule="exact"/>
        <w:ind w:left="662" w:right="0" w:firstLine="0"/>
        <w:rPr>
          <w:rFonts w:ascii="宋体" w:hAnsi="宋体" w:cs="宋体" w:eastAsia="宋体" w:hint="default"/>
          <w:sz w:val="20"/>
          <w:szCs w:val="20"/>
        </w:rPr>
      </w:pPr>
      <w:r>
        <w:rPr>
          <w:rFonts w:ascii="宋体" w:hAnsi="宋体" w:cs="宋体" w:eastAsia="宋体" w:hint="default"/>
          <w:position w:val="-11"/>
          <w:sz w:val="20"/>
          <w:szCs w:val="20"/>
        </w:rPr>
        <w:pict>
          <v:group style="width:427.1pt;height:30.75pt;mso-position-horizontal-relative:char;mso-position-vertical-relative:line" coordorigin="0,0" coordsize="8542,615">
            <v:group style="position:absolute;left:8;top:18;width:869;height:580" coordorigin="8,18" coordsize="869,580">
              <v:shape style="position:absolute;left:8;top:18;width:869;height:580" coordorigin="8,18" coordsize="869,580" path="m8,18l877,18,877,598,8,598,8,18xe" filled="true" fillcolor="#bdbdbd" stroked="false">
                <v:path arrowok="t"/>
                <v:fill type="solid"/>
              </v:shape>
            </v:group>
            <v:group style="position:absolute;left:872;top:18;width:1475;height:580" coordorigin="872,18" coordsize="1475,580">
              <v:shape style="position:absolute;left:872;top:18;width:1475;height:580" coordorigin="872,18" coordsize="1475,580" path="m872,18l2347,18,2347,598,872,598,872,18xe" filled="true" fillcolor="#bdbdbd" stroked="false">
                <v:path arrowok="t"/>
                <v:fill type="solid"/>
              </v:shape>
            </v:group>
            <v:group style="position:absolute;left:2342;top:18;width:6193;height:580" coordorigin="2342,18" coordsize="6193,580">
              <v:shape style="position:absolute;left:2342;top:18;width:6193;height:580" coordorigin="2342,18" coordsize="6193,580" path="m2342,18l8535,18,8535,598,2342,598,2342,18xe" filled="true" fillcolor="#bdbdbd" stroked="false">
                <v:path arrowok="t"/>
                <v:fill type="solid"/>
              </v:shape>
            </v:group>
            <v:group style="position:absolute;left:10;top:10;width:8522;height:2" coordorigin="10,10" coordsize="8522,2">
              <v:shape style="position:absolute;left:10;top:10;width:8522;height:2" coordorigin="10,10" coordsize="8522,0" path="m10,10l8532,10e" filled="false" stroked="true" strokeweight=".96pt" strokecolor="#808000">
                <v:path arrowok="t"/>
              </v:shape>
            </v:group>
            <v:group style="position:absolute;left:10;top:605;width:8522;height:2" coordorigin="10,605" coordsize="8522,2">
              <v:shape style="position:absolute;left:10;top:605;width:8522;height:2" coordorigin="10,605" coordsize="8522,0" path="m10,605l8532,605e" filled="false" stroked="true" strokeweight=".96pt" strokecolor="#808000">
                <v:path arrowok="t"/>
              </v:shape>
              <v:shape style="position:absolute;left:8;top:10;width:8527;height:595" type="#_x0000_t202" filled="false" stroked="false">
                <v:textbox inset="0,0,0,0">
                  <w:txbxContent>
                    <w:p>
                      <w:pPr>
                        <w:tabs>
                          <w:tab w:pos="1252" w:val="left" w:leader="none"/>
                          <w:tab w:pos="5070" w:val="left" w:leader="none"/>
                        </w:tabs>
                        <w:spacing w:before="152"/>
                        <w:ind w:left="254" w:right="0" w:firstLine="0"/>
                        <w:jc w:val="left"/>
                        <w:rPr>
                          <w:rFonts w:ascii="宋体" w:hAnsi="宋体" w:cs="宋体" w:eastAsia="宋体" w:hint="default"/>
                          <w:sz w:val="18"/>
                          <w:szCs w:val="18"/>
                        </w:rPr>
                      </w:pPr>
                      <w:r>
                        <w:rPr>
                          <w:rFonts w:ascii="宋体" w:hAnsi="宋体" w:cs="宋体" w:eastAsia="宋体" w:hint="default"/>
                          <w:b/>
                          <w:bCs/>
                          <w:w w:val="95"/>
                          <w:sz w:val="18"/>
                          <w:szCs w:val="18"/>
                        </w:rPr>
                        <w:t>年份</w:t>
                        <w:tab/>
                        <w:t>发布单位</w:t>
                        <w:tab/>
                      </w:r>
                      <w:r>
                        <w:rPr>
                          <w:rFonts w:ascii="宋体" w:hAnsi="宋体" w:cs="宋体" w:eastAsia="宋体" w:hint="default"/>
                          <w:b/>
                          <w:bCs/>
                          <w:sz w:val="18"/>
                          <w:szCs w:val="18"/>
                        </w:rPr>
                        <w:t>政策解读</w:t>
                      </w:r>
                      <w:r>
                        <w:rPr>
                          <w:rFonts w:ascii="宋体" w:hAnsi="宋体" w:cs="宋体" w:eastAsia="宋体" w:hint="default"/>
                          <w:sz w:val="18"/>
                          <w:szCs w:val="18"/>
                        </w:rPr>
                      </w:r>
                    </w:p>
                  </w:txbxContent>
                </v:textbox>
                <w10:wrap type="none"/>
              </v:shape>
            </v:group>
          </v:group>
        </w:pict>
      </w:r>
      <w:r>
        <w:rPr>
          <w:rFonts w:ascii="宋体" w:hAnsi="宋体" w:cs="宋体" w:eastAsia="宋体" w:hint="default"/>
          <w:position w:val="-11"/>
          <w:sz w:val="20"/>
          <w:szCs w:val="20"/>
        </w:rPr>
      </w:r>
    </w:p>
    <w:p>
      <w:pPr>
        <w:spacing w:after="0" w:line="614" w:lineRule="exact"/>
        <w:rPr>
          <w:rFonts w:ascii="宋体" w:hAnsi="宋体" w:cs="宋体" w:eastAsia="宋体" w:hint="default"/>
          <w:sz w:val="20"/>
          <w:szCs w:val="20"/>
        </w:rPr>
        <w:sectPr>
          <w:headerReference w:type="default" r:id="rId29"/>
          <w:pgSz w:w="11910" w:h="16840"/>
          <w:pgMar w:header="907" w:footer="1016" w:top="1100" w:bottom="1200" w:left="1020" w:right="0"/>
        </w:sectPr>
      </w:pP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21"/>
          <w:szCs w:val="21"/>
        </w:rPr>
      </w:pPr>
    </w:p>
    <w:p>
      <w:pPr>
        <w:pStyle w:val="BodyText"/>
        <w:tabs>
          <w:tab w:pos="1665" w:val="left" w:leader="none"/>
        </w:tabs>
        <w:spacing w:line="240" w:lineRule="auto"/>
        <w:ind w:left="780" w:right="-20"/>
        <w:jc w:val="left"/>
      </w:pPr>
      <w:r>
        <w:rPr>
          <w:rFonts w:ascii="Times New Roman" w:hAnsi="Times New Roman" w:cs="Times New Roman" w:eastAsia="Times New Roman" w:hint="default"/>
        </w:rPr>
        <w:t>2015</w:t>
      </w:r>
      <w:r>
        <w:rPr>
          <w:rFonts w:ascii="Times New Roman" w:hAnsi="Times New Roman" w:cs="Times New Roman" w:eastAsia="Times New Roman" w:hint="default"/>
          <w:spacing w:val="-1"/>
        </w:rPr>
        <w:t> </w:t>
      </w:r>
      <w:r>
        <w:rPr/>
        <w:t>年</w:t>
        <w:tab/>
        <w:t>国务院</w:t>
      </w:r>
    </w:p>
    <w:p>
      <w:pPr>
        <w:pStyle w:val="BodyText"/>
        <w:spacing w:line="307" w:lineRule="auto" w:before="51"/>
        <w:ind w:left="780" w:right="1795"/>
        <w:jc w:val="both"/>
      </w:pPr>
      <w:r>
        <w:rPr/>
        <w:br w:type="column"/>
      </w:r>
      <w:r>
        <w:rPr/>
        <w:t>《全国医疗卫生服务体系规划纲要（</w:t>
      </w:r>
      <w:r>
        <w:rPr>
          <w:rFonts w:ascii="Times New Roman" w:hAnsi="Times New Roman" w:cs="Times New Roman" w:eastAsia="Times New Roman" w:hint="default"/>
        </w:rPr>
        <w:t>2015-2020</w:t>
      </w:r>
      <w:r>
        <w:rPr>
          <w:rFonts w:ascii="Times New Roman" w:hAnsi="Times New Roman" w:cs="Times New Roman" w:eastAsia="Times New Roman" w:hint="default"/>
          <w:spacing w:val="-18"/>
        </w:rPr>
        <w:t> </w:t>
      </w:r>
      <w:r>
        <w:rPr>
          <w:spacing w:val="-4"/>
        </w:rPr>
        <w:t>年）》提出加强人口健康信息</w:t>
      </w:r>
      <w:r>
        <w:rPr/>
        <w:t> </w:t>
      </w:r>
      <w:r>
        <w:rPr>
          <w:spacing w:val="-4"/>
        </w:rPr>
        <w:t>化建设，到</w:t>
      </w:r>
      <w:r>
        <w:rPr>
          <w:spacing w:val="-63"/>
        </w:rPr>
        <w:t> </w:t>
      </w:r>
      <w:r>
        <w:rPr>
          <w:rFonts w:ascii="Times New Roman" w:hAnsi="Times New Roman" w:cs="Times New Roman" w:eastAsia="Times New Roman" w:hint="default"/>
        </w:rPr>
        <w:t>2020</w:t>
      </w:r>
      <w:r>
        <w:rPr>
          <w:rFonts w:ascii="Times New Roman" w:hAnsi="Times New Roman" w:cs="Times New Roman" w:eastAsia="Times New Roman" w:hint="default"/>
          <w:spacing w:val="-19"/>
        </w:rPr>
        <w:t> </w:t>
      </w:r>
      <w:r>
        <w:rPr/>
        <w:t>年，实现全员人口信息、电子健康档案和电子病历三大数据 库基本覆盖全国人口并信息动态更新，全面建成互联互通的国家、省、市、</w:t>
      </w:r>
      <w:r>
        <w:rPr>
          <w:spacing w:val="-65"/>
        </w:rPr>
        <w:t> </w:t>
      </w:r>
      <w:r>
        <w:rPr>
          <w:spacing w:val="-65"/>
        </w:rPr>
      </w:r>
      <w:r>
        <w:rPr/>
        <w:t>县四级人口健康信息平台。</w:t>
      </w:r>
    </w:p>
    <w:p>
      <w:pPr>
        <w:spacing w:after="0" w:line="307" w:lineRule="auto"/>
        <w:jc w:val="both"/>
        <w:sectPr>
          <w:type w:val="continuous"/>
          <w:pgSz w:w="11910" w:h="16840"/>
          <w:pgMar w:top="1100" w:bottom="1200" w:left="1020" w:right="0"/>
          <w:cols w:num="2" w:equalWidth="0">
            <w:col w:w="2206" w:space="127"/>
            <w:col w:w="8557"/>
          </w:cols>
        </w:sect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21"/>
          <w:szCs w:val="21"/>
        </w:rPr>
      </w:pPr>
    </w:p>
    <w:p>
      <w:pPr>
        <w:pStyle w:val="BodyText"/>
        <w:tabs>
          <w:tab w:pos="1643" w:val="left" w:leader="none"/>
        </w:tabs>
        <w:spacing w:line="240" w:lineRule="auto"/>
        <w:ind w:left="780" w:right="-19"/>
        <w:jc w:val="left"/>
      </w:pPr>
      <w:r>
        <w:rPr>
          <w:rFonts w:ascii="Times New Roman" w:hAnsi="Times New Roman" w:cs="Times New Roman" w:eastAsia="Times New Roman" w:hint="default"/>
        </w:rPr>
        <w:t>2016</w:t>
      </w:r>
      <w:r>
        <w:rPr>
          <w:rFonts w:ascii="Times New Roman" w:hAnsi="Times New Roman" w:cs="Times New Roman" w:eastAsia="Times New Roman" w:hint="default"/>
          <w:spacing w:val="-1"/>
        </w:rPr>
        <w:t> </w:t>
      </w:r>
      <w:r>
        <w:rPr/>
        <w:t>年</w:t>
        <w:tab/>
        <w:t>国务院</w:t>
      </w:r>
    </w:p>
    <w:p>
      <w:pPr>
        <w:pStyle w:val="BodyText"/>
        <w:spacing w:line="309" w:lineRule="auto" w:before="127"/>
        <w:ind w:left="780" w:right="1724"/>
        <w:jc w:val="left"/>
      </w:pPr>
      <w:r>
        <w:rPr/>
        <w:br w:type="column"/>
      </w:r>
      <w:r>
        <w:rPr/>
        <w:t>《关于促进和规范健康医疗大数据应用发展的指导意见》，意见指出到</w:t>
      </w:r>
      <w:r>
        <w:rPr>
          <w:spacing w:val="-52"/>
        </w:rPr>
        <w:t> </w:t>
      </w:r>
      <w:r>
        <w:rPr>
          <w:rFonts w:ascii="Times New Roman" w:hAnsi="Times New Roman" w:cs="Times New Roman" w:eastAsia="Times New Roman" w:hint="default"/>
        </w:rPr>
        <w:t>2017 </w:t>
      </w:r>
      <w:r>
        <w:rPr/>
        <w:t>年底，实现国家和省级人口健康信息平台以及全国药品招标采购业务应用平</w:t>
      </w:r>
      <w:r>
        <w:rPr>
          <w:spacing w:val="-65"/>
        </w:rPr>
        <w:t> </w:t>
      </w:r>
      <w:r>
        <w:rPr>
          <w:spacing w:val="-65"/>
        </w:rPr>
      </w:r>
      <w:r>
        <w:rPr/>
        <w:t>台互联互通，基本形成跨部门健康医疗数据资源共享共用格局。到</w:t>
      </w:r>
      <w:r>
        <w:rPr>
          <w:spacing w:val="-45"/>
        </w:rPr>
        <w:t> </w:t>
      </w:r>
      <w:r>
        <w:rPr>
          <w:rFonts w:ascii="Times New Roman" w:hAnsi="Times New Roman" w:cs="Times New Roman" w:eastAsia="Times New Roman" w:hint="default"/>
        </w:rPr>
        <w:t>2020</w:t>
      </w:r>
      <w:r>
        <w:rPr>
          <w:rFonts w:ascii="Times New Roman" w:hAnsi="Times New Roman" w:cs="Times New Roman" w:eastAsia="Times New Roman" w:hint="default"/>
          <w:spacing w:val="-1"/>
        </w:rPr>
        <w:t> </w:t>
      </w:r>
      <w:r>
        <w:rPr/>
        <w:t>年， 建成国家医疗卫生信息分级开放应用平台；基本实现城乡居民拥有规范化的</w:t>
      </w:r>
      <w:r>
        <w:rPr>
          <w:spacing w:val="-65"/>
        </w:rPr>
        <w:t> </w:t>
      </w:r>
      <w:r>
        <w:rPr>
          <w:spacing w:val="-65"/>
        </w:rPr>
      </w:r>
      <w:r>
        <w:rPr/>
        <w:t>电子健康档案和功能完备的健康卡。</w:t>
      </w:r>
    </w:p>
    <w:p>
      <w:pPr>
        <w:spacing w:after="0" w:line="309" w:lineRule="auto"/>
        <w:jc w:val="left"/>
        <w:sectPr>
          <w:type w:val="continuous"/>
          <w:pgSz w:w="11910" w:h="16840"/>
          <w:pgMar w:top="1100" w:bottom="1200" w:left="1020" w:right="0"/>
          <w:cols w:num="2" w:equalWidth="0">
            <w:col w:w="2185" w:space="148"/>
            <w:col w:w="8557"/>
          </w:cols>
        </w:sectPr>
      </w:pP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15"/>
          <w:szCs w:val="15"/>
        </w:rPr>
      </w:pPr>
    </w:p>
    <w:p>
      <w:pPr>
        <w:pStyle w:val="BodyText"/>
        <w:spacing w:line="240" w:lineRule="auto"/>
        <w:ind w:left="780" w:right="-19"/>
        <w:jc w:val="left"/>
      </w:pPr>
      <w:r>
        <w:rPr>
          <w:rFonts w:ascii="Times New Roman" w:hAnsi="Times New Roman" w:cs="Times New Roman" w:eastAsia="Times New Roman" w:hint="default"/>
        </w:rPr>
        <w:t>2016</w:t>
      </w:r>
      <w:r>
        <w:rPr>
          <w:rFonts w:ascii="Times New Roman" w:hAnsi="Times New Roman" w:cs="Times New Roman" w:eastAsia="Times New Roman" w:hint="default"/>
          <w:spacing w:val="-1"/>
        </w:rPr>
        <w:t> </w:t>
      </w:r>
      <w:r>
        <w:rPr/>
        <w:t>年</w:t>
      </w:r>
    </w:p>
    <w:p>
      <w:pPr>
        <w:spacing w:line="240" w:lineRule="auto" w:before="4"/>
        <w:rPr>
          <w:rFonts w:ascii="宋体" w:hAnsi="宋体" w:cs="宋体" w:eastAsia="宋体" w:hint="default"/>
          <w:sz w:val="21"/>
          <w:szCs w:val="21"/>
        </w:rPr>
      </w:pPr>
      <w:r>
        <w:rPr/>
        <w:br w:type="column"/>
      </w:r>
      <w:r>
        <w:rPr>
          <w:rFonts w:ascii="宋体"/>
          <w:sz w:val="21"/>
        </w:rPr>
      </w:r>
    </w:p>
    <w:p>
      <w:pPr>
        <w:pStyle w:val="BodyText"/>
        <w:spacing w:line="316" w:lineRule="auto"/>
        <w:ind w:left="238" w:right="-20"/>
        <w:jc w:val="left"/>
      </w:pPr>
      <w:r>
        <w:rPr/>
        <w:t>中共中央 国务院</w:t>
      </w:r>
    </w:p>
    <w:p>
      <w:pPr>
        <w:pStyle w:val="BodyText"/>
        <w:spacing w:line="300" w:lineRule="auto" w:before="122"/>
        <w:ind w:left="708" w:right="1781"/>
        <w:jc w:val="left"/>
      </w:pPr>
      <w:r>
        <w:rPr/>
        <w:br w:type="column"/>
      </w:r>
      <w:r>
        <w:rPr/>
        <w:t>《“健康中国</w:t>
      </w:r>
      <w:r>
        <w:rPr>
          <w:spacing w:val="-57"/>
        </w:rPr>
        <w:t> </w:t>
      </w:r>
      <w:r>
        <w:rPr>
          <w:rFonts w:ascii="Times New Roman" w:hAnsi="Times New Roman" w:cs="Times New Roman" w:eastAsia="Times New Roman" w:hint="default"/>
        </w:rPr>
        <w:t>2030</w:t>
      </w:r>
      <w:r>
        <w:rPr/>
        <w:t>”规划纲要》，首次将有关健康医疗产业的纲要提高至国 </w:t>
      </w:r>
      <w:r>
        <w:rPr>
          <w:spacing w:val="3"/>
        </w:rPr>
        <w:t>家层级的战略，纲要明确提出到</w:t>
      </w:r>
      <w:r>
        <w:rPr>
          <w:spacing w:val="-40"/>
        </w:rPr>
        <w:t> </w:t>
      </w:r>
      <w:r>
        <w:rPr>
          <w:rFonts w:ascii="Times New Roman" w:hAnsi="Times New Roman" w:cs="Times New Roman" w:eastAsia="Times New Roman" w:hint="default"/>
        </w:rPr>
        <w:t>2020</w:t>
      </w:r>
      <w:r>
        <w:rPr>
          <w:rFonts w:ascii="Times New Roman" w:hAnsi="Times New Roman" w:cs="Times New Roman" w:eastAsia="Times New Roman" w:hint="default"/>
          <w:spacing w:val="1"/>
        </w:rPr>
        <w:t> </w:t>
      </w:r>
      <w:r>
        <w:rPr>
          <w:spacing w:val="3"/>
        </w:rPr>
        <w:t>年健康服务业总规模达到</w:t>
      </w:r>
      <w:r>
        <w:rPr>
          <w:spacing w:val="-42"/>
        </w:rPr>
        <w:t> </w:t>
      </w:r>
      <w:r>
        <w:rPr>
          <w:rFonts w:ascii="Times New Roman" w:hAnsi="Times New Roman" w:cs="Times New Roman" w:eastAsia="Times New Roman" w:hint="default"/>
        </w:rPr>
        <w:t>8</w:t>
      </w:r>
      <w:r>
        <w:rPr>
          <w:rFonts w:ascii="Times New Roman" w:hAnsi="Times New Roman" w:cs="Times New Roman" w:eastAsia="Times New Roman" w:hint="default"/>
          <w:spacing w:val="4"/>
        </w:rPr>
        <w:t> </w:t>
      </w:r>
      <w:r>
        <w:rPr>
          <w:spacing w:val="3"/>
        </w:rPr>
        <w:t>万亿，到</w:t>
      </w:r>
    </w:p>
    <w:p>
      <w:pPr>
        <w:pStyle w:val="BodyText"/>
        <w:spacing w:line="240" w:lineRule="auto" w:before="13"/>
        <w:ind w:left="708" w:right="1781"/>
        <w:jc w:val="left"/>
      </w:pPr>
      <w:r>
        <w:rPr/>
        <w:pict>
          <v:group style="position:absolute;margin-left:84.599998pt;margin-top:-33.567276pt;width:426.1pt;height:.1pt;mso-position-horizontal-relative:page;mso-position-vertical-relative:paragraph;z-index:1504" coordorigin="1692,-671" coordsize="8522,2">
            <v:shape style="position:absolute;left:1692;top:-671;width:8522;height:2" coordorigin="1692,-671" coordsize="8522,0" path="m1692,-671l10214,-671e" filled="false" stroked="true" strokeweight=".96pt" strokecolor="#808000">
              <v:path arrowok="t"/>
            </v:shape>
            <w10:wrap type="none"/>
          </v:group>
        </w:pict>
      </w:r>
      <w:r>
        <w:rPr>
          <w:rFonts w:ascii="Times New Roman" w:hAnsi="Times New Roman" w:cs="Times New Roman" w:eastAsia="Times New Roman" w:hint="default"/>
        </w:rPr>
        <w:t>2030</w:t>
      </w:r>
      <w:r>
        <w:rPr>
          <w:rFonts w:ascii="Times New Roman" w:hAnsi="Times New Roman" w:cs="Times New Roman" w:eastAsia="Times New Roman" w:hint="default"/>
          <w:spacing w:val="-1"/>
        </w:rPr>
        <w:t> </w:t>
      </w:r>
      <w:r>
        <w:rPr/>
        <w:t>年达到</w:t>
      </w:r>
      <w:r>
        <w:rPr>
          <w:spacing w:val="-45"/>
        </w:rPr>
        <w:t> </w:t>
      </w:r>
      <w:r>
        <w:rPr>
          <w:rFonts w:ascii="Times New Roman" w:hAnsi="Times New Roman" w:cs="Times New Roman" w:eastAsia="Times New Roman" w:hint="default"/>
        </w:rPr>
        <w:t>16</w:t>
      </w:r>
      <w:r>
        <w:rPr>
          <w:rFonts w:ascii="Times New Roman" w:hAnsi="Times New Roman" w:cs="Times New Roman" w:eastAsia="Times New Roman" w:hint="default"/>
          <w:spacing w:val="-1"/>
        </w:rPr>
        <w:t> </w:t>
      </w:r>
      <w:r>
        <w:rPr/>
        <w:t>万亿，行业前景极其广阔。</w:t>
      </w:r>
    </w:p>
    <w:p>
      <w:pPr>
        <w:spacing w:after="0" w:line="240" w:lineRule="auto"/>
        <w:jc w:val="left"/>
        <w:sectPr>
          <w:type w:val="continuous"/>
          <w:pgSz w:w="11910" w:h="16840"/>
          <w:pgMar w:top="1100" w:bottom="1200" w:left="1020" w:right="0"/>
          <w:cols w:num="3" w:equalWidth="0">
            <w:col w:w="1366" w:space="40"/>
            <w:col w:w="959" w:space="40"/>
            <w:col w:w="8485"/>
          </w:cols>
        </w:sectPr>
      </w:pPr>
    </w:p>
    <w:p>
      <w:pPr>
        <w:spacing w:line="240" w:lineRule="auto" w:before="1"/>
        <w:rPr>
          <w:rFonts w:ascii="宋体" w:hAnsi="宋体" w:cs="宋体" w:eastAsia="宋体" w:hint="default"/>
          <w:sz w:val="7"/>
          <w:szCs w:val="7"/>
        </w:rPr>
      </w:pPr>
    </w:p>
    <w:p>
      <w:pPr>
        <w:spacing w:line="20" w:lineRule="exact"/>
        <w:ind w:left="662" w:right="0" w:firstLine="0"/>
        <w:rPr>
          <w:rFonts w:ascii="宋体" w:hAnsi="宋体" w:cs="宋体" w:eastAsia="宋体" w:hint="default"/>
          <w:sz w:val="2"/>
          <w:szCs w:val="2"/>
        </w:rPr>
      </w:pPr>
      <w:r>
        <w:rPr>
          <w:rFonts w:ascii="宋体" w:hAnsi="宋体" w:cs="宋体" w:eastAsia="宋体" w:hint="default"/>
          <w:sz w:val="2"/>
          <w:szCs w:val="2"/>
        </w:rPr>
        <w:pict>
          <v:group style="width:427.1pt;height:1pt;mso-position-horizontal-relative:char;mso-position-vertical-relative:line" coordorigin="0,0" coordsize="8542,20">
            <v:group style="position:absolute;left:10;top:10;width:8522;height:2" coordorigin="10,10" coordsize="8522,2">
              <v:shape style="position:absolute;left:10;top:10;width:8522;height:2" coordorigin="10,10" coordsize="8522,0" path="m10,10l8532,10e" filled="false" stroked="true" strokeweight=".96pt" strokecolor="#808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type w:val="continuous"/>
          <w:pgSz w:w="11910" w:h="16840"/>
          <w:pgMar w:top="1100" w:bottom="1200" w:left="1020" w:right="0"/>
        </w:sectPr>
      </w:pPr>
    </w:p>
    <w:p>
      <w:pPr>
        <w:spacing w:line="240" w:lineRule="auto" w:before="8"/>
        <w:rPr>
          <w:rFonts w:ascii="宋体" w:hAnsi="宋体" w:cs="宋体" w:eastAsia="宋体" w:hint="default"/>
          <w:sz w:val="17"/>
          <w:szCs w:val="17"/>
        </w:rPr>
      </w:pPr>
    </w:p>
    <w:p>
      <w:pPr>
        <w:pStyle w:val="BodyText"/>
        <w:tabs>
          <w:tab w:pos="1643" w:val="left" w:leader="none"/>
        </w:tabs>
        <w:spacing w:line="240" w:lineRule="auto"/>
        <w:ind w:left="780" w:right="-19"/>
        <w:jc w:val="left"/>
      </w:pP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tab/>
        <w:t>中共中央</w:t>
      </w:r>
    </w:p>
    <w:p>
      <w:pPr>
        <w:pStyle w:val="BodyText"/>
        <w:spacing w:line="316" w:lineRule="auto" w:before="74"/>
        <w:ind w:left="708" w:right="1781"/>
        <w:jc w:val="left"/>
      </w:pPr>
      <w:r>
        <w:rPr/>
        <w:br w:type="column"/>
      </w:r>
      <w:r>
        <w:rPr/>
        <w:t>十九大报告指出，实施健康中国战略。人民健康是民族昌盛和国家富强的重</w:t>
      </w:r>
      <w:r>
        <w:rPr>
          <w:spacing w:val="-65"/>
        </w:rPr>
        <w:t> </w:t>
      </w:r>
      <w:r>
        <w:rPr>
          <w:spacing w:val="-65"/>
        </w:rPr>
      </w:r>
      <w:r>
        <w:rPr/>
        <w:t>要标志。要完善国民健康政策，为人民群众提供全方位全周期健康服务。</w:t>
      </w:r>
    </w:p>
    <w:p>
      <w:pPr>
        <w:spacing w:after="0" w:line="316" w:lineRule="auto"/>
        <w:jc w:val="left"/>
        <w:sectPr>
          <w:type w:val="continuous"/>
          <w:pgSz w:w="11910" w:h="16840"/>
          <w:pgMar w:top="1100" w:bottom="1200" w:left="1020" w:right="0"/>
          <w:cols w:num="2" w:equalWidth="0">
            <w:col w:w="2365" w:space="40"/>
            <w:col w:w="8485"/>
          </w:cols>
        </w:sect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2"/>
          <w:szCs w:val="22"/>
        </w:rPr>
      </w:pPr>
    </w:p>
    <w:p>
      <w:pPr>
        <w:pStyle w:val="BodyText"/>
        <w:spacing w:line="240" w:lineRule="auto"/>
        <w:ind w:left="780" w:right="-19"/>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8"/>
        <w:rPr>
          <w:rFonts w:ascii="宋体" w:hAnsi="宋体" w:cs="宋体" w:eastAsia="宋体" w:hint="default"/>
          <w:sz w:val="16"/>
          <w:szCs w:val="16"/>
        </w:rPr>
      </w:pPr>
    </w:p>
    <w:p>
      <w:pPr>
        <w:pStyle w:val="BodyText"/>
        <w:spacing w:line="240" w:lineRule="auto"/>
        <w:ind w:left="238" w:right="-18"/>
        <w:jc w:val="left"/>
      </w:pPr>
      <w:r>
        <w:rPr/>
        <w:t>国家卫健委</w:t>
      </w:r>
    </w:p>
    <w:p>
      <w:pPr>
        <w:pStyle w:val="BodyText"/>
        <w:spacing w:line="316" w:lineRule="auto" w:before="76"/>
        <w:ind w:left="238" w:right="-18"/>
        <w:jc w:val="left"/>
      </w:pPr>
      <w:r>
        <w:rPr/>
        <w:t>国</w:t>
      </w:r>
      <w:r>
        <w:rPr>
          <w:spacing w:val="-57"/>
        </w:rPr>
        <w:t> </w:t>
      </w:r>
      <w:r>
        <w:rPr/>
        <w:t>家</w:t>
      </w:r>
      <w:r>
        <w:rPr>
          <w:spacing w:val="-54"/>
        </w:rPr>
        <w:t> </w:t>
      </w:r>
      <w:r>
        <w:rPr/>
        <w:t>中</w:t>
      </w:r>
      <w:r>
        <w:rPr>
          <w:spacing w:val="-57"/>
        </w:rPr>
        <w:t> </w:t>
      </w:r>
      <w:r>
        <w:rPr/>
        <w:t>医</w:t>
      </w:r>
      <w:r>
        <w:rPr>
          <w:spacing w:val="-54"/>
        </w:rPr>
        <w:t> </w:t>
      </w:r>
      <w:r>
        <w:rPr/>
        <w:t>药</w:t>
      </w:r>
      <w:r>
        <w:rPr>
          <w:spacing w:val="-57"/>
        </w:rPr>
        <w:t> </w:t>
      </w:r>
      <w:r>
        <w:rPr/>
        <w:t>管</w:t>
      </w:r>
      <w:r>
        <w:rPr/>
        <w:t> 理局</w:t>
      </w:r>
    </w:p>
    <w:p>
      <w:pPr>
        <w:pStyle w:val="BodyText"/>
        <w:spacing w:line="316" w:lineRule="auto" w:before="141"/>
        <w:ind w:left="176" w:right="1800"/>
        <w:jc w:val="both"/>
      </w:pPr>
      <w:r>
        <w:rPr/>
        <w:br w:type="column"/>
      </w:r>
      <w:r>
        <w:rPr/>
        <w:t>《关于进一步做好分级诊疗制度建设有关重点工作的通知》，指出加强统筹</w:t>
      </w:r>
      <w:r>
        <w:rPr>
          <w:spacing w:val="-65"/>
        </w:rPr>
        <w:t> </w:t>
      </w:r>
      <w:r>
        <w:rPr>
          <w:spacing w:val="-65"/>
        </w:rPr>
      </w:r>
      <w:r>
        <w:rPr/>
        <w:t>规划，加快推进医联体建设；以区域医疗中心建设为重点推进分级诊疗区域</w:t>
      </w:r>
      <w:r>
        <w:rPr>
          <w:spacing w:val="-65"/>
        </w:rPr>
        <w:t> </w:t>
      </w:r>
      <w:r>
        <w:rPr>
          <w:spacing w:val="-65"/>
        </w:rPr>
      </w:r>
      <w:r>
        <w:rPr/>
        <w:t>分开；以县医院能力建设为重点推进分级诊疗城乡分开；以重大疾病单病种</w:t>
      </w:r>
      <w:r>
        <w:rPr>
          <w:spacing w:val="-65"/>
        </w:rPr>
        <w:t> </w:t>
      </w:r>
      <w:r>
        <w:rPr>
          <w:spacing w:val="-65"/>
        </w:rPr>
      </w:r>
      <w:r>
        <w:rPr/>
        <w:t>管理为重点推进分级诊疗上下分开；以三级医院日间服务为重点推进分级诊</w:t>
      </w:r>
      <w:r>
        <w:rPr>
          <w:spacing w:val="-65"/>
        </w:rPr>
        <w:t> </w:t>
      </w:r>
      <w:r>
        <w:rPr>
          <w:spacing w:val="-65"/>
        </w:rPr>
      </w:r>
      <w:r>
        <w:rPr/>
        <w:t>疗急慢分开；完善保障政策；加强组织实施。</w:t>
      </w:r>
    </w:p>
    <w:p>
      <w:pPr>
        <w:spacing w:after="0" w:line="316" w:lineRule="auto"/>
        <w:jc w:val="both"/>
        <w:sectPr>
          <w:type w:val="continuous"/>
          <w:pgSz w:w="11910" w:h="16840"/>
          <w:pgMar w:top="1100" w:bottom="1200" w:left="1020" w:right="0"/>
          <w:cols w:num="3" w:equalWidth="0">
            <w:col w:w="1366" w:space="40"/>
            <w:col w:w="1492" w:space="40"/>
            <w:col w:w="7952"/>
          </w:cols>
        </w:sect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0"/>
          <w:szCs w:val="20"/>
        </w:rPr>
      </w:pPr>
    </w:p>
    <w:p>
      <w:pPr>
        <w:pStyle w:val="BodyText"/>
        <w:tabs>
          <w:tab w:pos="1643" w:val="left" w:leader="none"/>
        </w:tabs>
        <w:spacing w:line="240" w:lineRule="auto"/>
        <w:ind w:left="780" w:right="-19"/>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tab/>
        <w:t>国家卫健委</w:t>
      </w:r>
    </w:p>
    <w:p>
      <w:pPr>
        <w:pStyle w:val="BodyText"/>
        <w:spacing w:line="316" w:lineRule="auto" w:before="117"/>
        <w:ind w:left="528" w:right="1783"/>
        <w:jc w:val="left"/>
      </w:pPr>
      <w:r>
        <w:rPr/>
        <w:br w:type="column"/>
      </w:r>
      <w:r>
        <w:rPr/>
        <w:t>《关于进一步推进以电子病历为核心的医疗机构信息化建设工作的通知》，</w:t>
      </w:r>
      <w:r>
        <w:rPr>
          <w:spacing w:val="-63"/>
        </w:rPr>
        <w:t> </w:t>
      </w:r>
      <w:r>
        <w:rPr>
          <w:spacing w:val="-63"/>
        </w:rPr>
      </w:r>
      <w:r>
        <w:rPr/>
        <w:t>通知提出到 </w:t>
      </w:r>
      <w:r>
        <w:rPr>
          <w:rFonts w:ascii="Times New Roman" w:hAnsi="Times New Roman" w:cs="Times New Roman" w:eastAsia="Times New Roman" w:hint="default"/>
        </w:rPr>
        <w:t>2019</w:t>
      </w:r>
      <w:r>
        <w:rPr>
          <w:rFonts w:ascii="Times New Roman" w:hAnsi="Times New Roman" w:cs="Times New Roman" w:eastAsia="Times New Roman" w:hint="default"/>
          <w:spacing w:val="-26"/>
        </w:rPr>
        <w:t> </w:t>
      </w:r>
      <w:r>
        <w:rPr>
          <w:spacing w:val="-3"/>
        </w:rPr>
        <w:t>年，地方各级卫生健康行政部门辖区内所有三级医院要达到</w:t>
      </w:r>
    </w:p>
    <w:p>
      <w:pPr>
        <w:pStyle w:val="BodyText"/>
        <w:spacing w:line="248" w:lineRule="exact"/>
        <w:ind w:left="528" w:right="0"/>
        <w:jc w:val="left"/>
      </w:pPr>
      <w:r>
        <w:rPr/>
        <w:pict>
          <v:group style="position:absolute;margin-left:84.599998pt;margin-top:-34.246147pt;width:426.1pt;height:.1pt;mso-position-horizontal-relative:page;mso-position-vertical-relative:paragraph;z-index:1552" coordorigin="1692,-685" coordsize="8522,2">
            <v:shape style="position:absolute;left:1692;top:-685;width:8522;height:2" coordorigin="1692,-685" coordsize="8522,0" path="m1692,-685l10214,-685e" filled="false" stroked="true" strokeweight=".96pt" strokecolor="#808000">
              <v:path arrowok="t"/>
            </v:shape>
            <w10:wrap type="none"/>
          </v:group>
        </w:pict>
      </w:r>
      <w:r>
        <w:rPr/>
        <w:t>电子病历应用水平分级评价 </w:t>
      </w:r>
      <w:r>
        <w:rPr>
          <w:rFonts w:ascii="Times New Roman" w:hAnsi="Times New Roman" w:cs="Times New Roman" w:eastAsia="Times New Roman" w:hint="default"/>
        </w:rPr>
        <w:t>3</w:t>
      </w:r>
      <w:r>
        <w:rPr>
          <w:rFonts w:ascii="Times New Roman" w:hAnsi="Times New Roman" w:cs="Times New Roman" w:eastAsia="Times New Roman" w:hint="default"/>
          <w:spacing w:val="-19"/>
        </w:rPr>
        <w:t> </w:t>
      </w:r>
      <w:r>
        <w:rPr/>
        <w:t>级以上，即实现医院内不同部门间数据交换；</w:t>
      </w:r>
    </w:p>
    <w:p>
      <w:pPr>
        <w:pStyle w:val="BodyText"/>
        <w:spacing w:line="240" w:lineRule="auto" w:before="63"/>
        <w:ind w:left="528" w:right="0"/>
        <w:jc w:val="left"/>
      </w:pPr>
      <w:r>
        <w:rPr/>
        <w:t>到</w:t>
      </w:r>
      <w:r>
        <w:rPr>
          <w:spacing w:val="-75"/>
        </w:rPr>
        <w:t> </w:t>
      </w:r>
      <w:r>
        <w:rPr>
          <w:rFonts w:ascii="Times New Roman" w:hAnsi="Times New Roman" w:cs="Times New Roman" w:eastAsia="Times New Roman" w:hint="default"/>
        </w:rPr>
        <w:t>2020</w:t>
      </w:r>
      <w:r>
        <w:rPr>
          <w:rFonts w:ascii="Times New Roman" w:hAnsi="Times New Roman" w:cs="Times New Roman" w:eastAsia="Times New Roman" w:hint="default"/>
          <w:spacing w:val="-30"/>
        </w:rPr>
        <w:t> </w:t>
      </w:r>
      <w:r>
        <w:rPr/>
        <w:t>年，三级医院要实现院内各诊疗环节信息互联互通，达到医院信息互</w:t>
      </w:r>
    </w:p>
    <w:p>
      <w:pPr>
        <w:pStyle w:val="BodyText"/>
        <w:spacing w:line="240" w:lineRule="auto" w:before="63"/>
        <w:ind w:left="528" w:right="1783"/>
        <w:jc w:val="left"/>
      </w:pPr>
      <w:r>
        <w:rPr/>
        <w:t>联互通标准化成熟度测评</w:t>
      </w:r>
      <w:r>
        <w:rPr>
          <w:spacing w:val="-45"/>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级水平。</w:t>
      </w:r>
    </w:p>
    <w:p>
      <w:pPr>
        <w:spacing w:after="0" w:line="240" w:lineRule="auto"/>
        <w:jc w:val="left"/>
        <w:sectPr>
          <w:type w:val="continuous"/>
          <w:pgSz w:w="11910" w:h="16840"/>
          <w:pgMar w:top="1100" w:bottom="1200" w:left="1020" w:right="0"/>
          <w:cols w:num="2" w:equalWidth="0">
            <w:col w:w="2545" w:space="40"/>
            <w:col w:w="8305"/>
          </w:cols>
        </w:sectPr>
      </w:pPr>
    </w:p>
    <w:p>
      <w:pPr>
        <w:spacing w:line="240" w:lineRule="auto" w:before="2"/>
        <w:rPr>
          <w:rFonts w:ascii="宋体" w:hAnsi="宋体" w:cs="宋体" w:eastAsia="宋体" w:hint="default"/>
          <w:sz w:val="7"/>
          <w:szCs w:val="7"/>
        </w:rPr>
      </w:pPr>
    </w:p>
    <w:p>
      <w:pPr>
        <w:spacing w:line="20" w:lineRule="exact"/>
        <w:ind w:left="662" w:right="0" w:firstLine="0"/>
        <w:rPr>
          <w:rFonts w:ascii="宋体" w:hAnsi="宋体" w:cs="宋体" w:eastAsia="宋体" w:hint="default"/>
          <w:sz w:val="2"/>
          <w:szCs w:val="2"/>
        </w:rPr>
      </w:pPr>
      <w:r>
        <w:rPr>
          <w:rFonts w:ascii="宋体" w:hAnsi="宋体" w:cs="宋体" w:eastAsia="宋体" w:hint="default"/>
          <w:sz w:val="2"/>
          <w:szCs w:val="2"/>
        </w:rPr>
        <w:pict>
          <v:group style="width:427.1pt;height:1pt;mso-position-horizontal-relative:char;mso-position-vertical-relative:line" coordorigin="0,0" coordsize="8542,20">
            <v:group style="position:absolute;left:10;top:10;width:8522;height:2" coordorigin="10,10" coordsize="8522,2">
              <v:shape style="position:absolute;left:10;top:10;width:8522;height:2" coordorigin="10,10" coordsize="8522,0" path="m10,10l8532,10e" filled="false" stroked="true" strokeweight=".96pt" strokecolor="#808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type w:val="continuous"/>
          <w:pgSz w:w="11910" w:h="16840"/>
          <w:pgMar w:top="1100" w:bottom="1200" w:left="1020" w:right="0"/>
        </w:sect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15"/>
          <w:szCs w:val="15"/>
        </w:rPr>
      </w:pPr>
    </w:p>
    <w:p>
      <w:pPr>
        <w:pStyle w:val="BodyText"/>
        <w:tabs>
          <w:tab w:pos="1643" w:val="left" w:leader="none"/>
        </w:tabs>
        <w:spacing w:line="240" w:lineRule="auto"/>
        <w:ind w:left="780" w:right="-19"/>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tab/>
        <w:t>国家卫健委</w:t>
      </w:r>
    </w:p>
    <w:p>
      <w:pPr>
        <w:pStyle w:val="BodyText"/>
        <w:spacing w:line="314" w:lineRule="auto" w:before="50"/>
        <w:ind w:left="528" w:right="1797"/>
        <w:jc w:val="both"/>
      </w:pPr>
      <w:r>
        <w:rPr/>
        <w:br w:type="column"/>
      </w:r>
      <w:r>
        <w:rPr/>
        <w:t>《电子病历系统应用水平分级评价管理办法（试行）》和《电子病历系统应</w:t>
      </w:r>
      <w:r>
        <w:rPr>
          <w:spacing w:val="-65"/>
        </w:rPr>
        <w:t> </w:t>
      </w:r>
      <w:r>
        <w:rPr>
          <w:spacing w:val="-65"/>
        </w:rPr>
      </w:r>
      <w:r>
        <w:rPr/>
        <w:t>用水平分级评价标准（试行）》分别明确分级评价工作通过“电子病历系统</w:t>
      </w:r>
      <w:r>
        <w:rPr>
          <w:spacing w:val="-63"/>
        </w:rPr>
        <w:t> </w:t>
      </w:r>
      <w:r>
        <w:rPr>
          <w:spacing w:val="-63"/>
        </w:rPr>
      </w:r>
      <w:r>
        <w:rPr/>
        <w:t>分级评价平台”进行，国家卫生健康委向各省级卫生健康行政部门发放平台</w:t>
      </w:r>
      <w:r>
        <w:rPr>
          <w:spacing w:val="-63"/>
        </w:rPr>
        <w:t> </w:t>
      </w:r>
      <w:r>
        <w:rPr>
          <w:spacing w:val="-63"/>
        </w:rPr>
      </w:r>
      <w:r>
        <w:rPr/>
        <w:t>管理权限，医疗机构要建立分级评价工作管理机制，明确本机构相关职能部</w:t>
      </w:r>
      <w:r>
        <w:rPr>
          <w:spacing w:val="-65"/>
        </w:rPr>
        <w:t> </w:t>
      </w:r>
      <w:r>
        <w:rPr>
          <w:spacing w:val="-65"/>
        </w:rPr>
      </w:r>
      <w:r>
        <w:rPr/>
        <w:t>门和专人负责分级评价工作；电子病历系统应用水平划分为</w:t>
      </w:r>
      <w:r>
        <w:rPr>
          <w:spacing w:val="-32"/>
        </w:rPr>
        <w:t> </w:t>
      </w:r>
      <w:r>
        <w:rPr>
          <w:rFonts w:ascii="Times New Roman" w:hAnsi="Times New Roman" w:cs="Times New Roman" w:eastAsia="Times New Roman" w:hint="default"/>
        </w:rPr>
        <w:t>9</w:t>
      </w:r>
      <w:r>
        <w:rPr>
          <w:rFonts w:ascii="Times New Roman" w:hAnsi="Times New Roman" w:cs="Times New Roman" w:eastAsia="Times New Roman" w:hint="default"/>
          <w:spacing w:val="11"/>
        </w:rPr>
        <w:t> </w:t>
      </w:r>
      <w:r>
        <w:rPr/>
        <w:t>个等级，每一</w:t>
      </w:r>
      <w:r>
        <w:rPr>
          <w:spacing w:val="-88"/>
        </w:rPr>
        <w:t> </w:t>
      </w:r>
      <w:r>
        <w:rPr>
          <w:spacing w:val="-88"/>
        </w:rPr>
      </w:r>
      <w:r>
        <w:rPr/>
        <w:t>等级的标准包括电子病历各个局部系统的要求和对医疗机构整体电子病历系</w:t>
      </w:r>
      <w:r>
        <w:rPr>
          <w:spacing w:val="-65"/>
        </w:rPr>
        <w:t> </w:t>
      </w:r>
      <w:r>
        <w:rPr>
          <w:spacing w:val="-65"/>
        </w:rPr>
      </w:r>
      <w:r>
        <w:rPr/>
        <w:t>统的要求。采用定量评分、整体分级的方法，综合评价医疗机构电子病历系</w:t>
      </w:r>
      <w:r>
        <w:rPr>
          <w:spacing w:val="-65"/>
        </w:rPr>
        <w:t> </w:t>
      </w:r>
      <w:r>
        <w:rPr>
          <w:spacing w:val="-65"/>
        </w:rPr>
      </w:r>
      <w:r>
        <w:rPr/>
        <w:t>统局部功能情况与整体应用水平。</w:t>
      </w:r>
    </w:p>
    <w:p>
      <w:pPr>
        <w:spacing w:after="0" w:line="314" w:lineRule="auto"/>
        <w:jc w:val="both"/>
        <w:sectPr>
          <w:type w:val="continuous"/>
          <w:pgSz w:w="11910" w:h="16840"/>
          <w:pgMar w:top="1100" w:bottom="1200" w:left="1020" w:right="0"/>
          <w:cols w:num="2" w:equalWidth="0">
            <w:col w:w="2545" w:space="40"/>
            <w:col w:w="8305"/>
          </w:cols>
        </w:sectPr>
      </w:pPr>
    </w:p>
    <w:p>
      <w:pPr>
        <w:spacing w:line="240" w:lineRule="auto" w:before="11"/>
        <w:rPr>
          <w:rFonts w:ascii="宋体" w:hAnsi="宋体" w:cs="宋体" w:eastAsia="宋体" w:hint="default"/>
          <w:sz w:val="3"/>
          <w:szCs w:val="3"/>
        </w:rPr>
      </w:pPr>
      <w:r>
        <w:rPr/>
        <w:pict>
          <v:group style="position:absolute;margin-left:84.599998pt;margin-top:253.080017pt;width:426.1pt;height:.1pt;mso-position-horizontal-relative:page;mso-position-vertical-relative:page;z-index:1480" coordorigin="1692,5062" coordsize="8522,2">
            <v:shape style="position:absolute;left:1692;top:5062;width:8522;height:2" coordorigin="1692,5062" coordsize="8522,0" path="m1692,5062l10214,5062e" filled="false" stroked="true" strokeweight=".96pt" strokecolor="#808000">
              <v:path arrowok="t"/>
            </v:shape>
            <w10:wrap type="none"/>
          </v:group>
        </w:pict>
      </w:r>
      <w:r>
        <w:rPr/>
        <w:pict>
          <v:group style="position:absolute;margin-left:84.599998pt;margin-top:426.380035pt;width:426.1pt;height:.1pt;mso-position-horizontal-relative:page;mso-position-vertical-relative:page;z-index:1528" coordorigin="1692,8528" coordsize="8522,2">
            <v:shape style="position:absolute;left:1692;top:8528;width:8522;height:2" coordorigin="1692,8528" coordsize="8522,0" path="m1692,8528l10214,8528e" filled="false" stroked="true" strokeweight=".96pt" strokecolor="#808000">
              <v:path arrowok="t"/>
            </v:shape>
            <w10:wrap type="none"/>
          </v:group>
        </w:pict>
      </w:r>
    </w:p>
    <w:p>
      <w:pPr>
        <w:spacing w:line="20" w:lineRule="exact"/>
        <w:ind w:left="662" w:right="0" w:firstLine="0"/>
        <w:rPr>
          <w:rFonts w:ascii="宋体" w:hAnsi="宋体" w:cs="宋体" w:eastAsia="宋体" w:hint="default"/>
          <w:sz w:val="2"/>
          <w:szCs w:val="2"/>
        </w:rPr>
      </w:pPr>
      <w:r>
        <w:rPr>
          <w:rFonts w:ascii="宋体" w:hAnsi="宋体" w:cs="宋体" w:eastAsia="宋体" w:hint="default"/>
          <w:sz w:val="2"/>
          <w:szCs w:val="2"/>
        </w:rPr>
        <w:pict>
          <v:group style="width:427.1pt;height:1pt;mso-position-horizontal-relative:char;mso-position-vertical-relative:line" coordorigin="0,0" coordsize="8542,20">
            <v:group style="position:absolute;left:10;top:10;width:8522;height:2" coordorigin="10,10" coordsize="8522,2">
              <v:shape style="position:absolute;left:10;top:10;width:8522;height:2" coordorigin="10,10" coordsize="8522,0" path="m10,10l8532,10e" filled="false" stroked="true" strokeweight=".96pt" strokecolor="#808000">
                <v:path arrowok="t"/>
              </v:shape>
            </v:group>
          </v:group>
        </w:pict>
      </w:r>
      <w:r>
        <w:rPr>
          <w:rFonts w:ascii="宋体" w:hAnsi="宋体" w:cs="宋体" w:eastAsia="宋体" w:hint="default"/>
          <w:sz w:val="2"/>
          <w:szCs w:val="2"/>
        </w:rPr>
      </w:r>
    </w:p>
    <w:p>
      <w:pPr>
        <w:pStyle w:val="BodyText"/>
        <w:spacing w:line="240" w:lineRule="auto" w:before="51"/>
        <w:ind w:left="472" w:right="0"/>
        <w:jc w:val="left"/>
      </w:pPr>
      <w:r>
        <w:rPr/>
        <w:t>（</w:t>
      </w:r>
      <w:r>
        <w:rPr>
          <w:rFonts w:ascii="Times New Roman" w:hAnsi="Times New Roman" w:cs="Times New Roman" w:eastAsia="Times New Roman" w:hint="default"/>
        </w:rPr>
        <w:t>2</w:t>
      </w:r>
      <w:r>
        <w:rPr/>
        <w:t>）医卫互联网业务近年政策</w:t>
      </w:r>
    </w:p>
    <w:p>
      <w:pPr>
        <w:spacing w:after="0" w:line="240" w:lineRule="auto"/>
        <w:jc w:val="left"/>
        <w:sectPr>
          <w:type w:val="continuous"/>
          <w:pgSz w:w="11910" w:h="16840"/>
          <w:pgMar w:top="1100" w:bottom="1200" w:left="1020" w:right="0"/>
        </w:sectPr>
      </w:pPr>
    </w:p>
    <w:p>
      <w:pPr>
        <w:spacing w:line="240" w:lineRule="auto" w:before="6"/>
        <w:rPr>
          <w:rFonts w:ascii="宋体" w:hAnsi="宋体" w:cs="宋体" w:eastAsia="宋体" w:hint="default"/>
          <w:sz w:val="25"/>
          <w:szCs w:val="25"/>
        </w:rPr>
      </w:pPr>
    </w:p>
    <w:p>
      <w:pPr>
        <w:spacing w:line="574" w:lineRule="exact"/>
        <w:ind w:left="662" w:right="0" w:firstLine="0"/>
        <w:rPr>
          <w:rFonts w:ascii="宋体" w:hAnsi="宋体" w:cs="宋体" w:eastAsia="宋体" w:hint="default"/>
          <w:sz w:val="20"/>
          <w:szCs w:val="20"/>
        </w:rPr>
      </w:pPr>
      <w:r>
        <w:rPr>
          <w:rFonts w:ascii="宋体" w:hAnsi="宋体" w:cs="宋体" w:eastAsia="宋体" w:hint="default"/>
          <w:position w:val="-10"/>
          <w:sz w:val="20"/>
          <w:szCs w:val="20"/>
        </w:rPr>
        <w:pict>
          <v:group style="width:427.1pt;height:28.75pt;mso-position-horizontal-relative:char;mso-position-vertical-relative:line" coordorigin="0,0" coordsize="8542,575">
            <v:group style="position:absolute;left:8;top:18;width:824;height:540" coordorigin="8,18" coordsize="824,540">
              <v:shape style="position:absolute;left:8;top:18;width:824;height:540" coordorigin="8,18" coordsize="824,540" path="m8,18l832,18,832,558,8,558,8,18xe" filled="true" fillcolor="#bdbdbd" stroked="false">
                <v:path arrowok="t"/>
                <v:fill type="solid"/>
              </v:shape>
            </v:group>
            <v:group style="position:absolute;left:827;top:18;width:1430;height:540" coordorigin="827,18" coordsize="1430,540">
              <v:shape style="position:absolute;left:827;top:18;width:1430;height:540" coordorigin="827,18" coordsize="1430,540" path="m827,18l2257,18,2257,558,827,558,827,18xe" filled="true" fillcolor="#bdbdbd" stroked="false">
                <v:path arrowok="t"/>
                <v:fill type="solid"/>
              </v:shape>
            </v:group>
            <v:group style="position:absolute;left:2252;top:18;width:6283;height:540" coordorigin="2252,18" coordsize="6283,540">
              <v:shape style="position:absolute;left:2252;top:18;width:6283;height:540" coordorigin="2252,18" coordsize="6283,540" path="m2252,18l8535,18,8535,558,2252,558,2252,18xe" filled="true" fillcolor="#bdbdbd" stroked="false">
                <v:path arrowok="t"/>
                <v:fill type="solid"/>
              </v:shape>
            </v:group>
            <v:group style="position:absolute;left:10;top:10;width:8522;height:2" coordorigin="10,10" coordsize="8522,2">
              <v:shape style="position:absolute;left:10;top:10;width:8522;height:2" coordorigin="10,10" coordsize="8522,0" path="m10,10l8532,10e" filled="false" stroked="true" strokeweight=".96pt" strokecolor="#808000">
                <v:path arrowok="t"/>
              </v:shape>
            </v:group>
            <v:group style="position:absolute;left:10;top:565;width:8522;height:2" coordorigin="10,565" coordsize="8522,2">
              <v:shape style="position:absolute;left:10;top:565;width:8522;height:2" coordorigin="10,565" coordsize="8522,0" path="m10,565l8532,565e" filled="false" stroked="true" strokeweight=".96pt" strokecolor="#808000">
                <v:path arrowok="t"/>
              </v:shape>
              <v:shape style="position:absolute;left:8;top:10;width:8527;height:555" type="#_x0000_t202" filled="false" stroked="false">
                <v:textbox inset="0,0,0,0">
                  <w:txbxContent>
                    <w:p>
                      <w:pPr>
                        <w:tabs>
                          <w:tab w:pos="1182" w:val="left" w:leader="none"/>
                          <w:tab w:pos="5025" w:val="left" w:leader="none"/>
                        </w:tabs>
                        <w:spacing w:before="131"/>
                        <w:ind w:left="23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年份</w:t>
                        <w:tab/>
                        <w:t>发布单位</w:t>
                        <w:tab/>
                      </w:r>
                      <w:r>
                        <w:rPr>
                          <w:rFonts w:ascii="宋体" w:hAnsi="宋体" w:cs="宋体" w:eastAsia="宋体" w:hint="default"/>
                          <w:b/>
                          <w:bCs/>
                          <w:sz w:val="18"/>
                          <w:szCs w:val="18"/>
                        </w:rPr>
                        <w:t>政策解读</w:t>
                      </w:r>
                      <w:r>
                        <w:rPr>
                          <w:rFonts w:ascii="宋体" w:hAnsi="宋体" w:cs="宋体" w:eastAsia="宋体" w:hint="default"/>
                          <w:sz w:val="18"/>
                          <w:szCs w:val="18"/>
                        </w:rPr>
                      </w:r>
                    </w:p>
                  </w:txbxContent>
                </v:textbox>
                <w10:wrap type="none"/>
              </v:shape>
            </v:group>
          </v:group>
        </w:pict>
      </w:r>
      <w:r>
        <w:rPr>
          <w:rFonts w:ascii="宋体" w:hAnsi="宋体" w:cs="宋体" w:eastAsia="宋体" w:hint="default"/>
          <w:position w:val="-10"/>
          <w:sz w:val="20"/>
          <w:szCs w:val="20"/>
        </w:rPr>
      </w:r>
    </w:p>
    <w:p>
      <w:pPr>
        <w:spacing w:after="0" w:line="574" w:lineRule="exact"/>
        <w:rPr>
          <w:rFonts w:ascii="宋体" w:hAnsi="宋体" w:cs="宋体" w:eastAsia="宋体" w:hint="default"/>
          <w:sz w:val="20"/>
          <w:szCs w:val="20"/>
        </w:rPr>
        <w:sectPr>
          <w:footerReference w:type="default" r:id="rId30"/>
          <w:pgSz w:w="11910" w:h="16840"/>
          <w:pgMar w:footer="1016" w:header="907" w:top="1100" w:bottom="1200" w:left="1020" w:right="0"/>
          <w:pgNumType w:start="40"/>
        </w:sectPr>
      </w:pPr>
    </w:p>
    <w:p>
      <w:pPr>
        <w:spacing w:line="240" w:lineRule="auto" w:before="0"/>
        <w:rPr>
          <w:rFonts w:ascii="宋体" w:hAnsi="宋体" w:cs="宋体" w:eastAsia="宋体" w:hint="default"/>
          <w:sz w:val="18"/>
          <w:szCs w:val="18"/>
        </w:rPr>
      </w:pPr>
    </w:p>
    <w:p>
      <w:pPr>
        <w:pStyle w:val="BodyText"/>
        <w:spacing w:line="240" w:lineRule="auto" w:before="128"/>
        <w:ind w:left="780" w:right="-19"/>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p>
    <w:p>
      <w:pPr>
        <w:pStyle w:val="BodyText"/>
        <w:spacing w:line="240" w:lineRule="auto" w:before="52"/>
        <w:ind w:left="192" w:right="-18"/>
        <w:jc w:val="left"/>
      </w:pPr>
      <w:r>
        <w:rPr/>
        <w:br w:type="column"/>
      </w:r>
      <w:r>
        <w:rPr/>
        <w:t>国家卫健委</w:t>
      </w:r>
    </w:p>
    <w:p>
      <w:pPr>
        <w:pStyle w:val="BodyText"/>
        <w:spacing w:line="316" w:lineRule="auto" w:before="76"/>
        <w:ind w:left="192" w:right="-18"/>
        <w:jc w:val="left"/>
      </w:pPr>
      <w:r>
        <w:rPr/>
        <w:t>国</w:t>
      </w:r>
      <w:r>
        <w:rPr>
          <w:spacing w:val="-64"/>
        </w:rPr>
        <w:t> </w:t>
      </w:r>
      <w:r>
        <w:rPr/>
        <w:t>家</w:t>
      </w:r>
      <w:r>
        <w:rPr>
          <w:spacing w:val="-66"/>
        </w:rPr>
        <w:t> </w:t>
      </w:r>
      <w:r>
        <w:rPr/>
        <w:t>中</w:t>
      </w:r>
      <w:r>
        <w:rPr>
          <w:spacing w:val="-64"/>
        </w:rPr>
        <w:t> </w:t>
      </w:r>
      <w:r>
        <w:rPr/>
        <w:t>医</w:t>
      </w:r>
      <w:r>
        <w:rPr>
          <w:spacing w:val="-64"/>
        </w:rPr>
        <w:t> </w:t>
      </w:r>
      <w:r>
        <w:rPr/>
        <w:t>药</w:t>
      </w:r>
      <w:r>
        <w:rPr>
          <w:spacing w:val="-64"/>
        </w:rPr>
        <w:t> </w:t>
      </w:r>
      <w:r>
        <w:rPr/>
        <w:t>管</w:t>
      </w:r>
      <w:r>
        <w:rPr/>
        <w:t> 理局</w:t>
      </w:r>
    </w:p>
    <w:p>
      <w:pPr>
        <w:pStyle w:val="BodyText"/>
        <w:spacing w:line="309" w:lineRule="auto" w:before="52"/>
        <w:ind w:left="176" w:right="1712"/>
        <w:jc w:val="left"/>
      </w:pPr>
      <w:r>
        <w:rPr/>
        <w:br w:type="column"/>
      </w:r>
      <w:r>
        <w:rPr/>
        <w:t>《关于印发进一步改善医疗服务行动计划（</w:t>
      </w:r>
      <w:r>
        <w:rPr>
          <w:rFonts w:ascii="Times New Roman" w:hAnsi="Times New Roman" w:cs="Times New Roman" w:eastAsia="Times New Roman" w:hint="default"/>
        </w:rPr>
        <w:t>2018-2021</w:t>
      </w:r>
      <w:r>
        <w:rPr>
          <w:rFonts w:ascii="Times New Roman" w:hAnsi="Times New Roman" w:cs="Times New Roman" w:eastAsia="Times New Roman" w:hint="default"/>
          <w:spacing w:val="-5"/>
        </w:rPr>
        <w:t> </w:t>
      </w:r>
      <w:r>
        <w:rPr/>
        <w:t>年）》，以“互联网+” </w:t>
      </w:r>
      <w:r>
        <w:rPr>
          <w:spacing w:val="-2"/>
        </w:rPr>
        <w:t>为手段，建设智慧医院。应用互联网、物联网等新技术，实现配药发药、内部</w:t>
      </w:r>
      <w:r>
        <w:rPr>
          <w:spacing w:val="-81"/>
        </w:rPr>
        <w:t> </w:t>
      </w:r>
      <w:r>
        <w:rPr>
          <w:spacing w:val="-81"/>
        </w:rPr>
      </w:r>
      <w:r>
        <w:rPr/>
        <w:t>物流、患者安全管理等信息化、智能化。</w:t>
      </w:r>
    </w:p>
    <w:p>
      <w:pPr>
        <w:spacing w:after="0" w:line="309" w:lineRule="auto"/>
        <w:jc w:val="left"/>
        <w:sectPr>
          <w:type w:val="continuous"/>
          <w:pgSz w:w="11910" w:h="16840"/>
          <w:pgMar w:top="1100" w:bottom="1200" w:left="1020" w:right="0"/>
          <w:cols w:num="3" w:equalWidth="0">
            <w:col w:w="1366" w:space="40"/>
            <w:col w:w="1403" w:space="40"/>
            <w:col w:w="8041"/>
          </w:cols>
        </w:sectPr>
      </w:pPr>
    </w:p>
    <w:p>
      <w:pPr>
        <w:spacing w:line="240" w:lineRule="auto" w:before="9"/>
        <w:rPr>
          <w:rFonts w:ascii="宋体" w:hAnsi="宋体" w:cs="宋体" w:eastAsia="宋体" w:hint="default"/>
          <w:sz w:val="3"/>
          <w:szCs w:val="3"/>
        </w:rPr>
      </w:pPr>
    </w:p>
    <w:p>
      <w:pPr>
        <w:spacing w:line="20" w:lineRule="exact"/>
        <w:ind w:left="662" w:right="0" w:firstLine="0"/>
        <w:rPr>
          <w:rFonts w:ascii="宋体" w:hAnsi="宋体" w:cs="宋体" w:eastAsia="宋体" w:hint="default"/>
          <w:sz w:val="2"/>
          <w:szCs w:val="2"/>
        </w:rPr>
      </w:pPr>
      <w:r>
        <w:rPr>
          <w:rFonts w:ascii="宋体" w:hAnsi="宋体" w:cs="宋体" w:eastAsia="宋体" w:hint="default"/>
          <w:sz w:val="2"/>
          <w:szCs w:val="2"/>
        </w:rPr>
        <w:pict>
          <v:group style="width:427.1pt;height:1pt;mso-position-horizontal-relative:char;mso-position-vertical-relative:line" coordorigin="0,0" coordsize="8542,20">
            <v:group style="position:absolute;left:10;top:10;width:8522;height:2" coordorigin="10,10" coordsize="8522,2">
              <v:shape style="position:absolute;left:10;top:10;width:8522;height:2" coordorigin="10,10" coordsize="8522,0" path="m10,10l8532,10e" filled="false" stroked="true" strokeweight=".96pt" strokecolor="#808000">
                <v:path arrowok="t"/>
              </v:shape>
            </v:group>
          </v:group>
        </w:pict>
      </w:r>
      <w:r>
        <w:rPr>
          <w:rFonts w:ascii="宋体" w:hAnsi="宋体" w:cs="宋体" w:eastAsia="宋体" w:hint="default"/>
          <w:sz w:val="2"/>
          <w:szCs w:val="2"/>
        </w:rPr>
      </w:r>
    </w:p>
    <w:p>
      <w:pPr>
        <w:spacing w:line="240" w:lineRule="auto" w:before="8"/>
        <w:rPr>
          <w:rFonts w:ascii="宋体" w:hAnsi="宋体" w:cs="宋体" w:eastAsia="宋体" w:hint="default"/>
          <w:sz w:val="4"/>
          <w:szCs w:val="4"/>
        </w:rPr>
      </w:pPr>
    </w:p>
    <w:p>
      <w:pPr>
        <w:spacing w:after="0" w:line="240" w:lineRule="auto"/>
        <w:rPr>
          <w:rFonts w:ascii="宋体" w:hAnsi="宋体" w:cs="宋体" w:eastAsia="宋体" w:hint="default"/>
          <w:sz w:val="4"/>
          <w:szCs w:val="4"/>
        </w:rPr>
        <w:sectPr>
          <w:type w:val="continuous"/>
          <w:pgSz w:w="11910" w:h="16840"/>
          <w:pgMar w:top="1100" w:bottom="1200" w:left="1020" w:right="0"/>
        </w:sectPr>
      </w:pPr>
    </w:p>
    <w:p>
      <w:pPr>
        <w:spacing w:line="240" w:lineRule="auto" w:before="4"/>
        <w:rPr>
          <w:rFonts w:ascii="宋体" w:hAnsi="宋体" w:cs="宋体" w:eastAsia="宋体" w:hint="default"/>
          <w:sz w:val="15"/>
          <w:szCs w:val="15"/>
        </w:rPr>
      </w:pPr>
    </w:p>
    <w:p>
      <w:pPr>
        <w:pStyle w:val="BodyText"/>
        <w:tabs>
          <w:tab w:pos="1598" w:val="left" w:leader="none"/>
        </w:tabs>
        <w:spacing w:line="240" w:lineRule="auto"/>
        <w:ind w:left="780" w:right="-20"/>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tab/>
        <w:t>国务院</w:t>
      </w:r>
    </w:p>
    <w:p>
      <w:pPr>
        <w:pStyle w:val="BodyText"/>
        <w:spacing w:line="316" w:lineRule="auto" w:before="44"/>
        <w:ind w:left="780" w:right="0"/>
        <w:jc w:val="left"/>
      </w:pPr>
      <w:r>
        <w:rPr/>
        <w:br w:type="column"/>
      </w:r>
      <w:r>
        <w:rPr/>
        <w:t>《政府工作报告》中明确提出加速互联网+医疗、异地就医直接结算、分级诊</w:t>
      </w:r>
      <w:r>
        <w:rPr>
          <w:spacing w:val="-64"/>
        </w:rPr>
        <w:t> </w:t>
      </w:r>
      <w:r>
        <w:rPr>
          <w:spacing w:val="-64"/>
        </w:rPr>
      </w:r>
      <w:r>
        <w:rPr/>
        <w:t>疗、医联体等领域建设。</w:t>
      </w:r>
    </w:p>
    <w:p>
      <w:pPr>
        <w:spacing w:after="0" w:line="316" w:lineRule="auto"/>
        <w:jc w:val="left"/>
        <w:sectPr>
          <w:type w:val="continuous"/>
          <w:pgSz w:w="11910" w:h="16840"/>
          <w:pgMar w:top="1100" w:bottom="1200" w:left="1020" w:right="0"/>
          <w:cols w:num="2" w:equalWidth="0">
            <w:col w:w="2139" w:space="105"/>
            <w:col w:w="8646"/>
          </w:cols>
        </w:sectPr>
      </w:pPr>
    </w:p>
    <w:p>
      <w:pPr>
        <w:spacing w:line="240" w:lineRule="auto" w:before="9"/>
        <w:rPr>
          <w:rFonts w:ascii="宋体" w:hAnsi="宋体" w:cs="宋体" w:eastAsia="宋体" w:hint="default"/>
          <w:sz w:val="7"/>
          <w:szCs w:val="7"/>
        </w:rPr>
      </w:pPr>
    </w:p>
    <w:p>
      <w:pPr>
        <w:spacing w:line="20" w:lineRule="exact"/>
        <w:ind w:left="662" w:right="0" w:firstLine="0"/>
        <w:rPr>
          <w:rFonts w:ascii="宋体" w:hAnsi="宋体" w:cs="宋体" w:eastAsia="宋体" w:hint="default"/>
          <w:sz w:val="2"/>
          <w:szCs w:val="2"/>
        </w:rPr>
      </w:pPr>
      <w:r>
        <w:rPr>
          <w:rFonts w:ascii="宋体" w:hAnsi="宋体" w:cs="宋体" w:eastAsia="宋体" w:hint="default"/>
          <w:sz w:val="2"/>
          <w:szCs w:val="2"/>
        </w:rPr>
        <w:pict>
          <v:group style="width:427.1pt;height:1pt;mso-position-horizontal-relative:char;mso-position-vertical-relative:line" coordorigin="0,0" coordsize="8542,20">
            <v:group style="position:absolute;left:10;top:10;width:8522;height:2" coordorigin="10,10" coordsize="8522,2">
              <v:shape style="position:absolute;left:10;top:10;width:8522;height:2" coordorigin="10,10" coordsize="8522,0" path="m10,10l8532,10e" filled="false" stroked="true" strokeweight=".96pt" strokecolor="#808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type w:val="continuous"/>
          <w:pgSz w:w="11910" w:h="16840"/>
          <w:pgMar w:top="1100" w:bottom="1200" w:left="1020" w:right="0"/>
        </w:sect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tabs>
          <w:tab w:pos="1598" w:val="left" w:leader="none"/>
        </w:tabs>
        <w:spacing w:line="240" w:lineRule="auto" w:before="123"/>
        <w:ind w:left="780" w:right="-20"/>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tab/>
        <w:t>国务院</w:t>
      </w:r>
    </w:p>
    <w:p>
      <w:pPr>
        <w:pStyle w:val="BodyText"/>
        <w:spacing w:line="312" w:lineRule="auto" w:before="49"/>
        <w:ind w:left="780" w:right="1796"/>
        <w:jc w:val="both"/>
      </w:pPr>
      <w:r>
        <w:rPr/>
        <w:br w:type="column"/>
      </w:r>
      <w:r>
        <w:rPr/>
        <w:t>《关于促进“互联网+医疗健康”发展的意见》，意见指出医疗机构运用“互</w:t>
      </w:r>
      <w:r>
        <w:rPr>
          <w:spacing w:val="-64"/>
        </w:rPr>
        <w:t> </w:t>
      </w:r>
      <w:r>
        <w:rPr>
          <w:spacing w:val="-64"/>
        </w:rPr>
      </w:r>
      <w:r>
        <w:rPr>
          <w:spacing w:val="-6"/>
        </w:rPr>
        <w:t>联网+”优化现有医疗服务，推动互联网与医疗健康深度融合。三级医院在</w:t>
      </w:r>
      <w:r>
        <w:rPr>
          <w:spacing w:val="-43"/>
        </w:rPr>
        <w:t> </w:t>
      </w:r>
      <w:r>
        <w:rPr>
          <w:rFonts w:ascii="Times New Roman" w:hAnsi="Times New Roman" w:cs="Times New Roman" w:eastAsia="Times New Roman" w:hint="default"/>
        </w:rPr>
        <w:t>2020 </w:t>
      </w:r>
      <w:r>
        <w:rPr>
          <w:spacing w:val="3"/>
        </w:rPr>
        <w:t>年前实现院内医疗服务信息互通共享、二级以上医院要健全医院信息平台功</w:t>
      </w:r>
      <w:r>
        <w:rPr>
          <w:spacing w:val="-88"/>
        </w:rPr>
        <w:t> </w:t>
      </w:r>
      <w:r>
        <w:rPr>
          <w:spacing w:val="-88"/>
        </w:rPr>
      </w:r>
      <w:r>
        <w:rPr/>
        <w:t>能，整合院内各类系统资源，提升医院管理效率。到</w:t>
      </w:r>
      <w:r>
        <w:rPr>
          <w:spacing w:val="-35"/>
        </w:rPr>
        <w:t> </w:t>
      </w:r>
      <w:r>
        <w:rPr>
          <w:rFonts w:ascii="Times New Roman" w:hAnsi="Times New Roman" w:cs="Times New Roman" w:eastAsia="Times New Roman" w:hint="default"/>
        </w:rPr>
        <w:t>2020</w:t>
      </w:r>
      <w:r>
        <w:rPr>
          <w:rFonts w:ascii="Times New Roman" w:hAnsi="Times New Roman" w:cs="Times New Roman" w:eastAsia="Times New Roman" w:hint="default"/>
          <w:spacing w:val="8"/>
        </w:rPr>
        <w:t> </w:t>
      </w:r>
      <w:r>
        <w:rPr/>
        <w:t>年，二级以上医院</w:t>
      </w:r>
      <w:r>
        <w:rPr>
          <w:spacing w:val="-87"/>
        </w:rPr>
        <w:t> </w:t>
      </w:r>
      <w:r>
        <w:rPr>
          <w:spacing w:val="-87"/>
        </w:rPr>
      </w:r>
      <w:r>
        <w:rPr>
          <w:spacing w:val="-2"/>
        </w:rPr>
        <w:t>普遍提供分时段预约诊疗、智能导医分诊、候诊提醒、检验检查结果查询、诊</w:t>
      </w:r>
      <w:r>
        <w:rPr>
          <w:spacing w:val="-82"/>
        </w:rPr>
        <w:t> </w:t>
      </w:r>
      <w:r>
        <w:rPr>
          <w:spacing w:val="-82"/>
        </w:rPr>
      </w:r>
      <w:r>
        <w:rPr/>
        <w:t>间结算、移动支付等线上服务。</w:t>
      </w:r>
    </w:p>
    <w:p>
      <w:pPr>
        <w:spacing w:after="0" w:line="312" w:lineRule="auto"/>
        <w:jc w:val="both"/>
        <w:sectPr>
          <w:type w:val="continuous"/>
          <w:pgSz w:w="11910" w:h="16840"/>
          <w:pgMar w:top="1100" w:bottom="1200" w:left="1020" w:right="0"/>
          <w:cols w:num="2" w:equalWidth="0">
            <w:col w:w="2139" w:space="105"/>
            <w:col w:w="8646"/>
          </w:cols>
        </w:sect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tabs>
          <w:tab w:pos="1598" w:val="left" w:leader="none"/>
        </w:tabs>
        <w:spacing w:line="240" w:lineRule="auto" w:before="120"/>
        <w:ind w:left="780" w:right="-20"/>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tab/>
        <w:t>国家卫健委</w:t>
      </w:r>
    </w:p>
    <w:p>
      <w:pPr>
        <w:pStyle w:val="BodyText"/>
        <w:spacing w:line="312" w:lineRule="auto" w:before="123"/>
        <w:ind w:left="485" w:right="1696"/>
        <w:jc w:val="left"/>
      </w:pPr>
      <w:r>
        <w:rPr>
          <w:spacing w:val="-5"/>
        </w:rPr>
        <w:br w:type="column"/>
      </w:r>
      <w:r>
        <w:rPr>
          <w:spacing w:val="-5"/>
        </w:rPr>
        <w:t>《关于深入开展“互联网+医疗健康”便民惠民活动的通知》，明确到</w:t>
      </w:r>
      <w:r>
        <w:rPr>
          <w:spacing w:val="-43"/>
        </w:rPr>
        <w:t> </w:t>
      </w:r>
      <w:r>
        <w:rPr>
          <w:rFonts w:ascii="Times New Roman" w:hAnsi="Times New Roman" w:cs="Times New Roman" w:eastAsia="Times New Roman" w:hint="default"/>
        </w:rPr>
        <w:t>2020</w:t>
      </w:r>
      <w:r>
        <w:rPr>
          <w:rFonts w:ascii="Times New Roman" w:hAnsi="Times New Roman" w:cs="Times New Roman" w:eastAsia="Times New Roman" w:hint="default"/>
          <w:spacing w:val="-1"/>
        </w:rPr>
        <w:t> </w:t>
      </w:r>
      <w:r>
        <w:rPr/>
        <w:t>年， 二级以上医疗机构普遍提供分时段预约诊疗、智能导医分诊、候诊提醒、检验 检查结果查询等线上服务，让患者少排队、少跑腿；三级医院要实现院内医疗 服务信息互通共享，有条件的医院要尽快实现等一系列目标。</w:t>
      </w:r>
    </w:p>
    <w:p>
      <w:pPr>
        <w:spacing w:after="0" w:line="312" w:lineRule="auto"/>
        <w:jc w:val="left"/>
        <w:sectPr>
          <w:type w:val="continuous"/>
          <w:pgSz w:w="11910" w:h="16840"/>
          <w:pgMar w:top="1100" w:bottom="1200" w:left="1020" w:right="0"/>
          <w:cols w:num="2" w:equalWidth="0">
            <w:col w:w="2499" w:space="40"/>
            <w:col w:w="8351"/>
          </w:cols>
        </w:sectPr>
      </w:pPr>
    </w:p>
    <w:p>
      <w:pPr>
        <w:spacing w:line="240" w:lineRule="auto" w:before="13"/>
        <w:rPr>
          <w:rFonts w:ascii="宋体" w:hAnsi="宋体" w:cs="宋体" w:eastAsia="宋体" w:hint="default"/>
          <w:sz w:val="3"/>
          <w:szCs w:val="3"/>
        </w:rPr>
      </w:pPr>
      <w:r>
        <w:rPr/>
        <w:pict>
          <v:group style="position:absolute;margin-left:84.599998pt;margin-top:292.130035pt;width:426.1pt;height:.1pt;mso-position-horizontal-relative:page;mso-position-vertical-relative:page;z-index:1720" coordorigin="1692,5843" coordsize="8522,2">
            <v:shape style="position:absolute;left:1692;top:5843;width:8522;height:2" coordorigin="1692,5843" coordsize="8522,0" path="m1692,5843l10214,5843e" filled="false" stroked="true" strokeweight=".96pt" strokecolor="#808000">
              <v:path arrowok="t"/>
            </v:shape>
            <w10:wrap type="none"/>
          </v:group>
        </w:pict>
      </w:r>
    </w:p>
    <w:p>
      <w:pPr>
        <w:spacing w:line="20" w:lineRule="exact"/>
        <w:ind w:left="662" w:right="0" w:firstLine="0"/>
        <w:rPr>
          <w:rFonts w:ascii="宋体" w:hAnsi="宋体" w:cs="宋体" w:eastAsia="宋体" w:hint="default"/>
          <w:sz w:val="2"/>
          <w:szCs w:val="2"/>
        </w:rPr>
      </w:pPr>
      <w:r>
        <w:rPr>
          <w:rFonts w:ascii="宋体" w:hAnsi="宋体" w:cs="宋体" w:eastAsia="宋体" w:hint="default"/>
          <w:sz w:val="2"/>
          <w:szCs w:val="2"/>
        </w:rPr>
        <w:pict>
          <v:group style="width:427.1pt;height:1pt;mso-position-horizontal-relative:char;mso-position-vertical-relative:line" coordorigin="0,0" coordsize="8542,20">
            <v:group style="position:absolute;left:10;top:10;width:8522;height:2" coordorigin="10,10" coordsize="8522,2">
              <v:shape style="position:absolute;left:10;top:10;width:8522;height:2" coordorigin="10,10" coordsize="8522,0" path="m10,10l8532,10e" filled="false" stroked="true" strokeweight=".96pt" strokecolor="#808000">
                <v:path arrowok="t"/>
              </v:shape>
            </v:group>
          </v:group>
        </w:pict>
      </w:r>
      <w:r>
        <w:rPr>
          <w:rFonts w:ascii="宋体" w:hAnsi="宋体" w:cs="宋体" w:eastAsia="宋体" w:hint="default"/>
          <w:sz w:val="2"/>
          <w:szCs w:val="2"/>
        </w:rPr>
      </w:r>
    </w:p>
    <w:p>
      <w:pPr>
        <w:pStyle w:val="BodyText"/>
        <w:spacing w:line="240" w:lineRule="auto" w:before="51"/>
        <w:ind w:left="472" w:right="0"/>
        <w:jc w:val="left"/>
      </w:pPr>
      <w:r>
        <w:rPr/>
        <w:t>（</w:t>
      </w:r>
      <w:r>
        <w:rPr>
          <w:rFonts w:ascii="Times New Roman" w:hAnsi="Times New Roman" w:cs="Times New Roman" w:eastAsia="Times New Roman" w:hint="default"/>
        </w:rPr>
        <w:t>3</w:t>
      </w:r>
      <w:r>
        <w:rPr/>
        <w:t>）医卫物联网业务近年政策</w:t>
      </w:r>
    </w:p>
    <w:p>
      <w:pPr>
        <w:spacing w:line="240" w:lineRule="auto" w:before="9"/>
        <w:rPr>
          <w:rFonts w:ascii="宋体" w:hAnsi="宋体" w:cs="宋体" w:eastAsia="宋体" w:hint="default"/>
          <w:sz w:val="7"/>
          <w:szCs w:val="7"/>
        </w:rPr>
      </w:pPr>
    </w:p>
    <w:tbl>
      <w:tblPr>
        <w:tblW w:w="0" w:type="auto"/>
        <w:jc w:val="left"/>
        <w:tblInd w:w="660" w:type="dxa"/>
        <w:tblLayout w:type="fixed"/>
        <w:tblCellMar>
          <w:top w:w="0" w:type="dxa"/>
          <w:left w:w="0" w:type="dxa"/>
          <w:bottom w:w="0" w:type="dxa"/>
          <w:right w:w="0" w:type="dxa"/>
        </w:tblCellMar>
        <w:tblLook w:val="01E0"/>
      </w:tblPr>
      <w:tblGrid>
        <w:gridCol w:w="895"/>
        <w:gridCol w:w="1412"/>
        <w:gridCol w:w="6220"/>
      </w:tblGrid>
      <w:tr>
        <w:trPr>
          <w:trHeight w:val="567" w:hRule="exact"/>
        </w:trPr>
        <w:tc>
          <w:tcPr>
            <w:tcW w:w="895" w:type="dxa"/>
            <w:tcBorders>
              <w:top w:val="single" w:sz="8" w:space="0" w:color="808000"/>
              <w:left w:val="nil" w:sz="6" w:space="0" w:color="auto"/>
              <w:bottom w:val="single" w:sz="8" w:space="0" w:color="808000"/>
              <w:right w:val="nil" w:sz="6" w:space="0" w:color="auto"/>
            </w:tcBorders>
            <w:shd w:val="clear" w:color="auto" w:fill="BDBDBD"/>
          </w:tcPr>
          <w:p>
            <w:pPr>
              <w:pStyle w:val="TableParagraph"/>
              <w:spacing w:line="240" w:lineRule="auto" w:before="127"/>
              <w:ind w:left="30" w:right="0"/>
              <w:jc w:val="center"/>
              <w:rPr>
                <w:rFonts w:ascii="宋体" w:hAnsi="宋体" w:cs="宋体" w:eastAsia="宋体" w:hint="default"/>
                <w:sz w:val="18"/>
                <w:szCs w:val="18"/>
              </w:rPr>
            </w:pPr>
            <w:r>
              <w:rPr>
                <w:rFonts w:ascii="宋体" w:hAnsi="宋体" w:cs="宋体" w:eastAsia="宋体" w:hint="default"/>
                <w:b/>
                <w:bCs/>
                <w:sz w:val="18"/>
                <w:szCs w:val="18"/>
              </w:rPr>
              <w:t>年份</w:t>
            </w:r>
            <w:r>
              <w:rPr>
                <w:rFonts w:ascii="宋体" w:hAnsi="宋体" w:cs="宋体" w:eastAsia="宋体" w:hint="default"/>
                <w:sz w:val="18"/>
                <w:szCs w:val="18"/>
              </w:rPr>
            </w:r>
          </w:p>
        </w:tc>
        <w:tc>
          <w:tcPr>
            <w:tcW w:w="1412" w:type="dxa"/>
            <w:tcBorders>
              <w:top w:val="single" w:sz="8" w:space="0" w:color="808000"/>
              <w:left w:val="nil" w:sz="6" w:space="0" w:color="auto"/>
              <w:bottom w:val="single" w:sz="8" w:space="0" w:color="808000"/>
              <w:right w:val="nil" w:sz="6" w:space="0" w:color="auto"/>
            </w:tcBorders>
            <w:shd w:val="clear" w:color="auto" w:fill="BDBDBD"/>
          </w:tcPr>
          <w:p>
            <w:pPr>
              <w:pStyle w:val="TableParagraph"/>
              <w:spacing w:line="240" w:lineRule="auto" w:before="127"/>
              <w:ind w:left="417" w:right="0"/>
              <w:jc w:val="left"/>
              <w:rPr>
                <w:rFonts w:ascii="宋体" w:hAnsi="宋体" w:cs="宋体" w:eastAsia="宋体" w:hint="default"/>
                <w:sz w:val="18"/>
                <w:szCs w:val="18"/>
              </w:rPr>
            </w:pPr>
            <w:r>
              <w:rPr>
                <w:rFonts w:ascii="宋体" w:hAnsi="宋体" w:cs="宋体" w:eastAsia="宋体" w:hint="default"/>
                <w:b/>
                <w:bCs/>
                <w:sz w:val="18"/>
                <w:szCs w:val="18"/>
              </w:rPr>
              <w:t>发布单位</w:t>
            </w:r>
            <w:r>
              <w:rPr>
                <w:rFonts w:ascii="宋体" w:hAnsi="宋体" w:cs="宋体" w:eastAsia="宋体" w:hint="default"/>
                <w:sz w:val="18"/>
                <w:szCs w:val="18"/>
              </w:rPr>
            </w:r>
          </w:p>
        </w:tc>
        <w:tc>
          <w:tcPr>
            <w:tcW w:w="6220" w:type="dxa"/>
            <w:tcBorders>
              <w:top w:val="single" w:sz="8" w:space="0" w:color="808000"/>
              <w:left w:val="nil" w:sz="6" w:space="0" w:color="auto"/>
              <w:bottom w:val="single" w:sz="8" w:space="0" w:color="808000"/>
              <w:right w:val="nil" w:sz="6" w:space="0" w:color="auto"/>
            </w:tcBorders>
            <w:shd w:val="clear" w:color="auto" w:fill="BDBDBD"/>
          </w:tcPr>
          <w:p>
            <w:pPr>
              <w:pStyle w:val="TableParagraph"/>
              <w:spacing w:line="240" w:lineRule="auto" w:before="127"/>
              <w:ind w:left="87" w:right="0"/>
              <w:jc w:val="center"/>
              <w:rPr>
                <w:rFonts w:ascii="宋体" w:hAnsi="宋体" w:cs="宋体" w:eastAsia="宋体" w:hint="default"/>
                <w:sz w:val="18"/>
                <w:szCs w:val="18"/>
              </w:rPr>
            </w:pPr>
            <w:r>
              <w:rPr>
                <w:rFonts w:ascii="宋体" w:hAnsi="宋体" w:cs="宋体" w:eastAsia="宋体" w:hint="default"/>
                <w:b/>
                <w:bCs/>
                <w:sz w:val="18"/>
                <w:szCs w:val="18"/>
              </w:rPr>
              <w:t>政策解读</w:t>
            </w:r>
            <w:r>
              <w:rPr>
                <w:rFonts w:ascii="宋体" w:hAnsi="宋体" w:cs="宋体" w:eastAsia="宋体" w:hint="default"/>
                <w:sz w:val="18"/>
                <w:szCs w:val="18"/>
              </w:rPr>
            </w:r>
          </w:p>
        </w:tc>
      </w:tr>
      <w:tr>
        <w:trPr>
          <w:trHeight w:val="676" w:hRule="exact"/>
        </w:trPr>
        <w:tc>
          <w:tcPr>
            <w:tcW w:w="895" w:type="dxa"/>
            <w:tcBorders>
              <w:top w:val="single" w:sz="8" w:space="0" w:color="808000"/>
              <w:left w:val="nil" w:sz="6" w:space="0" w:color="auto"/>
              <w:bottom w:val="nil" w:sz="6" w:space="0" w:color="auto"/>
              <w:right w:val="nil" w:sz="6" w:space="0" w:color="auto"/>
            </w:tcBorders>
          </w:tcPr>
          <w:p>
            <w:pPr/>
          </w:p>
        </w:tc>
        <w:tc>
          <w:tcPr>
            <w:tcW w:w="1412" w:type="dxa"/>
            <w:tcBorders>
              <w:top w:val="single" w:sz="8" w:space="0" w:color="808000"/>
              <w:left w:val="nil" w:sz="6" w:space="0" w:color="auto"/>
              <w:bottom w:val="nil" w:sz="6" w:space="0" w:color="auto"/>
              <w:right w:val="nil" w:sz="6" w:space="0" w:color="auto"/>
            </w:tcBorders>
          </w:tcPr>
          <w:p>
            <w:pPr/>
          </w:p>
        </w:tc>
        <w:tc>
          <w:tcPr>
            <w:tcW w:w="6220" w:type="dxa"/>
            <w:tcBorders>
              <w:top w:val="single" w:sz="8" w:space="0" w:color="808000"/>
              <w:left w:val="nil" w:sz="6" w:space="0" w:color="auto"/>
              <w:bottom w:val="nil" w:sz="6" w:space="0" w:color="auto"/>
              <w:right w:val="nil" w:sz="6" w:space="0" w:color="auto"/>
            </w:tcBorders>
          </w:tcPr>
          <w:p>
            <w:pPr>
              <w:pStyle w:val="TableParagraph"/>
              <w:spacing w:line="300" w:lineRule="auto" w:before="52"/>
              <w:ind w:left="195" w:right="108"/>
              <w:jc w:val="left"/>
              <w:rPr>
                <w:rFonts w:ascii="宋体" w:hAnsi="宋体" w:cs="宋体" w:eastAsia="宋体" w:hint="default"/>
                <w:sz w:val="18"/>
                <w:szCs w:val="18"/>
              </w:rPr>
            </w:pPr>
            <w:r>
              <w:rPr>
                <w:rFonts w:ascii="宋体" w:hAnsi="宋体" w:cs="宋体" w:eastAsia="宋体" w:hint="default"/>
                <w:sz w:val="18"/>
                <w:szCs w:val="18"/>
              </w:rPr>
              <w:t>《信息通信行业发展规划物联网分册（</w:t>
            </w:r>
            <w:r>
              <w:rPr>
                <w:rFonts w:ascii="Times New Roman" w:hAnsi="Times New Roman" w:cs="Times New Roman" w:eastAsia="Times New Roman" w:hint="default"/>
                <w:sz w:val="18"/>
                <w:szCs w:val="18"/>
              </w:rPr>
              <w:t>2016-2020</w:t>
            </w:r>
            <w:r>
              <w:rPr>
                <w:rFonts w:ascii="Times New Roman" w:hAnsi="Times New Roman" w:cs="Times New Roman" w:eastAsia="Times New Roman" w:hint="default"/>
                <w:spacing w:val="27"/>
                <w:sz w:val="18"/>
                <w:szCs w:val="18"/>
              </w:rPr>
              <w:t> </w:t>
            </w:r>
            <w:r>
              <w:rPr>
                <w:rFonts w:ascii="宋体" w:hAnsi="宋体" w:cs="宋体" w:eastAsia="宋体" w:hint="default"/>
                <w:sz w:val="18"/>
                <w:szCs w:val="18"/>
              </w:rPr>
              <w:t>年）》，明确指出我国物</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1"/>
                <w:sz w:val="18"/>
                <w:szCs w:val="18"/>
              </w:rPr>
              <w:t>联网加速进入“跨界融合、集成创新和规模化发展”的新阶段，提出强化产</w:t>
            </w:r>
          </w:p>
        </w:tc>
      </w:tr>
      <w:tr>
        <w:trPr>
          <w:trHeight w:val="984" w:hRule="exact"/>
        </w:trPr>
        <w:tc>
          <w:tcPr>
            <w:tcW w:w="895" w:type="dxa"/>
            <w:tcBorders>
              <w:top w:val="nil" w:sz="6" w:space="0" w:color="auto"/>
              <w:left w:val="nil" w:sz="6" w:space="0" w:color="auto"/>
              <w:bottom w:val="single" w:sz="8" w:space="0" w:color="808000"/>
              <w:right w:val="nil" w:sz="6" w:space="0" w:color="auto"/>
            </w:tcBorders>
          </w:tcPr>
          <w:p>
            <w:pPr>
              <w:pStyle w:val="TableParagraph"/>
              <w:spacing w:line="240" w:lineRule="auto" w:before="10"/>
              <w:ind w:left="3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12" w:type="dxa"/>
            <w:tcBorders>
              <w:top w:val="nil" w:sz="6" w:space="0" w:color="auto"/>
              <w:left w:val="nil" w:sz="6" w:space="0" w:color="auto"/>
              <w:bottom w:val="single" w:sz="8" w:space="0" w:color="808000"/>
              <w:right w:val="nil" w:sz="6" w:space="0" w:color="auto"/>
            </w:tcBorders>
          </w:tcPr>
          <w:p>
            <w:pPr>
              <w:pStyle w:val="TableParagraph"/>
              <w:spacing w:line="240" w:lineRule="auto" w:before="10"/>
              <w:ind w:left="139" w:right="0"/>
              <w:jc w:val="left"/>
              <w:rPr>
                <w:rFonts w:ascii="宋体" w:hAnsi="宋体" w:cs="宋体" w:eastAsia="宋体" w:hint="default"/>
                <w:sz w:val="18"/>
                <w:szCs w:val="18"/>
              </w:rPr>
            </w:pPr>
            <w:r>
              <w:rPr>
                <w:rFonts w:ascii="宋体" w:hAnsi="宋体" w:cs="宋体" w:eastAsia="宋体" w:hint="default"/>
                <w:sz w:val="18"/>
                <w:szCs w:val="18"/>
              </w:rPr>
              <w:t>工信部</w:t>
            </w:r>
          </w:p>
        </w:tc>
        <w:tc>
          <w:tcPr>
            <w:tcW w:w="6220" w:type="dxa"/>
            <w:tcBorders>
              <w:top w:val="nil" w:sz="6" w:space="0" w:color="auto"/>
              <w:left w:val="nil" w:sz="6" w:space="0" w:color="auto"/>
              <w:bottom w:val="single" w:sz="8" w:space="0" w:color="808000"/>
              <w:right w:val="nil" w:sz="6" w:space="0" w:color="auto"/>
            </w:tcBorders>
          </w:tcPr>
          <w:p>
            <w:pPr>
              <w:pStyle w:val="TableParagraph"/>
              <w:spacing w:line="309" w:lineRule="auto" w:before="10"/>
              <w:ind w:left="195" w:right="108"/>
              <w:jc w:val="both"/>
              <w:rPr>
                <w:rFonts w:ascii="宋体" w:hAnsi="宋体" w:cs="宋体" w:eastAsia="宋体" w:hint="default"/>
                <w:sz w:val="18"/>
                <w:szCs w:val="18"/>
              </w:rPr>
            </w:pPr>
            <w:r>
              <w:rPr>
                <w:rFonts w:ascii="宋体" w:hAnsi="宋体" w:cs="宋体" w:eastAsia="宋体" w:hint="default"/>
                <w:spacing w:val="-1"/>
                <w:sz w:val="18"/>
                <w:szCs w:val="18"/>
              </w:rPr>
              <w:t>业生态布局、完善技术创新体系、完善标准体系、推进规模应用、完善公共</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服务体系、提升安全保障能力等六大重点任务，为我国未来</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年物联网产业 发展指明了方向。</w:t>
            </w:r>
          </w:p>
        </w:tc>
      </w:tr>
      <w:tr>
        <w:trPr>
          <w:trHeight w:val="1036" w:hRule="exact"/>
        </w:trPr>
        <w:tc>
          <w:tcPr>
            <w:tcW w:w="895" w:type="dxa"/>
            <w:tcBorders>
              <w:top w:val="single" w:sz="8" w:space="0" w:color="808000"/>
              <w:left w:val="nil" w:sz="6" w:space="0" w:color="auto"/>
              <w:bottom w:val="single" w:sz="8" w:space="0" w:color="808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3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12" w:type="dxa"/>
            <w:tcBorders>
              <w:top w:val="single" w:sz="8" w:space="0" w:color="808000"/>
              <w:left w:val="nil" w:sz="6" w:space="0" w:color="auto"/>
              <w:bottom w:val="single" w:sz="8" w:space="0" w:color="808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right="193"/>
              <w:jc w:val="right"/>
              <w:rPr>
                <w:rFonts w:ascii="宋体" w:hAnsi="宋体" w:cs="宋体" w:eastAsia="宋体" w:hint="default"/>
                <w:sz w:val="18"/>
                <w:szCs w:val="18"/>
              </w:rPr>
            </w:pPr>
            <w:r>
              <w:rPr>
                <w:rFonts w:ascii="宋体" w:hAnsi="宋体" w:cs="宋体" w:eastAsia="宋体" w:hint="default"/>
                <w:sz w:val="18"/>
                <w:szCs w:val="18"/>
              </w:rPr>
              <w:t>国家卫健委</w:t>
            </w:r>
          </w:p>
        </w:tc>
        <w:tc>
          <w:tcPr>
            <w:tcW w:w="6220" w:type="dxa"/>
            <w:tcBorders>
              <w:top w:val="single" w:sz="8" w:space="0" w:color="808000"/>
              <w:left w:val="nil" w:sz="6" w:space="0" w:color="auto"/>
              <w:bottom w:val="single" w:sz="8" w:space="0" w:color="808000"/>
              <w:right w:val="nil" w:sz="6" w:space="0" w:color="auto"/>
            </w:tcBorders>
          </w:tcPr>
          <w:p>
            <w:pPr>
              <w:pStyle w:val="TableParagraph"/>
              <w:spacing w:line="309" w:lineRule="auto" w:before="50"/>
              <w:ind w:left="195" w:right="17"/>
              <w:jc w:val="left"/>
              <w:rPr>
                <w:rFonts w:ascii="宋体" w:hAnsi="宋体" w:cs="宋体" w:eastAsia="宋体" w:hint="default"/>
                <w:sz w:val="18"/>
                <w:szCs w:val="18"/>
              </w:rPr>
            </w:pPr>
            <w:r>
              <w:rPr>
                <w:rFonts w:ascii="宋体" w:hAnsi="宋体" w:cs="宋体" w:eastAsia="宋体" w:hint="default"/>
                <w:spacing w:val="-3"/>
                <w:sz w:val="18"/>
                <w:szCs w:val="18"/>
              </w:rPr>
              <w:t>《全国医院信息化建设标准与规范（试行）》，内容涵盖</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4"/>
                <w:sz w:val="18"/>
                <w:szCs w:val="18"/>
              </w:rPr>
              <w:t> </w:t>
            </w:r>
            <w:r>
              <w:rPr>
                <w:rFonts w:ascii="宋体" w:hAnsi="宋体" w:cs="宋体" w:eastAsia="宋体" w:hint="default"/>
                <w:spacing w:val="-3"/>
                <w:sz w:val="18"/>
                <w:szCs w:val="18"/>
              </w:rPr>
              <w:t>大方面、</w:t>
            </w:r>
            <w:r>
              <w:rPr>
                <w:rFonts w:ascii="Times New Roman" w:hAnsi="Times New Roman" w:cs="Times New Roman" w:eastAsia="Times New Roman" w:hint="default"/>
                <w:spacing w:val="-3"/>
                <w:sz w:val="18"/>
                <w:szCs w:val="18"/>
              </w:rPr>
              <w:t>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类内</w:t>
            </w:r>
            <w:r>
              <w:rPr>
                <w:rFonts w:ascii="宋体" w:hAnsi="宋体" w:cs="宋体" w:eastAsia="宋体" w:hint="default"/>
                <w:spacing w:val="-83"/>
                <w:sz w:val="18"/>
                <w:szCs w:val="18"/>
              </w:rPr>
              <w:t> </w:t>
            </w:r>
            <w:r>
              <w:rPr>
                <w:rFonts w:ascii="宋体" w:hAnsi="宋体" w:cs="宋体" w:eastAsia="宋体" w:hint="default"/>
                <w:spacing w:val="-4"/>
                <w:sz w:val="18"/>
                <w:szCs w:val="18"/>
              </w:rPr>
              <w:t>容要求，细化就诊效率、电子病历、分级诊疗等方面要求，对于二级、三乙、</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三甲医院信息化要求模块提出了不同的要求标准。</w:t>
            </w:r>
          </w:p>
        </w:tc>
      </w:tr>
      <w:tr>
        <w:trPr>
          <w:trHeight w:val="1021" w:hRule="exact"/>
        </w:trPr>
        <w:tc>
          <w:tcPr>
            <w:tcW w:w="895" w:type="dxa"/>
            <w:tcBorders>
              <w:top w:val="single" w:sz="8" w:space="0" w:color="808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12" w:type="dxa"/>
            <w:tcBorders>
              <w:top w:val="single" w:sz="8" w:space="0" w:color="808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93"/>
              <w:jc w:val="right"/>
              <w:rPr>
                <w:rFonts w:ascii="宋体" w:hAnsi="宋体" w:cs="宋体" w:eastAsia="宋体" w:hint="default"/>
                <w:sz w:val="18"/>
                <w:szCs w:val="18"/>
              </w:rPr>
            </w:pPr>
            <w:r>
              <w:rPr>
                <w:rFonts w:ascii="宋体" w:hAnsi="宋体" w:cs="宋体" w:eastAsia="宋体" w:hint="default"/>
                <w:sz w:val="18"/>
                <w:szCs w:val="18"/>
              </w:rPr>
              <w:t>国家卫健委</w:t>
            </w:r>
          </w:p>
        </w:tc>
        <w:tc>
          <w:tcPr>
            <w:tcW w:w="6220" w:type="dxa"/>
            <w:tcBorders>
              <w:top w:val="single" w:sz="8" w:space="0" w:color="808000"/>
              <w:left w:val="nil" w:sz="6" w:space="0" w:color="auto"/>
              <w:bottom w:val="nil" w:sz="6" w:space="0" w:color="auto"/>
              <w:right w:val="nil" w:sz="6" w:space="0" w:color="auto"/>
            </w:tcBorders>
          </w:tcPr>
          <w:p>
            <w:pPr>
              <w:pStyle w:val="TableParagraph"/>
              <w:spacing w:line="309" w:lineRule="auto" w:before="51"/>
              <w:ind w:left="195" w:right="108"/>
              <w:jc w:val="both"/>
              <w:rPr>
                <w:rFonts w:ascii="宋体" w:hAnsi="宋体" w:cs="宋体" w:eastAsia="宋体" w:hint="default"/>
                <w:sz w:val="18"/>
                <w:szCs w:val="18"/>
              </w:rPr>
            </w:pPr>
            <w:r>
              <w:rPr>
                <w:rFonts w:ascii="宋体" w:hAnsi="宋体" w:cs="宋体" w:eastAsia="宋体" w:hint="default"/>
                <w:sz w:val="18"/>
                <w:szCs w:val="18"/>
              </w:rPr>
              <w:t>关于印发进一步改善医疗服务行动计划（</w:t>
            </w:r>
            <w:r>
              <w:rPr>
                <w:rFonts w:ascii="Times New Roman" w:hAnsi="Times New Roman" w:cs="Times New Roman" w:eastAsia="Times New Roman" w:hint="default"/>
                <w:sz w:val="18"/>
                <w:szCs w:val="18"/>
              </w:rPr>
              <w:t>2018-2020</w:t>
            </w:r>
            <w:r>
              <w:rPr>
                <w:rFonts w:ascii="Times New Roman" w:hAnsi="Times New Roman" w:cs="Times New Roman" w:eastAsia="Times New Roman" w:hint="default"/>
                <w:spacing w:val="28"/>
                <w:sz w:val="18"/>
                <w:szCs w:val="18"/>
              </w:rPr>
              <w:t> </w:t>
            </w:r>
            <w:r>
              <w:rPr>
                <w:rFonts w:ascii="宋体" w:hAnsi="宋体" w:cs="宋体" w:eastAsia="宋体" w:hint="default"/>
                <w:sz w:val="18"/>
                <w:szCs w:val="18"/>
              </w:rPr>
              <w:t>年）的通知》，通知旨</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1"/>
                <w:sz w:val="18"/>
                <w:szCs w:val="18"/>
              </w:rPr>
              <w:t>在指导医疗机构科学、规范开展智慧医院建设，逐步建立适合国情的医疗机</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构智慧服务分级评估体系。</w:t>
            </w:r>
          </w:p>
        </w:tc>
      </w:tr>
    </w:tbl>
    <w:p>
      <w:pPr>
        <w:spacing w:line="20" w:lineRule="exact"/>
        <w:ind w:left="662" w:right="0" w:firstLine="0"/>
        <w:rPr>
          <w:rFonts w:ascii="宋体" w:hAnsi="宋体" w:cs="宋体" w:eastAsia="宋体" w:hint="default"/>
          <w:sz w:val="2"/>
          <w:szCs w:val="2"/>
        </w:rPr>
      </w:pPr>
      <w:r>
        <w:rPr>
          <w:rFonts w:ascii="宋体" w:hAnsi="宋体" w:cs="宋体" w:eastAsia="宋体" w:hint="default"/>
          <w:sz w:val="2"/>
          <w:szCs w:val="2"/>
        </w:rPr>
        <w:pict>
          <v:group style="width:427.1pt;height:1pt;mso-position-horizontal-relative:char;mso-position-vertical-relative:line" coordorigin="0,0" coordsize="8542,20">
            <v:group style="position:absolute;left:10;top:10;width:8522;height:2" coordorigin="10,10" coordsize="8522,2">
              <v:shape style="position:absolute;left:10;top:10;width:8522;height:2" coordorigin="10,10" coordsize="8522,0" path="m10,10l8532,10e" filled="false" stroked="true" strokeweight=".96pt" strokecolor="#808000">
                <v:path arrowok="t"/>
              </v:shape>
            </v:group>
          </v:group>
        </w:pict>
      </w:r>
      <w:r>
        <w:rPr>
          <w:rFonts w:ascii="宋体" w:hAnsi="宋体" w:cs="宋体" w:eastAsia="宋体" w:hint="default"/>
          <w:sz w:val="2"/>
          <w:szCs w:val="2"/>
        </w:rPr>
      </w:r>
    </w:p>
    <w:p>
      <w:pPr>
        <w:pStyle w:val="BodyText"/>
        <w:spacing w:line="300" w:lineRule="auto" w:before="16"/>
        <w:ind w:left="472" w:right="0"/>
        <w:jc w:val="left"/>
      </w:pPr>
      <w:r>
        <w:rPr>
          <w:rFonts w:ascii="Times New Roman" w:hAnsi="Times New Roman" w:cs="Times New Roman" w:eastAsia="Times New Roman" w:hint="default"/>
        </w:rPr>
        <w:t>2</w:t>
      </w:r>
      <w:r>
        <w:rPr/>
        <w:t>、医疗卫生健康信息化的发展趋势分析 </w:t>
      </w:r>
      <w:r>
        <w:rPr>
          <w:spacing w:val="-2"/>
        </w:rPr>
        <w:t>自上世纪</w:t>
      </w:r>
      <w:r>
        <w:rPr>
          <w:rFonts w:ascii="Times New Roman" w:hAnsi="Times New Roman" w:cs="Times New Roman" w:eastAsia="Times New Roman" w:hint="default"/>
          <w:spacing w:val="-2"/>
        </w:rPr>
        <w:t>70</w:t>
      </w:r>
      <w:r>
        <w:rPr>
          <w:spacing w:val="-2"/>
        </w:rPr>
        <w:t>年代开始，我国医疗信息化经过了几十年的发展，当下随着政策的持续推动，信息技术的不断更迭，医疗信</w:t>
      </w:r>
    </w:p>
    <w:p>
      <w:pPr>
        <w:pStyle w:val="BodyText"/>
        <w:spacing w:line="309" w:lineRule="auto" w:before="13"/>
        <w:ind w:right="1130"/>
        <w:jc w:val="both"/>
      </w:pPr>
      <w:r>
        <w:rPr>
          <w:spacing w:val="-3"/>
          <w:w w:val="99"/>
        </w:rPr>
        <w:t>息化已从以医院管理流程信息化为出发点的</w:t>
      </w:r>
      <w:r>
        <w:rPr>
          <w:rFonts w:ascii="Times New Roman" w:hAnsi="Times New Roman" w:cs="Times New Roman" w:eastAsia="Times New Roman" w:hint="default"/>
          <w:spacing w:val="-3"/>
          <w:w w:val="99"/>
        </w:rPr>
        <w:t>HIS</w:t>
      </w:r>
      <w:r>
        <w:rPr>
          <w:spacing w:val="-3"/>
          <w:w w:val="99"/>
        </w:rPr>
        <w:t>（第一阶段），跨越到以围绕患者诊疗流程信息化的</w:t>
      </w:r>
      <w:r>
        <w:rPr>
          <w:rFonts w:ascii="Times New Roman" w:hAnsi="Times New Roman" w:cs="Times New Roman" w:eastAsia="Times New Roman" w:hint="default"/>
          <w:spacing w:val="-3"/>
          <w:w w:val="99"/>
        </w:rPr>
        <w:t>CIS</w:t>
      </w:r>
      <w:r>
        <w:rPr>
          <w:spacing w:val="-3"/>
          <w:w w:val="99"/>
        </w:rPr>
        <w:t>（第二阶段），再到</w:t>
      </w:r>
      <w:r>
        <w:rPr>
          <w:spacing w:val="-42"/>
          <w:w w:val="99"/>
        </w:rPr>
        <w:t> </w:t>
      </w:r>
      <w:r>
        <w:rPr>
          <w:spacing w:val="-42"/>
          <w:w w:val="99"/>
        </w:rPr>
      </w:r>
      <w:r>
        <w:rPr>
          <w:spacing w:val="-2"/>
        </w:rPr>
        <w:t>连接院外区域性卫生医疗信息互通（第三阶段）。医疗信息化建设实现了从个体到整体、从局部到广域的发展，内涵与功能</w:t>
      </w:r>
      <w:r>
        <w:rPr>
          <w:spacing w:val="-67"/>
        </w:rPr>
        <w:t> </w:t>
      </w:r>
      <w:r>
        <w:rPr>
          <w:spacing w:val="-67"/>
        </w:rPr>
      </w:r>
      <w:r>
        <w:rPr/>
        <w:t>得到强化，服务范围不断延伸，基于医疗数据应用不断深入。</w:t>
      </w:r>
    </w:p>
    <w:p>
      <w:pPr>
        <w:pStyle w:val="BodyText"/>
        <w:spacing w:line="309" w:lineRule="auto" w:before="24"/>
        <w:ind w:right="1132" w:firstLine="360"/>
        <w:jc w:val="both"/>
      </w:pPr>
      <w:r>
        <w:rPr>
          <w:spacing w:val="-2"/>
        </w:rPr>
        <w:t>基于此，医疗卫生信息化行业也将逐步从以往以流程建设为主向以患者为中心的面向诊疗过程以提高医疗服务水平的方</w:t>
      </w:r>
      <w:r>
        <w:rPr/>
        <w:t> 向发展，医疗卫生信息化产品也将提供更为便捷的医疗数据集采、传输、分析服务。未来，我们认为基于物联网、</w:t>
      </w:r>
      <w:r>
        <w:rPr>
          <w:rFonts w:ascii="Times New Roman" w:hAnsi="Times New Roman" w:cs="Times New Roman" w:eastAsia="Times New Roman" w:hint="default"/>
        </w:rPr>
        <w:t>5G</w:t>
      </w:r>
      <w:r>
        <w:rPr/>
        <w:t>、大</w:t>
      </w:r>
      <w:r>
        <w:rPr>
          <w:spacing w:val="-43"/>
        </w:rPr>
        <w:t> </w:t>
      </w:r>
      <w:r>
        <w:rPr/>
        <w:t>数据分析、</w:t>
      </w:r>
      <w:r>
        <w:rPr>
          <w:rFonts w:ascii="Times New Roman" w:hAnsi="Times New Roman" w:cs="Times New Roman" w:eastAsia="Times New Roman" w:hint="default"/>
        </w:rPr>
        <w:t>AI</w:t>
      </w:r>
      <w:r>
        <w:rPr/>
        <w:t>等技术的医疗卫生信息化整体解决方案将是行业发展的主要方向。</w:t>
      </w:r>
    </w:p>
    <w:p>
      <w:pPr>
        <w:pStyle w:val="BodyText"/>
        <w:spacing w:line="300" w:lineRule="auto" w:before="5"/>
        <w:ind w:left="472" w:right="0"/>
        <w:jc w:val="left"/>
      </w:pPr>
      <w:r>
        <w:rPr>
          <w:rFonts w:ascii="Times New Roman" w:hAnsi="Times New Roman" w:cs="Times New Roman" w:eastAsia="Times New Roman" w:hint="default"/>
        </w:rPr>
        <w:t>3</w:t>
      </w:r>
      <w:r>
        <w:rPr/>
        <w:t>、公司所处行业市场格局 </w:t>
      </w:r>
      <w:r>
        <w:rPr>
          <w:spacing w:val="-2"/>
        </w:rPr>
        <w:t>目前行业内厂商众多，且区域分布较为明显，市场份额较为分散，根据全国医疗信息化联盟统计，我国医疗信息化行业</w:t>
      </w:r>
    </w:p>
    <w:p>
      <w:pPr>
        <w:pStyle w:val="BodyText"/>
        <w:spacing w:line="240" w:lineRule="auto" w:before="31"/>
        <w:ind w:right="0"/>
        <w:jc w:val="both"/>
      </w:pPr>
      <w:r>
        <w:rPr/>
        <w:t>市场规模排名前七的企业占比合计</w:t>
      </w:r>
      <w:r>
        <w:rPr>
          <w:rFonts w:ascii="Times New Roman" w:hAnsi="Times New Roman" w:cs="Times New Roman" w:eastAsia="Times New Roman" w:hint="default"/>
        </w:rPr>
        <w:t>28.8%</w:t>
      </w:r>
      <w:r>
        <w:rPr/>
        <w:t>，预计前十的规模占比仅在</w:t>
      </w:r>
      <w:r>
        <w:rPr>
          <w:rFonts w:ascii="Times New Roman" w:hAnsi="Times New Roman" w:cs="Times New Roman" w:eastAsia="Times New Roman" w:hint="default"/>
        </w:rPr>
        <w:t>30%</w:t>
      </w:r>
      <w:r>
        <w:rPr/>
        <w:t>左右，呈现出较低的市场集中度。</w:t>
      </w:r>
    </w:p>
    <w:p>
      <w:pPr>
        <w:spacing w:after="0" w:line="240" w:lineRule="auto"/>
        <w:jc w:val="both"/>
        <w:sectPr>
          <w:type w:val="continuous"/>
          <w:pgSz w:w="11910" w:h="16840"/>
          <w:pgMar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right="1130" w:firstLine="360"/>
        <w:jc w:val="both"/>
      </w:pPr>
      <w:r>
        <w:rPr>
          <w:spacing w:val="-2"/>
        </w:rPr>
        <w:t>当下面对不断增长的行业规模及不断深化的行业需求，行业大额订单比例正在不断增加，而行业中的头部公司依靠较强</w:t>
      </w:r>
      <w:r>
        <w:rPr/>
        <w:t> </w:t>
      </w:r>
      <w:r>
        <w:rPr>
          <w:spacing w:val="-2"/>
        </w:rPr>
        <w:t>的综合服务能力拿单优势明显，将充分受益；同时，头部公司多为上市公司，能够借助资本市场通过并购扩大场份额及丰富</w:t>
      </w:r>
      <w:r>
        <w:rPr>
          <w:spacing w:val="-64"/>
        </w:rPr>
        <w:t> </w:t>
      </w:r>
      <w:r>
        <w:rPr>
          <w:spacing w:val="-64"/>
        </w:rPr>
      </w:r>
      <w:r>
        <w:rPr/>
        <w:t>自身产品线，因此整个行业的产业集中度势必将会进一步提升。</w:t>
      </w:r>
    </w:p>
    <w:p>
      <w:pPr>
        <w:spacing w:line="300" w:lineRule="auto" w:before="19"/>
        <w:ind w:left="472" w:right="0" w:firstLine="2"/>
        <w:jc w:val="left"/>
        <w:rPr>
          <w:rFonts w:ascii="宋体" w:hAnsi="宋体" w:cs="宋体" w:eastAsia="宋体" w:hint="default"/>
          <w:sz w:val="18"/>
          <w:szCs w:val="18"/>
        </w:rPr>
      </w:pPr>
      <w:r>
        <w:rPr>
          <w:rFonts w:ascii="宋体" w:hAnsi="宋体" w:cs="宋体" w:eastAsia="宋体" w:hint="default"/>
          <w:b/>
          <w:bCs/>
          <w:sz w:val="18"/>
          <w:szCs w:val="18"/>
        </w:rPr>
        <w:t>（二）公司发展战略及</w:t>
      </w:r>
      <w:r>
        <w:rPr>
          <w:rFonts w:ascii="Times New Roman" w:hAnsi="Times New Roman" w:cs="Times New Roman" w:eastAsia="Times New Roman" w:hint="default"/>
          <w:b/>
          <w:bCs/>
          <w:sz w:val="18"/>
          <w:szCs w:val="18"/>
        </w:rPr>
        <w:t>2019</w:t>
      </w:r>
      <w:r>
        <w:rPr>
          <w:rFonts w:ascii="宋体" w:hAnsi="宋体" w:cs="宋体" w:eastAsia="宋体" w:hint="default"/>
          <w:b/>
          <w:bCs/>
          <w:sz w:val="18"/>
          <w:szCs w:val="18"/>
        </w:rPr>
        <w:t>年经营计划</w:t>
      </w:r>
      <w:r>
        <w:rPr>
          <w:rFonts w:ascii="宋体" w:hAnsi="宋体" w:cs="宋体" w:eastAsia="宋体" w:hint="default"/>
          <w:b/>
          <w:bCs/>
          <w:w w:val="99"/>
          <w:sz w:val="18"/>
          <w:szCs w:val="18"/>
        </w:rPr>
        <w:t> </w:t>
      </w:r>
      <w:r>
        <w:rPr>
          <w:rFonts w:ascii="宋体" w:hAnsi="宋体" w:cs="宋体" w:eastAsia="宋体" w:hint="default"/>
          <w:spacing w:val="-2"/>
          <w:sz w:val="18"/>
          <w:szCs w:val="18"/>
        </w:rPr>
        <w:t>二十多年来，公司始终秉持“创造智慧医卫、服务健康事业”的愿景，专注于医疗信息化领域，是一家国内领先的医疗</w:t>
      </w:r>
    </w:p>
    <w:p>
      <w:pPr>
        <w:pStyle w:val="BodyText"/>
        <w:spacing w:line="307" w:lineRule="auto" w:before="31"/>
        <w:ind w:right="1129"/>
        <w:jc w:val="both"/>
      </w:pPr>
      <w:r>
        <w:rPr/>
        <w:t>卫生信息化建设一体化解决方案的提供商和服务商，截止目前，公司已拥有八大系列</w:t>
      </w:r>
      <w:r>
        <w:rPr>
          <w:rFonts w:ascii="Times New Roman" w:hAnsi="Times New Roman" w:cs="Times New Roman" w:eastAsia="Times New Roman" w:hint="default"/>
        </w:rPr>
        <w:t>300</w:t>
      </w:r>
      <w:r>
        <w:rPr/>
        <w:t>多个自主研发产品，用户数量达到</w:t>
      </w:r>
      <w:r>
        <w:rPr>
          <w:spacing w:val="-85"/>
        </w:rPr>
        <w:t> </w:t>
      </w:r>
      <w:r>
        <w:rPr>
          <w:spacing w:val="-85"/>
        </w:rPr>
      </w:r>
      <w:r>
        <w:rPr>
          <w:rFonts w:ascii="Times New Roman" w:hAnsi="Times New Roman" w:cs="Times New Roman" w:eastAsia="Times New Roman" w:hint="default"/>
          <w:spacing w:val="-2"/>
        </w:rPr>
        <w:t>6,000</w:t>
      </w:r>
      <w:r>
        <w:rPr>
          <w:spacing w:val="-2"/>
        </w:rPr>
        <w:t>多家，公共卫生项目遍及全国</w:t>
      </w:r>
      <w:r>
        <w:rPr>
          <w:rFonts w:ascii="Times New Roman" w:hAnsi="Times New Roman" w:cs="Times New Roman" w:eastAsia="Times New Roman" w:hint="default"/>
          <w:spacing w:val="-2"/>
        </w:rPr>
        <w:t>340</w:t>
      </w:r>
      <w:r>
        <w:rPr>
          <w:spacing w:val="-2"/>
        </w:rPr>
        <w:t>多个区县，积累超过</w:t>
      </w:r>
      <w:r>
        <w:rPr>
          <w:rFonts w:ascii="Times New Roman" w:hAnsi="Times New Roman" w:cs="Times New Roman" w:eastAsia="Times New Roman" w:hint="default"/>
          <w:spacing w:val="-2"/>
        </w:rPr>
        <w:t>2.5</w:t>
      </w:r>
      <w:r>
        <w:rPr>
          <w:spacing w:val="-2"/>
        </w:rPr>
        <w:t>亿份居民健康档案。公司基本涵盖整个医疗结构的所有业务系</w:t>
      </w:r>
      <w:r>
        <w:rPr>
          <w:spacing w:val="-57"/>
        </w:rPr>
        <w:t> </w:t>
      </w:r>
      <w:r>
        <w:rPr>
          <w:spacing w:val="-57"/>
        </w:rPr>
      </w:r>
      <w:r>
        <w:rPr>
          <w:spacing w:val="-2"/>
        </w:rPr>
        <w:t>统，包括省市区县乡镇各级卫健委、医院、疾控、卫生监督、血站、妇幼保健、牙防所等医疗机构，能够满足不同客户的个</w:t>
      </w:r>
      <w:r>
        <w:rPr>
          <w:spacing w:val="-62"/>
        </w:rPr>
        <w:t> </w:t>
      </w:r>
      <w:r>
        <w:rPr>
          <w:spacing w:val="-62"/>
        </w:rPr>
      </w:r>
      <w:r>
        <w:rPr/>
        <w:t>性化需求，在医疗卫生信息化行业市场占有率居全国前列。</w:t>
      </w:r>
    </w:p>
    <w:p>
      <w:pPr>
        <w:pStyle w:val="BodyText"/>
        <w:spacing w:line="314" w:lineRule="auto" w:before="26"/>
        <w:ind w:right="1034" w:firstLine="360"/>
        <w:jc w:val="left"/>
      </w:pPr>
      <w:r>
        <w:rPr/>
        <w:t>未来，将继续秉承“团结创新、领先一步，服务用户、共同进步”的经营理念，顺应国内医疗卫健康信息化的大趋势， </w:t>
      </w:r>
      <w:r>
        <w:rPr>
          <w:spacing w:val="-2"/>
        </w:rPr>
        <w:t>立足医疗卫生健康信息化行业，依托业已形成的综合优势，紧跟产业步伐，拓展医疗卫生健康信息化新领域、新产业，持续</w:t>
      </w:r>
      <w:r>
        <w:rPr>
          <w:spacing w:val="-65"/>
        </w:rPr>
        <w:t> </w:t>
      </w:r>
      <w:r>
        <w:rPr>
          <w:spacing w:val="-65"/>
        </w:rPr>
      </w:r>
      <w:r>
        <w:rPr>
          <w:spacing w:val="-2"/>
        </w:rPr>
        <w:t>提升业绩增长和盈利能力，以医卫信息化事业群、医卫互联网事业群和医卫物联网事业群，“一体两翼”三大事业群为业务</w:t>
      </w:r>
      <w:r>
        <w:rPr>
          <w:spacing w:val="-68"/>
        </w:rPr>
        <w:t> </w:t>
      </w:r>
      <w:r>
        <w:rPr>
          <w:spacing w:val="-68"/>
        </w:rPr>
      </w:r>
      <w:r>
        <w:rPr>
          <w:spacing w:val="-2"/>
        </w:rPr>
        <w:t>基础，针对不同的客户类型和应用场景的需要，加快技术研发的速度，加大新业务和新产品开发的力度，提升公司整体核心</w:t>
      </w:r>
      <w:r>
        <w:rPr>
          <w:spacing w:val="-64"/>
        </w:rPr>
        <w:t> </w:t>
      </w:r>
      <w:r>
        <w:rPr>
          <w:spacing w:val="-64"/>
        </w:rPr>
      </w:r>
      <w:r>
        <w:rPr/>
        <w:t>竞争力，努力形成以大数据应用、智慧医疗、区域卫生平台、健康城市运营、互联网</w:t>
      </w:r>
      <w:r>
        <w:rPr>
          <w:rFonts w:ascii="Times New Roman" w:hAnsi="Times New Roman" w:cs="Times New Roman" w:eastAsia="Times New Roman" w:hint="default"/>
        </w:rPr>
        <w:t>+</w:t>
      </w:r>
      <w:r>
        <w:rPr/>
        <w:t>医疗、物联网智慧医院建设等为主要 模式的公司业务格局，为成为中国大健康全产业链的最优秀医疗健康信息化服务解决方案商和运营商而继续努力。</w:t>
      </w:r>
    </w:p>
    <w:p>
      <w:pPr>
        <w:spacing w:line="300" w:lineRule="auto" w:before="20"/>
        <w:ind w:left="472" w:right="0" w:firstLine="2"/>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、持续拓展医疗卫生信息化业务，夯实领军企业地位</w:t>
      </w:r>
      <w:r>
        <w:rPr>
          <w:rFonts w:ascii="宋体" w:hAnsi="宋体" w:cs="宋体" w:eastAsia="宋体" w:hint="default"/>
          <w:b/>
          <w:bCs/>
          <w:w w:val="99"/>
          <w:sz w:val="18"/>
          <w:szCs w:val="18"/>
        </w:rPr>
        <w:t> </w:t>
      </w:r>
      <w:r>
        <w:rPr>
          <w:rFonts w:ascii="宋体" w:hAnsi="宋体" w:cs="宋体" w:eastAsia="宋体" w:hint="default"/>
          <w:sz w:val="18"/>
          <w:szCs w:val="18"/>
        </w:rPr>
        <w:t>新医疗改革政策文件出台密集，在政策推动下，我国医疗信息化产业呈现高速增长。据前瞻经济研究院的统计分析，</w:t>
      </w:r>
    </w:p>
    <w:p>
      <w:pPr>
        <w:pStyle w:val="BodyText"/>
        <w:spacing w:line="300" w:lineRule="auto" w:before="31"/>
        <w:ind w:right="1129"/>
        <w:jc w:val="both"/>
      </w:pPr>
      <w:r>
        <w:rPr>
          <w:rFonts w:ascii="Times New Roman" w:hAnsi="Times New Roman" w:cs="Times New Roman" w:eastAsia="Times New Roman" w:hint="default"/>
          <w:spacing w:val="-1"/>
        </w:rPr>
        <w:t>2010-2017</w:t>
      </w:r>
      <w:r>
        <w:rPr>
          <w:spacing w:val="-1"/>
        </w:rPr>
        <w:t>年，我国医疗信息化行业增速保持在</w:t>
      </w:r>
      <w:r>
        <w:rPr>
          <w:rFonts w:ascii="Times New Roman" w:hAnsi="Times New Roman" w:cs="Times New Roman" w:eastAsia="Times New Roman" w:hint="default"/>
          <w:spacing w:val="-1"/>
        </w:rPr>
        <w:t>20%</w:t>
      </w:r>
      <w:r>
        <w:rPr>
          <w:spacing w:val="-1"/>
        </w:rPr>
        <w:t>左右的较高水平，预计</w:t>
      </w:r>
      <w:r>
        <w:rPr>
          <w:rFonts w:ascii="Times New Roman" w:hAnsi="Times New Roman" w:cs="Times New Roman" w:eastAsia="Times New Roman" w:hint="default"/>
          <w:spacing w:val="-1"/>
        </w:rPr>
        <w:t>2019</w:t>
      </w:r>
      <w:r>
        <w:rPr>
          <w:spacing w:val="-1"/>
        </w:rPr>
        <w:t>年整体市场规模将达</w:t>
      </w:r>
      <w:r>
        <w:rPr>
          <w:rFonts w:ascii="Times New Roman" w:hAnsi="Times New Roman" w:cs="Times New Roman" w:eastAsia="Times New Roman" w:hint="default"/>
          <w:spacing w:val="-1"/>
        </w:rPr>
        <w:t>660</w:t>
      </w:r>
      <w:r>
        <w:rPr>
          <w:spacing w:val="-1"/>
        </w:rPr>
        <w:t>亿元左右，</w:t>
      </w:r>
      <w:r>
        <w:rPr>
          <w:rFonts w:ascii="Times New Roman" w:hAnsi="Times New Roman" w:cs="Times New Roman" w:eastAsia="Times New Roman" w:hint="default"/>
          <w:spacing w:val="-1"/>
        </w:rPr>
        <w:t>2020</w:t>
      </w:r>
      <w:r>
        <w:rPr>
          <w:spacing w:val="-1"/>
        </w:rPr>
        <w:t>年将</w:t>
      </w:r>
      <w:r>
        <w:rPr>
          <w:spacing w:val="-56"/>
        </w:rPr>
        <w:t> </w:t>
      </w:r>
      <w:r>
        <w:rPr>
          <w:spacing w:val="-2"/>
        </w:rPr>
        <w:t>达到</w:t>
      </w:r>
      <w:r>
        <w:rPr>
          <w:rFonts w:ascii="Times New Roman" w:hAnsi="Times New Roman" w:cs="Times New Roman" w:eastAsia="Times New Roman" w:hint="default"/>
          <w:spacing w:val="-2"/>
        </w:rPr>
        <w:t>790</w:t>
      </w:r>
      <w:r>
        <w:rPr>
          <w:spacing w:val="-2"/>
        </w:rPr>
        <w:t>亿的规模。同时，医疗信息化政策愈趋细化，明确要求到</w:t>
      </w:r>
      <w:r>
        <w:rPr>
          <w:rFonts w:ascii="Times New Roman" w:hAnsi="Times New Roman" w:cs="Times New Roman" w:eastAsia="Times New Roman" w:hint="default"/>
          <w:spacing w:val="-2"/>
        </w:rPr>
        <w:t>2020</w:t>
      </w:r>
      <w:r>
        <w:rPr>
          <w:spacing w:val="-2"/>
        </w:rPr>
        <w:t>年，二级医院达到电子病历</w:t>
      </w:r>
      <w:r>
        <w:rPr>
          <w:rFonts w:ascii="Times New Roman" w:hAnsi="Times New Roman" w:cs="Times New Roman" w:eastAsia="Times New Roman" w:hint="default"/>
          <w:spacing w:val="-2"/>
        </w:rPr>
        <w:t>3</w:t>
      </w:r>
      <w:r>
        <w:rPr>
          <w:spacing w:val="-2"/>
        </w:rPr>
        <w:t>级以上分级评价，所有三</w:t>
      </w:r>
      <w:r>
        <w:rPr>
          <w:spacing w:val="-58"/>
        </w:rPr>
        <w:t> </w:t>
      </w:r>
      <w:r>
        <w:rPr>
          <w:spacing w:val="-58"/>
        </w:rPr>
      </w:r>
      <w:r>
        <w:rPr/>
        <w:t>级医院要达到分级评价</w:t>
      </w:r>
      <w:r>
        <w:rPr>
          <w:rFonts w:ascii="Times New Roman" w:hAnsi="Times New Roman" w:cs="Times New Roman" w:eastAsia="Times New Roman" w:hint="default"/>
        </w:rPr>
        <w:t>4</w:t>
      </w:r>
      <w:r>
        <w:rPr/>
        <w:t>级以上，同时，所有二级公立医院和政府办基层医疗卫生机构全部参与医联体。</w:t>
      </w:r>
    </w:p>
    <w:p>
      <w:pPr>
        <w:spacing w:line="240" w:lineRule="auto" w:before="10"/>
        <w:rPr>
          <w:rFonts w:ascii="宋体" w:hAnsi="宋体" w:cs="宋体" w:eastAsia="宋体" w:hint="default"/>
          <w:sz w:val="5"/>
          <w:szCs w:val="5"/>
        </w:rPr>
      </w:pPr>
    </w:p>
    <w:p>
      <w:pPr>
        <w:spacing w:line="4530" w:lineRule="exact"/>
        <w:ind w:left="1497" w:right="0" w:firstLine="0"/>
        <w:rPr>
          <w:rFonts w:ascii="宋体" w:hAnsi="宋体" w:cs="宋体" w:eastAsia="宋体" w:hint="default"/>
          <w:sz w:val="20"/>
          <w:szCs w:val="20"/>
        </w:rPr>
      </w:pPr>
      <w:r>
        <w:rPr>
          <w:rFonts w:ascii="宋体" w:hAnsi="宋体" w:cs="宋体" w:eastAsia="宋体" w:hint="default"/>
          <w:position w:val="-90"/>
          <w:sz w:val="20"/>
          <w:szCs w:val="20"/>
        </w:rPr>
        <w:drawing>
          <wp:inline distT="0" distB="0" distL="0" distR="0">
            <wp:extent cx="4362056" cy="2876550"/>
            <wp:effectExtent l="0" t="0" r="0" b="0"/>
            <wp:docPr id="25" name="image10.png" descr=""/>
            <wp:cNvGraphicFramePr>
              <a:graphicFrameLocks noChangeAspect="1"/>
            </wp:cNvGraphicFramePr>
            <a:graphic>
              <a:graphicData uri="http://schemas.openxmlformats.org/drawingml/2006/picture">
                <pic:pic>
                  <pic:nvPicPr>
                    <pic:cNvPr id="26" name="image10.png"/>
                    <pic:cNvPicPr/>
                  </pic:nvPicPr>
                  <pic:blipFill>
                    <a:blip r:embed="rId24" cstate="print"/>
                    <a:stretch>
                      <a:fillRect/>
                    </a:stretch>
                  </pic:blipFill>
                  <pic:spPr>
                    <a:xfrm>
                      <a:off x="0" y="0"/>
                      <a:ext cx="4362056" cy="2876550"/>
                    </a:xfrm>
                    <a:prstGeom prst="rect">
                      <a:avLst/>
                    </a:prstGeom>
                  </pic:spPr>
                </pic:pic>
              </a:graphicData>
            </a:graphic>
          </wp:inline>
        </w:drawing>
      </w:r>
      <w:r>
        <w:rPr>
          <w:rFonts w:ascii="宋体" w:hAnsi="宋体" w:cs="宋体" w:eastAsia="宋体" w:hint="default"/>
          <w:position w:val="-90"/>
          <w:sz w:val="20"/>
          <w:szCs w:val="20"/>
        </w:rPr>
      </w:r>
    </w:p>
    <w:p>
      <w:pPr>
        <w:pStyle w:val="BodyText"/>
        <w:spacing w:line="300" w:lineRule="auto" w:before="87"/>
        <w:ind w:right="1130" w:firstLine="360"/>
        <w:jc w:val="both"/>
      </w:pPr>
      <w:r>
        <w:rPr/>
        <w:t>根据卫健委公布的数据，截至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11</w:t>
      </w:r>
      <w:r>
        <w:rPr/>
        <w:t>月底，全国三级医院</w:t>
      </w:r>
      <w:r>
        <w:rPr>
          <w:rFonts w:ascii="Times New Roman" w:hAnsi="Times New Roman" w:cs="Times New Roman" w:eastAsia="Times New Roman" w:hint="default"/>
        </w:rPr>
        <w:t>2,498</w:t>
      </w:r>
      <w:r>
        <w:rPr/>
        <w:t>个，二级医院</w:t>
      </w:r>
      <w:r>
        <w:rPr>
          <w:rFonts w:ascii="Times New Roman" w:hAnsi="Times New Roman" w:cs="Times New Roman" w:eastAsia="Times New Roman" w:hint="default"/>
        </w:rPr>
        <w:t>88,06</w:t>
      </w:r>
      <w:r>
        <w:rPr/>
        <w:t>个，将二级医院纳入评价范围，以 </w:t>
      </w:r>
      <w:r>
        <w:rPr>
          <w:spacing w:val="-2"/>
        </w:rPr>
        <w:t>及要求所有二级公立医院和政府办基层医疗卫生机构全部参与医联体的政策，将为</w:t>
      </w:r>
      <w:r>
        <w:rPr>
          <w:rFonts w:ascii="Times New Roman" w:hAnsi="Times New Roman" w:cs="Times New Roman" w:eastAsia="Times New Roman" w:hint="default"/>
          <w:spacing w:val="-2"/>
        </w:rPr>
        <w:t>2019</w:t>
      </w:r>
      <w:r>
        <w:rPr>
          <w:spacing w:val="-2"/>
        </w:rPr>
        <w:t>年传统医疗信息化行业特别是医共体</w:t>
      </w:r>
      <w:r>
        <w:rPr>
          <w:spacing w:val="-62"/>
        </w:rPr>
        <w:t> </w:t>
      </w:r>
      <w:r>
        <w:rPr/>
        <w:t>的建设带来可观的市场增量，同时也有助于“互联网</w:t>
      </w:r>
      <w:r>
        <w:rPr>
          <w:rFonts w:ascii="Times New Roman" w:hAnsi="Times New Roman" w:cs="Times New Roman" w:eastAsia="Times New Roman" w:hint="default"/>
        </w:rPr>
        <w:t>+</w:t>
      </w:r>
      <w:r>
        <w:rPr/>
        <w:t>医疗”业务的协同发展。传统医疗卫生信息化业务前景仍然广阔、市 场潜力巨大，现阶段传统医疗卫生信息化业务将仍然是公司业绩增长的保障，是公司“一体两翼”业务板块的主体业务。</w:t>
      </w:r>
    </w:p>
    <w:p>
      <w:pPr>
        <w:pStyle w:val="BodyText"/>
        <w:spacing w:line="300" w:lineRule="auto" w:before="31"/>
        <w:ind w:right="1130" w:firstLine="360"/>
        <w:jc w:val="both"/>
      </w:pPr>
      <w:r>
        <w:rPr>
          <w:rFonts w:ascii="Times New Roman" w:hAnsi="Times New Roman" w:cs="Times New Roman" w:eastAsia="Times New Roman" w:hint="default"/>
          <w:spacing w:val="-1"/>
        </w:rPr>
        <w:t>2019</w:t>
      </w:r>
      <w:r>
        <w:rPr>
          <w:spacing w:val="-1"/>
        </w:rPr>
        <w:t>年初，中标福建协和医院</w:t>
      </w:r>
      <w:r>
        <w:rPr>
          <w:rFonts w:ascii="Times New Roman" w:hAnsi="Times New Roman" w:cs="Times New Roman" w:eastAsia="Times New Roman" w:hint="default"/>
          <w:spacing w:val="-1"/>
        </w:rPr>
        <w:t>1.47</w:t>
      </w:r>
      <w:r>
        <w:rPr>
          <w:spacing w:val="-1"/>
        </w:rPr>
        <w:t>亿元智能医院建设项目，创出订单金额行业新高，另与自贡市签订《全民健康信息平</w:t>
      </w:r>
      <w:r>
        <w:rPr/>
        <w:t> </w:t>
      </w:r>
      <w:r>
        <w:rPr>
          <w:spacing w:val="-2"/>
        </w:rPr>
        <w:t>台建设和运营合作协议》，公司“健康城市”建设和运营业务再下一城，公司医疗卫生信息化业务捷报频传，为公司</w:t>
      </w:r>
      <w:r>
        <w:rPr>
          <w:rFonts w:ascii="Times New Roman" w:hAnsi="Times New Roman" w:cs="Times New Roman" w:eastAsia="Times New Roman" w:hint="default"/>
          <w:spacing w:val="-2"/>
        </w:rPr>
        <w:t>2019</w:t>
      </w:r>
      <w:r>
        <w:rPr>
          <w:spacing w:val="-2"/>
        </w:rPr>
        <w:t>年</w:t>
      </w:r>
      <w:r>
        <w:rPr>
          <w:spacing w:val="-64"/>
        </w:rPr>
        <w:t> </w:t>
      </w:r>
      <w:r>
        <w:rPr/>
        <w:t>业绩稳健增长打下了良好的基础。</w:t>
      </w:r>
    </w:p>
    <w:p>
      <w:pPr>
        <w:pStyle w:val="BodyText"/>
        <w:spacing w:line="300" w:lineRule="auto" w:before="31"/>
        <w:ind w:right="1041" w:firstLine="360"/>
        <w:jc w:val="both"/>
      </w:pPr>
      <w:r>
        <w:rPr>
          <w:rFonts w:ascii="Times New Roman" w:hAnsi="Times New Roman" w:cs="Times New Roman" w:eastAsia="Times New Roman" w:hint="default"/>
          <w:spacing w:val="-4"/>
        </w:rPr>
        <w:t>2019</w:t>
      </w:r>
      <w:r>
        <w:rPr>
          <w:spacing w:val="-4"/>
        </w:rPr>
        <w:t>年度，公司将继续发挥在传统医疗卫生信息化业务的优势，顺应我国医疗信息化进展趋势，继续加大在大数据应用、</w:t>
      </w:r>
      <w:r>
        <w:rPr/>
        <w:t> </w:t>
      </w:r>
      <w:r>
        <w:rPr>
          <w:spacing w:val="-2"/>
        </w:rPr>
        <w:t>云计算等方面的研发投入，增强传统业务的核心竞争力，进一步拓展行业应用的深度和广度，保证公司产品的竞争优势；同</w:t>
      </w:r>
    </w:p>
    <w:p>
      <w:pPr>
        <w:spacing w:after="0" w:line="300" w:lineRule="auto"/>
        <w:jc w:val="both"/>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right="1130"/>
        <w:jc w:val="both"/>
      </w:pPr>
      <w:r>
        <w:rPr>
          <w:spacing w:val="-2"/>
        </w:rPr>
        <w:t>时，完善现有营销服务体系，严控项目管理，严把工程质量关，提升服务意识，树立创业慧康在医疗信息化市场品牌自信和</w:t>
      </w:r>
      <w:r>
        <w:rPr>
          <w:spacing w:val="-63"/>
        </w:rPr>
        <w:t> </w:t>
      </w:r>
      <w:r>
        <w:rPr>
          <w:spacing w:val="-63"/>
        </w:rPr>
      </w:r>
      <w:r>
        <w:rPr>
          <w:spacing w:val="-2"/>
        </w:rPr>
        <w:t>优势；通过紧密配合客户，寻求创新合作模式，打造一批行业重点、亮点医院、区域卫生项目，为传统业务持续增长提供驱</w:t>
      </w:r>
      <w:r>
        <w:rPr>
          <w:spacing w:val="-65"/>
        </w:rPr>
        <w:t> </w:t>
      </w:r>
      <w:r>
        <w:rPr>
          <w:spacing w:val="-65"/>
        </w:rPr>
      </w:r>
      <w:r>
        <w:rPr/>
        <w:t>动力，为公司业绩持续稳定增长奠定基础，夯实公司医疗卫生信息化行业领军企业的地位。</w:t>
      </w:r>
    </w:p>
    <w:p>
      <w:pPr>
        <w:spacing w:line="300" w:lineRule="auto" w:before="19"/>
        <w:ind w:left="472" w:right="0" w:firstLine="2"/>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、顺应行业需求，深化打造丰富的互联网</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医疗生态体系</w:t>
      </w:r>
      <w:r>
        <w:rPr>
          <w:rFonts w:ascii="宋体" w:hAnsi="宋体" w:cs="宋体" w:eastAsia="宋体" w:hint="default"/>
          <w:b/>
          <w:bCs/>
          <w:w w:val="99"/>
          <w:sz w:val="18"/>
          <w:szCs w:val="18"/>
        </w:rPr>
        <w:t> </w:t>
      </w:r>
      <w:r>
        <w:rPr>
          <w:rFonts w:ascii="宋体" w:hAnsi="宋体" w:cs="宋体" w:eastAsia="宋体" w:hint="default"/>
          <w:sz w:val="18"/>
          <w:szCs w:val="18"/>
        </w:rPr>
        <w:t>十九大以来，党中央、国务院高度重视“互联网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医疗健康”工作。习近平总书记指出，要推进“互联网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医疗”等，</w:t>
      </w:r>
    </w:p>
    <w:p>
      <w:pPr>
        <w:pStyle w:val="BodyText"/>
        <w:spacing w:line="302" w:lineRule="auto" w:before="13"/>
        <w:ind w:right="1129"/>
        <w:jc w:val="both"/>
      </w:pPr>
      <w:r>
        <w:rPr>
          <w:spacing w:val="-2"/>
        </w:rPr>
        <w:t>让百姓少跑腿、数据多跑路，不断提升公共服务均等化、普惠化、便捷化水平；李克强总理强调，要加快医联体建设，发展</w:t>
      </w:r>
      <w:r>
        <w:rPr>
          <w:spacing w:val="-62"/>
        </w:rPr>
        <w:t> </w:t>
      </w:r>
      <w:r>
        <w:rPr>
          <w:spacing w:val="-62"/>
        </w:rPr>
      </w:r>
      <w:r>
        <w:rPr>
          <w:spacing w:val="-3"/>
          <w:w w:val="99"/>
        </w:rPr>
        <w:t>“互联网</w:t>
      </w:r>
      <w:r>
        <w:rPr>
          <w:rFonts w:ascii="Times New Roman" w:hAnsi="Times New Roman" w:cs="Times New Roman" w:eastAsia="Times New Roman" w:hint="default"/>
          <w:spacing w:val="-3"/>
          <w:w w:val="99"/>
        </w:rPr>
        <w:t>+</w:t>
      </w:r>
      <w:r>
        <w:rPr>
          <w:spacing w:val="-3"/>
          <w:w w:val="99"/>
        </w:rPr>
        <w:t>医疗”，让群众在家门口能享受优质医疗服务。在党中央国务院的高度重视下，</w:t>
      </w:r>
      <w:r>
        <w:rPr>
          <w:rFonts w:ascii="Times New Roman" w:hAnsi="Times New Roman" w:cs="Times New Roman" w:eastAsia="Times New Roman" w:hint="default"/>
          <w:spacing w:val="-3"/>
          <w:w w:val="99"/>
        </w:rPr>
        <w:t>2018</w:t>
      </w:r>
      <w:r>
        <w:rPr>
          <w:spacing w:val="-3"/>
          <w:w w:val="99"/>
        </w:rPr>
        <w:t>年，《关于促进“互联网</w:t>
      </w:r>
      <w:r>
        <w:rPr>
          <w:rFonts w:ascii="Times New Roman" w:hAnsi="Times New Roman" w:cs="Times New Roman" w:eastAsia="Times New Roman" w:hint="default"/>
          <w:spacing w:val="-3"/>
          <w:w w:val="99"/>
        </w:rPr>
        <w:t>+</w:t>
      </w:r>
      <w:r>
        <w:rPr>
          <w:spacing w:val="-3"/>
          <w:w w:val="99"/>
        </w:rPr>
        <w:t>医</w:t>
      </w:r>
      <w:r>
        <w:rPr>
          <w:spacing w:val="-36"/>
          <w:w w:val="99"/>
        </w:rPr>
        <w:t> </w:t>
      </w:r>
      <w:r>
        <w:rPr>
          <w:spacing w:val="-1"/>
          <w:w w:val="99"/>
        </w:rPr>
        <w:t>疗健康”发展的意见》等多个医疗信息化政策文件密集出台，在“互联网</w:t>
      </w:r>
      <w:r>
        <w:rPr>
          <w:rFonts w:ascii="Times New Roman" w:hAnsi="Times New Roman" w:cs="Times New Roman" w:eastAsia="Times New Roman" w:hint="default"/>
          <w:spacing w:val="-1"/>
          <w:w w:val="99"/>
        </w:rPr>
        <w:t>+</w:t>
      </w:r>
      <w:r>
        <w:rPr>
          <w:spacing w:val="-1"/>
          <w:w w:val="99"/>
        </w:rPr>
        <w:t>医疗健康”、医院信息化建设、医疗大数据等方</w:t>
      </w:r>
      <w:r>
        <w:rPr>
          <w:spacing w:val="-55"/>
          <w:w w:val="99"/>
        </w:rPr>
        <w:t> </w:t>
      </w:r>
      <w:r>
        <w:rPr>
          <w:spacing w:val="-55"/>
          <w:w w:val="99"/>
        </w:rPr>
      </w:r>
      <w:r>
        <w:rPr/>
        <w:t>面都出具了详细的管理办法，为我国互联网</w:t>
      </w:r>
      <w:r>
        <w:rPr>
          <w:rFonts w:ascii="Times New Roman" w:hAnsi="Times New Roman" w:cs="Times New Roman" w:eastAsia="Times New Roman" w:hint="default"/>
        </w:rPr>
        <w:t>+</w:t>
      </w:r>
      <w:r>
        <w:rPr/>
        <w:t>医疗改革提供了明确的政策导向和执行依据。公司凭借深耕行业多年的经验， </w:t>
      </w:r>
      <w:r>
        <w:rPr>
          <w:spacing w:val="-1"/>
          <w:w w:val="99"/>
        </w:rPr>
        <w:t>自</w:t>
      </w:r>
      <w:r>
        <w:rPr>
          <w:rFonts w:ascii="Times New Roman" w:hAnsi="Times New Roman" w:cs="Times New Roman" w:eastAsia="Times New Roman" w:hint="default"/>
          <w:spacing w:val="-1"/>
          <w:w w:val="99"/>
        </w:rPr>
        <w:t>2015</w:t>
      </w:r>
      <w:r>
        <w:rPr>
          <w:spacing w:val="-1"/>
          <w:w w:val="99"/>
        </w:rPr>
        <w:t>年起就已经开始积极布局“互联网</w:t>
      </w:r>
      <w:r>
        <w:rPr>
          <w:rFonts w:ascii="Times New Roman" w:hAnsi="Times New Roman" w:cs="Times New Roman" w:eastAsia="Times New Roman" w:hint="default"/>
          <w:spacing w:val="-1"/>
          <w:w w:val="99"/>
        </w:rPr>
        <w:t>+</w:t>
      </w:r>
      <w:r>
        <w:rPr>
          <w:spacing w:val="-1"/>
          <w:w w:val="99"/>
        </w:rPr>
        <w:t>医疗”，先后已与蚂蚁金服、腾讯、华为、平安等互联网巨头达成战略合作伙伴</w:t>
      </w:r>
      <w:r>
        <w:rPr>
          <w:spacing w:val="-52"/>
          <w:w w:val="99"/>
        </w:rPr>
        <w:t> </w:t>
      </w:r>
      <w:r>
        <w:rPr>
          <w:spacing w:val="-52"/>
          <w:w w:val="99"/>
        </w:rPr>
      </w:r>
      <w:r>
        <w:rPr/>
        <w:t>关系，分别在移动支付、大数据、人工智能技术、医疗云等多个方面形成合作，共同打造丰富的基于互联网</w:t>
      </w:r>
      <w:r>
        <w:rPr>
          <w:rFonts w:ascii="Times New Roman" w:hAnsi="Times New Roman" w:cs="Times New Roman" w:eastAsia="Times New Roman" w:hint="default"/>
        </w:rPr>
        <w:t>+</w:t>
      </w:r>
      <w:r>
        <w:rPr/>
        <w:t>医疗新模式的 “未来医疗”生态体系。</w:t>
      </w:r>
    </w:p>
    <w:p>
      <w:pPr>
        <w:pStyle w:val="BodyText"/>
        <w:spacing w:line="307" w:lineRule="auto" w:before="29"/>
        <w:ind w:right="1034" w:firstLine="360"/>
        <w:jc w:val="left"/>
      </w:pPr>
      <w:r>
        <w:rPr>
          <w:rFonts w:ascii="Times New Roman" w:hAnsi="Times New Roman" w:cs="Times New Roman" w:eastAsia="Times New Roman" w:hint="default"/>
        </w:rPr>
        <w:t>2019</w:t>
      </w:r>
      <w:r>
        <w:rPr/>
        <w:t>年度，公司将继续推进落实与相关互联网产业、人工智能应用厂商的战略合作，借助互联网业务领域的优势企业， 实现公司医疗卫生信息化业务应用、互联网医院，健康城市云平台、大数据应用等业务与互联网</w:t>
      </w:r>
      <w:r>
        <w:rPr>
          <w:rFonts w:ascii="Times New Roman" w:hAnsi="Times New Roman" w:cs="Times New Roman" w:eastAsia="Times New Roman" w:hint="default"/>
        </w:rPr>
        <w:t>+</w:t>
      </w:r>
      <w:r>
        <w:rPr/>
        <w:t>人工智能、移动支付业务 </w:t>
      </w:r>
      <w:r>
        <w:rPr>
          <w:spacing w:val="-2"/>
        </w:rPr>
        <w:t>在全国范围的对接和推广落地，通过公司大数据平台和分析技术为医疗产业提供互联网化的后端数据应用和运营服务；在健</w:t>
      </w:r>
      <w:r>
        <w:rPr>
          <w:spacing w:val="-64"/>
        </w:rPr>
        <w:t> </w:t>
      </w:r>
      <w:r>
        <w:rPr>
          <w:spacing w:val="-64"/>
        </w:rPr>
      </w:r>
      <w:r>
        <w:rPr>
          <w:spacing w:val="-2"/>
        </w:rPr>
        <w:t>康城市建设和运营方面，将继续推进基于“闵行模式”和“健康中山”模式的“百城云平台”发展战略，对现有的区域卫生</w:t>
      </w:r>
      <w:r>
        <w:rPr>
          <w:spacing w:val="-63"/>
        </w:rPr>
        <w:t> </w:t>
      </w:r>
      <w:r>
        <w:rPr>
          <w:spacing w:val="-63"/>
        </w:rPr>
      </w:r>
      <w:r>
        <w:rPr/>
        <w:t>信息平台、区域医疗平台及互联网</w:t>
      </w:r>
      <w:r>
        <w:rPr>
          <w:rFonts w:ascii="Times New Roman" w:hAnsi="Times New Roman" w:cs="Times New Roman" w:eastAsia="Times New Roman" w:hint="default"/>
        </w:rPr>
        <w:t>APP</w:t>
      </w:r>
      <w:r>
        <w:rPr/>
        <w:t>进行业务整合，推动与医疗急救、养老机构、保险机构、银行、电信服务商等合作， 形成一个由医疗机构、线下药店、个人健康服务、保险服务、聚合支付业务大产业联盟，实现全新的健康城市大数据</w:t>
      </w:r>
      <w:r>
        <w:rPr>
          <w:rFonts w:ascii="Times New Roman" w:hAnsi="Times New Roman" w:cs="Times New Roman" w:eastAsia="Times New Roman" w:hint="default"/>
        </w:rPr>
        <w:t>+</w:t>
      </w:r>
      <w:r>
        <w:rPr/>
        <w:t>互联 网</w:t>
      </w:r>
      <w:r>
        <w:rPr>
          <w:rFonts w:ascii="Times New Roman" w:hAnsi="Times New Roman" w:cs="Times New Roman" w:eastAsia="Times New Roman" w:hint="default"/>
        </w:rPr>
        <w:t>+</w:t>
      </w:r>
      <w:r>
        <w:rPr/>
        <w:t>医疗服务模式。</w:t>
      </w:r>
    </w:p>
    <w:p>
      <w:pPr>
        <w:spacing w:line="300" w:lineRule="auto" w:before="7"/>
        <w:ind w:left="472" w:right="1124" w:firstLine="2"/>
        <w:jc w:val="left"/>
        <w:rPr>
          <w:rFonts w:ascii="宋体" w:hAnsi="宋体" w:cs="宋体" w:eastAsia="宋体" w:hint="default"/>
          <w:sz w:val="18"/>
          <w:szCs w:val="18"/>
        </w:rPr>
      </w:pPr>
      <w:r>
        <w:rPr>
          <w:rFonts w:ascii="Times New Roman" w:hAnsi="Times New Roman" w:cs="Times New Roman" w:eastAsia="Times New Roman" w:hint="default"/>
          <w:b/>
          <w:bCs/>
          <w:spacing w:val="-3"/>
          <w:w w:val="99"/>
          <w:sz w:val="18"/>
          <w:szCs w:val="18"/>
        </w:rPr>
        <w:t>3</w:t>
      </w:r>
      <w:r>
        <w:rPr>
          <w:rFonts w:ascii="宋体" w:hAnsi="宋体" w:cs="宋体" w:eastAsia="宋体" w:hint="default"/>
          <w:b/>
          <w:bCs/>
          <w:spacing w:val="-3"/>
          <w:w w:val="99"/>
          <w:sz w:val="18"/>
          <w:szCs w:val="18"/>
        </w:rPr>
        <w:t>、抢跑“万物互联”，深度挖掘医疗场景应用驱动</w:t>
      </w:r>
      <w:r>
        <w:rPr>
          <w:rFonts w:ascii="Times New Roman" w:hAnsi="Times New Roman" w:cs="Times New Roman" w:eastAsia="Times New Roman" w:hint="default"/>
          <w:b/>
          <w:bCs/>
          <w:spacing w:val="-3"/>
          <w:w w:val="99"/>
          <w:sz w:val="18"/>
          <w:szCs w:val="18"/>
        </w:rPr>
        <w:t>HIT</w:t>
      </w:r>
      <w:r>
        <w:rPr>
          <w:rFonts w:ascii="宋体" w:hAnsi="宋体" w:cs="宋体" w:eastAsia="宋体" w:hint="default"/>
          <w:b/>
          <w:bCs/>
          <w:spacing w:val="-3"/>
          <w:w w:val="99"/>
          <w:sz w:val="18"/>
          <w:szCs w:val="18"/>
        </w:rPr>
        <w:t>产业升级</w:t>
      </w:r>
      <w:r>
        <w:rPr>
          <w:rFonts w:ascii="宋体" w:hAnsi="宋体" w:cs="宋体" w:eastAsia="宋体" w:hint="default"/>
          <w:b/>
          <w:bCs/>
          <w:spacing w:val="-81"/>
          <w:w w:val="99"/>
          <w:sz w:val="18"/>
          <w:szCs w:val="18"/>
        </w:rPr>
        <w:t> </w:t>
      </w:r>
      <w:r>
        <w:rPr>
          <w:rFonts w:ascii="宋体" w:hAnsi="宋体" w:cs="宋体" w:eastAsia="宋体" w:hint="default"/>
          <w:b/>
          <w:bCs/>
          <w:spacing w:val="-81"/>
          <w:w w:val="99"/>
          <w:sz w:val="18"/>
          <w:szCs w:val="18"/>
        </w:rPr>
      </w:r>
      <w:r>
        <w:rPr>
          <w:rFonts w:ascii="宋体" w:hAnsi="宋体" w:cs="宋体" w:eastAsia="宋体" w:hint="default"/>
          <w:sz w:val="18"/>
          <w:szCs w:val="18"/>
        </w:rPr>
        <w:t>“十二五”期间国务院、工信部、发改委等纷纷出台物联网发展指导文件，</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月，工信部发布《信息通信行业发</w:t>
      </w:r>
    </w:p>
    <w:p>
      <w:pPr>
        <w:pStyle w:val="BodyText"/>
        <w:spacing w:line="304" w:lineRule="auto" w:before="13"/>
        <w:ind w:right="1039"/>
        <w:jc w:val="left"/>
      </w:pPr>
      <w:r>
        <w:rPr>
          <w:spacing w:val="-4"/>
        </w:rPr>
        <w:t>展规划物联网分册（</w:t>
      </w:r>
      <w:r>
        <w:rPr>
          <w:rFonts w:ascii="Times New Roman" w:hAnsi="Times New Roman" w:cs="Times New Roman" w:eastAsia="Times New Roman" w:hint="default"/>
          <w:spacing w:val="-4"/>
        </w:rPr>
        <w:t>2016-2020</w:t>
      </w:r>
      <w:r>
        <w:rPr>
          <w:spacing w:val="-4"/>
        </w:rPr>
        <w:t>年）》，明确指出我国物联网加速进入“跨界融合、集成创新和规模化发展”的新阶段。同时，</w:t>
      </w:r>
      <w:r>
        <w:rPr>
          <w:spacing w:val="-87"/>
        </w:rPr>
        <w:t> </w:t>
      </w:r>
      <w:r>
        <w:rPr>
          <w:spacing w:val="-87"/>
        </w:rPr>
      </w:r>
      <w:r>
        <w:rPr>
          <w:spacing w:val="-2"/>
        </w:rPr>
        <w:t>医疗卫生信息化领域物联网也在迅猛发展，在继</w:t>
      </w:r>
      <w:r>
        <w:rPr>
          <w:rFonts w:ascii="Times New Roman" w:hAnsi="Times New Roman" w:cs="Times New Roman" w:eastAsia="Times New Roman" w:hint="default"/>
          <w:spacing w:val="-2"/>
        </w:rPr>
        <w:t>2016</w:t>
      </w:r>
      <w:r>
        <w:rPr>
          <w:spacing w:val="-2"/>
        </w:rPr>
        <w:t>年《医院信息平台应用功能指引》和</w:t>
      </w:r>
      <w:r>
        <w:rPr>
          <w:rFonts w:ascii="Times New Roman" w:hAnsi="Times New Roman" w:cs="Times New Roman" w:eastAsia="Times New Roman" w:hint="default"/>
          <w:spacing w:val="-2"/>
        </w:rPr>
        <w:t>2017</w:t>
      </w:r>
      <w:r>
        <w:rPr>
          <w:spacing w:val="-2"/>
        </w:rPr>
        <w:t>年《医院信息建设应用技术指</w:t>
      </w:r>
      <w:r>
        <w:rPr>
          <w:spacing w:val="-61"/>
        </w:rPr>
        <w:t> </w:t>
      </w:r>
      <w:r>
        <w:rPr>
          <w:spacing w:val="-61"/>
        </w:rPr>
      </w:r>
      <w:r>
        <w:rPr>
          <w:spacing w:val="-4"/>
        </w:rPr>
        <w:t>引》之后，</w:t>
      </w:r>
      <w:r>
        <w:rPr>
          <w:rFonts w:ascii="Times New Roman" w:hAnsi="Times New Roman" w:cs="Times New Roman" w:eastAsia="Times New Roman" w:hint="default"/>
          <w:spacing w:val="-4"/>
        </w:rPr>
        <w:t>2018</w:t>
      </w:r>
      <w:r>
        <w:rPr>
          <w:spacing w:val="-4"/>
        </w:rPr>
        <w:t>年</w:t>
      </w:r>
      <w:r>
        <w:rPr>
          <w:rFonts w:ascii="Times New Roman" w:hAnsi="Times New Roman" w:cs="Times New Roman" w:eastAsia="Times New Roman" w:hint="default"/>
          <w:spacing w:val="-4"/>
        </w:rPr>
        <w:t>4</w:t>
      </w:r>
      <w:r>
        <w:rPr>
          <w:spacing w:val="-4"/>
        </w:rPr>
        <w:t>月国家卫生健康委员会发布了《全国医院信息化建设标准与规范（试行）》，在新的《建设标准》中的第</w:t>
      </w:r>
      <w:r>
        <w:rPr>
          <w:spacing w:val="-39"/>
        </w:rPr>
        <w:t> </w:t>
      </w:r>
      <w:r>
        <w:rPr>
          <w:spacing w:val="-39"/>
        </w:rPr>
      </w:r>
      <w:r>
        <w:rPr>
          <w:rFonts w:ascii="Times New Roman" w:hAnsi="Times New Roman" w:cs="Times New Roman" w:eastAsia="Times New Roman" w:hint="default"/>
        </w:rPr>
        <w:t>22</w:t>
      </w:r>
      <w:r>
        <w:rPr/>
        <w:t>类、第</w:t>
      </w:r>
      <w:r>
        <w:rPr>
          <w:rFonts w:ascii="Times New Roman" w:hAnsi="Times New Roman" w:cs="Times New Roman" w:eastAsia="Times New Roman" w:hint="default"/>
        </w:rPr>
        <w:t>260-262</w:t>
      </w:r>
      <w:r>
        <w:rPr/>
        <w:t>项具体内容均为物联网应用指标，分别对数据采集、患者安全、资产和物资管理提出了</w:t>
      </w:r>
      <w:r>
        <w:rPr>
          <w:rFonts w:ascii="Times New Roman" w:hAnsi="Times New Roman" w:cs="Times New Roman" w:eastAsia="Times New Roman" w:hint="default"/>
        </w:rPr>
        <w:t>9</w:t>
      </w:r>
      <w:r>
        <w:rPr/>
        <w:t>点具体的物联网技 术应用要求。至此，医院信息化物联网的建设标准在国家层面构建起一个较为完整的体系框架，为医疗信息化“万物互联” 业务市场指明了发展方向。</w:t>
      </w:r>
    </w:p>
    <w:p>
      <w:pPr>
        <w:pStyle w:val="BodyText"/>
        <w:spacing w:line="312" w:lineRule="auto" w:before="28"/>
        <w:ind w:right="1129" w:firstLine="360"/>
        <w:jc w:val="both"/>
      </w:pPr>
      <w:r>
        <w:rPr>
          <w:spacing w:val="-2"/>
        </w:rPr>
        <w:t>公司认为未来由于智能硬件在医院场景中的广泛分布，依靠智能终端能够建立更广泛的数据采集途径，将能采集到更完</w:t>
      </w:r>
      <w:r>
        <w:rPr/>
        <w:t> 整有效的数据，能为互联网</w:t>
      </w:r>
      <w:r>
        <w:rPr>
          <w:rFonts w:ascii="Times New Roman" w:hAnsi="Times New Roman" w:cs="Times New Roman" w:eastAsia="Times New Roman" w:hint="default"/>
        </w:rPr>
        <w:t>+</w:t>
      </w:r>
      <w:r>
        <w:rPr/>
        <w:t>医疗提供新的数据入口，因此医院物联网建设不仅能直接提升医院的管理水平和运行效率，同 </w:t>
      </w:r>
      <w:r>
        <w:rPr>
          <w:spacing w:val="-2"/>
        </w:rPr>
        <w:t>时，也将进一步促进大数据、云计算、人工智能等新兴技术在医疗信息化系统中的应用。互联网医疗信息化和医疗物联网将</w:t>
      </w:r>
      <w:r>
        <w:rPr>
          <w:spacing w:val="-64"/>
        </w:rPr>
        <w:t> </w:t>
      </w:r>
      <w:r>
        <w:rPr>
          <w:spacing w:val="-64"/>
        </w:rPr>
      </w:r>
      <w:r>
        <w:rPr/>
        <w:t>形成互为补充、促进迭代的良性循环，为大数据智能医疗落地补齐最后一公里。</w:t>
      </w:r>
    </w:p>
    <w:p>
      <w:pPr>
        <w:pStyle w:val="BodyText"/>
        <w:spacing w:line="314" w:lineRule="auto" w:before="22"/>
        <w:ind w:right="1034" w:firstLine="360"/>
        <w:jc w:val="left"/>
      </w:pPr>
      <w:r>
        <w:rPr>
          <w:rFonts w:ascii="Times New Roman" w:hAnsi="Times New Roman" w:cs="Times New Roman" w:eastAsia="Times New Roman" w:hint="default"/>
          <w:spacing w:val="-2"/>
        </w:rPr>
        <w:t>2019</w:t>
      </w:r>
      <w:r>
        <w:rPr>
          <w:spacing w:val="-2"/>
        </w:rPr>
        <w:t>年，公司将契合医疗行业的前沿智能化需求，对现有客户院内就医体系进行全方位的解析，对医院内的各类场景需</w:t>
      </w:r>
      <w:r>
        <w:rPr/>
        <w:t> 求进行深度挖掘，运用最新的物联网相关技术探索建立智慧物联支撑平台，并在此基础上建设和完善物联网模块产品体系， </w:t>
      </w:r>
      <w:r>
        <w:rPr>
          <w:spacing w:val="-2"/>
        </w:rPr>
        <w:t>建立更紧密的医院医患协同网络，实现更加实时的健康信息互通。同时，借助慧康物联（原博泰服务）广泛的、本地化的能</w:t>
      </w:r>
      <w:r>
        <w:rPr>
          <w:spacing w:val="-63"/>
        </w:rPr>
        <w:t> </w:t>
      </w:r>
      <w:r>
        <w:rPr>
          <w:spacing w:val="-63"/>
        </w:rPr>
      </w:r>
      <w:r>
        <w:rPr>
          <w:spacing w:val="-2"/>
        </w:rPr>
        <w:t>够提供一体化的智慧医疗平台及医疗服务、健康管理等相关服务的综合性运维服务团队，不断根据院内场景需求定向打造物</w:t>
      </w:r>
      <w:r>
        <w:rPr>
          <w:spacing w:val="-64"/>
        </w:rPr>
        <w:t> </w:t>
      </w:r>
      <w:r>
        <w:rPr>
          <w:spacing w:val="-64"/>
        </w:rPr>
      </w:r>
      <w:r>
        <w:rPr/>
        <w:t>联网模块产品，力求达到院内就医场景基本覆盖。</w:t>
      </w:r>
    </w:p>
    <w:p>
      <w:pPr>
        <w:spacing w:line="316" w:lineRule="auto" w:before="20"/>
        <w:ind w:left="472" w:right="6178" w:hanging="89"/>
        <w:jc w:val="left"/>
        <w:rPr>
          <w:rFonts w:ascii="宋体" w:hAnsi="宋体" w:cs="宋体" w:eastAsia="宋体" w:hint="default"/>
          <w:sz w:val="18"/>
          <w:szCs w:val="18"/>
        </w:rPr>
      </w:pPr>
      <w:r>
        <w:rPr>
          <w:rFonts w:ascii="宋体" w:hAnsi="宋体" w:cs="宋体" w:eastAsia="宋体" w:hint="default"/>
          <w:b/>
          <w:bCs/>
          <w:sz w:val="18"/>
          <w:szCs w:val="18"/>
        </w:rPr>
        <w:t>（三）公司未来发展可能面对的风险因素</w:t>
      </w:r>
      <w:r>
        <w:rPr>
          <w:rFonts w:ascii="宋体" w:hAnsi="宋体" w:cs="宋体" w:eastAsia="宋体" w:hint="default"/>
          <w:b/>
          <w:bCs/>
          <w:w w:val="99"/>
          <w:sz w:val="18"/>
          <w:szCs w:val="18"/>
        </w:rPr>
        <w:t> </w:t>
      </w:r>
      <w:r>
        <w:rPr>
          <w:rFonts w:ascii="宋体" w:hAnsi="宋体" w:cs="宋体" w:eastAsia="宋体" w:hint="default"/>
          <w:spacing w:val="-4"/>
          <w:sz w:val="18"/>
          <w:szCs w:val="18"/>
        </w:rPr>
        <w:t>参见“</w:t>
      </w:r>
      <w:r>
        <w:rPr>
          <w:rFonts w:ascii="Times New Roman" w:hAnsi="Times New Roman" w:cs="Times New Roman" w:eastAsia="Times New Roman" w:hint="default"/>
          <w:spacing w:val="-4"/>
          <w:sz w:val="18"/>
          <w:szCs w:val="18"/>
        </w:rPr>
        <w:t>2018</w:t>
      </w:r>
      <w:r>
        <w:rPr>
          <w:rFonts w:ascii="宋体" w:hAnsi="宋体" w:cs="宋体" w:eastAsia="宋体" w:hint="default"/>
          <w:spacing w:val="-4"/>
          <w:sz w:val="18"/>
          <w:szCs w:val="18"/>
        </w:rPr>
        <w:t>年度报告第一节重要提示、目录和释义”。</w:t>
      </w:r>
    </w:p>
    <w:p>
      <w:pPr>
        <w:spacing w:line="240" w:lineRule="auto" w:before="2"/>
        <w:rPr>
          <w:rFonts w:ascii="宋体" w:hAnsi="宋体" w:cs="宋体" w:eastAsia="宋体" w:hint="default"/>
          <w:sz w:val="19"/>
          <w:szCs w:val="19"/>
        </w:rPr>
      </w:pPr>
    </w:p>
    <w:p>
      <w:pPr>
        <w:pStyle w:val="Heading2"/>
        <w:spacing w:line="240" w:lineRule="auto"/>
        <w:ind w:right="0"/>
        <w:jc w:val="both"/>
        <w:rPr>
          <w:b w:val="0"/>
          <w:bCs w:val="0"/>
        </w:rPr>
      </w:pPr>
      <w:bookmarkStart w:name="十、接待调研、沟通、采访等活动登记表" w:id="69"/>
      <w:bookmarkEnd w:id="69"/>
      <w:r>
        <w:rPr>
          <w:b w:val="0"/>
          <w:bCs w:val="0"/>
        </w:rPr>
      </w:r>
      <w:r>
        <w:rPr/>
        <w:t>十、接待调研、沟通、采访等活动登记表</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both"/>
        <w:rPr>
          <w:b w:val="0"/>
          <w:bCs w:val="0"/>
        </w:rPr>
      </w:pPr>
      <w:bookmarkStart w:name="1、报告期内接待调研、沟通、采访等活动登记表" w:id="70"/>
      <w:bookmarkEnd w:id="70"/>
      <w:r>
        <w:rPr>
          <w:b w:val="0"/>
          <w:bCs w:val="0"/>
        </w:rPr>
      </w: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both"/>
      </w:pPr>
      <w:r>
        <w:rPr/>
        <w:t>√ 适用</w:t>
      </w:r>
      <w:r>
        <w:rPr>
          <w:spacing w:val="-1"/>
        </w:rPr>
        <w:t> </w:t>
      </w:r>
      <w:r>
        <w:rPr/>
        <w:t>□不适用</w:t>
      </w:r>
    </w:p>
    <w:p>
      <w:pPr>
        <w:spacing w:after="0" w:line="240" w:lineRule="auto"/>
        <w:jc w:val="both"/>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178"/>
        <w:gridCol w:w="2177"/>
        <w:gridCol w:w="2177"/>
        <w:gridCol w:w="3037"/>
      </w:tblGrid>
      <w:tr>
        <w:trPr>
          <w:trHeight w:val="402" w:hRule="exact"/>
        </w:trPr>
        <w:tc>
          <w:tcPr>
            <w:tcW w:w="2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接待时间</w:t>
            </w:r>
          </w:p>
        </w:tc>
        <w:tc>
          <w:tcPr>
            <w:tcW w:w="2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22" w:right="0"/>
              <w:jc w:val="left"/>
              <w:rPr>
                <w:rFonts w:ascii="宋体" w:hAnsi="宋体" w:cs="宋体" w:eastAsia="宋体" w:hint="default"/>
                <w:sz w:val="18"/>
                <w:szCs w:val="18"/>
              </w:rPr>
            </w:pPr>
            <w:r>
              <w:rPr>
                <w:rFonts w:ascii="宋体" w:hAnsi="宋体" w:cs="宋体" w:eastAsia="宋体" w:hint="default"/>
                <w:sz w:val="18"/>
                <w:szCs w:val="18"/>
              </w:rPr>
              <w:t>接待方式</w:t>
            </w:r>
          </w:p>
        </w:tc>
        <w:tc>
          <w:tcPr>
            <w:tcW w:w="2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42" w:right="0"/>
              <w:jc w:val="left"/>
              <w:rPr>
                <w:rFonts w:ascii="宋体" w:hAnsi="宋体" w:cs="宋体" w:eastAsia="宋体" w:hint="default"/>
                <w:sz w:val="18"/>
                <w:szCs w:val="18"/>
              </w:rPr>
            </w:pPr>
            <w:r>
              <w:rPr>
                <w:rFonts w:ascii="宋体" w:hAnsi="宋体" w:cs="宋体" w:eastAsia="宋体" w:hint="default"/>
                <w:sz w:val="18"/>
                <w:szCs w:val="18"/>
              </w:rPr>
              <w:t>接待对象类型</w:t>
            </w:r>
          </w:p>
        </w:tc>
        <w:tc>
          <w:tcPr>
            <w:tcW w:w="30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02" w:right="0"/>
              <w:jc w:val="left"/>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2" w:right="0"/>
              <w:jc w:val="left"/>
              <w:rPr>
                <w:rFonts w:ascii="Times New Roman" w:hAnsi="Times New Roman" w:cs="Times New Roman" w:eastAsia="Times New Roman" w:hint="default"/>
                <w:sz w:val="18"/>
                <w:szCs w:val="18"/>
              </w:rPr>
            </w:pPr>
            <w:hyperlink r:id="rId15">
              <w:r>
                <w:rPr>
                  <w:rFonts w:ascii="Times New Roman"/>
                  <w:sz w:val="18"/>
                </w:rPr>
                <w:t>http://www.cninfo.com.cn</w:t>
              </w:r>
            </w:hyperlink>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2" w:right="0"/>
              <w:jc w:val="left"/>
              <w:rPr>
                <w:rFonts w:ascii="Times New Roman" w:hAnsi="Times New Roman" w:cs="Times New Roman" w:eastAsia="Times New Roman" w:hint="default"/>
                <w:sz w:val="18"/>
                <w:szCs w:val="18"/>
              </w:rPr>
            </w:pPr>
            <w:hyperlink r:id="rId15">
              <w:r>
                <w:rPr>
                  <w:rFonts w:ascii="Times New Roman"/>
                  <w:sz w:val="18"/>
                </w:rPr>
                <w:t>http://www.cninfo.com.cn</w:t>
              </w:r>
            </w:hyperlink>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2" w:right="0"/>
              <w:jc w:val="left"/>
              <w:rPr>
                <w:rFonts w:ascii="Times New Roman" w:hAnsi="Times New Roman" w:cs="Times New Roman" w:eastAsia="Times New Roman" w:hint="default"/>
                <w:sz w:val="18"/>
                <w:szCs w:val="18"/>
              </w:rPr>
            </w:pPr>
            <w:hyperlink r:id="rId15">
              <w:r>
                <w:rPr>
                  <w:rFonts w:ascii="Times New Roman"/>
                  <w:sz w:val="18"/>
                </w:rPr>
                <w:t>http://www.cninfo.com.cn</w:t>
              </w:r>
            </w:hyperlink>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2" w:right="0"/>
              <w:jc w:val="left"/>
              <w:rPr>
                <w:rFonts w:ascii="Times New Roman" w:hAnsi="Times New Roman" w:cs="Times New Roman" w:eastAsia="Times New Roman" w:hint="default"/>
                <w:sz w:val="18"/>
                <w:szCs w:val="18"/>
              </w:rPr>
            </w:pPr>
            <w:hyperlink r:id="rId15">
              <w:r>
                <w:rPr>
                  <w:rFonts w:ascii="Times New Roman"/>
                  <w:sz w:val="18"/>
                </w:rPr>
                <w:t>http://www.cninfo.com.cn</w:t>
              </w:r>
            </w:hyperlink>
          </w:p>
        </w:tc>
      </w:tr>
      <w:tr>
        <w:trPr>
          <w:trHeight w:val="402"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2" w:right="0"/>
              <w:jc w:val="left"/>
              <w:rPr>
                <w:rFonts w:ascii="Times New Roman" w:hAnsi="Times New Roman" w:cs="Times New Roman" w:eastAsia="Times New Roman" w:hint="default"/>
                <w:sz w:val="18"/>
                <w:szCs w:val="18"/>
              </w:rPr>
            </w:pPr>
            <w:hyperlink r:id="rId15">
              <w:r>
                <w:rPr>
                  <w:rFonts w:ascii="Times New Roman"/>
                  <w:sz w:val="18"/>
                </w:rPr>
                <w:t>http://www.cninfo.com.cn</w:t>
              </w:r>
            </w:hyperlink>
          </w:p>
        </w:tc>
      </w:tr>
    </w:tbl>
    <w:p>
      <w:pPr>
        <w:spacing w:after="0" w:line="240" w:lineRule="auto"/>
        <w:jc w:val="lef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5"/>
          <w:szCs w:val="25"/>
        </w:rPr>
      </w:pPr>
    </w:p>
    <w:p>
      <w:pPr>
        <w:pStyle w:val="Heading1"/>
        <w:spacing w:line="240" w:lineRule="auto"/>
        <w:ind w:right="3297"/>
        <w:jc w:val="center"/>
        <w:rPr>
          <w:b w:val="0"/>
          <w:bCs w:val="0"/>
        </w:rPr>
      </w:pPr>
      <w:bookmarkStart w:name="第五节重要事项" w:id="71"/>
      <w:bookmarkEnd w:id="71"/>
      <w:r>
        <w:rPr>
          <w:b w:val="0"/>
          <w:bCs w:val="0"/>
        </w:rPr>
      </w:r>
      <w:bookmarkStart w:name="_bookmark3" w:id="72"/>
      <w:bookmarkEnd w:id="72"/>
      <w:r>
        <w:rPr>
          <w:b w:val="0"/>
          <w:bCs w:val="0"/>
        </w:rPr>
      </w:r>
      <w:r>
        <w:rPr/>
        <w:t>第五节重要事项</w:t>
      </w:r>
      <w:r>
        <w:rPr>
          <w:b w:val="0"/>
          <w:bCs w:val="0"/>
        </w:rPr>
      </w:r>
    </w:p>
    <w:p>
      <w:pPr>
        <w:spacing w:line="240" w:lineRule="auto" w:before="10"/>
        <w:rPr>
          <w:rFonts w:ascii="宋体" w:hAnsi="宋体" w:cs="宋体" w:eastAsia="宋体" w:hint="default"/>
          <w:b/>
          <w:bCs/>
          <w:sz w:val="38"/>
          <w:szCs w:val="38"/>
        </w:rPr>
      </w:pPr>
    </w:p>
    <w:p>
      <w:pPr>
        <w:pStyle w:val="Heading2"/>
        <w:spacing w:line="240" w:lineRule="auto"/>
        <w:ind w:right="0"/>
        <w:jc w:val="left"/>
        <w:rPr>
          <w:b w:val="0"/>
          <w:bCs w:val="0"/>
        </w:rPr>
      </w:pPr>
      <w:bookmarkStart w:name="一、公司普通股利润分配及资本公积金转增股本情况" w:id="73"/>
      <w:bookmarkEnd w:id="73"/>
      <w:r>
        <w:rPr>
          <w:b w:val="0"/>
          <w:bCs w:val="0"/>
        </w:rPr>
      </w:r>
      <w:r>
        <w:rPr/>
        <w:t>一、公司普通股利润分配及资本公积金转增股本情况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报告期内普通股利润分配政策，特别是现金分红政策的制定、执行或调整情况</w:t>
      </w:r>
    </w:p>
    <w:p>
      <w:pPr>
        <w:pStyle w:val="BodyText"/>
        <w:spacing w:line="360" w:lineRule="auto" w:before="117"/>
        <w:ind w:right="3014" w:firstLine="91"/>
        <w:jc w:val="left"/>
      </w:pPr>
      <w:r>
        <w:rPr/>
        <w:t>□ 适用 √</w:t>
      </w:r>
      <w:r>
        <w:rPr>
          <w:spacing w:val="-3"/>
        </w:rPr>
        <w:t> </w:t>
      </w:r>
      <w:r>
        <w:rPr/>
        <w:t>不适用</w:t>
      </w:r>
      <w:r>
        <w:rPr/>
        <w:t> 公司报告期利润分配预案及资本公积金转增股本预案与公司章程和分红管理办法等的相关规定一致</w:t>
      </w:r>
    </w:p>
    <w:p>
      <w:pPr>
        <w:pStyle w:val="BodyText"/>
        <w:spacing w:line="360" w:lineRule="auto" w:before="25"/>
        <w:ind w:right="4274"/>
        <w:jc w:val="left"/>
      </w:pPr>
      <w:r>
        <w:rPr/>
        <w:t>√ 是 □否</w:t>
      </w:r>
      <w:r>
        <w:rPr>
          <w:spacing w:val="1"/>
        </w:rPr>
        <w:t> </w:t>
      </w:r>
      <w:r>
        <w:rPr/>
        <w:t>□不适用</w:t>
      </w:r>
      <w:r>
        <w:rPr/>
        <w:t> 公司报告期利润分配预案及资本公积金转增股本预案符合公司章程等的相关规定。 本年度利润分配及资本公积金转增股本情况</w:t>
      </w:r>
    </w:p>
    <w:tbl>
      <w:tblPr>
        <w:tblW w:w="0" w:type="auto"/>
        <w:jc w:val="left"/>
        <w:tblInd w:w="109" w:type="dxa"/>
        <w:tblLayout w:type="fixed"/>
        <w:tblCellMar>
          <w:top w:w="0" w:type="dxa"/>
          <w:left w:w="0" w:type="dxa"/>
          <w:bottom w:w="0" w:type="dxa"/>
          <w:right w:w="0" w:type="dxa"/>
        </w:tblCellMar>
        <w:tblLook w:val="01E0"/>
      </w:tblPr>
      <w:tblGrid>
        <w:gridCol w:w="3717"/>
        <w:gridCol w:w="5851"/>
      </w:tblGrid>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股送红股数（股）</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股派息数（元</w:t>
            </w:r>
            <w:r>
              <w:rPr>
                <w:rFonts w:ascii="宋体" w:hAnsi="宋体" w:cs="宋体" w:eastAsia="宋体" w:hint="default"/>
                <w:spacing w:val="-92"/>
                <w:sz w:val="18"/>
                <w:szCs w:val="18"/>
              </w:rPr>
              <w:t>）</w:t>
            </w:r>
            <w:r>
              <w:rPr>
                <w:rFonts w:ascii="宋体" w:hAnsi="宋体" w:cs="宋体" w:eastAsia="宋体" w:hint="default"/>
                <w:sz w:val="18"/>
                <w:szCs w:val="18"/>
              </w:rPr>
              <w:t>（含税）</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0.50</w:t>
            </w:r>
          </w:p>
        </w:tc>
      </w:tr>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股转增数（股）</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w:t>
            </w:r>
          </w:p>
        </w:tc>
      </w:tr>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485,538,774</w:t>
            </w:r>
          </w:p>
        </w:tc>
      </w:tr>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现金分红金额（元</w:t>
            </w:r>
            <w:r>
              <w:rPr>
                <w:rFonts w:ascii="宋体" w:hAnsi="宋体" w:cs="宋体" w:eastAsia="宋体" w:hint="default"/>
                <w:spacing w:val="-89"/>
                <w:sz w:val="18"/>
                <w:szCs w:val="18"/>
              </w:rPr>
              <w:t>）</w:t>
            </w:r>
            <w:r>
              <w:rPr>
                <w:rFonts w:ascii="宋体" w:hAnsi="宋体" w:cs="宋体" w:eastAsia="宋体" w:hint="default"/>
                <w:sz w:val="18"/>
                <w:szCs w:val="18"/>
              </w:rPr>
              <w:t>（含税）</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24,276,938.70</w:t>
            </w:r>
          </w:p>
        </w:tc>
      </w:tr>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pacing w:val="-9"/>
                <w:sz w:val="18"/>
                <w:szCs w:val="18"/>
              </w:rPr>
              <w:t>以其他方式（如回购股份）现金分红金额（元）</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现金分红总额（含其他方式</w:t>
            </w:r>
            <w:r>
              <w:rPr>
                <w:rFonts w:ascii="宋体" w:hAnsi="宋体" w:cs="宋体" w:eastAsia="宋体" w:hint="default"/>
                <w:spacing w:val="-89"/>
                <w:sz w:val="18"/>
                <w:szCs w:val="18"/>
              </w:rPr>
              <w:t>）</w:t>
            </w:r>
            <w:r>
              <w:rPr>
                <w:rFonts w:ascii="宋体" w:hAnsi="宋体" w:cs="宋体" w:eastAsia="宋体" w:hint="default"/>
                <w:sz w:val="18"/>
                <w:szCs w:val="18"/>
              </w:rPr>
              <w:t>（元）</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24,276,938.70</w:t>
            </w:r>
          </w:p>
        </w:tc>
      </w:tr>
      <w:tr>
        <w:trPr>
          <w:trHeight w:val="402"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521,874,707.59</w:t>
            </w:r>
          </w:p>
        </w:tc>
      </w:tr>
      <w:tr>
        <w:trPr>
          <w:trHeight w:val="714" w:hRule="exact"/>
        </w:trPr>
        <w:tc>
          <w:tcPr>
            <w:tcW w:w="3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1" w:right="183"/>
              <w:jc w:val="left"/>
              <w:rPr>
                <w:rFonts w:ascii="宋体" w:hAnsi="宋体" w:cs="宋体" w:eastAsia="宋体" w:hint="default"/>
                <w:sz w:val="18"/>
                <w:szCs w:val="18"/>
              </w:rPr>
            </w:pPr>
            <w:r>
              <w:rPr>
                <w:rFonts w:ascii="宋体" w:hAnsi="宋体" w:cs="宋体" w:eastAsia="宋体" w:hint="default"/>
                <w:sz w:val="18"/>
                <w:szCs w:val="18"/>
              </w:rPr>
              <w:t>现金分红总额（含其他方式）占利润分配总 额的比例</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2"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714" w:hRule="exact"/>
        </w:trPr>
        <w:tc>
          <w:tcPr>
            <w:tcW w:w="9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公司发展阶段不易区分但有重大资金支出安排的，进行利润分配时，现金分红在本次利润分配中所占比例最低应达到</w:t>
            </w:r>
          </w:p>
          <w:p>
            <w:pPr>
              <w:pStyle w:val="TableParagraph"/>
              <w:spacing w:line="240" w:lineRule="auto" w:before="76"/>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宋体" w:hAnsi="宋体" w:cs="宋体" w:eastAsia="宋体" w:hint="default"/>
                <w:sz w:val="18"/>
                <w:szCs w:val="18"/>
              </w:rPr>
              <w:t>％</w:t>
            </w:r>
          </w:p>
        </w:tc>
      </w:tr>
      <w:tr>
        <w:trPr>
          <w:trHeight w:val="402"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88"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2586" w:hRule="exact"/>
        </w:trPr>
        <w:tc>
          <w:tcPr>
            <w:tcW w:w="9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经天健会计师事务所（特殊普通合伙）审计，公司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年度实现净利润 </w:t>
            </w:r>
            <w:r>
              <w:rPr>
                <w:rFonts w:ascii="Times New Roman" w:hAnsi="Times New Roman" w:cs="Times New Roman" w:eastAsia="Times New Roman" w:hint="default"/>
                <w:sz w:val="18"/>
                <w:szCs w:val="18"/>
              </w:rPr>
              <w:t>220,088,550.15</w:t>
            </w:r>
            <w:r>
              <w:rPr>
                <w:rFonts w:ascii="Times New Roman" w:hAnsi="Times New Roman" w:cs="Times New Roman" w:eastAsia="Times New Roman" w:hint="default"/>
                <w:spacing w:val="27"/>
                <w:sz w:val="18"/>
                <w:szCs w:val="18"/>
              </w:rPr>
              <w:t> </w:t>
            </w:r>
            <w:r>
              <w:rPr>
                <w:rFonts w:ascii="宋体" w:hAnsi="宋体" w:cs="宋体" w:eastAsia="宋体" w:hint="default"/>
                <w:sz w:val="18"/>
                <w:szCs w:val="18"/>
              </w:rPr>
              <w:t>元，其中母公司实现净利</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润</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241,641,224.55</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元，根据《公司章程》规定，按</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提取法定盈余公积金</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24,164,122.46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元后，当年实现未分配利润为</w:t>
            </w:r>
          </w:p>
          <w:p>
            <w:pPr>
              <w:pStyle w:val="TableParagraph"/>
              <w:spacing w:line="240" w:lineRule="auto" w:before="63"/>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217,477,102.09</w:t>
            </w:r>
            <w:r>
              <w:rPr>
                <w:rFonts w:ascii="Times New Roman" w:hAnsi="Times New Roman" w:cs="Times New Roman" w:eastAsia="Times New Roman" w:hint="default"/>
                <w:spacing w:val="17"/>
                <w:sz w:val="18"/>
                <w:szCs w:val="18"/>
              </w:rPr>
              <w:t> </w:t>
            </w:r>
            <w:r>
              <w:rPr>
                <w:rFonts w:ascii="宋体" w:hAnsi="宋体" w:cs="宋体" w:eastAsia="宋体" w:hint="default"/>
                <w:spacing w:val="9"/>
                <w:sz w:val="18"/>
                <w:szCs w:val="18"/>
              </w:rPr>
              <w:t>元，</w:t>
            </w:r>
            <w:r>
              <w:rPr>
                <w:rFonts w:ascii="宋体" w:hAnsi="宋体" w:cs="宋体" w:eastAsia="宋体" w:hint="default"/>
                <w:spacing w:val="-70"/>
                <w:sz w:val="18"/>
                <w:szCs w:val="18"/>
              </w:rPr>
              <w:t> </w:t>
            </w:r>
            <w:r>
              <w:rPr>
                <w:rFonts w:ascii="宋体" w:hAnsi="宋体" w:cs="宋体" w:eastAsia="宋体" w:hint="default"/>
                <w:spacing w:val="18"/>
                <w:sz w:val="18"/>
                <w:szCs w:val="18"/>
              </w:rPr>
              <w:t>加上年初可供未分配利润</w:t>
            </w:r>
            <w:r>
              <w:rPr>
                <w:rFonts w:ascii="宋体" w:hAnsi="宋体" w:cs="宋体" w:eastAsia="宋体" w:hint="default"/>
                <w:spacing w:val="-27"/>
                <w:sz w:val="18"/>
                <w:szCs w:val="18"/>
              </w:rPr>
              <w:t> </w:t>
            </w:r>
            <w:r>
              <w:rPr>
                <w:rFonts w:ascii="Times New Roman" w:hAnsi="Times New Roman" w:cs="Times New Roman" w:eastAsia="Times New Roman" w:hint="default"/>
                <w:sz w:val="18"/>
                <w:szCs w:val="18"/>
              </w:rPr>
              <w:t>328,660,047.22</w:t>
            </w:r>
            <w:r>
              <w:rPr>
                <w:rFonts w:ascii="Times New Roman" w:hAnsi="Times New Roman" w:cs="Times New Roman" w:eastAsia="Times New Roman" w:hint="default"/>
                <w:spacing w:val="17"/>
                <w:sz w:val="18"/>
                <w:szCs w:val="18"/>
              </w:rPr>
              <w:t> </w:t>
            </w:r>
            <w:r>
              <w:rPr>
                <w:rFonts w:ascii="宋体" w:hAnsi="宋体" w:cs="宋体" w:eastAsia="宋体" w:hint="default"/>
                <w:spacing w:val="9"/>
                <w:sz w:val="18"/>
                <w:szCs w:val="18"/>
              </w:rPr>
              <w:t>元，</w:t>
            </w:r>
            <w:r>
              <w:rPr>
                <w:rFonts w:ascii="宋体" w:hAnsi="宋体" w:cs="宋体" w:eastAsia="宋体" w:hint="default"/>
                <w:spacing w:val="-70"/>
                <w:sz w:val="18"/>
                <w:szCs w:val="18"/>
              </w:rPr>
              <w:t> </w:t>
            </w:r>
            <w:r>
              <w:rPr>
                <w:rFonts w:ascii="宋体" w:hAnsi="宋体" w:cs="宋体" w:eastAsia="宋体" w:hint="default"/>
                <w:spacing w:val="9"/>
                <w:sz w:val="18"/>
                <w:szCs w:val="18"/>
              </w:rPr>
              <w:t>扣除</w:t>
            </w:r>
            <w:r>
              <w:rPr>
                <w:rFonts w:ascii="宋体" w:hAnsi="宋体" w:cs="宋体" w:eastAsia="宋体" w:hint="default"/>
                <w:spacing w:val="-24"/>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7"/>
                <w:sz w:val="18"/>
                <w:szCs w:val="18"/>
              </w:rPr>
              <w:t> </w:t>
            </w:r>
            <w:r>
              <w:rPr>
                <w:rFonts w:ascii="宋体" w:hAnsi="宋体" w:cs="宋体" w:eastAsia="宋体" w:hint="default"/>
                <w:sz w:val="18"/>
                <w:szCs w:val="18"/>
              </w:rPr>
              <w:t>年</w:t>
            </w:r>
            <w:r>
              <w:rPr>
                <w:rFonts w:ascii="宋体" w:hAnsi="宋体" w:cs="宋体" w:eastAsia="宋体" w:hint="default"/>
                <w:spacing w:val="-2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0"/>
                <w:sz w:val="18"/>
                <w:szCs w:val="18"/>
              </w:rPr>
              <w:t> </w:t>
            </w:r>
            <w:r>
              <w:rPr>
                <w:rFonts w:ascii="宋体" w:hAnsi="宋体" w:cs="宋体" w:eastAsia="宋体" w:hint="default"/>
                <w:spacing w:val="16"/>
                <w:sz w:val="18"/>
                <w:szCs w:val="18"/>
              </w:rPr>
              <w:t>月已实施的</w:t>
            </w:r>
            <w:r>
              <w:rPr>
                <w:rFonts w:ascii="宋体" w:hAnsi="宋体" w:cs="宋体" w:eastAsia="宋体" w:hint="default"/>
                <w:spacing w:val="-27"/>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7"/>
                <w:sz w:val="18"/>
                <w:szCs w:val="18"/>
              </w:rPr>
              <w:t> </w:t>
            </w:r>
            <w:r>
              <w:rPr>
                <w:rFonts w:ascii="宋体" w:hAnsi="宋体" w:cs="宋体" w:eastAsia="宋体" w:hint="default"/>
                <w:spacing w:val="16"/>
                <w:sz w:val="18"/>
                <w:szCs w:val="18"/>
              </w:rPr>
              <w:t>年度利润分配</w:t>
            </w:r>
          </w:p>
          <w:p>
            <w:pPr>
              <w:pStyle w:val="TableParagraph"/>
              <w:spacing w:line="240" w:lineRule="auto" w:before="63"/>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24,262,441.72</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元</w:t>
            </w:r>
            <w:r>
              <w:rPr>
                <w:rFonts w:ascii="宋体" w:hAnsi="宋体" w:cs="宋体" w:eastAsia="宋体" w:hint="default"/>
                <w:spacing w:val="-65"/>
                <w:sz w:val="18"/>
                <w:szCs w:val="18"/>
              </w:rPr>
              <w:t> </w:t>
            </w:r>
            <w:r>
              <w:rPr>
                <w:rFonts w:ascii="宋体" w:hAnsi="宋体" w:cs="宋体" w:eastAsia="宋体" w:hint="default"/>
                <w:sz w:val="18"/>
                <w:szCs w:val="18"/>
              </w:rPr>
              <w:t>，</w:t>
            </w:r>
            <w:r>
              <w:rPr>
                <w:rFonts w:ascii="宋体" w:hAnsi="宋体" w:cs="宋体" w:eastAsia="宋体" w:hint="default"/>
                <w:spacing w:val="-67"/>
                <w:sz w:val="18"/>
                <w:szCs w:val="18"/>
              </w:rPr>
              <w:t> </w:t>
            </w:r>
            <w:r>
              <w:rPr>
                <w:rFonts w:ascii="宋体" w:hAnsi="宋体" w:cs="宋体" w:eastAsia="宋体" w:hint="default"/>
                <w:sz w:val="18"/>
                <w:szCs w:val="18"/>
              </w:rPr>
              <w:t>公</w:t>
            </w:r>
            <w:r>
              <w:rPr>
                <w:rFonts w:ascii="宋体" w:hAnsi="宋体" w:cs="宋体" w:eastAsia="宋体" w:hint="default"/>
                <w:spacing w:val="-65"/>
                <w:sz w:val="18"/>
                <w:szCs w:val="18"/>
              </w:rPr>
              <w:t> </w:t>
            </w:r>
            <w:r>
              <w:rPr>
                <w:rFonts w:ascii="宋体" w:hAnsi="宋体" w:cs="宋体" w:eastAsia="宋体" w:hint="default"/>
                <w:sz w:val="18"/>
                <w:szCs w:val="18"/>
              </w:rPr>
              <w:t>司</w:t>
            </w:r>
            <w:r>
              <w:rPr>
                <w:rFonts w:ascii="宋体" w:hAnsi="宋体" w:cs="宋体" w:eastAsia="宋体" w:hint="default"/>
                <w:spacing w:val="-65"/>
                <w:sz w:val="18"/>
                <w:szCs w:val="18"/>
              </w:rPr>
              <w:t> </w:t>
            </w:r>
            <w:r>
              <w:rPr>
                <w:rFonts w:ascii="宋体" w:hAnsi="宋体" w:cs="宋体" w:eastAsia="宋体" w:hint="default"/>
                <w:sz w:val="18"/>
                <w:szCs w:val="18"/>
              </w:rPr>
              <w:t>截</w:t>
            </w:r>
            <w:r>
              <w:rPr>
                <w:rFonts w:ascii="宋体" w:hAnsi="宋体" w:cs="宋体" w:eastAsia="宋体" w:hint="default"/>
                <w:spacing w:val="-67"/>
                <w:sz w:val="18"/>
                <w:szCs w:val="18"/>
              </w:rPr>
              <w:t> </w:t>
            </w:r>
            <w:r>
              <w:rPr>
                <w:rFonts w:ascii="宋体" w:hAnsi="宋体" w:cs="宋体" w:eastAsia="宋体" w:hint="default"/>
                <w:sz w:val="18"/>
                <w:szCs w:val="18"/>
              </w:rPr>
              <w:t>至</w:t>
            </w:r>
            <w:r>
              <w:rPr>
                <w:rFonts w:ascii="宋体" w:hAnsi="宋体" w:cs="宋体" w:eastAsia="宋体" w:hint="default"/>
                <w:spacing w:val="-19"/>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1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1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日</w:t>
            </w:r>
            <w:r>
              <w:rPr>
                <w:rFonts w:ascii="宋体" w:hAnsi="宋体" w:cs="宋体" w:eastAsia="宋体" w:hint="default"/>
                <w:spacing w:val="-65"/>
                <w:sz w:val="18"/>
                <w:szCs w:val="18"/>
              </w:rPr>
              <w:t> </w:t>
            </w:r>
            <w:r>
              <w:rPr>
                <w:rFonts w:ascii="宋体" w:hAnsi="宋体" w:cs="宋体" w:eastAsia="宋体" w:hint="default"/>
                <w:sz w:val="18"/>
                <w:szCs w:val="18"/>
              </w:rPr>
              <w:t>可</w:t>
            </w:r>
            <w:r>
              <w:rPr>
                <w:rFonts w:ascii="宋体" w:hAnsi="宋体" w:cs="宋体" w:eastAsia="宋体" w:hint="default"/>
                <w:spacing w:val="-67"/>
                <w:sz w:val="18"/>
                <w:szCs w:val="18"/>
              </w:rPr>
              <w:t> </w:t>
            </w:r>
            <w:r>
              <w:rPr>
                <w:rFonts w:ascii="宋体" w:hAnsi="宋体" w:cs="宋体" w:eastAsia="宋体" w:hint="default"/>
                <w:sz w:val="18"/>
                <w:szCs w:val="18"/>
              </w:rPr>
              <w:t>供</w:t>
            </w:r>
            <w:r>
              <w:rPr>
                <w:rFonts w:ascii="宋体" w:hAnsi="宋体" w:cs="宋体" w:eastAsia="宋体" w:hint="default"/>
                <w:spacing w:val="-65"/>
                <w:sz w:val="18"/>
                <w:szCs w:val="18"/>
              </w:rPr>
              <w:t> </w:t>
            </w:r>
            <w:r>
              <w:rPr>
                <w:rFonts w:ascii="宋体" w:hAnsi="宋体" w:cs="宋体" w:eastAsia="宋体" w:hint="default"/>
                <w:sz w:val="18"/>
                <w:szCs w:val="18"/>
              </w:rPr>
              <w:t>分</w:t>
            </w:r>
            <w:r>
              <w:rPr>
                <w:rFonts w:ascii="宋体" w:hAnsi="宋体" w:cs="宋体" w:eastAsia="宋体" w:hint="default"/>
                <w:spacing w:val="-65"/>
                <w:sz w:val="18"/>
                <w:szCs w:val="18"/>
              </w:rPr>
              <w:t> </w:t>
            </w:r>
            <w:r>
              <w:rPr>
                <w:rFonts w:ascii="宋体" w:hAnsi="宋体" w:cs="宋体" w:eastAsia="宋体" w:hint="default"/>
                <w:sz w:val="18"/>
                <w:szCs w:val="18"/>
              </w:rPr>
              <w:t>配</w:t>
            </w:r>
            <w:r>
              <w:rPr>
                <w:rFonts w:ascii="宋体" w:hAnsi="宋体" w:cs="宋体" w:eastAsia="宋体" w:hint="default"/>
                <w:spacing w:val="-67"/>
                <w:sz w:val="18"/>
                <w:szCs w:val="18"/>
              </w:rPr>
              <w:t> </w:t>
            </w:r>
            <w:r>
              <w:rPr>
                <w:rFonts w:ascii="宋体" w:hAnsi="宋体" w:cs="宋体" w:eastAsia="宋体" w:hint="default"/>
                <w:sz w:val="18"/>
                <w:szCs w:val="18"/>
              </w:rPr>
              <w:t>利</w:t>
            </w:r>
            <w:r>
              <w:rPr>
                <w:rFonts w:ascii="宋体" w:hAnsi="宋体" w:cs="宋体" w:eastAsia="宋体" w:hint="default"/>
                <w:spacing w:val="-65"/>
                <w:sz w:val="18"/>
                <w:szCs w:val="18"/>
              </w:rPr>
              <w:t> </w:t>
            </w:r>
            <w:r>
              <w:rPr>
                <w:rFonts w:ascii="宋体" w:hAnsi="宋体" w:cs="宋体" w:eastAsia="宋体" w:hint="default"/>
                <w:sz w:val="18"/>
                <w:szCs w:val="18"/>
              </w:rPr>
              <w:t>润</w:t>
            </w:r>
            <w:r>
              <w:rPr>
                <w:rFonts w:ascii="宋体" w:hAnsi="宋体" w:cs="宋体" w:eastAsia="宋体" w:hint="default"/>
                <w:spacing w:val="-65"/>
                <w:sz w:val="18"/>
                <w:szCs w:val="18"/>
              </w:rPr>
              <w:t> </w:t>
            </w:r>
            <w:r>
              <w:rPr>
                <w:rFonts w:ascii="宋体" w:hAnsi="宋体" w:cs="宋体" w:eastAsia="宋体" w:hint="default"/>
                <w:sz w:val="18"/>
                <w:szCs w:val="18"/>
              </w:rPr>
              <w:t>为</w:t>
            </w:r>
            <w:r>
              <w:rPr>
                <w:rFonts w:ascii="宋体" w:hAnsi="宋体" w:cs="宋体" w:eastAsia="宋体" w:hint="default"/>
                <w:spacing w:val="-65"/>
                <w:sz w:val="18"/>
                <w:szCs w:val="18"/>
              </w:rPr>
              <w:t> </w:t>
            </w:r>
            <w:r>
              <w:rPr>
                <w:rFonts w:ascii="宋体" w:hAnsi="宋体" w:cs="宋体" w:eastAsia="宋体" w:hint="default"/>
                <w:sz w:val="18"/>
                <w:szCs w:val="18"/>
              </w:rPr>
              <w:t>人</w:t>
            </w:r>
            <w:r>
              <w:rPr>
                <w:rFonts w:ascii="宋体" w:hAnsi="宋体" w:cs="宋体" w:eastAsia="宋体" w:hint="default"/>
                <w:spacing w:val="-67"/>
                <w:sz w:val="18"/>
                <w:szCs w:val="18"/>
              </w:rPr>
              <w:t> </w:t>
            </w:r>
            <w:r>
              <w:rPr>
                <w:rFonts w:ascii="宋体" w:hAnsi="宋体" w:cs="宋体" w:eastAsia="宋体" w:hint="default"/>
                <w:sz w:val="18"/>
                <w:szCs w:val="18"/>
              </w:rPr>
              <w:t>民</w:t>
            </w:r>
            <w:r>
              <w:rPr>
                <w:rFonts w:ascii="宋体" w:hAnsi="宋体" w:cs="宋体" w:eastAsia="宋体" w:hint="default"/>
                <w:spacing w:val="-65"/>
                <w:sz w:val="18"/>
                <w:szCs w:val="18"/>
              </w:rPr>
              <w:t> </w:t>
            </w:r>
            <w:r>
              <w:rPr>
                <w:rFonts w:ascii="宋体" w:hAnsi="宋体" w:cs="宋体" w:eastAsia="宋体" w:hint="default"/>
                <w:sz w:val="18"/>
                <w:szCs w:val="18"/>
              </w:rPr>
              <w:t>币</w:t>
            </w:r>
            <w:r>
              <w:rPr>
                <w:rFonts w:ascii="宋体" w:hAnsi="宋体" w:cs="宋体" w:eastAsia="宋体" w:hint="default"/>
                <w:spacing w:val="-19"/>
                <w:sz w:val="18"/>
                <w:szCs w:val="18"/>
              </w:rPr>
              <w:t> </w:t>
            </w:r>
            <w:r>
              <w:rPr>
                <w:rFonts w:ascii="Times New Roman" w:hAnsi="Times New Roman" w:cs="Times New Roman" w:eastAsia="Times New Roman" w:hint="default"/>
                <w:sz w:val="18"/>
                <w:szCs w:val="18"/>
              </w:rPr>
              <w:t>521,874,707.59</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元</w:t>
            </w:r>
            <w:r>
              <w:rPr>
                <w:rFonts w:ascii="宋体" w:hAnsi="宋体" w:cs="宋体" w:eastAsia="宋体" w:hint="default"/>
                <w:spacing w:val="-65"/>
                <w:sz w:val="18"/>
                <w:szCs w:val="18"/>
              </w:rPr>
              <w:t> </w:t>
            </w:r>
            <w:r>
              <w:rPr>
                <w:rFonts w:ascii="宋体" w:hAnsi="宋体" w:cs="宋体" w:eastAsia="宋体" w:hint="default"/>
                <w:sz w:val="18"/>
                <w:szCs w:val="18"/>
              </w:rPr>
              <w:t>，</w:t>
            </w:r>
            <w:r>
              <w:rPr>
                <w:rFonts w:ascii="宋体" w:hAnsi="宋体" w:cs="宋体" w:eastAsia="宋体" w:hint="default"/>
                <w:spacing w:val="-67"/>
                <w:sz w:val="18"/>
                <w:szCs w:val="18"/>
              </w:rPr>
              <w:t> </w:t>
            </w:r>
            <w:r>
              <w:rPr>
                <w:rFonts w:ascii="宋体" w:hAnsi="宋体" w:cs="宋体" w:eastAsia="宋体" w:hint="default"/>
                <w:sz w:val="18"/>
                <w:szCs w:val="18"/>
              </w:rPr>
              <w:t>资</w:t>
            </w:r>
            <w:r>
              <w:rPr>
                <w:rFonts w:ascii="宋体" w:hAnsi="宋体" w:cs="宋体" w:eastAsia="宋体" w:hint="default"/>
                <w:spacing w:val="-65"/>
                <w:sz w:val="18"/>
                <w:szCs w:val="18"/>
              </w:rPr>
              <w:t> </w:t>
            </w:r>
            <w:r>
              <w:rPr>
                <w:rFonts w:ascii="宋体" w:hAnsi="宋体" w:cs="宋体" w:eastAsia="宋体" w:hint="default"/>
                <w:sz w:val="18"/>
                <w:szCs w:val="18"/>
              </w:rPr>
              <w:t>本</w:t>
            </w:r>
            <w:r>
              <w:rPr>
                <w:rFonts w:ascii="宋体" w:hAnsi="宋体" w:cs="宋体" w:eastAsia="宋体" w:hint="default"/>
                <w:spacing w:val="-65"/>
                <w:sz w:val="18"/>
                <w:szCs w:val="18"/>
              </w:rPr>
              <w:t> </w:t>
            </w:r>
            <w:r>
              <w:rPr>
                <w:rFonts w:ascii="宋体" w:hAnsi="宋体" w:cs="宋体" w:eastAsia="宋体" w:hint="default"/>
                <w:sz w:val="18"/>
                <w:szCs w:val="18"/>
              </w:rPr>
              <w:t>公</w:t>
            </w:r>
            <w:r>
              <w:rPr>
                <w:rFonts w:ascii="宋体" w:hAnsi="宋体" w:cs="宋体" w:eastAsia="宋体" w:hint="default"/>
                <w:spacing w:val="-67"/>
                <w:sz w:val="18"/>
                <w:szCs w:val="18"/>
              </w:rPr>
              <w:t> </w:t>
            </w:r>
            <w:r>
              <w:rPr>
                <w:rFonts w:ascii="宋体" w:hAnsi="宋体" w:cs="宋体" w:eastAsia="宋体" w:hint="default"/>
                <w:sz w:val="18"/>
                <w:szCs w:val="18"/>
              </w:rPr>
              <w:t>积</w:t>
            </w:r>
            <w:r>
              <w:rPr>
                <w:rFonts w:ascii="宋体" w:hAnsi="宋体" w:cs="宋体" w:eastAsia="宋体" w:hint="default"/>
                <w:spacing w:val="-65"/>
                <w:sz w:val="18"/>
                <w:szCs w:val="18"/>
              </w:rPr>
              <w:t> </w:t>
            </w:r>
            <w:r>
              <w:rPr>
                <w:rFonts w:ascii="宋体" w:hAnsi="宋体" w:cs="宋体" w:eastAsia="宋体" w:hint="default"/>
                <w:sz w:val="18"/>
                <w:szCs w:val="18"/>
              </w:rPr>
              <w:t>金</w:t>
            </w:r>
            <w:r>
              <w:rPr>
                <w:rFonts w:ascii="宋体" w:hAnsi="宋体" w:cs="宋体" w:eastAsia="宋体" w:hint="default"/>
                <w:spacing w:val="-65"/>
                <w:sz w:val="18"/>
                <w:szCs w:val="18"/>
              </w:rPr>
              <w:t> </w:t>
            </w:r>
            <w:r>
              <w:rPr>
                <w:rFonts w:ascii="宋体" w:hAnsi="宋体" w:cs="宋体" w:eastAsia="宋体" w:hint="default"/>
                <w:sz w:val="18"/>
                <w:szCs w:val="18"/>
              </w:rPr>
              <w:t>人</w:t>
            </w:r>
            <w:r>
              <w:rPr>
                <w:rFonts w:ascii="宋体" w:hAnsi="宋体" w:cs="宋体" w:eastAsia="宋体" w:hint="default"/>
                <w:spacing w:val="-65"/>
                <w:sz w:val="18"/>
                <w:szCs w:val="18"/>
              </w:rPr>
              <w:t> </w:t>
            </w:r>
            <w:r>
              <w:rPr>
                <w:rFonts w:ascii="宋体" w:hAnsi="宋体" w:cs="宋体" w:eastAsia="宋体" w:hint="default"/>
                <w:sz w:val="18"/>
                <w:szCs w:val="18"/>
              </w:rPr>
              <w:t>民</w:t>
            </w:r>
            <w:r>
              <w:rPr>
                <w:rFonts w:ascii="宋体" w:hAnsi="宋体" w:cs="宋体" w:eastAsia="宋体" w:hint="default"/>
                <w:spacing w:val="-65"/>
                <w:sz w:val="18"/>
                <w:szCs w:val="18"/>
              </w:rPr>
              <w:t> </w:t>
            </w:r>
            <w:r>
              <w:rPr>
                <w:rFonts w:ascii="宋体" w:hAnsi="宋体" w:cs="宋体" w:eastAsia="宋体" w:hint="default"/>
                <w:sz w:val="18"/>
                <w:szCs w:val="18"/>
              </w:rPr>
              <w:t>币</w:t>
            </w:r>
          </w:p>
          <w:p>
            <w:pPr>
              <w:pStyle w:val="TableParagraph"/>
              <w:spacing w:line="240" w:lineRule="auto" w:before="63"/>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1,240,114,143.15  </w:t>
            </w:r>
            <w:r>
              <w:rPr>
                <w:rFonts w:ascii="宋体" w:hAnsi="宋体" w:cs="宋体" w:eastAsia="宋体" w:hint="default"/>
                <w:sz w:val="18"/>
                <w:szCs w:val="18"/>
              </w:rPr>
              <w:t>元。经统筹考虑公司资金使用情况，</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年利润分配预案为：以第六届董事会第十八次会议召开日公</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司总股本</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4</w:t>
            </w:r>
            <w:r>
              <w:rPr>
                <w:rFonts w:ascii="Times New Roman" w:hAnsi="Times New Roman" w:cs="Times New Roman" w:eastAsia="Times New Roman" w:hint="default"/>
                <w:spacing w:val="-2"/>
                <w:sz w:val="18"/>
                <w:szCs w:val="18"/>
              </w:rPr>
              <w:t>8</w:t>
            </w:r>
            <w:r>
              <w:rPr>
                <w:rFonts w:ascii="Times New Roman" w:hAnsi="Times New Roman" w:cs="Times New Roman" w:eastAsia="Times New Roman" w:hint="default"/>
                <w:spacing w:val="1"/>
                <w:sz w:val="18"/>
                <w:szCs w:val="18"/>
              </w:rPr>
              <w:t>5</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5</w:t>
            </w:r>
            <w:r>
              <w:rPr>
                <w:rFonts w:ascii="Times New Roman" w:hAnsi="Times New Roman" w:cs="Times New Roman" w:eastAsia="Times New Roman" w:hint="default"/>
                <w:spacing w:val="1"/>
                <w:sz w:val="18"/>
                <w:szCs w:val="18"/>
              </w:rPr>
              <w:t>3</w:t>
            </w:r>
            <w:r>
              <w:rPr>
                <w:rFonts w:ascii="Times New Roman" w:hAnsi="Times New Roman" w:cs="Times New Roman" w:eastAsia="Times New Roman" w:hint="default"/>
                <w:spacing w:val="-2"/>
                <w:sz w:val="18"/>
                <w:szCs w:val="18"/>
              </w:rPr>
              <w:t>8</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7</w:t>
            </w:r>
            <w:r>
              <w:rPr>
                <w:rFonts w:ascii="Times New Roman" w:hAnsi="Times New Roman" w:cs="Times New Roman" w:eastAsia="Times New Roman" w:hint="default"/>
                <w:spacing w:val="1"/>
                <w:sz w:val="18"/>
                <w:szCs w:val="18"/>
              </w:rPr>
              <w:t>7</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股为基数，以未分配利润向全体股东每</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股派发现金股利</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5</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元（含税</w:t>
            </w:r>
            <w:r>
              <w:rPr>
                <w:rFonts w:ascii="宋体" w:hAnsi="宋体" w:cs="宋体" w:eastAsia="宋体" w:hint="default"/>
                <w:spacing w:val="-89"/>
                <w:sz w:val="18"/>
                <w:szCs w:val="18"/>
              </w:rPr>
              <w:t>）</w:t>
            </w:r>
            <w:r>
              <w:rPr>
                <w:rFonts w:ascii="宋体" w:hAnsi="宋体" w:cs="宋体" w:eastAsia="宋体" w:hint="default"/>
                <w:sz w:val="18"/>
                <w:szCs w:val="18"/>
              </w:rPr>
              <w:t>，共计派发股利人民币</w:t>
            </w:r>
          </w:p>
          <w:p>
            <w:pPr>
              <w:pStyle w:val="TableParagraph"/>
              <w:spacing w:line="300" w:lineRule="auto" w:before="63"/>
              <w:ind w:left="101" w:right="101"/>
              <w:jc w:val="left"/>
              <w:rPr>
                <w:rFonts w:ascii="宋体" w:hAnsi="宋体" w:cs="宋体" w:eastAsia="宋体" w:hint="default"/>
                <w:sz w:val="18"/>
                <w:szCs w:val="18"/>
              </w:rPr>
            </w:pPr>
            <w:r>
              <w:rPr>
                <w:rFonts w:ascii="Times New Roman" w:hAnsi="Times New Roman" w:cs="Times New Roman" w:eastAsia="Times New Roman" w:hint="default"/>
                <w:sz w:val="18"/>
                <w:szCs w:val="18"/>
              </w:rPr>
              <w:t>24,276,938.70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元，同时以资本公积金向全体股东每</w:t>
            </w:r>
            <w:r>
              <w:rPr>
                <w:rFonts w:ascii="宋体" w:hAnsi="宋体" w:cs="宋体" w:eastAsia="宋体" w:hint="default"/>
                <w:spacing w:val="-32"/>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股转增</w:t>
            </w:r>
            <w:r>
              <w:rPr>
                <w:rFonts w:ascii="宋体" w:hAnsi="宋体" w:cs="宋体" w:eastAsia="宋体" w:hint="default"/>
                <w:spacing w:val="-32"/>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股。利润分配方案实施时若公司股本发生变动，将按照</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分配总额不变的原则进行调整。</w:t>
            </w:r>
          </w:p>
        </w:tc>
      </w:tr>
    </w:tbl>
    <w:p>
      <w:pPr>
        <w:pStyle w:val="BodyText"/>
        <w:spacing w:line="240" w:lineRule="auto" w:before="26"/>
        <w:ind w:right="0"/>
        <w:jc w:val="left"/>
      </w:pPr>
      <w:r>
        <w:rPr/>
        <w:t>公司近</w:t>
      </w:r>
      <w:r>
        <w:rPr>
          <w:rFonts w:ascii="Times New Roman" w:hAnsi="Times New Roman" w:cs="Times New Roman" w:eastAsia="Times New Roman" w:hint="default"/>
          <w:spacing w:val="1"/>
        </w:rPr>
        <w:t>3</w:t>
      </w:r>
      <w:r>
        <w:rPr/>
        <w:t>年（包括本报告期）的普通股股利分配方案（预案</w:t>
      </w:r>
      <w:r>
        <w:rPr>
          <w:spacing w:val="-92"/>
        </w:rPr>
        <w:t>）</w:t>
      </w:r>
      <w:r>
        <w:rPr/>
        <w:t>、资本公积金转增股本方案（预案）情况</w:t>
      </w:r>
    </w:p>
    <w:p>
      <w:pPr>
        <w:pStyle w:val="BodyText"/>
        <w:spacing w:line="300" w:lineRule="auto" w:before="63"/>
        <w:ind w:right="1124" w:firstLine="360"/>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2016</w:t>
      </w:r>
      <w:r>
        <w:rPr/>
        <w:t>年年度年度利润分配方案：以截至第五届董事会第三十一次会议公告日公司总股本</w:t>
      </w:r>
      <w:r>
        <w:rPr>
          <w:rFonts w:ascii="Times New Roman" w:hAnsi="Times New Roman" w:cs="Times New Roman" w:eastAsia="Times New Roman" w:hint="default"/>
        </w:rPr>
        <w:t>242,949,263</w:t>
      </w:r>
      <w:r>
        <w:rPr/>
        <w:t>股为基数，以未 </w:t>
      </w:r>
      <w:r>
        <w:rPr>
          <w:spacing w:val="-3"/>
        </w:rPr>
        <w:t>分配利润向全体股东每</w:t>
      </w:r>
      <w:r>
        <w:rPr>
          <w:rFonts w:ascii="Times New Roman" w:hAnsi="Times New Roman" w:cs="Times New Roman" w:eastAsia="Times New Roman" w:hint="default"/>
          <w:spacing w:val="-3"/>
        </w:rPr>
        <w:t>10</w:t>
      </w:r>
      <w:r>
        <w:rPr>
          <w:spacing w:val="-3"/>
        </w:rPr>
        <w:t>股派发现金股利</w:t>
      </w:r>
      <w:r>
        <w:rPr>
          <w:rFonts w:ascii="Times New Roman" w:hAnsi="Times New Roman" w:cs="Times New Roman" w:eastAsia="Times New Roman" w:hint="default"/>
          <w:spacing w:val="-3"/>
        </w:rPr>
        <w:t>1.0</w:t>
      </w:r>
      <w:r>
        <w:rPr>
          <w:spacing w:val="-3"/>
        </w:rPr>
        <w:t>元（含税），不送红股、不以公积金转增股本。</w:t>
      </w:r>
    </w:p>
    <w:p>
      <w:pPr>
        <w:pStyle w:val="BodyText"/>
        <w:spacing w:line="300" w:lineRule="auto" w:before="13"/>
        <w:ind w:right="1124" w:firstLine="360"/>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2017</w:t>
      </w:r>
      <w:r>
        <w:rPr/>
        <w:t>年年度利润分配预案为：以截至第六届董事会第七会议公告日公司总股本</w:t>
      </w:r>
      <w:r>
        <w:rPr>
          <w:rFonts w:ascii="Times New Roman" w:hAnsi="Times New Roman" w:cs="Times New Roman" w:eastAsia="Times New Roman" w:hint="default"/>
        </w:rPr>
        <w:t>242,801,887</w:t>
      </w:r>
      <w:r>
        <w:rPr/>
        <w:t>股为基数，以未分配利润 </w:t>
      </w:r>
      <w:r>
        <w:rPr>
          <w:spacing w:val="-2"/>
        </w:rPr>
        <w:t>向全体股东每</w:t>
      </w:r>
      <w:r>
        <w:rPr>
          <w:rFonts w:ascii="Times New Roman" w:hAnsi="Times New Roman" w:cs="Times New Roman" w:eastAsia="Times New Roman" w:hint="default"/>
          <w:spacing w:val="-2"/>
        </w:rPr>
        <w:t>10</w:t>
      </w:r>
      <w:r>
        <w:rPr>
          <w:spacing w:val="-2"/>
        </w:rPr>
        <w:t>股派发现金股利</w:t>
      </w:r>
      <w:r>
        <w:rPr>
          <w:rFonts w:ascii="Times New Roman" w:hAnsi="Times New Roman" w:cs="Times New Roman" w:eastAsia="Times New Roman" w:hint="default"/>
          <w:spacing w:val="-2"/>
        </w:rPr>
        <w:t>1.00</w:t>
      </w:r>
      <w:r>
        <w:rPr>
          <w:spacing w:val="-2"/>
        </w:rPr>
        <w:t>元（含税），同时以资本公积金向全体股东每</w:t>
      </w:r>
      <w:r>
        <w:rPr>
          <w:rFonts w:ascii="Times New Roman" w:hAnsi="Times New Roman" w:cs="Times New Roman" w:eastAsia="Times New Roman" w:hint="default"/>
          <w:spacing w:val="-2"/>
        </w:rPr>
        <w:t>10</w:t>
      </w:r>
      <w:r>
        <w:rPr>
          <w:spacing w:val="-2"/>
        </w:rPr>
        <w:t>股转增</w:t>
      </w:r>
      <w:r>
        <w:rPr>
          <w:rFonts w:ascii="Times New Roman" w:hAnsi="Times New Roman" w:cs="Times New Roman" w:eastAsia="Times New Roman" w:hint="default"/>
          <w:spacing w:val="-2"/>
        </w:rPr>
        <w:t>10</w:t>
      </w:r>
      <w:r>
        <w:rPr>
          <w:spacing w:val="-2"/>
        </w:rPr>
        <w:t>股。利润分配方案实施时若公</w:t>
      </w:r>
    </w:p>
    <w:p>
      <w:pPr>
        <w:spacing w:after="0" w:line="30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right="0"/>
        <w:jc w:val="left"/>
      </w:pPr>
      <w:r>
        <w:rPr/>
        <w:t>司股本发生变动，将按照分配总额不变的原则进行调整。</w:t>
      </w:r>
    </w:p>
    <w:p>
      <w:pPr>
        <w:pStyle w:val="BodyText"/>
        <w:spacing w:line="300" w:lineRule="auto" w:before="76"/>
        <w:ind w:right="1132" w:firstLine="360"/>
        <w:jc w:val="both"/>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2018</w:t>
      </w:r>
      <w:r>
        <w:rPr/>
        <w:t>年年度利润分配预案为：以截至第六届董事会第十八次会议公告日公司总股本</w:t>
      </w:r>
      <w:r>
        <w:rPr>
          <w:rFonts w:ascii="Times New Roman" w:hAnsi="Times New Roman" w:cs="Times New Roman" w:eastAsia="Times New Roman" w:hint="default"/>
        </w:rPr>
        <w:t>485,538,774</w:t>
      </w:r>
      <w:r>
        <w:rPr/>
        <w:t>股为基数，以未分配 </w:t>
      </w:r>
      <w:r>
        <w:rPr>
          <w:spacing w:val="-3"/>
        </w:rPr>
        <w:t>利润向全体股东每</w:t>
      </w:r>
      <w:r>
        <w:rPr>
          <w:rFonts w:ascii="Times New Roman" w:hAnsi="Times New Roman" w:cs="Times New Roman" w:eastAsia="Times New Roman" w:hint="default"/>
          <w:spacing w:val="-3"/>
        </w:rPr>
        <w:t>10</w:t>
      </w:r>
      <w:r>
        <w:rPr>
          <w:spacing w:val="-3"/>
        </w:rPr>
        <w:t>股派发现金股利</w:t>
      </w:r>
      <w:r>
        <w:rPr>
          <w:rFonts w:ascii="Times New Roman" w:hAnsi="Times New Roman" w:cs="Times New Roman" w:eastAsia="Times New Roman" w:hint="default"/>
          <w:spacing w:val="-3"/>
        </w:rPr>
        <w:t>0.50</w:t>
      </w:r>
      <w:r>
        <w:rPr>
          <w:spacing w:val="-3"/>
        </w:rPr>
        <w:t>元（含税），同时以资本公积金向全体股东每</w:t>
      </w:r>
      <w:r>
        <w:rPr>
          <w:rFonts w:ascii="Times New Roman" w:hAnsi="Times New Roman" w:cs="Times New Roman" w:eastAsia="Times New Roman" w:hint="default"/>
          <w:spacing w:val="-3"/>
        </w:rPr>
        <w:t>10</w:t>
      </w:r>
      <w:r>
        <w:rPr>
          <w:spacing w:val="-3"/>
        </w:rPr>
        <w:t>股转增</w:t>
      </w:r>
      <w:r>
        <w:rPr>
          <w:rFonts w:ascii="Times New Roman" w:hAnsi="Times New Roman" w:cs="Times New Roman" w:eastAsia="Times New Roman" w:hint="default"/>
          <w:spacing w:val="-3"/>
        </w:rPr>
        <w:t>5</w:t>
      </w:r>
      <w:r>
        <w:rPr>
          <w:spacing w:val="-3"/>
        </w:rPr>
        <w:t>股。利润分配方案实施时若</w:t>
      </w:r>
      <w:r>
        <w:rPr>
          <w:spacing w:val="-45"/>
        </w:rPr>
        <w:t> </w:t>
      </w:r>
      <w:r>
        <w:rPr>
          <w:spacing w:val="-45"/>
        </w:rPr>
      </w:r>
      <w:r>
        <w:rPr/>
        <w:t>公司股本发生变动，将按照分配总额不变的原则进行调整。</w:t>
      </w:r>
    </w:p>
    <w:p>
      <w:pPr>
        <w:pStyle w:val="BodyText"/>
        <w:spacing w:line="240" w:lineRule="auto" w:before="70"/>
        <w:ind w:right="0"/>
        <w:jc w:val="left"/>
      </w:pPr>
      <w:r>
        <w:rPr/>
        <w:t>公司近三年（包括本报告期）普通股现金分红情况表</w:t>
      </w:r>
    </w:p>
    <w:p>
      <w:pPr>
        <w:pStyle w:val="BodyText"/>
        <w:spacing w:line="240" w:lineRule="auto" w:before="117"/>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197"/>
        <w:gridCol w:w="1195"/>
        <w:gridCol w:w="1196"/>
        <w:gridCol w:w="1196"/>
        <w:gridCol w:w="1196"/>
        <w:gridCol w:w="1196"/>
        <w:gridCol w:w="1196"/>
        <w:gridCol w:w="1196"/>
      </w:tblGrid>
      <w:tr>
        <w:trPr>
          <w:trHeight w:val="2586"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33"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1"/>
                <w:szCs w:val="21"/>
              </w:rPr>
            </w:pPr>
          </w:p>
          <w:p>
            <w:pPr>
              <w:pStyle w:val="TableParagraph"/>
              <w:spacing w:line="316" w:lineRule="auto"/>
              <w:ind w:left="141" w:right="142"/>
              <w:jc w:val="left"/>
              <w:rPr>
                <w:rFonts w:ascii="宋体" w:hAnsi="宋体" w:cs="宋体" w:eastAsia="宋体" w:hint="default"/>
                <w:sz w:val="18"/>
                <w:szCs w:val="18"/>
              </w:rPr>
            </w:pPr>
            <w:r>
              <w:rPr>
                <w:rFonts w:ascii="宋体" w:hAnsi="宋体" w:cs="宋体" w:eastAsia="宋体" w:hint="default"/>
                <w:sz w:val="18"/>
                <w:szCs w:val="18"/>
              </w:rPr>
              <w:t>现金分红金 额（含税）</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316" w:lineRule="auto"/>
              <w:ind w:left="143" w:right="140"/>
              <w:jc w:val="both"/>
              <w:rPr>
                <w:rFonts w:ascii="宋体" w:hAnsi="宋体" w:cs="宋体" w:eastAsia="宋体" w:hint="default"/>
                <w:sz w:val="18"/>
                <w:szCs w:val="18"/>
              </w:rPr>
            </w:pPr>
            <w:r>
              <w:rPr>
                <w:rFonts w:ascii="宋体" w:hAnsi="宋体" w:cs="宋体" w:eastAsia="宋体" w:hint="default"/>
                <w:sz w:val="18"/>
                <w:szCs w:val="18"/>
              </w:rPr>
              <w:t>分红年度合 并报表中归 属于上市公 司普通股股 东的净利润</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42" w:right="141"/>
              <w:jc w:val="center"/>
              <w:rPr>
                <w:rFonts w:ascii="宋体" w:hAnsi="宋体" w:cs="宋体" w:eastAsia="宋体" w:hint="default"/>
                <w:sz w:val="18"/>
                <w:szCs w:val="18"/>
              </w:rPr>
            </w:pPr>
            <w:r>
              <w:rPr>
                <w:rFonts w:ascii="宋体" w:hAnsi="宋体" w:cs="宋体" w:eastAsia="宋体" w:hint="default"/>
                <w:sz w:val="18"/>
                <w:szCs w:val="18"/>
              </w:rPr>
              <w:t>现金分红金 额占合并报 表中归属于 上市公司普 通股股东的 净利润的比 率</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42" w:right="0"/>
              <w:jc w:val="both"/>
              <w:rPr>
                <w:rFonts w:ascii="宋体" w:hAnsi="宋体" w:cs="宋体" w:eastAsia="宋体" w:hint="default"/>
                <w:sz w:val="18"/>
                <w:szCs w:val="18"/>
              </w:rPr>
            </w:pPr>
            <w:r>
              <w:rPr>
                <w:rFonts w:ascii="宋体" w:hAnsi="宋体" w:cs="宋体" w:eastAsia="宋体" w:hint="default"/>
                <w:sz w:val="18"/>
                <w:szCs w:val="18"/>
              </w:rPr>
              <w:t>以其他方式</w:t>
            </w:r>
          </w:p>
          <w:p>
            <w:pPr>
              <w:pStyle w:val="TableParagraph"/>
              <w:spacing w:line="316" w:lineRule="auto" w:before="76"/>
              <w:ind w:left="142" w:right="142"/>
              <w:jc w:val="both"/>
              <w:rPr>
                <w:rFonts w:ascii="宋体" w:hAnsi="宋体" w:cs="宋体" w:eastAsia="宋体" w:hint="default"/>
                <w:sz w:val="18"/>
                <w:szCs w:val="18"/>
              </w:rPr>
            </w:pPr>
            <w:r>
              <w:rPr>
                <w:rFonts w:ascii="宋体" w:hAnsi="宋体" w:cs="宋体" w:eastAsia="宋体" w:hint="default"/>
                <w:sz w:val="18"/>
                <w:szCs w:val="18"/>
              </w:rPr>
              <w:t>（如回购股 份）现金分 红的金额</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43" w:right="140"/>
              <w:jc w:val="center"/>
              <w:rPr>
                <w:rFonts w:ascii="宋体" w:hAnsi="宋体" w:cs="宋体" w:eastAsia="宋体" w:hint="default"/>
                <w:sz w:val="18"/>
                <w:szCs w:val="18"/>
              </w:rPr>
            </w:pPr>
            <w:r>
              <w:rPr>
                <w:rFonts w:ascii="宋体" w:hAnsi="宋体" w:cs="宋体" w:eastAsia="宋体" w:hint="default"/>
                <w:sz w:val="18"/>
                <w:szCs w:val="18"/>
              </w:rPr>
              <w:t>以其他方式 现金分红金 额占合并报 表中归属于 上市公司普 通股股东的 净利润的比 例</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3"/>
              <w:ind w:left="142" w:right="141"/>
              <w:jc w:val="center"/>
              <w:rPr>
                <w:rFonts w:ascii="宋体" w:hAnsi="宋体" w:cs="宋体" w:eastAsia="宋体" w:hint="default"/>
                <w:sz w:val="18"/>
                <w:szCs w:val="18"/>
              </w:rPr>
            </w:pPr>
            <w:r>
              <w:rPr>
                <w:rFonts w:ascii="宋体" w:hAnsi="宋体" w:cs="宋体" w:eastAsia="宋体" w:hint="default"/>
                <w:sz w:val="18"/>
                <w:szCs w:val="18"/>
              </w:rPr>
              <w:t>现金分红总 额（含其他 方式）</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41" w:right="142"/>
              <w:jc w:val="center"/>
              <w:rPr>
                <w:rFonts w:ascii="宋体" w:hAnsi="宋体" w:cs="宋体" w:eastAsia="宋体" w:hint="default"/>
                <w:sz w:val="18"/>
                <w:szCs w:val="18"/>
              </w:rPr>
            </w:pPr>
            <w:r>
              <w:rPr>
                <w:rFonts w:ascii="宋体" w:hAnsi="宋体" w:cs="宋体" w:eastAsia="宋体" w:hint="default"/>
                <w:sz w:val="18"/>
                <w:szCs w:val="18"/>
              </w:rPr>
              <w:t>现金分红总 额（含其他 方式）占合 并报表中归 属于上市公 司普通股股 东的净利润 的比率</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24,276,938.7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212,681,116.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27</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2"/>
                <w:sz w:val="18"/>
              </w:rPr>
              <w:t>11.41%</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24,276,938.7</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11.41%</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24,262,441.7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163,244,227.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81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14.86%</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24,262,441.7</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14.86%</w:t>
            </w:r>
          </w:p>
        </w:tc>
      </w:tr>
      <w:tr>
        <w:trPr>
          <w:trHeight w:val="714"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24,282,120.0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5</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63,003,453.1</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38.54%</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24,282,120.0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5</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38.54%</w:t>
            </w:r>
          </w:p>
        </w:tc>
      </w:tr>
    </w:tbl>
    <w:p>
      <w:pPr>
        <w:spacing w:line="240" w:lineRule="auto" w:before="5"/>
        <w:rPr>
          <w:rFonts w:ascii="宋体" w:hAnsi="宋体" w:cs="宋体" w:eastAsia="宋体" w:hint="default"/>
          <w:sz w:val="27"/>
          <w:szCs w:val="27"/>
        </w:rPr>
      </w:pPr>
    </w:p>
    <w:p>
      <w:pPr>
        <w:pStyle w:val="BodyText"/>
        <w:spacing w:line="240" w:lineRule="auto" w:before="44"/>
        <w:ind w:right="0"/>
        <w:jc w:val="left"/>
      </w:pPr>
      <w:r>
        <w:rPr/>
        <w:t>公司报告期内盈利且母公司可供普通股股东分配利润为正但未提出普通股现金红利分配预案</w:t>
      </w:r>
    </w:p>
    <w:p>
      <w:pPr>
        <w:pStyle w:val="BodyText"/>
        <w:spacing w:line="240" w:lineRule="auto" w:before="117"/>
        <w:ind w:left="204" w:right="0"/>
        <w:jc w:val="left"/>
      </w:pPr>
      <w:r>
        <w:rPr/>
        <w:t>□ 适用  √</w:t>
      </w:r>
      <w:r>
        <w:rPr>
          <w:spacing w:val="-1"/>
        </w:rPr>
        <w:t> </w:t>
      </w:r>
      <w:r>
        <w:rPr/>
        <w:t>不适用</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bookmarkStart w:name="二、承诺事项履行情况" w:id="74"/>
      <w:bookmarkEnd w:id="74"/>
      <w:r>
        <w:rPr>
          <w:b w:val="0"/>
          <w:bCs w:val="0"/>
        </w:rPr>
      </w:r>
      <w:r>
        <w:rPr/>
        <w:t>二、承诺事项履行情况</w:t>
      </w:r>
      <w:r>
        <w:rPr>
          <w:b w:val="0"/>
          <w:bCs w:val="0"/>
        </w:rPr>
      </w:r>
    </w:p>
    <w:p>
      <w:pPr>
        <w:spacing w:line="240" w:lineRule="auto" w:before="9"/>
        <w:rPr>
          <w:rFonts w:ascii="宋体" w:hAnsi="宋体" w:cs="宋体" w:eastAsia="宋体" w:hint="default"/>
          <w:b/>
          <w:bCs/>
          <w:sz w:val="24"/>
          <w:szCs w:val="24"/>
        </w:rPr>
      </w:pPr>
    </w:p>
    <w:p>
      <w:pPr>
        <w:pStyle w:val="Heading3"/>
        <w:spacing w:line="256" w:lineRule="auto"/>
        <w:ind w:right="0"/>
        <w:jc w:val="left"/>
        <w:rPr>
          <w:b w:val="0"/>
          <w:bCs w:val="0"/>
        </w:rPr>
      </w:pPr>
      <w:bookmarkStart w:name="1、公司实际控制人、股东、关联方、收购人以及公司等承诺相关方在报告期内履行完毕及" w:id="75"/>
      <w:bookmarkEnd w:id="75"/>
      <w:r>
        <w:rPr>
          <w:b w:val="0"/>
          <w:bCs w:val="0"/>
        </w:rPr>
      </w:r>
      <w:r>
        <w:rPr>
          <w:rFonts w:ascii="Times New Roman" w:hAnsi="Times New Roman" w:cs="Times New Roman" w:eastAsia="Times New Roman" w:hint="default"/>
          <w:spacing w:val="3"/>
          <w:w w:val="95"/>
        </w:rPr>
        <w:t>1</w:t>
      </w:r>
      <w:r>
        <w:rPr>
          <w:spacing w:val="3"/>
          <w:w w:val="95"/>
        </w:rPr>
        <w:t>、公司实际控制人、股东、关联方、收购人以及公司等承诺相关方在报告期内履行完毕及截至报告期末</w:t>
      </w:r>
      <w:r>
        <w:rPr>
          <w:spacing w:val="95"/>
          <w:w w:val="95"/>
        </w:rPr>
        <w:t> </w:t>
      </w:r>
      <w:r>
        <w:rPr>
          <w:spacing w:val="95"/>
          <w:w w:val="95"/>
        </w:rPr>
      </w:r>
      <w:r>
        <w:rPr/>
        <w:t>尚未履行完毕的承诺事项</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 适用 </w:t>
      </w:r>
      <w:r>
        <w:rPr>
          <w:spacing w:val="1"/>
        </w:rPr>
        <w:t> </w:t>
      </w:r>
      <w:r>
        <w:rPr/>
        <w:t>□不适用</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842"/>
        <w:gridCol w:w="839"/>
        <w:gridCol w:w="631"/>
        <w:gridCol w:w="3810"/>
        <w:gridCol w:w="990"/>
        <w:gridCol w:w="810"/>
        <w:gridCol w:w="645"/>
      </w:tblGrid>
      <w:tr>
        <w:trPr>
          <w:trHeight w:val="714" w:hRule="exact"/>
        </w:trPr>
        <w:tc>
          <w:tcPr>
            <w:tcW w:w="18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承诺来源</w:t>
            </w:r>
          </w:p>
        </w:tc>
        <w:tc>
          <w:tcPr>
            <w:tcW w:w="8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3"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6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30" w:right="128"/>
              <w:jc w:val="left"/>
              <w:rPr>
                <w:rFonts w:ascii="宋体" w:hAnsi="宋体" w:cs="宋体" w:eastAsia="宋体" w:hint="default"/>
                <w:sz w:val="18"/>
                <w:szCs w:val="18"/>
              </w:rPr>
            </w:pPr>
            <w:r>
              <w:rPr>
                <w:rFonts w:ascii="宋体" w:hAnsi="宋体" w:cs="宋体" w:eastAsia="宋体" w:hint="default"/>
                <w:sz w:val="18"/>
                <w:szCs w:val="18"/>
              </w:rPr>
              <w:t>承诺 类型</w:t>
            </w:r>
          </w:p>
        </w:tc>
        <w:tc>
          <w:tcPr>
            <w:tcW w:w="38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9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8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10" w:right="127" w:hanging="180"/>
              <w:jc w:val="left"/>
              <w:rPr>
                <w:rFonts w:ascii="宋体" w:hAnsi="宋体" w:cs="宋体" w:eastAsia="宋体" w:hint="default"/>
                <w:sz w:val="18"/>
                <w:szCs w:val="18"/>
              </w:rPr>
            </w:pPr>
            <w:r>
              <w:rPr>
                <w:rFonts w:ascii="宋体" w:hAnsi="宋体" w:cs="宋体" w:eastAsia="宋体" w:hint="default"/>
                <w:sz w:val="18"/>
                <w:szCs w:val="18"/>
              </w:rPr>
              <w:t>承诺期 限</w:t>
            </w:r>
          </w:p>
        </w:tc>
        <w:tc>
          <w:tcPr>
            <w:tcW w:w="6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36" w:right="136"/>
              <w:jc w:val="left"/>
              <w:rPr>
                <w:rFonts w:ascii="宋体" w:hAnsi="宋体" w:cs="宋体" w:eastAsia="宋体" w:hint="default"/>
                <w:sz w:val="18"/>
                <w:szCs w:val="18"/>
              </w:rPr>
            </w:pPr>
            <w:r>
              <w:rPr>
                <w:rFonts w:ascii="宋体" w:hAnsi="宋体" w:cs="宋体" w:eastAsia="宋体" w:hint="default"/>
                <w:sz w:val="18"/>
                <w:szCs w:val="18"/>
              </w:rPr>
              <w:t>履行 情况</w:t>
            </w:r>
          </w:p>
        </w:tc>
      </w:tr>
      <w:tr>
        <w:trPr>
          <w:trHeight w:val="356" w:hRule="exact"/>
        </w:trPr>
        <w:tc>
          <w:tcPr>
            <w:tcW w:w="1842" w:type="dxa"/>
            <w:tcBorders>
              <w:top w:val="single" w:sz="4" w:space="0" w:color="000000"/>
              <w:left w:val="single" w:sz="4" w:space="0" w:color="000000"/>
              <w:bottom w:val="nil" w:sz="6" w:space="0" w:color="auto"/>
              <w:right w:val="single" w:sz="4" w:space="0" w:color="000000"/>
            </w:tcBorders>
            <w:shd w:val="clear" w:color="auto" w:fill="D2D2D2"/>
          </w:tcPr>
          <w:p>
            <w:pPr/>
          </w:p>
        </w:tc>
        <w:tc>
          <w:tcPr>
            <w:tcW w:w="839" w:type="dxa"/>
            <w:tcBorders>
              <w:top w:val="single" w:sz="4" w:space="0" w:color="000000"/>
              <w:left w:val="single" w:sz="4" w:space="0" w:color="000000"/>
              <w:bottom w:val="nil" w:sz="6" w:space="0" w:color="auto"/>
              <w:right w:val="single" w:sz="4" w:space="0" w:color="000000"/>
            </w:tcBorders>
          </w:tcPr>
          <w:p>
            <w:pPr/>
          </w:p>
        </w:tc>
        <w:tc>
          <w:tcPr>
            <w:tcW w:w="631" w:type="dxa"/>
            <w:tcBorders>
              <w:top w:val="single" w:sz="4" w:space="0" w:color="000000"/>
              <w:left w:val="single" w:sz="4" w:space="0" w:color="000000"/>
              <w:bottom w:val="nil" w:sz="6" w:space="0" w:color="auto"/>
              <w:right w:val="single" w:sz="4" w:space="0" w:color="000000"/>
            </w:tcBorders>
          </w:tcPr>
          <w:p>
            <w:pP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本人在担任创业慧康董事、监事或高级管理人</w:t>
            </w:r>
          </w:p>
        </w:tc>
        <w:tc>
          <w:tcPr>
            <w:tcW w:w="990" w:type="dxa"/>
            <w:tcBorders>
              <w:top w:val="single" w:sz="4" w:space="0" w:color="000000"/>
              <w:left w:val="single" w:sz="4" w:space="0" w:color="000000"/>
              <w:bottom w:val="nil" w:sz="6" w:space="0" w:color="auto"/>
              <w:right w:val="single" w:sz="4" w:space="0" w:color="000000"/>
            </w:tcBorders>
          </w:tcPr>
          <w:p>
            <w:pPr/>
          </w:p>
        </w:tc>
        <w:tc>
          <w:tcPr>
            <w:tcW w:w="810" w:type="dxa"/>
            <w:tcBorders>
              <w:top w:val="single" w:sz="4" w:space="0" w:color="000000"/>
              <w:left w:val="single" w:sz="4" w:space="0" w:color="000000"/>
              <w:bottom w:val="nil" w:sz="6" w:space="0" w:color="auto"/>
              <w:right w:val="single" w:sz="4" w:space="0" w:color="000000"/>
            </w:tcBorders>
          </w:tcPr>
          <w:p>
            <w:pPr/>
          </w:p>
        </w:tc>
        <w:tc>
          <w:tcPr>
            <w:tcW w:w="645"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员期间，每年转让的股份不超过本人直接或间</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936"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1" w:right="108"/>
              <w:jc w:val="left"/>
              <w:rPr>
                <w:rFonts w:ascii="宋体" w:hAnsi="宋体" w:cs="宋体" w:eastAsia="宋体" w:hint="default"/>
                <w:sz w:val="18"/>
                <w:szCs w:val="18"/>
              </w:rPr>
            </w:pPr>
            <w:r>
              <w:rPr>
                <w:rFonts w:ascii="宋体" w:hAnsi="宋体" w:cs="宋体" w:eastAsia="宋体" w:hint="default"/>
                <w:sz w:val="18"/>
                <w:szCs w:val="18"/>
              </w:rPr>
              <w:t>收购报告书或权益变 动报告书中所作承诺</w:t>
            </w: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张吕峥</w:t>
            </w: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4" w:right="155"/>
              <w:jc w:val="both"/>
              <w:rPr>
                <w:rFonts w:ascii="宋体" w:hAnsi="宋体" w:cs="宋体" w:eastAsia="宋体" w:hint="default"/>
                <w:sz w:val="18"/>
                <w:szCs w:val="18"/>
              </w:rPr>
            </w:pPr>
            <w:r>
              <w:rPr>
                <w:rFonts w:ascii="宋体" w:hAnsi="宋体" w:cs="宋体" w:eastAsia="宋体" w:hint="default"/>
                <w:sz w:val="18"/>
                <w:szCs w:val="18"/>
              </w:rPr>
              <w:t>股份 锁定 承诺</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96"/>
              <w:jc w:val="both"/>
              <w:rPr>
                <w:rFonts w:ascii="宋体" w:hAnsi="宋体" w:cs="宋体" w:eastAsia="宋体" w:hint="default"/>
                <w:sz w:val="18"/>
                <w:szCs w:val="18"/>
              </w:rPr>
            </w:pPr>
            <w:r>
              <w:rPr>
                <w:rFonts w:ascii="宋体" w:hAnsi="宋体" w:cs="宋体" w:eastAsia="宋体" w:hint="default"/>
                <w:sz w:val="18"/>
                <w:szCs w:val="18"/>
              </w:rPr>
              <w:t>接持有的创业慧康股份总数的百分之二十五； 若今后从创业慧康离职，离职后半年内，不转 让本人直接或间接持有的创业慧康股份。在上</w:t>
            </w:r>
          </w:p>
        </w:tc>
        <w:tc>
          <w:tcPr>
            <w:tcW w:w="99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81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1" w:right="156"/>
              <w:jc w:val="left"/>
              <w:rPr>
                <w:rFonts w:ascii="宋体" w:hAnsi="宋体" w:cs="宋体" w:eastAsia="宋体" w:hint="default"/>
                <w:sz w:val="18"/>
                <w:szCs w:val="18"/>
              </w:rPr>
            </w:pPr>
            <w:r>
              <w:rPr>
                <w:rFonts w:ascii="宋体" w:hAnsi="宋体" w:cs="宋体" w:eastAsia="宋体" w:hint="default"/>
                <w:sz w:val="18"/>
                <w:szCs w:val="18"/>
              </w:rPr>
              <w:t>担任高 管期间</w:t>
            </w:r>
          </w:p>
        </w:tc>
        <w:tc>
          <w:tcPr>
            <w:tcW w:w="64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3" w:right="170"/>
              <w:jc w:val="left"/>
              <w:rPr>
                <w:rFonts w:ascii="宋体" w:hAnsi="宋体" w:cs="宋体" w:eastAsia="宋体" w:hint="default"/>
                <w:sz w:val="18"/>
                <w:szCs w:val="18"/>
              </w:rPr>
            </w:pPr>
            <w:r>
              <w:rPr>
                <w:rFonts w:ascii="宋体" w:hAnsi="宋体" w:cs="宋体" w:eastAsia="宋体" w:hint="default"/>
                <w:sz w:val="18"/>
                <w:szCs w:val="18"/>
              </w:rPr>
              <w:t>正常 履行</w:t>
            </w:r>
          </w:p>
        </w:tc>
      </w:tr>
      <w:tr>
        <w:trPr>
          <w:trHeight w:val="312"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述承诺履行期间，本人职务变更、离职等原因</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58" w:hRule="exact"/>
        </w:trPr>
        <w:tc>
          <w:tcPr>
            <w:tcW w:w="1842" w:type="dxa"/>
            <w:tcBorders>
              <w:top w:val="nil" w:sz="6" w:space="0" w:color="auto"/>
              <w:left w:val="single" w:sz="4" w:space="0" w:color="000000"/>
              <w:bottom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single" w:sz="4" w:space="0" w:color="000000"/>
              <w:right w:val="single" w:sz="4" w:space="0" w:color="000000"/>
            </w:tcBorders>
          </w:tcPr>
          <w:p>
            <w:pPr/>
          </w:p>
        </w:tc>
        <w:tc>
          <w:tcPr>
            <w:tcW w:w="631" w:type="dxa"/>
            <w:tcBorders>
              <w:top w:val="nil" w:sz="6" w:space="0" w:color="auto"/>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不影响本承诺的效力。</w:t>
            </w:r>
          </w:p>
        </w:tc>
        <w:tc>
          <w:tcPr>
            <w:tcW w:w="990" w:type="dxa"/>
            <w:tcBorders>
              <w:top w:val="nil" w:sz="6" w:space="0" w:color="auto"/>
              <w:left w:val="single" w:sz="4" w:space="0" w:color="000000"/>
              <w:bottom w:val="single" w:sz="4" w:space="0" w:color="000000"/>
              <w:right w:val="single" w:sz="4" w:space="0" w:color="000000"/>
            </w:tcBorders>
          </w:tcPr>
          <w:p>
            <w:pPr/>
          </w:p>
        </w:tc>
        <w:tc>
          <w:tcPr>
            <w:tcW w:w="810" w:type="dxa"/>
            <w:tcBorders>
              <w:top w:val="nil" w:sz="6" w:space="0" w:color="auto"/>
              <w:left w:val="single" w:sz="4" w:space="0" w:color="000000"/>
              <w:bottom w:val="single" w:sz="4" w:space="0" w:color="000000"/>
              <w:right w:val="single" w:sz="4" w:space="0" w:color="000000"/>
            </w:tcBorders>
          </w:tcPr>
          <w:p>
            <w:pPr/>
          </w:p>
        </w:tc>
        <w:tc>
          <w:tcPr>
            <w:tcW w:w="645" w:type="dxa"/>
            <w:tcBorders>
              <w:top w:val="nil" w:sz="6" w:space="0" w:color="auto"/>
              <w:left w:val="single" w:sz="4" w:space="0" w:color="000000"/>
              <w:bottom w:val="single" w:sz="4" w:space="0" w:color="000000"/>
              <w:right w:val="single" w:sz="4" w:space="0" w:color="000000"/>
            </w:tcBorders>
          </w:tcPr>
          <w:p>
            <w:pPr/>
          </w:p>
        </w:tc>
      </w:tr>
      <w:tr>
        <w:trPr>
          <w:trHeight w:val="712" w:hRule="exact"/>
        </w:trPr>
        <w:tc>
          <w:tcPr>
            <w:tcW w:w="18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6"/>
              <w:jc w:val="center"/>
              <w:rPr>
                <w:rFonts w:ascii="宋体" w:hAnsi="宋体" w:cs="宋体" w:eastAsia="宋体" w:hint="default"/>
                <w:sz w:val="18"/>
                <w:szCs w:val="18"/>
              </w:rPr>
            </w:pPr>
            <w:r>
              <w:rPr>
                <w:rFonts w:ascii="宋体" w:hAnsi="宋体" w:cs="宋体" w:eastAsia="宋体" w:hint="default"/>
                <w:sz w:val="18"/>
                <w:szCs w:val="18"/>
              </w:rPr>
              <w:t>资产重组时所作承诺</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0"/>
              <w:ind w:left="104" w:right="155"/>
              <w:jc w:val="left"/>
              <w:rPr>
                <w:rFonts w:ascii="宋体" w:hAnsi="宋体" w:cs="宋体" w:eastAsia="宋体" w:hint="default"/>
                <w:sz w:val="18"/>
                <w:szCs w:val="18"/>
              </w:rPr>
            </w:pPr>
            <w:r>
              <w:rPr>
                <w:rFonts w:ascii="宋体" w:hAnsi="宋体" w:cs="宋体" w:eastAsia="宋体" w:hint="default"/>
                <w:sz w:val="18"/>
                <w:szCs w:val="18"/>
              </w:rPr>
              <w:t>股份 锁定</w:t>
            </w:r>
          </w:p>
        </w:tc>
        <w:tc>
          <w:tcPr>
            <w:tcW w:w="381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0"/>
              <w:ind w:left="101" w:right="185"/>
              <w:jc w:val="left"/>
              <w:rPr>
                <w:rFonts w:ascii="宋体" w:hAnsi="宋体" w:cs="宋体" w:eastAsia="宋体" w:hint="default"/>
                <w:sz w:val="18"/>
                <w:szCs w:val="18"/>
              </w:rPr>
            </w:pPr>
            <w:r>
              <w:rPr>
                <w:rFonts w:ascii="宋体" w:hAnsi="宋体" w:cs="宋体" w:eastAsia="宋体" w:hint="default"/>
                <w:sz w:val="18"/>
                <w:szCs w:val="18"/>
              </w:rPr>
              <w:t>自认购的创业慧康新增股份在法定登记机构 登记于本人名下并上市之日起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个月内，不</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02</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36 </w:t>
            </w:r>
            <w:r>
              <w:rPr>
                <w:rFonts w:ascii="宋体" w:hAnsi="宋体" w:cs="宋体" w:eastAsia="宋体" w:hint="default"/>
                <w:sz w:val="18"/>
                <w:szCs w:val="18"/>
              </w:rPr>
              <w:t>个月</w:t>
            </w:r>
          </w:p>
        </w:tc>
        <w:tc>
          <w:tcPr>
            <w:tcW w:w="6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0"/>
              <w:jc w:val="left"/>
              <w:rPr>
                <w:rFonts w:ascii="宋体" w:hAnsi="宋体" w:cs="宋体" w:eastAsia="宋体" w:hint="default"/>
                <w:sz w:val="18"/>
                <w:szCs w:val="18"/>
              </w:rPr>
            </w:pPr>
            <w:r>
              <w:rPr>
                <w:rFonts w:ascii="宋体" w:hAnsi="宋体" w:cs="宋体" w:eastAsia="宋体" w:hint="default"/>
                <w:sz w:val="18"/>
                <w:szCs w:val="18"/>
              </w:rPr>
              <w:t>正常 履行</w:t>
            </w:r>
          </w:p>
        </w:tc>
      </w:tr>
    </w:tbl>
    <w:p>
      <w:pPr>
        <w:spacing w:after="0" w:line="316"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842"/>
        <w:gridCol w:w="839"/>
        <w:gridCol w:w="631"/>
        <w:gridCol w:w="3810"/>
        <w:gridCol w:w="990"/>
        <w:gridCol w:w="810"/>
        <w:gridCol w:w="645"/>
      </w:tblGrid>
      <w:tr>
        <w:trPr>
          <w:trHeight w:val="318" w:hRule="exact"/>
        </w:trPr>
        <w:tc>
          <w:tcPr>
            <w:tcW w:w="1842" w:type="dxa"/>
            <w:vMerge w:val="restart"/>
            <w:tcBorders>
              <w:top w:val="single" w:sz="4" w:space="0" w:color="000000"/>
              <w:left w:val="single" w:sz="4" w:space="0" w:color="000000"/>
              <w:right w:val="single" w:sz="4" w:space="0" w:color="000000"/>
            </w:tcBorders>
            <w:shd w:val="clear" w:color="auto" w:fill="D2D2D2"/>
          </w:tcPr>
          <w:p>
            <w:pPr/>
          </w:p>
        </w:tc>
        <w:tc>
          <w:tcPr>
            <w:tcW w:w="839" w:type="dxa"/>
            <w:vMerge w:val="restart"/>
            <w:tcBorders>
              <w:top w:val="single" w:sz="4" w:space="0" w:color="000000"/>
              <w:left w:val="single" w:sz="4" w:space="0" w:color="000000"/>
              <w:right w:val="single" w:sz="4" w:space="0" w:color="000000"/>
            </w:tcBorders>
          </w:tcPr>
          <w:p>
            <w:pPr/>
          </w:p>
        </w:tc>
        <w:tc>
          <w:tcPr>
            <w:tcW w:w="63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4"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转让或者委托他人管理本人拥有的该等新增</w:t>
            </w:r>
          </w:p>
        </w:tc>
        <w:tc>
          <w:tcPr>
            <w:tcW w:w="990" w:type="dxa"/>
            <w:vMerge w:val="restart"/>
            <w:tcBorders>
              <w:top w:val="single" w:sz="4" w:space="0" w:color="000000"/>
              <w:left w:val="single" w:sz="4" w:space="0" w:color="000000"/>
              <w:right w:val="single" w:sz="4" w:space="0" w:color="000000"/>
            </w:tcBorders>
          </w:tcPr>
          <w:p>
            <w:pPr/>
          </w:p>
        </w:tc>
        <w:tc>
          <w:tcPr>
            <w:tcW w:w="810" w:type="dxa"/>
            <w:vMerge w:val="restart"/>
            <w:tcBorders>
              <w:top w:val="single" w:sz="4" w:space="0" w:color="000000"/>
              <w:left w:val="single" w:sz="4" w:space="0" w:color="000000"/>
              <w:right w:val="single" w:sz="4" w:space="0" w:color="000000"/>
            </w:tcBorders>
          </w:tcPr>
          <w:p>
            <w:pPr/>
          </w:p>
        </w:tc>
        <w:tc>
          <w:tcPr>
            <w:tcW w:w="645" w:type="dxa"/>
            <w:vMerge w:val="restart"/>
            <w:tcBorders>
              <w:top w:val="single" w:sz="4" w:space="0" w:color="000000"/>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股份（若本人在实际转让上市公司股份前，上</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市公司发生转增股本、送红股等除权行为的，</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5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bottom w:val="single" w:sz="4" w:space="0" w:color="000000"/>
              <w:right w:val="single" w:sz="4" w:space="0" w:color="000000"/>
            </w:tcBorders>
          </w:tcPr>
          <w:p>
            <w:pPr/>
          </w:p>
        </w:tc>
        <w:tc>
          <w:tcPr>
            <w:tcW w:w="631" w:type="dxa"/>
            <w:tcBorders>
              <w:top w:val="nil" w:sz="6" w:space="0" w:color="auto"/>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则实际可转让股份数将进行相应调整</w:t>
            </w:r>
            <w:r>
              <w:rPr>
                <w:rFonts w:ascii="宋体" w:hAnsi="宋体" w:cs="宋体" w:eastAsia="宋体" w:hint="default"/>
                <w:spacing w:val="-89"/>
                <w:sz w:val="18"/>
                <w:szCs w:val="18"/>
              </w:rPr>
              <w:t>）</w:t>
            </w:r>
            <w:r>
              <w:rPr>
                <w:rFonts w:ascii="宋体" w:hAnsi="宋体" w:cs="宋体" w:eastAsia="宋体" w:hint="default"/>
                <w:sz w:val="18"/>
                <w:szCs w:val="18"/>
              </w:rPr>
              <w:t>。</w:t>
            </w:r>
          </w:p>
        </w:tc>
        <w:tc>
          <w:tcPr>
            <w:tcW w:w="990" w:type="dxa"/>
            <w:vMerge/>
            <w:tcBorders>
              <w:left w:val="single" w:sz="4" w:space="0" w:color="000000"/>
              <w:bottom w:val="single" w:sz="4" w:space="0" w:color="000000"/>
              <w:right w:val="single" w:sz="4" w:space="0" w:color="000000"/>
            </w:tcBorders>
          </w:tcPr>
          <w:p>
            <w:pPr/>
          </w:p>
        </w:tc>
        <w:tc>
          <w:tcPr>
            <w:tcW w:w="810" w:type="dxa"/>
            <w:vMerge/>
            <w:tcBorders>
              <w:left w:val="single" w:sz="4" w:space="0" w:color="000000"/>
              <w:bottom w:val="single" w:sz="4" w:space="0" w:color="000000"/>
              <w:right w:val="single" w:sz="4" w:space="0" w:color="000000"/>
            </w:tcBorders>
          </w:tcPr>
          <w:p>
            <w:pPr/>
          </w:p>
        </w:tc>
        <w:tc>
          <w:tcPr>
            <w:tcW w:w="645" w:type="dxa"/>
            <w:vMerge/>
            <w:tcBorders>
              <w:left w:val="single" w:sz="4" w:space="0" w:color="000000"/>
              <w:bottom w:val="single" w:sz="4" w:space="0" w:color="000000"/>
              <w:right w:val="single" w:sz="4" w:space="0" w:color="000000"/>
            </w:tcBorders>
          </w:tcPr>
          <w:p>
            <w:pPr/>
          </w:p>
        </w:tc>
      </w:tr>
      <w:tr>
        <w:trPr>
          <w:trHeight w:val="362" w:hRule="exact"/>
        </w:trPr>
        <w:tc>
          <w:tcPr>
            <w:tcW w:w="1842" w:type="dxa"/>
            <w:vMerge/>
            <w:tcBorders>
              <w:left w:val="single" w:sz="4" w:space="0" w:color="000000"/>
              <w:right w:val="single" w:sz="4" w:space="0" w:color="000000"/>
            </w:tcBorders>
            <w:shd w:val="clear" w:color="auto" w:fill="D2D2D2"/>
          </w:tcPr>
          <w:p>
            <w:pPr/>
          </w:p>
        </w:tc>
        <w:tc>
          <w:tcPr>
            <w:tcW w:w="839" w:type="dxa"/>
            <w:tcBorders>
              <w:top w:val="single" w:sz="4" w:space="0" w:color="000000"/>
              <w:left w:val="single" w:sz="4" w:space="0" w:color="000000"/>
              <w:bottom w:val="nil" w:sz="6" w:space="0" w:color="auto"/>
              <w:right w:val="single" w:sz="4" w:space="0" w:color="000000"/>
            </w:tcBorders>
          </w:tcPr>
          <w:p>
            <w:pPr/>
          </w:p>
        </w:tc>
        <w:tc>
          <w:tcPr>
            <w:tcW w:w="631" w:type="dxa"/>
            <w:tcBorders>
              <w:top w:val="single" w:sz="4" w:space="0" w:color="000000"/>
              <w:left w:val="single" w:sz="4" w:space="0" w:color="000000"/>
              <w:bottom w:val="nil" w:sz="6" w:space="0" w:color="auto"/>
              <w:right w:val="single" w:sz="4" w:space="0" w:color="000000"/>
            </w:tcBorders>
          </w:tcPr>
          <w:p>
            <w:pP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、在本承诺签署之日，本人及所控制的公司</w:t>
            </w:r>
          </w:p>
        </w:tc>
        <w:tc>
          <w:tcPr>
            <w:tcW w:w="990" w:type="dxa"/>
            <w:tcBorders>
              <w:top w:val="single" w:sz="4" w:space="0" w:color="000000"/>
              <w:left w:val="single" w:sz="4" w:space="0" w:color="000000"/>
              <w:bottom w:val="nil" w:sz="6" w:space="0" w:color="auto"/>
              <w:right w:val="single" w:sz="4" w:space="0" w:color="000000"/>
            </w:tcBorders>
          </w:tcPr>
          <w:p>
            <w:pPr/>
          </w:p>
        </w:tc>
        <w:tc>
          <w:tcPr>
            <w:tcW w:w="810" w:type="dxa"/>
            <w:tcBorders>
              <w:top w:val="single" w:sz="4" w:space="0" w:color="000000"/>
              <w:left w:val="single" w:sz="4" w:space="0" w:color="000000"/>
              <w:bottom w:val="nil" w:sz="6" w:space="0" w:color="auto"/>
              <w:right w:val="single" w:sz="4" w:space="0" w:color="000000"/>
            </w:tcBorders>
          </w:tcPr>
          <w:p>
            <w:pPr/>
          </w:p>
        </w:tc>
        <w:tc>
          <w:tcPr>
            <w:tcW w:w="645" w:type="dxa"/>
            <w:tcBorders>
              <w:top w:val="single" w:sz="4" w:space="0" w:color="000000"/>
              <w:left w:val="single" w:sz="4" w:space="0" w:color="000000"/>
              <w:bottom w:val="nil" w:sz="6" w:space="0" w:color="auto"/>
              <w:right w:val="single" w:sz="4" w:space="0" w:color="000000"/>
            </w:tcBorders>
          </w:tcPr>
          <w:p>
            <w:pPr/>
          </w:p>
        </w:tc>
      </w:tr>
      <w:tr>
        <w:trPr>
          <w:trHeight w:val="30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和拥有权益的公司均未生产、开发任何与创业</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慧康产品构成竞争或可能竞争的产品，未直接</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或间接经营任何与创业慧康经营的业务构成</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竞争或可能竞争的业务，也未参与投资任何与</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创业慧康生产的产品或经营的业务构成竞争</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关于</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或可能竞争的其他企业。</w:t>
            </w:r>
            <w:r>
              <w:rPr>
                <w:rFonts w:ascii="Times New Roman" w:hAnsi="Times New Roman" w:cs="Times New Roman" w:eastAsia="Times New Roman" w:hint="default"/>
                <w:sz w:val="18"/>
                <w:szCs w:val="18"/>
              </w:rPr>
              <w:t>2</w:t>
            </w:r>
            <w:r>
              <w:rPr>
                <w:rFonts w:ascii="宋体" w:hAnsi="宋体" w:cs="宋体" w:eastAsia="宋体" w:hint="default"/>
                <w:sz w:val="18"/>
                <w:szCs w:val="18"/>
              </w:rPr>
              <w:t>、自本承诺签署之</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4" w:right="0"/>
              <w:jc w:val="left"/>
              <w:rPr>
                <w:rFonts w:ascii="宋体" w:hAnsi="宋体" w:cs="宋体" w:eastAsia="宋体" w:hint="default"/>
                <w:sz w:val="18"/>
                <w:szCs w:val="18"/>
              </w:rPr>
            </w:pPr>
            <w:r>
              <w:rPr>
                <w:rFonts w:ascii="宋体" w:hAnsi="宋体" w:cs="宋体" w:eastAsia="宋体" w:hint="default"/>
                <w:sz w:val="18"/>
                <w:szCs w:val="18"/>
              </w:rPr>
              <w:t>同业</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日起，本人及所控制的公司和拥有权益的公司</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竞</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将不生产、开发任何与创业慧康产品构成竞争</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争、</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或可能竞争的产品，不直接或间接经营任何与</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关联</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创业慧康经营的业务构成竞争或可能竞争的</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629"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4" w:right="155"/>
              <w:jc w:val="left"/>
              <w:rPr>
                <w:rFonts w:ascii="宋体" w:hAnsi="宋体" w:cs="宋体" w:eastAsia="宋体" w:hint="default"/>
                <w:sz w:val="18"/>
                <w:szCs w:val="18"/>
              </w:rPr>
            </w:pPr>
            <w:r>
              <w:rPr>
                <w:rFonts w:ascii="宋体" w:hAnsi="宋体" w:cs="宋体" w:eastAsia="宋体" w:hint="default"/>
                <w:sz w:val="18"/>
                <w:szCs w:val="18"/>
              </w:rPr>
              <w:t>交 易、</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01"/>
              <w:jc w:val="left"/>
              <w:rPr>
                <w:rFonts w:ascii="宋体" w:hAnsi="宋体" w:cs="宋体" w:eastAsia="宋体" w:hint="default"/>
                <w:sz w:val="18"/>
                <w:szCs w:val="18"/>
              </w:rPr>
            </w:pPr>
            <w:r>
              <w:rPr>
                <w:rFonts w:ascii="宋体" w:hAnsi="宋体" w:cs="宋体" w:eastAsia="宋体" w:hint="default"/>
                <w:sz w:val="18"/>
                <w:szCs w:val="18"/>
              </w:rPr>
              <w:t>业务，不参与投资任何与创业慧康生产的产品 或经营的业务构成竞争或可能竞争的其他企</w:t>
            </w:r>
          </w:p>
        </w:tc>
        <w:tc>
          <w:tcPr>
            <w:tcW w:w="99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45"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3" w:right="170"/>
              <w:jc w:val="left"/>
              <w:rPr>
                <w:rFonts w:ascii="宋体" w:hAnsi="宋体" w:cs="宋体" w:eastAsia="宋体" w:hint="default"/>
                <w:sz w:val="18"/>
                <w:szCs w:val="18"/>
              </w:rPr>
            </w:pPr>
            <w:r>
              <w:rPr>
                <w:rFonts w:ascii="宋体" w:hAnsi="宋体" w:cs="宋体" w:eastAsia="宋体" w:hint="default"/>
                <w:sz w:val="18"/>
                <w:szCs w:val="18"/>
              </w:rPr>
              <w:t>正常 履行</w:t>
            </w: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4" w:right="0"/>
              <w:jc w:val="left"/>
              <w:rPr>
                <w:rFonts w:ascii="宋体" w:hAnsi="宋体" w:cs="宋体" w:eastAsia="宋体" w:hint="default"/>
                <w:sz w:val="18"/>
                <w:szCs w:val="18"/>
              </w:rPr>
            </w:pPr>
            <w:r>
              <w:rPr>
                <w:rFonts w:ascii="宋体" w:hAnsi="宋体" w:cs="宋体" w:eastAsia="宋体" w:hint="default"/>
                <w:sz w:val="18"/>
                <w:szCs w:val="18"/>
              </w:rPr>
              <w:t>资金</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业。</w:t>
            </w:r>
            <w:r>
              <w:rPr>
                <w:rFonts w:ascii="Times New Roman" w:hAnsi="Times New Roman" w:cs="Times New Roman" w:eastAsia="Times New Roman" w:hint="default"/>
                <w:sz w:val="18"/>
                <w:szCs w:val="18"/>
              </w:rPr>
              <w:t>3</w:t>
            </w:r>
            <w:r>
              <w:rPr>
                <w:rFonts w:ascii="宋体" w:hAnsi="宋体" w:cs="宋体" w:eastAsia="宋体" w:hint="default"/>
                <w:sz w:val="18"/>
                <w:szCs w:val="18"/>
              </w:rPr>
              <w:t>、自本承诺签署之日起，如创业慧康进</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4" w:right="0"/>
              <w:jc w:val="left"/>
              <w:rPr>
                <w:rFonts w:ascii="宋体" w:hAnsi="宋体" w:cs="宋体" w:eastAsia="宋体" w:hint="default"/>
                <w:sz w:val="18"/>
                <w:szCs w:val="18"/>
              </w:rPr>
            </w:pPr>
            <w:r>
              <w:rPr>
                <w:rFonts w:ascii="宋体" w:hAnsi="宋体" w:cs="宋体" w:eastAsia="宋体" w:hint="default"/>
                <w:sz w:val="18"/>
                <w:szCs w:val="18"/>
              </w:rPr>
              <w:t>占用</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一步拓展其产品和业务范围，本人及所控制的</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方面</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公司和拥有权益的公司将不与创业慧康拓展</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的承</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后的产品和业务相竞争；若与创业慧康拓展后</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诺</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的产品和业务相竞争，本人及所控制的公司和</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拥有权益的公司将采取以下方式避免同业竞</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争：①停止生产或经营相竞争的产品和业务；</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②将相竞争的业务纳入创业慧康经营；③向无</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关联关系的第三方转让该业务。</w:t>
            </w:r>
            <w:r>
              <w:rPr>
                <w:rFonts w:ascii="Times New Roman" w:hAnsi="Times New Roman" w:cs="Times New Roman" w:eastAsia="Times New Roman" w:hint="default"/>
                <w:sz w:val="18"/>
                <w:szCs w:val="18"/>
              </w:rPr>
              <w:t>4</w:t>
            </w:r>
            <w:r>
              <w:rPr>
                <w:rFonts w:ascii="宋体" w:hAnsi="宋体" w:cs="宋体" w:eastAsia="宋体" w:hint="default"/>
                <w:sz w:val="18"/>
                <w:szCs w:val="18"/>
              </w:rPr>
              <w:t>、如本承诺</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未被遵守，本人将向创业慧康赔偿一切直接或</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single" w:sz="4" w:space="0" w:color="000000"/>
              <w:right w:val="single" w:sz="4" w:space="0" w:color="000000"/>
            </w:tcBorders>
          </w:tcPr>
          <w:p>
            <w:pPr/>
          </w:p>
        </w:tc>
        <w:tc>
          <w:tcPr>
            <w:tcW w:w="631" w:type="dxa"/>
            <w:tcBorders>
              <w:top w:val="nil" w:sz="6" w:space="0" w:color="auto"/>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间接损失。</w:t>
            </w:r>
          </w:p>
        </w:tc>
        <w:tc>
          <w:tcPr>
            <w:tcW w:w="990" w:type="dxa"/>
            <w:tcBorders>
              <w:top w:val="nil" w:sz="6" w:space="0" w:color="auto"/>
              <w:left w:val="single" w:sz="4" w:space="0" w:color="000000"/>
              <w:bottom w:val="single" w:sz="4" w:space="0" w:color="000000"/>
              <w:right w:val="single" w:sz="4" w:space="0" w:color="000000"/>
            </w:tcBorders>
          </w:tcPr>
          <w:p>
            <w:pPr/>
          </w:p>
        </w:tc>
        <w:tc>
          <w:tcPr>
            <w:tcW w:w="810" w:type="dxa"/>
            <w:tcBorders>
              <w:top w:val="nil" w:sz="6" w:space="0" w:color="auto"/>
              <w:left w:val="single" w:sz="4" w:space="0" w:color="000000"/>
              <w:bottom w:val="single" w:sz="4" w:space="0" w:color="000000"/>
              <w:right w:val="single" w:sz="4" w:space="0" w:color="000000"/>
            </w:tcBorders>
          </w:tcPr>
          <w:p>
            <w:pPr/>
          </w:p>
        </w:tc>
        <w:tc>
          <w:tcPr>
            <w:tcW w:w="645" w:type="dxa"/>
            <w:tcBorders>
              <w:top w:val="nil" w:sz="6" w:space="0" w:color="auto"/>
              <w:left w:val="single" w:sz="4" w:space="0" w:color="000000"/>
              <w:bottom w:val="single" w:sz="4" w:space="0" w:color="000000"/>
              <w:right w:val="single" w:sz="4" w:space="0" w:color="000000"/>
            </w:tcBorders>
          </w:tcPr>
          <w:p>
            <w:pPr/>
          </w:p>
        </w:tc>
      </w:tr>
      <w:tr>
        <w:trPr>
          <w:trHeight w:val="358" w:hRule="exact"/>
        </w:trPr>
        <w:tc>
          <w:tcPr>
            <w:tcW w:w="1842" w:type="dxa"/>
            <w:vMerge/>
            <w:tcBorders>
              <w:left w:val="single" w:sz="4" w:space="0" w:color="000000"/>
              <w:right w:val="single" w:sz="4" w:space="0" w:color="000000"/>
            </w:tcBorders>
            <w:shd w:val="clear" w:color="auto" w:fill="D2D2D2"/>
          </w:tcPr>
          <w:p>
            <w:pPr/>
          </w:p>
        </w:tc>
        <w:tc>
          <w:tcPr>
            <w:tcW w:w="839" w:type="dxa"/>
            <w:tcBorders>
              <w:top w:val="single" w:sz="4" w:space="0" w:color="000000"/>
              <w:left w:val="single" w:sz="4" w:space="0" w:color="000000"/>
              <w:bottom w:val="nil" w:sz="6" w:space="0" w:color="auto"/>
              <w:right w:val="single" w:sz="4" w:space="0" w:color="000000"/>
            </w:tcBorders>
          </w:tcPr>
          <w:p>
            <w:pPr/>
          </w:p>
        </w:tc>
        <w:tc>
          <w:tcPr>
            <w:tcW w:w="631" w:type="dxa"/>
            <w:tcBorders>
              <w:top w:val="single" w:sz="4" w:space="0" w:color="000000"/>
              <w:left w:val="single" w:sz="4" w:space="0" w:color="000000"/>
              <w:bottom w:val="nil" w:sz="6" w:space="0" w:color="auto"/>
              <w:right w:val="single" w:sz="4" w:space="0" w:color="000000"/>
            </w:tcBorders>
          </w:tcPr>
          <w:p>
            <w:pP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自认购的创业慧康新增股份在法定登记机构</w:t>
            </w:r>
          </w:p>
        </w:tc>
        <w:tc>
          <w:tcPr>
            <w:tcW w:w="990" w:type="dxa"/>
            <w:tcBorders>
              <w:top w:val="single" w:sz="4" w:space="0" w:color="000000"/>
              <w:left w:val="single" w:sz="4" w:space="0" w:color="000000"/>
              <w:bottom w:val="nil" w:sz="6" w:space="0" w:color="auto"/>
              <w:right w:val="single" w:sz="4" w:space="0" w:color="000000"/>
            </w:tcBorders>
          </w:tcPr>
          <w:p>
            <w:pPr/>
          </w:p>
        </w:tc>
        <w:tc>
          <w:tcPr>
            <w:tcW w:w="810" w:type="dxa"/>
            <w:tcBorders>
              <w:top w:val="single" w:sz="4" w:space="0" w:color="000000"/>
              <w:left w:val="single" w:sz="4" w:space="0" w:color="000000"/>
              <w:bottom w:val="nil" w:sz="6" w:space="0" w:color="auto"/>
              <w:right w:val="single" w:sz="4" w:space="0" w:color="000000"/>
            </w:tcBorders>
          </w:tcPr>
          <w:p>
            <w:pPr/>
          </w:p>
        </w:tc>
        <w:tc>
          <w:tcPr>
            <w:tcW w:w="645" w:type="dxa"/>
            <w:tcBorders>
              <w:top w:val="single" w:sz="4" w:space="0" w:color="000000"/>
              <w:left w:val="single" w:sz="4" w:space="0" w:color="000000"/>
              <w:bottom w:val="nil" w:sz="6" w:space="0" w:color="auto"/>
              <w:right w:val="single" w:sz="4" w:space="0" w:color="000000"/>
            </w:tcBorders>
          </w:tcPr>
          <w:p>
            <w:pPr/>
          </w:p>
        </w:tc>
      </w:tr>
      <w:tr>
        <w:trPr>
          <w:trHeight w:val="1248"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周建新</w:t>
            </w: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16" w:lineRule="auto"/>
              <w:ind w:left="104" w:right="155"/>
              <w:jc w:val="both"/>
              <w:rPr>
                <w:rFonts w:ascii="宋体" w:hAnsi="宋体" w:cs="宋体" w:eastAsia="宋体" w:hint="default"/>
                <w:sz w:val="18"/>
                <w:szCs w:val="18"/>
              </w:rPr>
            </w:pPr>
            <w:r>
              <w:rPr>
                <w:rFonts w:ascii="宋体" w:hAnsi="宋体" w:cs="宋体" w:eastAsia="宋体" w:hint="default"/>
                <w:sz w:val="18"/>
                <w:szCs w:val="18"/>
              </w:rPr>
              <w:t>股份 限售 承诺</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312" w:lineRule="auto" w:before="10"/>
              <w:ind w:left="101" w:right="96"/>
              <w:jc w:val="left"/>
              <w:rPr>
                <w:rFonts w:ascii="宋体" w:hAnsi="宋体" w:cs="宋体" w:eastAsia="宋体" w:hint="default"/>
                <w:sz w:val="18"/>
                <w:szCs w:val="18"/>
              </w:rPr>
            </w:pPr>
            <w:r>
              <w:rPr>
                <w:rFonts w:ascii="宋体" w:hAnsi="宋体" w:cs="宋体" w:eastAsia="宋体" w:hint="default"/>
                <w:sz w:val="18"/>
                <w:szCs w:val="18"/>
              </w:rPr>
              <w:t>登记于本人名下并上市之日起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个月内，不 转让或者委托他人管理本人拥有的该等新增 股份（若本人在实际转让上市公司股份前，上 市公司发生转增股本、送红股等除权行为的，</w:t>
            </w:r>
          </w:p>
        </w:tc>
        <w:tc>
          <w:tcPr>
            <w:tcW w:w="99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02</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8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36 </w:t>
            </w:r>
            <w:r>
              <w:rPr>
                <w:rFonts w:ascii="宋体" w:hAnsi="宋体" w:cs="宋体" w:eastAsia="宋体" w:hint="default"/>
                <w:sz w:val="18"/>
                <w:szCs w:val="18"/>
              </w:rPr>
              <w:t>个月</w:t>
            </w:r>
          </w:p>
        </w:tc>
        <w:tc>
          <w:tcPr>
            <w:tcW w:w="6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15"/>
              <w:ind w:left="103" w:right="170"/>
              <w:jc w:val="left"/>
              <w:rPr>
                <w:rFonts w:ascii="宋体" w:hAnsi="宋体" w:cs="宋体" w:eastAsia="宋体" w:hint="default"/>
                <w:sz w:val="18"/>
                <w:szCs w:val="18"/>
              </w:rPr>
            </w:pPr>
            <w:r>
              <w:rPr>
                <w:rFonts w:ascii="宋体" w:hAnsi="宋体" w:cs="宋体" w:eastAsia="宋体" w:hint="default"/>
                <w:sz w:val="18"/>
                <w:szCs w:val="18"/>
              </w:rPr>
              <w:t>正常 履行</w:t>
            </w:r>
          </w:p>
        </w:tc>
      </w:tr>
      <w:tr>
        <w:trPr>
          <w:trHeight w:val="356"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single" w:sz="4" w:space="0" w:color="000000"/>
              <w:right w:val="single" w:sz="4" w:space="0" w:color="000000"/>
            </w:tcBorders>
          </w:tcPr>
          <w:p>
            <w:pPr/>
          </w:p>
        </w:tc>
        <w:tc>
          <w:tcPr>
            <w:tcW w:w="631" w:type="dxa"/>
            <w:tcBorders>
              <w:top w:val="nil" w:sz="6" w:space="0" w:color="auto"/>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则实际可转让股份数将进行相应调整</w:t>
            </w:r>
            <w:r>
              <w:rPr>
                <w:rFonts w:ascii="宋体" w:hAnsi="宋体" w:cs="宋体" w:eastAsia="宋体" w:hint="default"/>
                <w:spacing w:val="-89"/>
                <w:sz w:val="18"/>
                <w:szCs w:val="18"/>
              </w:rPr>
              <w:t>）</w:t>
            </w:r>
            <w:r>
              <w:rPr>
                <w:rFonts w:ascii="宋体" w:hAnsi="宋体" w:cs="宋体" w:eastAsia="宋体" w:hint="default"/>
                <w:sz w:val="18"/>
                <w:szCs w:val="18"/>
              </w:rPr>
              <w:t>。</w:t>
            </w:r>
          </w:p>
        </w:tc>
        <w:tc>
          <w:tcPr>
            <w:tcW w:w="990" w:type="dxa"/>
            <w:tcBorders>
              <w:top w:val="nil" w:sz="6" w:space="0" w:color="auto"/>
              <w:left w:val="single" w:sz="4" w:space="0" w:color="000000"/>
              <w:bottom w:val="single" w:sz="4" w:space="0" w:color="000000"/>
              <w:right w:val="single" w:sz="4" w:space="0" w:color="000000"/>
            </w:tcBorders>
          </w:tcPr>
          <w:p>
            <w:pPr/>
          </w:p>
        </w:tc>
        <w:tc>
          <w:tcPr>
            <w:tcW w:w="810" w:type="dxa"/>
            <w:tcBorders>
              <w:top w:val="nil" w:sz="6" w:space="0" w:color="auto"/>
              <w:left w:val="single" w:sz="4" w:space="0" w:color="000000"/>
              <w:bottom w:val="single" w:sz="4" w:space="0" w:color="000000"/>
              <w:right w:val="single" w:sz="4" w:space="0" w:color="000000"/>
            </w:tcBorders>
          </w:tcPr>
          <w:p>
            <w:pPr/>
          </w:p>
        </w:tc>
        <w:tc>
          <w:tcPr>
            <w:tcW w:w="645" w:type="dxa"/>
            <w:tcBorders>
              <w:top w:val="nil" w:sz="6" w:space="0" w:color="auto"/>
              <w:left w:val="single" w:sz="4" w:space="0" w:color="000000"/>
              <w:bottom w:val="single" w:sz="4" w:space="0" w:color="000000"/>
              <w:right w:val="single" w:sz="4" w:space="0" w:color="000000"/>
            </w:tcBorders>
          </w:tcPr>
          <w:p>
            <w:pPr/>
          </w:p>
        </w:tc>
      </w:tr>
      <w:tr>
        <w:trPr>
          <w:trHeight w:val="362" w:hRule="exact"/>
        </w:trPr>
        <w:tc>
          <w:tcPr>
            <w:tcW w:w="1842" w:type="dxa"/>
            <w:vMerge/>
            <w:tcBorders>
              <w:left w:val="single" w:sz="4" w:space="0" w:color="000000"/>
              <w:right w:val="single" w:sz="4" w:space="0" w:color="000000"/>
            </w:tcBorders>
            <w:shd w:val="clear" w:color="auto" w:fill="D2D2D2"/>
          </w:tcPr>
          <w:p>
            <w:pPr/>
          </w:p>
        </w:tc>
        <w:tc>
          <w:tcPr>
            <w:tcW w:w="83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宁波铜</w:t>
            </w:r>
          </w:p>
        </w:tc>
        <w:tc>
          <w:tcPr>
            <w:tcW w:w="631" w:type="dxa"/>
            <w:tcBorders>
              <w:top w:val="single" w:sz="4" w:space="0" w:color="000000"/>
              <w:left w:val="single" w:sz="4" w:space="0" w:color="000000"/>
              <w:bottom w:val="nil" w:sz="6" w:space="0" w:color="auto"/>
              <w:right w:val="single" w:sz="4" w:space="0" w:color="000000"/>
            </w:tcBorders>
          </w:tcPr>
          <w:p>
            <w:pP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、鑫粟科技、铜粟投资若在取得本次发行的</w:t>
            </w:r>
          </w:p>
        </w:tc>
        <w:tc>
          <w:tcPr>
            <w:tcW w:w="990" w:type="dxa"/>
            <w:tcBorders>
              <w:top w:val="single" w:sz="4" w:space="0" w:color="000000"/>
              <w:left w:val="single" w:sz="4" w:space="0" w:color="000000"/>
              <w:bottom w:val="nil" w:sz="6" w:space="0" w:color="auto"/>
              <w:right w:val="single" w:sz="4" w:space="0" w:color="000000"/>
            </w:tcBorders>
          </w:tcPr>
          <w:p>
            <w:pPr/>
          </w:p>
        </w:tc>
        <w:tc>
          <w:tcPr>
            <w:tcW w:w="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由公司</w:t>
            </w:r>
          </w:p>
        </w:tc>
        <w:tc>
          <w:tcPr>
            <w:tcW w:w="645"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粟投资</w:t>
            </w: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股份时，持有慧康物联股权时间超过</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个月，</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董事会</w:t>
            </w:r>
          </w:p>
        </w:tc>
        <w:tc>
          <w:tcPr>
            <w:tcW w:w="645" w:type="dxa"/>
            <w:tcBorders>
              <w:top w:val="nil" w:sz="6" w:space="0" w:color="auto"/>
              <w:left w:val="single" w:sz="4" w:space="0" w:color="000000"/>
              <w:bottom w:val="nil" w:sz="6" w:space="0" w:color="auto"/>
              <w:right w:val="single" w:sz="4" w:space="0" w:color="000000"/>
            </w:tcBorders>
          </w:tcPr>
          <w:p>
            <w:pPr/>
          </w:p>
        </w:tc>
      </w:tr>
      <w:tr>
        <w:trPr>
          <w:trHeight w:val="29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管理有</w:t>
            </w: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则其于本次发行中取得的上市公司股份自股</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根据相</w:t>
            </w:r>
          </w:p>
        </w:tc>
        <w:tc>
          <w:tcPr>
            <w:tcW w:w="645" w:type="dxa"/>
            <w:tcBorders>
              <w:top w:val="nil" w:sz="6" w:space="0" w:color="auto"/>
              <w:left w:val="single" w:sz="4" w:space="0" w:color="000000"/>
              <w:bottom w:val="nil" w:sz="6" w:space="0" w:color="auto"/>
              <w:right w:val="single" w:sz="4" w:space="0" w:color="000000"/>
            </w:tcBorders>
          </w:tcPr>
          <w:p>
            <w:pPr/>
          </w:p>
        </w:tc>
      </w:tr>
      <w:tr>
        <w:trPr>
          <w:trHeight w:val="951"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限公司</w:t>
            </w:r>
          </w:p>
          <w:p>
            <w:pPr>
              <w:pStyle w:val="TableParagraph"/>
              <w:spacing w:line="316" w:lineRule="auto" w:before="76"/>
              <w:ind w:left="103" w:right="184"/>
              <w:jc w:val="left"/>
              <w:rPr>
                <w:rFonts w:ascii="宋体" w:hAnsi="宋体" w:cs="宋体" w:eastAsia="宋体" w:hint="default"/>
                <w:sz w:val="18"/>
                <w:szCs w:val="18"/>
              </w:rPr>
            </w:pPr>
            <w:r>
              <w:rPr>
                <w:rFonts w:ascii="宋体" w:hAnsi="宋体" w:cs="宋体" w:eastAsia="宋体" w:hint="default"/>
                <w:sz w:val="18"/>
                <w:szCs w:val="18"/>
              </w:rPr>
              <w:t>（原杭 州铜粟</w:t>
            </w: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316" w:lineRule="auto" w:before="1"/>
              <w:ind w:left="104" w:right="155"/>
              <w:jc w:val="both"/>
              <w:rPr>
                <w:rFonts w:ascii="宋体" w:hAnsi="宋体" w:cs="宋体" w:eastAsia="宋体" w:hint="default"/>
                <w:sz w:val="18"/>
                <w:szCs w:val="18"/>
              </w:rPr>
            </w:pPr>
            <w:r>
              <w:rPr>
                <w:rFonts w:ascii="宋体" w:hAnsi="宋体" w:cs="宋体" w:eastAsia="宋体" w:hint="default"/>
                <w:sz w:val="18"/>
                <w:szCs w:val="18"/>
              </w:rPr>
              <w:t>股份 限售 承诺</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101" w:right="0"/>
              <w:jc w:val="left"/>
              <w:rPr>
                <w:rFonts w:ascii="宋体" w:hAnsi="宋体" w:cs="宋体" w:eastAsia="宋体" w:hint="default"/>
                <w:sz w:val="18"/>
                <w:szCs w:val="18"/>
              </w:rPr>
            </w:pPr>
            <w:r>
              <w:rPr>
                <w:rFonts w:ascii="宋体" w:hAnsi="宋体" w:cs="宋体" w:eastAsia="宋体" w:hint="default"/>
                <w:sz w:val="18"/>
                <w:szCs w:val="18"/>
              </w:rPr>
              <w:t>份上市之日起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个月不得交易或转让。前述</w:t>
            </w:r>
          </w:p>
          <w:p>
            <w:pPr>
              <w:pStyle w:val="TableParagraph"/>
              <w:spacing w:line="240" w:lineRule="auto" w:before="63"/>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pacing w:val="-3"/>
                <w:sz w:val="18"/>
                <w:szCs w:val="18"/>
              </w:rPr>
              <w:t>个月期限届满后，具体的解锁期间及解锁比</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例如下</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2"/>
                <w:sz w:val="18"/>
                <w:szCs w:val="18"/>
              </w:rPr>
              <w:t>1</w:t>
            </w:r>
            <w:r>
              <w:rPr>
                <w:rFonts w:ascii="宋体" w:hAnsi="宋体" w:cs="宋体" w:eastAsia="宋体" w:hint="default"/>
                <w:spacing w:val="-3"/>
                <w:sz w:val="18"/>
                <w:szCs w:val="18"/>
              </w:rPr>
              <w:t>）</w:t>
            </w:r>
            <w:r>
              <w:rPr>
                <w:rFonts w:ascii="宋体" w:hAnsi="宋体" w:cs="宋体" w:eastAsia="宋体" w:hint="default"/>
                <w:sz w:val="18"/>
                <w:szCs w:val="18"/>
              </w:rPr>
              <w:t>自股份上市之日起</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个月届满，</w:t>
            </w:r>
          </w:p>
        </w:tc>
        <w:tc>
          <w:tcPr>
            <w:tcW w:w="990"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02</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810" w:type="dxa"/>
            <w:tcBorders>
              <w:top w:val="nil" w:sz="6" w:space="0" w:color="auto"/>
              <w:left w:val="single" w:sz="4" w:space="0" w:color="000000"/>
              <w:bottom w:val="nil" w:sz="6" w:space="0" w:color="auto"/>
              <w:right w:val="single" w:sz="4" w:space="0" w:color="000000"/>
            </w:tcBorders>
          </w:tcPr>
          <w:p>
            <w:pPr>
              <w:pStyle w:val="TableParagraph"/>
              <w:spacing w:line="316" w:lineRule="auto" w:before="20"/>
              <w:ind w:left="101" w:right="156"/>
              <w:jc w:val="both"/>
              <w:rPr>
                <w:rFonts w:ascii="宋体" w:hAnsi="宋体" w:cs="宋体" w:eastAsia="宋体" w:hint="default"/>
                <w:sz w:val="18"/>
                <w:szCs w:val="18"/>
              </w:rPr>
            </w:pPr>
            <w:r>
              <w:rPr>
                <w:rFonts w:ascii="宋体" w:hAnsi="宋体" w:cs="宋体" w:eastAsia="宋体" w:hint="default"/>
                <w:sz w:val="18"/>
                <w:szCs w:val="18"/>
              </w:rPr>
              <w:t>关法律 法规的 规定及</w:t>
            </w:r>
          </w:p>
        </w:tc>
        <w:tc>
          <w:tcPr>
            <w:tcW w:w="645" w:type="dxa"/>
            <w:tcBorders>
              <w:top w:val="nil" w:sz="6" w:space="0" w:color="auto"/>
              <w:left w:val="single" w:sz="4" w:space="0" w:color="000000"/>
              <w:bottom w:val="nil" w:sz="6" w:space="0" w:color="auto"/>
              <w:right w:val="single" w:sz="4" w:space="0" w:color="000000"/>
            </w:tcBorders>
          </w:tcPr>
          <w:p>
            <w:pPr>
              <w:pStyle w:val="TableParagraph"/>
              <w:spacing w:line="316" w:lineRule="auto" w:before="157"/>
              <w:ind w:left="103" w:right="170"/>
              <w:jc w:val="left"/>
              <w:rPr>
                <w:rFonts w:ascii="宋体" w:hAnsi="宋体" w:cs="宋体" w:eastAsia="宋体" w:hint="default"/>
                <w:sz w:val="18"/>
                <w:szCs w:val="18"/>
              </w:rPr>
            </w:pPr>
            <w:r>
              <w:rPr>
                <w:rFonts w:ascii="宋体" w:hAnsi="宋体" w:cs="宋体" w:eastAsia="宋体" w:hint="default"/>
                <w:sz w:val="18"/>
                <w:szCs w:val="18"/>
              </w:rPr>
              <w:t>正常 履行</w:t>
            </w: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投资管</w:t>
            </w: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且依据《利润补偿协议》达到</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年度利润</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主管部</w:t>
            </w:r>
          </w:p>
        </w:tc>
        <w:tc>
          <w:tcPr>
            <w:tcW w:w="64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理有限</w:t>
            </w: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承诺，在具备证券期货从业资格的审计机构出</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门审核</w:t>
            </w:r>
          </w:p>
        </w:tc>
        <w:tc>
          <w:tcPr>
            <w:tcW w:w="645" w:type="dxa"/>
            <w:tcBorders>
              <w:top w:val="nil" w:sz="6" w:space="0" w:color="auto"/>
              <w:left w:val="single" w:sz="4" w:space="0" w:color="000000"/>
              <w:bottom w:val="nil" w:sz="6" w:space="0" w:color="auto"/>
              <w:right w:val="single" w:sz="4" w:space="0" w:color="000000"/>
            </w:tcBorders>
          </w:tcPr>
          <w:p>
            <w:pPr/>
          </w:p>
        </w:tc>
      </w:tr>
      <w:tr>
        <w:trPr>
          <w:trHeight w:val="315" w:hRule="exact"/>
        </w:trPr>
        <w:tc>
          <w:tcPr>
            <w:tcW w:w="1842" w:type="dxa"/>
            <w:vMerge/>
            <w:tcBorders>
              <w:left w:val="single" w:sz="4" w:space="0" w:color="000000"/>
              <w:bottom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w:t>
            </w:r>
            <w:r>
              <w:rPr>
                <w:rFonts w:ascii="Times New Roman" w:hAnsi="Times New Roman" w:cs="Times New Roman" w:eastAsia="Times New Roman" w:hint="default"/>
                <w:sz w:val="18"/>
                <w:szCs w:val="18"/>
              </w:rPr>
              <w:t>;</w:t>
            </w:r>
          </w:p>
        </w:tc>
        <w:tc>
          <w:tcPr>
            <w:tcW w:w="631" w:type="dxa"/>
            <w:tcBorders>
              <w:top w:val="nil" w:sz="6" w:space="0" w:color="auto"/>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具相应年度慧康物联利润承诺实现情况的《年</w:t>
            </w:r>
          </w:p>
        </w:tc>
        <w:tc>
          <w:tcPr>
            <w:tcW w:w="990" w:type="dxa"/>
            <w:tcBorders>
              <w:top w:val="nil" w:sz="6" w:space="0" w:color="auto"/>
              <w:left w:val="single" w:sz="4" w:space="0" w:color="000000"/>
              <w:bottom w:val="single" w:sz="4" w:space="0" w:color="000000"/>
              <w:right w:val="single" w:sz="4" w:space="0" w:color="000000"/>
            </w:tcBorders>
          </w:tcPr>
          <w:p>
            <w:pPr/>
          </w:p>
        </w:tc>
        <w:tc>
          <w:tcPr>
            <w:tcW w:w="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的要求</w:t>
            </w:r>
          </w:p>
        </w:tc>
        <w:tc>
          <w:tcPr>
            <w:tcW w:w="645"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842"/>
        <w:gridCol w:w="839"/>
        <w:gridCol w:w="631"/>
        <w:gridCol w:w="3810"/>
        <w:gridCol w:w="990"/>
        <w:gridCol w:w="810"/>
        <w:gridCol w:w="645"/>
      </w:tblGrid>
      <w:tr>
        <w:trPr>
          <w:trHeight w:val="322" w:hRule="exact"/>
        </w:trPr>
        <w:tc>
          <w:tcPr>
            <w:tcW w:w="1842" w:type="dxa"/>
            <w:vMerge w:val="restart"/>
            <w:tcBorders>
              <w:top w:val="single" w:sz="4" w:space="0" w:color="000000"/>
              <w:left w:val="single" w:sz="4" w:space="0" w:color="000000"/>
              <w:right w:val="single" w:sz="4" w:space="0" w:color="000000"/>
            </w:tcBorders>
            <w:shd w:val="clear" w:color="auto" w:fill="D2D2D2"/>
          </w:tcPr>
          <w:p>
            <w:pPr/>
          </w:p>
        </w:tc>
        <w:tc>
          <w:tcPr>
            <w:tcW w:w="83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浙江鑫</w:t>
            </w:r>
          </w:p>
        </w:tc>
        <w:tc>
          <w:tcPr>
            <w:tcW w:w="631" w:type="dxa"/>
            <w:vMerge w:val="restart"/>
            <w:tcBorders>
              <w:top w:val="single" w:sz="4" w:space="0" w:color="000000"/>
              <w:left w:val="single" w:sz="4" w:space="0" w:color="000000"/>
              <w:right w:val="single" w:sz="4" w:space="0" w:color="000000"/>
            </w:tcBorders>
          </w:tcPr>
          <w:p>
            <w:pP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度专项审核报告》后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个工作日起，可转让</w:t>
            </w:r>
          </w:p>
        </w:tc>
        <w:tc>
          <w:tcPr>
            <w:tcW w:w="990" w:type="dxa"/>
            <w:vMerge w:val="restart"/>
            <w:tcBorders>
              <w:top w:val="single" w:sz="4" w:space="0" w:color="000000"/>
              <w:left w:val="single" w:sz="4" w:space="0" w:color="000000"/>
              <w:right w:val="single" w:sz="4" w:space="0" w:color="000000"/>
            </w:tcBorders>
          </w:tcPr>
          <w:p>
            <w:pPr/>
          </w:p>
        </w:tc>
        <w:tc>
          <w:tcPr>
            <w:tcW w:w="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进行确</w:t>
            </w:r>
          </w:p>
        </w:tc>
        <w:tc>
          <w:tcPr>
            <w:tcW w:w="645" w:type="dxa"/>
            <w:vMerge w:val="restart"/>
            <w:tcBorders>
              <w:top w:val="single" w:sz="4" w:space="0" w:color="000000"/>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粟科技</w:t>
            </w: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或交易不超过其于本次发行中取得的上市公</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定</w:t>
            </w: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有限公</w:t>
            </w: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司股份数量的</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宋体" w:hAnsi="宋体" w:cs="宋体" w:eastAsia="宋体" w:hint="default"/>
                <w:spacing w:val="-123"/>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2</w:t>
            </w:r>
            <w:r>
              <w:rPr>
                <w:rFonts w:ascii="宋体" w:hAnsi="宋体" w:cs="宋体" w:eastAsia="宋体" w:hint="default"/>
                <w:spacing w:val="-34"/>
                <w:sz w:val="18"/>
                <w:szCs w:val="18"/>
              </w:rPr>
              <w:t>）</w:t>
            </w:r>
            <w:r>
              <w:rPr>
                <w:rFonts w:ascii="宋体" w:hAnsi="宋体" w:cs="宋体" w:eastAsia="宋体" w:hint="default"/>
                <w:sz w:val="18"/>
                <w:szCs w:val="18"/>
              </w:rPr>
              <w:t>自股份上市之日起</w:t>
            </w:r>
            <w:r>
              <w:rPr>
                <w:rFonts w:ascii="宋体" w:hAnsi="宋体" w:cs="宋体" w:eastAsia="宋体" w:hint="default"/>
                <w:spacing w:val="-45"/>
                <w:sz w:val="18"/>
                <w:szCs w:val="18"/>
              </w:rPr>
              <w:t> </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z w:val="18"/>
                <w:szCs w:val="18"/>
              </w:rPr>
              <w:t>4</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司（原</w:t>
            </w: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个月届满，且依据《利润补偿协议》达到</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2017</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杭州鑫</w:t>
            </w: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年度利润承诺，在具备证券期货从业资格的审</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粟科技</w:t>
            </w: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计机构出具相应年度慧康物联利润承诺实现</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有限公</w:t>
            </w: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情况的《年度专项审核报告》后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个工作日</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司）</w:t>
            </w: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起，新增可转让或交易不超过其于本次发行中</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取得的上市公司股份数量的</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宋体" w:hAnsi="宋体" w:cs="宋体" w:eastAsia="宋体" w:hint="default"/>
                <w:spacing w:val="-99"/>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2"/>
                <w:sz w:val="18"/>
                <w:szCs w:val="18"/>
              </w:rPr>
              <w:t>3</w:t>
            </w:r>
            <w:r>
              <w:rPr>
                <w:rFonts w:ascii="宋体" w:hAnsi="宋体" w:cs="宋体" w:eastAsia="宋体" w:hint="default"/>
                <w:spacing w:val="-10"/>
                <w:sz w:val="18"/>
                <w:szCs w:val="18"/>
              </w:rPr>
              <w:t>）</w:t>
            </w:r>
            <w:r>
              <w:rPr>
                <w:rFonts w:ascii="宋体" w:hAnsi="宋体" w:cs="宋体" w:eastAsia="宋体" w:hint="default"/>
                <w:sz w:val="18"/>
                <w:szCs w:val="18"/>
              </w:rPr>
              <w:t>利润承</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诺期届满，在具备证券期货从业资格的审计机</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构出具相应年度慧康物联利润承诺实现情况</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的《利润承诺期专项审核报告》以及对标的资</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产进行减值测试的《减值测试报告》后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工作日起，且以履行了《利润补偿协议》的利</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润补偿和标的资产减值测试所需补偿义务为</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前提，余下其于本次发行中取得的上市公司股</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份可以转让或交易。</w:t>
            </w:r>
            <w:r>
              <w:rPr>
                <w:rFonts w:ascii="Times New Roman" w:hAnsi="Times New Roman" w:cs="Times New Roman" w:eastAsia="Times New Roman" w:hint="default"/>
                <w:sz w:val="18"/>
                <w:szCs w:val="18"/>
              </w:rPr>
              <w:t>2</w:t>
            </w:r>
            <w:r>
              <w:rPr>
                <w:rFonts w:ascii="宋体" w:hAnsi="宋体" w:cs="宋体" w:eastAsia="宋体" w:hint="default"/>
                <w:sz w:val="18"/>
                <w:szCs w:val="18"/>
              </w:rPr>
              <w:t>、鑫粟科技、铜粟投资</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若在取得本次发行的股份时，持有慧康物联股</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权时间未超过</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个月，则股份锁定期为其于</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本次发行中取得的上市公司股份上市之日起</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个月。自股份上市之日起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个月届满，在</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具备证券期货从业资格的审计机构出具相应</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年度慧康物联利润承诺实现情况的《利润承诺</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期专项审核报告》以及对标的资产进行减值测</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试的《减值测试报告》后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个工作日起，且</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以履行了《利润补偿协议》的利润补偿和标的</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资产减值测试所需补偿义务为前提，其于本次</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发行中取得的上市公司股份可以转让或交易。</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本次交易中发行的上市公司新增股份的限售</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期最终由创业慧康股东大会授权董事会根据</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相关法律法规的规定及主管部门审核的要求</w:t>
            </w:r>
          </w:p>
        </w:tc>
        <w:tc>
          <w:tcPr>
            <w:tcW w:w="990" w:type="dxa"/>
            <w:vMerge/>
            <w:tcBorders>
              <w:left w:val="single" w:sz="4" w:space="0" w:color="000000"/>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vMerge/>
            <w:tcBorders>
              <w:left w:val="single" w:sz="4" w:space="0" w:color="000000"/>
              <w:right w:val="single" w:sz="4" w:space="0" w:color="000000"/>
            </w:tcBorders>
          </w:tcPr>
          <w:p>
            <w:pPr/>
          </w:p>
        </w:tc>
      </w:tr>
      <w:tr>
        <w:trPr>
          <w:trHeight w:val="356"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single" w:sz="4" w:space="0" w:color="000000"/>
              <w:right w:val="single" w:sz="4" w:space="0" w:color="000000"/>
            </w:tcBorders>
          </w:tcPr>
          <w:p>
            <w:pPr/>
          </w:p>
        </w:tc>
        <w:tc>
          <w:tcPr>
            <w:tcW w:w="631" w:type="dxa"/>
            <w:vMerge/>
            <w:tcBorders>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进行确定，但应当事先取得承诺人书面同意。</w:t>
            </w:r>
          </w:p>
        </w:tc>
        <w:tc>
          <w:tcPr>
            <w:tcW w:w="990" w:type="dxa"/>
            <w:vMerge/>
            <w:tcBorders>
              <w:left w:val="single" w:sz="4" w:space="0" w:color="000000"/>
              <w:bottom w:val="single" w:sz="4" w:space="0" w:color="000000"/>
              <w:right w:val="single" w:sz="4" w:space="0" w:color="000000"/>
            </w:tcBorders>
          </w:tcPr>
          <w:p>
            <w:pPr/>
          </w:p>
        </w:tc>
        <w:tc>
          <w:tcPr>
            <w:tcW w:w="810" w:type="dxa"/>
            <w:tcBorders>
              <w:top w:val="nil" w:sz="6" w:space="0" w:color="auto"/>
              <w:left w:val="single" w:sz="4" w:space="0" w:color="000000"/>
              <w:bottom w:val="single" w:sz="4" w:space="0" w:color="000000"/>
              <w:right w:val="single" w:sz="4" w:space="0" w:color="000000"/>
            </w:tcBorders>
          </w:tcPr>
          <w:p>
            <w:pPr/>
          </w:p>
        </w:tc>
        <w:tc>
          <w:tcPr>
            <w:tcW w:w="645" w:type="dxa"/>
            <w:vMerge/>
            <w:tcBorders>
              <w:left w:val="single" w:sz="4" w:space="0" w:color="000000"/>
              <w:bottom w:val="single" w:sz="4" w:space="0" w:color="000000"/>
              <w:right w:val="single" w:sz="4" w:space="0" w:color="000000"/>
            </w:tcBorders>
          </w:tcPr>
          <w:p>
            <w:pPr/>
          </w:p>
        </w:tc>
      </w:tr>
      <w:tr>
        <w:trPr>
          <w:trHeight w:val="362" w:hRule="exact"/>
        </w:trPr>
        <w:tc>
          <w:tcPr>
            <w:tcW w:w="1842" w:type="dxa"/>
            <w:vMerge/>
            <w:tcBorders>
              <w:left w:val="single" w:sz="4" w:space="0" w:color="000000"/>
              <w:right w:val="single" w:sz="4" w:space="0" w:color="000000"/>
            </w:tcBorders>
            <w:shd w:val="clear" w:color="auto" w:fill="D2D2D2"/>
          </w:tcPr>
          <w:p>
            <w:pPr/>
          </w:p>
        </w:tc>
        <w:tc>
          <w:tcPr>
            <w:tcW w:w="83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宁波铜</w:t>
            </w:r>
          </w:p>
        </w:tc>
        <w:tc>
          <w:tcPr>
            <w:tcW w:w="631" w:type="dxa"/>
            <w:tcBorders>
              <w:top w:val="single" w:sz="4" w:space="0" w:color="000000"/>
              <w:left w:val="single" w:sz="4" w:space="0" w:color="000000"/>
              <w:bottom w:val="nil" w:sz="6" w:space="0" w:color="auto"/>
              <w:right w:val="single" w:sz="4" w:space="0" w:color="000000"/>
            </w:tcBorders>
          </w:tcPr>
          <w:p>
            <w:pP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慧康物联</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年度</w:t>
            </w:r>
          </w:p>
        </w:tc>
        <w:tc>
          <w:tcPr>
            <w:tcW w:w="990" w:type="dxa"/>
            <w:tcBorders>
              <w:top w:val="single" w:sz="4" w:space="0" w:color="000000"/>
              <w:left w:val="single" w:sz="4" w:space="0" w:color="000000"/>
              <w:bottom w:val="nil" w:sz="6" w:space="0" w:color="auto"/>
              <w:right w:val="single" w:sz="4" w:space="0" w:color="000000"/>
            </w:tcBorders>
          </w:tcPr>
          <w:p>
            <w:pPr/>
          </w:p>
        </w:tc>
        <w:tc>
          <w:tcPr>
            <w:tcW w:w="810" w:type="dxa"/>
            <w:tcBorders>
              <w:top w:val="single" w:sz="4" w:space="0" w:color="000000"/>
              <w:left w:val="single" w:sz="4" w:space="0" w:color="000000"/>
              <w:bottom w:val="nil" w:sz="6" w:space="0" w:color="auto"/>
              <w:right w:val="single" w:sz="4" w:space="0" w:color="000000"/>
            </w:tcBorders>
          </w:tcPr>
          <w:p>
            <w:pPr/>
          </w:p>
        </w:tc>
        <w:tc>
          <w:tcPr>
            <w:tcW w:w="645"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粟投资</w:t>
            </w: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2016-2018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年度简称“利润承诺期间</w:t>
            </w:r>
            <w:r>
              <w:rPr>
                <w:rFonts w:ascii="Times New Roman" w:hAnsi="Times New Roman" w:cs="Times New Roman" w:eastAsia="Times New Roman" w:hint="default"/>
                <w:sz w:val="18"/>
                <w:szCs w:val="18"/>
              </w:rPr>
              <w:t>/</w:t>
            </w:r>
            <w:r>
              <w:rPr>
                <w:rFonts w:ascii="宋体" w:hAnsi="宋体" w:cs="宋体" w:eastAsia="宋体" w:hint="default"/>
                <w:sz w:val="18"/>
                <w:szCs w:val="18"/>
              </w:rPr>
              <w:t>利润补</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管理有</w:t>
            </w: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偿期间</w:t>
            </w:r>
            <w:r>
              <w:rPr>
                <w:rFonts w:ascii="宋体" w:hAnsi="宋体" w:cs="宋体" w:eastAsia="宋体" w:hint="default"/>
                <w:spacing w:val="-89"/>
                <w:sz w:val="18"/>
                <w:szCs w:val="18"/>
              </w:rPr>
              <w:t>”</w:t>
            </w:r>
            <w:r>
              <w:rPr>
                <w:rFonts w:ascii="宋体" w:hAnsi="宋体" w:cs="宋体" w:eastAsia="宋体" w:hint="default"/>
                <w:spacing w:val="-48"/>
                <w:sz w:val="18"/>
                <w:szCs w:val="18"/>
              </w:rPr>
              <w:t>）</w:t>
            </w:r>
            <w:r>
              <w:rPr>
                <w:rFonts w:ascii="宋体" w:hAnsi="宋体" w:cs="宋体" w:eastAsia="宋体" w:hint="default"/>
                <w:sz w:val="18"/>
                <w:szCs w:val="18"/>
              </w:rPr>
              <w:t>净利润分别不低于</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8</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6</w:t>
            </w:r>
            <w:r>
              <w:rPr>
                <w:rFonts w:ascii="Times New Roman" w:hAnsi="Times New Roman" w:cs="Times New Roman" w:eastAsia="Times New Roman" w:hint="default"/>
                <w:spacing w:val="-2"/>
                <w:sz w:val="18"/>
                <w:szCs w:val="18"/>
              </w:rPr>
              <w:t>5</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宋体" w:hAnsi="宋体" w:cs="宋体" w:eastAsia="宋体" w:hint="default"/>
                <w:spacing w:val="-48"/>
                <w:sz w:val="18"/>
                <w:szCs w:val="18"/>
              </w:rPr>
              <w:t>、</w:t>
            </w:r>
            <w:r>
              <w:rPr>
                <w:rFonts w:ascii="Times New Roman" w:hAnsi="Times New Roman" w:cs="Times New Roman" w:eastAsia="Times New Roman" w:hint="default"/>
                <w:spacing w:val="1"/>
                <w:sz w:val="18"/>
                <w:szCs w:val="18"/>
              </w:rPr>
              <w:t>9</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95</w:t>
            </w:r>
            <w:r>
              <w:rPr>
                <w:rFonts w:ascii="Times New Roman" w:hAnsi="Times New Roman" w:cs="Times New Roman" w:eastAsia="Times New Roman" w:hint="default"/>
                <w:sz w:val="18"/>
                <w:szCs w:val="18"/>
              </w:rPr>
              <w:t>0</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187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both"/>
              <w:rPr>
                <w:rFonts w:ascii="宋体" w:hAnsi="宋体" w:cs="宋体" w:eastAsia="宋体" w:hint="default"/>
                <w:sz w:val="18"/>
                <w:szCs w:val="18"/>
              </w:rPr>
            </w:pPr>
            <w:r>
              <w:rPr>
                <w:rFonts w:ascii="宋体" w:hAnsi="宋体" w:cs="宋体" w:eastAsia="宋体" w:hint="default"/>
                <w:sz w:val="18"/>
                <w:szCs w:val="18"/>
              </w:rPr>
              <w:t>限公司</w:t>
            </w:r>
          </w:p>
          <w:p>
            <w:pPr>
              <w:pStyle w:val="TableParagraph"/>
              <w:spacing w:line="316" w:lineRule="auto" w:before="76"/>
              <w:ind w:left="103" w:right="134"/>
              <w:jc w:val="both"/>
              <w:rPr>
                <w:rFonts w:ascii="Times New Roman" w:hAnsi="Times New Roman" w:cs="Times New Roman" w:eastAsia="Times New Roman" w:hint="default"/>
                <w:sz w:val="18"/>
                <w:szCs w:val="18"/>
              </w:rPr>
            </w:pPr>
            <w:r>
              <w:rPr>
                <w:rFonts w:ascii="宋体" w:hAnsi="宋体" w:cs="宋体" w:eastAsia="宋体" w:hint="default"/>
                <w:sz w:val="18"/>
                <w:szCs w:val="18"/>
              </w:rPr>
              <w:t>（原杭 州铜粟 投资管 理有限 公司）</w:t>
            </w:r>
            <w:r>
              <w:rPr>
                <w:rFonts w:ascii="Times New Roman" w:hAnsi="Times New Roman" w:cs="Times New Roman" w:eastAsia="Times New Roman" w:hint="default"/>
                <w:sz w:val="18"/>
                <w:szCs w:val="18"/>
              </w:rPr>
              <w:t>;</w:t>
            </w: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316" w:lineRule="auto" w:before="142"/>
              <w:ind w:left="104" w:right="155"/>
              <w:jc w:val="both"/>
              <w:rPr>
                <w:rFonts w:ascii="宋体" w:hAnsi="宋体" w:cs="宋体" w:eastAsia="宋体" w:hint="default"/>
                <w:sz w:val="18"/>
                <w:szCs w:val="18"/>
              </w:rPr>
            </w:pPr>
            <w:r>
              <w:rPr>
                <w:rFonts w:ascii="宋体" w:hAnsi="宋体" w:cs="宋体" w:eastAsia="宋体" w:hint="default"/>
                <w:sz w:val="18"/>
                <w:szCs w:val="18"/>
              </w:rPr>
              <w:t>业绩 承诺 及补 偿安 排</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307" w:lineRule="auto" w:before="5"/>
              <w:ind w:left="101" w:right="101"/>
              <w:jc w:val="left"/>
              <w:rPr>
                <w:rFonts w:ascii="宋体" w:hAnsi="宋体" w:cs="宋体" w:eastAsia="宋体" w:hint="default"/>
                <w:sz w:val="18"/>
                <w:szCs w:val="18"/>
              </w:rPr>
            </w:pPr>
            <w:r>
              <w:rPr>
                <w:rFonts w:ascii="宋体" w:hAnsi="宋体" w:cs="宋体" w:eastAsia="宋体" w:hint="default"/>
                <w:sz w:val="18"/>
                <w:szCs w:val="18"/>
              </w:rPr>
              <w:t>万元、</w:t>
            </w:r>
            <w:r>
              <w:rPr>
                <w:rFonts w:ascii="Times New Roman" w:hAnsi="Times New Roman" w:cs="Times New Roman" w:eastAsia="Times New Roman" w:hint="default"/>
                <w:sz w:val="18"/>
                <w:szCs w:val="18"/>
              </w:rPr>
              <w:t>11,400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万元，上述三个年度累计承诺净 利润总和不低于</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30,000</w:t>
            </w:r>
            <w:r>
              <w:rPr>
                <w:rFonts w:ascii="Times New Roman" w:hAnsi="Times New Roman" w:cs="Times New Roman" w:eastAsia="Times New Roman" w:hint="default"/>
                <w:spacing w:val="1"/>
                <w:sz w:val="18"/>
                <w:szCs w:val="18"/>
              </w:rPr>
              <w:t> </w:t>
            </w:r>
            <w:r>
              <w:rPr>
                <w:rFonts w:ascii="宋体" w:hAnsi="宋体" w:cs="宋体" w:eastAsia="宋体" w:hint="default"/>
                <w:spacing w:val="-6"/>
                <w:sz w:val="18"/>
                <w:szCs w:val="18"/>
              </w:rPr>
              <w:t>万元。净利润是指经审</w:t>
            </w:r>
            <w:r>
              <w:rPr>
                <w:rFonts w:ascii="宋体" w:hAnsi="宋体" w:cs="宋体" w:eastAsia="宋体" w:hint="default"/>
                <w:sz w:val="18"/>
                <w:szCs w:val="18"/>
              </w:rPr>
              <w:t> 计合并报表中扣除非经常性损益后的归属于 母公司所有者的净利润。本次交易实施完成 后，上市公司将分别在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宋体" w:hAnsi="宋体" w:cs="宋体" w:eastAsia="宋体" w:hint="default"/>
                <w:sz w:val="18"/>
                <w:szCs w:val="18"/>
              </w:rPr>
              <w:t>、</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年度结束 时，聘请具有证券期货业务资格的会计师事务</w:t>
            </w:r>
          </w:p>
        </w:tc>
        <w:tc>
          <w:tcPr>
            <w:tcW w:w="99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8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36 </w:t>
            </w:r>
            <w:r>
              <w:rPr>
                <w:rFonts w:ascii="宋体" w:hAnsi="宋体" w:cs="宋体" w:eastAsia="宋体" w:hint="default"/>
                <w:sz w:val="18"/>
                <w:szCs w:val="18"/>
              </w:rPr>
              <w:t>个月</w:t>
            </w:r>
          </w:p>
        </w:tc>
        <w:tc>
          <w:tcPr>
            <w:tcW w:w="6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316" w:lineRule="auto"/>
              <w:ind w:left="103" w:right="170"/>
              <w:jc w:val="left"/>
              <w:rPr>
                <w:rFonts w:ascii="宋体" w:hAnsi="宋体" w:cs="宋体" w:eastAsia="宋体" w:hint="default"/>
                <w:sz w:val="18"/>
                <w:szCs w:val="18"/>
              </w:rPr>
            </w:pPr>
            <w:r>
              <w:rPr>
                <w:rFonts w:ascii="宋体" w:hAnsi="宋体" w:cs="宋体" w:eastAsia="宋体" w:hint="default"/>
                <w:sz w:val="18"/>
                <w:szCs w:val="18"/>
              </w:rPr>
              <w:t>正常 履行</w:t>
            </w:r>
          </w:p>
        </w:tc>
      </w:tr>
      <w:tr>
        <w:trPr>
          <w:trHeight w:val="30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浙江鑫</w:t>
            </w: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所对慧康物联相应年度实际实现的净利润进</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粟科技</w:t>
            </w: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行专项审计并出具《年度专项审核报告</w:t>
            </w:r>
            <w:r>
              <w:rPr>
                <w:rFonts w:ascii="宋体" w:hAnsi="宋体" w:cs="宋体" w:eastAsia="宋体" w:hint="default"/>
                <w:spacing w:val="-89"/>
                <w:sz w:val="18"/>
                <w:szCs w:val="18"/>
              </w:rPr>
              <w:t>》</w:t>
            </w:r>
            <w:r>
              <w:rPr>
                <w:rFonts w:ascii="宋体" w:hAnsi="宋体" w:cs="宋体" w:eastAsia="宋体" w:hint="default"/>
                <w:sz w:val="18"/>
                <w:szCs w:val="18"/>
              </w:rPr>
              <w:t>；在</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5" w:hRule="exact"/>
        </w:trPr>
        <w:tc>
          <w:tcPr>
            <w:tcW w:w="1842" w:type="dxa"/>
            <w:vMerge/>
            <w:tcBorders>
              <w:left w:val="single" w:sz="4" w:space="0" w:color="000000"/>
              <w:bottom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有限公</w:t>
            </w:r>
          </w:p>
        </w:tc>
        <w:tc>
          <w:tcPr>
            <w:tcW w:w="631" w:type="dxa"/>
            <w:tcBorders>
              <w:top w:val="nil" w:sz="6" w:space="0" w:color="auto"/>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年度结束时，聘请具有证券期货业务资格</w:t>
            </w:r>
          </w:p>
        </w:tc>
        <w:tc>
          <w:tcPr>
            <w:tcW w:w="990" w:type="dxa"/>
            <w:tcBorders>
              <w:top w:val="nil" w:sz="6" w:space="0" w:color="auto"/>
              <w:left w:val="single" w:sz="4" w:space="0" w:color="000000"/>
              <w:bottom w:val="single" w:sz="4" w:space="0" w:color="000000"/>
              <w:right w:val="single" w:sz="4" w:space="0" w:color="000000"/>
            </w:tcBorders>
          </w:tcPr>
          <w:p>
            <w:pPr/>
          </w:p>
        </w:tc>
        <w:tc>
          <w:tcPr>
            <w:tcW w:w="810" w:type="dxa"/>
            <w:tcBorders>
              <w:top w:val="nil" w:sz="6" w:space="0" w:color="auto"/>
              <w:left w:val="single" w:sz="4" w:space="0" w:color="000000"/>
              <w:bottom w:val="single" w:sz="4" w:space="0" w:color="000000"/>
              <w:right w:val="single" w:sz="4" w:space="0" w:color="000000"/>
            </w:tcBorders>
          </w:tcPr>
          <w:p>
            <w:pPr/>
          </w:p>
        </w:tc>
        <w:tc>
          <w:tcPr>
            <w:tcW w:w="645"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842"/>
        <w:gridCol w:w="839"/>
        <w:gridCol w:w="631"/>
        <w:gridCol w:w="3810"/>
        <w:gridCol w:w="990"/>
        <w:gridCol w:w="810"/>
        <w:gridCol w:w="645"/>
      </w:tblGrid>
      <w:tr>
        <w:trPr>
          <w:trHeight w:val="318" w:hRule="exact"/>
        </w:trPr>
        <w:tc>
          <w:tcPr>
            <w:tcW w:w="1842" w:type="dxa"/>
            <w:vMerge w:val="restart"/>
            <w:tcBorders>
              <w:top w:val="single" w:sz="4" w:space="0" w:color="000000"/>
              <w:left w:val="single" w:sz="4" w:space="0" w:color="000000"/>
              <w:right w:val="single" w:sz="4" w:space="0" w:color="000000"/>
            </w:tcBorders>
            <w:shd w:val="clear" w:color="auto" w:fill="D2D2D2"/>
          </w:tcPr>
          <w:p>
            <w:pPr/>
          </w:p>
        </w:tc>
        <w:tc>
          <w:tcPr>
            <w:tcW w:w="83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司（原</w:t>
            </w:r>
          </w:p>
        </w:tc>
        <w:tc>
          <w:tcPr>
            <w:tcW w:w="631" w:type="dxa"/>
            <w:vMerge w:val="restart"/>
            <w:tcBorders>
              <w:top w:val="single" w:sz="4" w:space="0" w:color="000000"/>
              <w:left w:val="single" w:sz="4" w:space="0" w:color="000000"/>
              <w:right w:val="single" w:sz="4" w:space="0" w:color="000000"/>
            </w:tcBorders>
          </w:tcPr>
          <w:p>
            <w:pP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的会计师事务所对慧康物联在利润承诺期内</w:t>
            </w:r>
          </w:p>
        </w:tc>
        <w:tc>
          <w:tcPr>
            <w:tcW w:w="990" w:type="dxa"/>
            <w:vMerge w:val="restart"/>
            <w:tcBorders>
              <w:top w:val="single" w:sz="4" w:space="0" w:color="000000"/>
              <w:left w:val="single" w:sz="4" w:space="0" w:color="000000"/>
              <w:right w:val="single" w:sz="4" w:space="0" w:color="000000"/>
            </w:tcBorders>
          </w:tcPr>
          <w:p>
            <w:pPr/>
          </w:p>
        </w:tc>
        <w:tc>
          <w:tcPr>
            <w:tcW w:w="810" w:type="dxa"/>
            <w:vMerge w:val="restart"/>
            <w:tcBorders>
              <w:top w:val="single" w:sz="4" w:space="0" w:color="000000"/>
              <w:left w:val="single" w:sz="4" w:space="0" w:color="000000"/>
              <w:right w:val="single" w:sz="4" w:space="0" w:color="000000"/>
            </w:tcBorders>
          </w:tcPr>
          <w:p>
            <w:pPr/>
          </w:p>
        </w:tc>
        <w:tc>
          <w:tcPr>
            <w:tcW w:w="645" w:type="dxa"/>
            <w:vMerge w:val="restart"/>
            <w:tcBorders>
              <w:top w:val="single" w:sz="4" w:space="0" w:color="000000"/>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杭州鑫</w:t>
            </w: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实际实现的净利润进行专项审计并出具《利润</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粟科技</w:t>
            </w: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承诺期专项审核报告</w:t>
            </w:r>
            <w:r>
              <w:rPr>
                <w:rFonts w:ascii="宋体" w:hAnsi="宋体" w:cs="宋体" w:eastAsia="宋体" w:hint="default"/>
                <w:spacing w:val="-89"/>
                <w:sz w:val="18"/>
                <w:szCs w:val="18"/>
              </w:rPr>
              <w:t>》</w:t>
            </w:r>
            <w:r>
              <w:rPr>
                <w:rFonts w:ascii="宋体" w:hAnsi="宋体" w:cs="宋体" w:eastAsia="宋体" w:hint="default"/>
                <w:sz w:val="18"/>
                <w:szCs w:val="18"/>
              </w:rPr>
              <w:t>。协议双方以此确定慧</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有限公</w:t>
            </w: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康物联在相应年度实现的净利润数和利润补</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56"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司）</w:t>
            </w:r>
          </w:p>
        </w:tc>
        <w:tc>
          <w:tcPr>
            <w:tcW w:w="631" w:type="dxa"/>
            <w:vMerge/>
            <w:tcBorders>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偿期内累计实现的净利润数。</w:t>
            </w:r>
          </w:p>
        </w:tc>
        <w:tc>
          <w:tcPr>
            <w:tcW w:w="990" w:type="dxa"/>
            <w:vMerge/>
            <w:tcBorders>
              <w:left w:val="single" w:sz="4" w:space="0" w:color="000000"/>
              <w:bottom w:val="single" w:sz="4" w:space="0" w:color="000000"/>
              <w:right w:val="single" w:sz="4" w:space="0" w:color="000000"/>
            </w:tcBorders>
          </w:tcPr>
          <w:p>
            <w:pPr/>
          </w:p>
        </w:tc>
        <w:tc>
          <w:tcPr>
            <w:tcW w:w="810" w:type="dxa"/>
            <w:vMerge/>
            <w:tcBorders>
              <w:left w:val="single" w:sz="4" w:space="0" w:color="000000"/>
              <w:bottom w:val="single" w:sz="4" w:space="0" w:color="000000"/>
              <w:right w:val="single" w:sz="4" w:space="0" w:color="000000"/>
            </w:tcBorders>
          </w:tcPr>
          <w:p>
            <w:pPr/>
          </w:p>
        </w:tc>
        <w:tc>
          <w:tcPr>
            <w:tcW w:w="645" w:type="dxa"/>
            <w:vMerge/>
            <w:tcBorders>
              <w:left w:val="single" w:sz="4" w:space="0" w:color="000000"/>
              <w:bottom w:val="single" w:sz="4" w:space="0" w:color="000000"/>
              <w:right w:val="single" w:sz="4" w:space="0" w:color="000000"/>
            </w:tcBorders>
          </w:tcPr>
          <w:p>
            <w:pPr/>
          </w:p>
        </w:tc>
      </w:tr>
      <w:tr>
        <w:trPr>
          <w:trHeight w:val="357" w:hRule="exact"/>
        </w:trPr>
        <w:tc>
          <w:tcPr>
            <w:tcW w:w="1842" w:type="dxa"/>
            <w:vMerge/>
            <w:tcBorders>
              <w:left w:val="single" w:sz="4" w:space="0" w:color="000000"/>
              <w:right w:val="single" w:sz="4" w:space="0" w:color="000000"/>
            </w:tcBorders>
            <w:shd w:val="clear" w:color="auto" w:fill="D2D2D2"/>
          </w:tcPr>
          <w:p>
            <w:pPr/>
          </w:p>
        </w:tc>
        <w:tc>
          <w:tcPr>
            <w:tcW w:w="839" w:type="dxa"/>
            <w:tcBorders>
              <w:top w:val="single" w:sz="4" w:space="0" w:color="000000"/>
              <w:left w:val="single" w:sz="4" w:space="0" w:color="000000"/>
              <w:bottom w:val="nil" w:sz="6" w:space="0" w:color="auto"/>
              <w:right w:val="single" w:sz="4" w:space="0" w:color="000000"/>
            </w:tcBorders>
          </w:tcPr>
          <w:p>
            <w:pPr/>
          </w:p>
        </w:tc>
        <w:tc>
          <w:tcPr>
            <w:tcW w:w="631" w:type="dxa"/>
            <w:tcBorders>
              <w:top w:val="single" w:sz="4" w:space="0" w:color="000000"/>
              <w:left w:val="single" w:sz="4" w:space="0" w:color="000000"/>
              <w:bottom w:val="nil" w:sz="6" w:space="0" w:color="auto"/>
              <w:right w:val="single" w:sz="4" w:space="0" w:color="000000"/>
            </w:tcBorders>
          </w:tcPr>
          <w:p>
            <w:pP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一、关于避免同业竞争的承诺本承诺人现就有</w:t>
            </w:r>
          </w:p>
        </w:tc>
        <w:tc>
          <w:tcPr>
            <w:tcW w:w="990" w:type="dxa"/>
            <w:tcBorders>
              <w:top w:val="single" w:sz="4" w:space="0" w:color="000000"/>
              <w:left w:val="single" w:sz="4" w:space="0" w:color="000000"/>
              <w:bottom w:val="nil" w:sz="6" w:space="0" w:color="auto"/>
              <w:right w:val="single" w:sz="4" w:space="0" w:color="000000"/>
            </w:tcBorders>
          </w:tcPr>
          <w:p>
            <w:pPr/>
          </w:p>
        </w:tc>
        <w:tc>
          <w:tcPr>
            <w:tcW w:w="810" w:type="dxa"/>
            <w:tcBorders>
              <w:top w:val="single" w:sz="4" w:space="0" w:color="000000"/>
              <w:left w:val="single" w:sz="4" w:space="0" w:color="000000"/>
              <w:bottom w:val="nil" w:sz="6" w:space="0" w:color="auto"/>
              <w:right w:val="single" w:sz="4" w:space="0" w:color="000000"/>
            </w:tcBorders>
          </w:tcPr>
          <w:p>
            <w:pPr/>
          </w:p>
        </w:tc>
        <w:tc>
          <w:tcPr>
            <w:tcW w:w="645"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关避免同业竞争事宜作出确认、承诺和保证如</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下：</w:t>
            </w:r>
            <w:r>
              <w:rPr>
                <w:rFonts w:ascii="Times New Roman" w:hAnsi="Times New Roman" w:cs="Times New Roman" w:eastAsia="Times New Roman" w:hint="default"/>
                <w:sz w:val="18"/>
                <w:szCs w:val="18"/>
              </w:rPr>
              <w:t>1</w:t>
            </w:r>
            <w:r>
              <w:rPr>
                <w:rFonts w:ascii="宋体" w:hAnsi="宋体" w:cs="宋体" w:eastAsia="宋体" w:hint="default"/>
                <w:sz w:val="18"/>
                <w:szCs w:val="18"/>
              </w:rPr>
              <w:t>、慧康物联与上市公司重组后，非经上</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pacing w:val="-3"/>
                <w:sz w:val="18"/>
                <w:szCs w:val="18"/>
              </w:rPr>
              <w:t>市公司董事会和</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或股东大会书面同意，本公司</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本人不单独或与他人，以任何形式</w:t>
            </w:r>
            <w:r>
              <w:rPr>
                <w:rFonts w:ascii="Times New Roman" w:hAnsi="Times New Roman" w:cs="Times New Roman" w:eastAsia="Times New Roman" w:hint="default"/>
                <w:sz w:val="18"/>
                <w:szCs w:val="18"/>
              </w:rPr>
              <w:t>(</w:t>
            </w:r>
            <w:r>
              <w:rPr>
                <w:rFonts w:ascii="宋体" w:hAnsi="宋体" w:cs="宋体" w:eastAsia="宋体" w:hint="default"/>
                <w:sz w:val="18"/>
                <w:szCs w:val="18"/>
              </w:rPr>
              <w:t>包括但不</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限于投资、并购、联营、合资、合作、合伙、</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pacing w:val="-4"/>
                <w:sz w:val="18"/>
                <w:szCs w:val="18"/>
              </w:rPr>
              <w:t>承包或租赁经营、参股</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直接或间接从事或参与</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或协助从事或参与任何与慧康物联及其控制</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的企业目前及今后进行的金融自助设备维保</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业务构成或可能构成竞争的业务或活动；</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5923"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316" w:lineRule="auto" w:before="142"/>
              <w:ind w:left="103" w:right="184"/>
              <w:jc w:val="both"/>
              <w:rPr>
                <w:rFonts w:ascii="宋体" w:hAnsi="宋体" w:cs="宋体" w:eastAsia="宋体" w:hint="default"/>
                <w:sz w:val="18"/>
                <w:szCs w:val="18"/>
              </w:rPr>
            </w:pPr>
            <w:r>
              <w:rPr>
                <w:rFonts w:ascii="宋体" w:hAnsi="宋体" w:cs="宋体" w:eastAsia="宋体" w:hint="default"/>
                <w:sz w:val="18"/>
                <w:szCs w:val="18"/>
              </w:rPr>
              <w:t>宁波铜 粟投资 管理有 限公司</w:t>
            </w:r>
          </w:p>
          <w:p>
            <w:pPr>
              <w:pStyle w:val="TableParagraph"/>
              <w:spacing w:line="314" w:lineRule="auto" w:before="19"/>
              <w:ind w:left="103" w:right="133"/>
              <w:jc w:val="both"/>
              <w:rPr>
                <w:rFonts w:ascii="宋体" w:hAnsi="宋体" w:cs="宋体" w:eastAsia="宋体" w:hint="default"/>
                <w:sz w:val="18"/>
                <w:szCs w:val="18"/>
              </w:rPr>
            </w:pPr>
            <w:r>
              <w:rPr>
                <w:rFonts w:ascii="宋体" w:hAnsi="宋体" w:cs="宋体" w:eastAsia="宋体" w:hint="default"/>
                <w:sz w:val="18"/>
                <w:szCs w:val="18"/>
              </w:rPr>
              <w:t>（原杭 州铜粟 投资管 理有限 公司）</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浙江鑫 粟科技 有限公 司（原 杭州鑫 粟科技 有限公 司）</w:t>
            </w:r>
            <w:r>
              <w:rPr>
                <w:rFonts w:ascii="Times New Roman" w:hAnsi="Times New Roman" w:cs="Times New Roman" w:eastAsia="Times New Roman" w:hint="default"/>
                <w:sz w:val="18"/>
                <w:szCs w:val="18"/>
              </w:rPr>
              <w:t>;</w:t>
            </w:r>
            <w:r>
              <w:rPr>
                <w:rFonts w:ascii="宋体" w:hAnsi="宋体" w:cs="宋体" w:eastAsia="宋体" w:hint="default"/>
                <w:sz w:val="18"/>
                <w:szCs w:val="18"/>
              </w:rPr>
              <w:t>周 建新</w:t>
            </w: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316" w:lineRule="auto"/>
              <w:ind w:left="104" w:right="155"/>
              <w:jc w:val="left"/>
              <w:rPr>
                <w:rFonts w:ascii="宋体" w:hAnsi="宋体" w:cs="宋体" w:eastAsia="宋体" w:hint="default"/>
                <w:sz w:val="18"/>
                <w:szCs w:val="18"/>
              </w:rPr>
            </w:pPr>
            <w:r>
              <w:rPr>
                <w:rFonts w:ascii="宋体" w:hAnsi="宋体" w:cs="宋体" w:eastAsia="宋体" w:hint="default"/>
                <w:sz w:val="18"/>
                <w:szCs w:val="18"/>
              </w:rPr>
              <w:t>关于 同业 竞 争、 关联 交 易、 资金 占用 方面 的承 诺</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312" w:lineRule="auto" w:before="5"/>
              <w:ind w:left="101" w:right="101"/>
              <w:jc w:val="left"/>
              <w:rPr>
                <w:rFonts w:ascii="宋体" w:hAnsi="宋体" w:cs="宋体" w:eastAsia="宋体" w:hint="default"/>
                <w:sz w:val="18"/>
                <w:szCs w:val="18"/>
              </w:rPr>
            </w:pPr>
            <w:r>
              <w:rPr>
                <w:rFonts w:ascii="宋体" w:hAnsi="宋体" w:cs="宋体" w:eastAsia="宋体" w:hint="default"/>
                <w:spacing w:val="-3"/>
                <w:sz w:val="18"/>
                <w:szCs w:val="18"/>
              </w:rPr>
              <w:t>慧康物联与上市公司重组后，本公司</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本人承诺</w:t>
            </w:r>
            <w:r>
              <w:rPr>
                <w:rFonts w:ascii="宋体" w:hAnsi="宋体" w:cs="宋体" w:eastAsia="宋体" w:hint="default"/>
                <w:spacing w:val="-84"/>
                <w:sz w:val="18"/>
                <w:szCs w:val="18"/>
              </w:rPr>
              <w:t> </w:t>
            </w:r>
            <w:r>
              <w:rPr>
                <w:rFonts w:ascii="宋体" w:hAnsi="宋体" w:cs="宋体" w:eastAsia="宋体" w:hint="default"/>
                <w:sz w:val="18"/>
                <w:szCs w:val="18"/>
              </w:rPr>
              <w:t>将不会以任何形式支持上市公司、慧康物联及</w:t>
            </w:r>
            <w:r>
              <w:rPr>
                <w:rFonts w:ascii="宋体" w:hAnsi="宋体" w:cs="宋体" w:eastAsia="宋体" w:hint="default"/>
                <w:sz w:val="18"/>
                <w:szCs w:val="18"/>
              </w:rPr>
              <w:t> 其控制的企业以外的他人从事与上市公司、慧 康物联及其控制的企业目前及今后进行的金 融自助设备维保业务构成或可能构成竞争的 业务及以其他方式参与（不论直接或间接）任 何与上市公司、慧康物联及其控制的企业目前 及今后进行的金融自助设备维保业务构成竞 争或可能构成竞争的业务或活动；</w:t>
            </w:r>
            <w:r>
              <w:rPr>
                <w:rFonts w:ascii="Times New Roman" w:hAnsi="Times New Roman" w:cs="Times New Roman" w:eastAsia="Times New Roman" w:hint="default"/>
                <w:sz w:val="18"/>
                <w:szCs w:val="18"/>
              </w:rPr>
              <w:t>3</w:t>
            </w:r>
            <w:r>
              <w:rPr>
                <w:rFonts w:ascii="宋体" w:hAnsi="宋体" w:cs="宋体" w:eastAsia="宋体" w:hint="default"/>
                <w:sz w:val="18"/>
                <w:szCs w:val="18"/>
              </w:rPr>
              <w:t>、慧康物 </w:t>
            </w:r>
            <w:r>
              <w:rPr>
                <w:rFonts w:ascii="宋体" w:hAnsi="宋体" w:cs="宋体" w:eastAsia="宋体" w:hint="default"/>
                <w:spacing w:val="-3"/>
                <w:sz w:val="18"/>
                <w:szCs w:val="18"/>
              </w:rPr>
              <w:t>联与上市公司重组后，本公司</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本人如有任何与</w:t>
            </w:r>
            <w:r>
              <w:rPr>
                <w:rFonts w:ascii="宋体" w:hAnsi="宋体" w:cs="宋体" w:eastAsia="宋体" w:hint="default"/>
                <w:spacing w:val="-84"/>
                <w:sz w:val="18"/>
                <w:szCs w:val="18"/>
              </w:rPr>
              <w:t> </w:t>
            </w:r>
            <w:r>
              <w:rPr>
                <w:rFonts w:ascii="宋体" w:hAnsi="宋体" w:cs="宋体" w:eastAsia="宋体" w:hint="default"/>
                <w:sz w:val="18"/>
                <w:szCs w:val="18"/>
              </w:rPr>
              <w:t>慧康物联金融自助设备维保的竞争性业务机 </w:t>
            </w:r>
            <w:r>
              <w:rPr>
                <w:rFonts w:ascii="宋体" w:hAnsi="宋体" w:cs="宋体" w:eastAsia="宋体" w:hint="default"/>
                <w:spacing w:val="-3"/>
                <w:sz w:val="18"/>
                <w:szCs w:val="18"/>
              </w:rPr>
              <w:t>会，应立即通知上市公司，并将在本公司</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本人</w:t>
            </w:r>
            <w:r>
              <w:rPr>
                <w:rFonts w:ascii="宋体" w:hAnsi="宋体" w:cs="宋体" w:eastAsia="宋体" w:hint="default"/>
                <w:spacing w:val="-84"/>
                <w:sz w:val="18"/>
                <w:szCs w:val="18"/>
              </w:rPr>
              <w:t> </w:t>
            </w:r>
            <w:r>
              <w:rPr>
                <w:rFonts w:ascii="宋体" w:hAnsi="宋体" w:cs="宋体" w:eastAsia="宋体" w:hint="default"/>
                <w:sz w:val="18"/>
                <w:szCs w:val="18"/>
              </w:rPr>
              <w:t>合法权利范围内竭尽全力地首先促使该业务 机会以不亚于提供给本公司</w:t>
            </w:r>
            <w:r>
              <w:rPr>
                <w:rFonts w:ascii="Times New Roman" w:hAnsi="Times New Roman" w:cs="Times New Roman" w:eastAsia="Times New Roman" w:hint="default"/>
                <w:sz w:val="18"/>
                <w:szCs w:val="18"/>
              </w:rPr>
              <w:t>/</w:t>
            </w:r>
            <w:r>
              <w:rPr>
                <w:rFonts w:ascii="宋体" w:hAnsi="宋体" w:cs="宋体" w:eastAsia="宋体" w:hint="default"/>
                <w:sz w:val="18"/>
                <w:szCs w:val="18"/>
              </w:rPr>
              <w:t>本人的条件提供 给上市公司；</w:t>
            </w:r>
            <w:r>
              <w:rPr>
                <w:rFonts w:ascii="Times New Roman" w:hAnsi="Times New Roman" w:cs="Times New Roman" w:eastAsia="Times New Roman" w:hint="default"/>
                <w:sz w:val="18"/>
                <w:szCs w:val="18"/>
              </w:rPr>
              <w:t>4</w:t>
            </w:r>
            <w:r>
              <w:rPr>
                <w:rFonts w:ascii="宋体" w:hAnsi="宋体" w:cs="宋体" w:eastAsia="宋体" w:hint="default"/>
                <w:sz w:val="18"/>
                <w:szCs w:val="18"/>
              </w:rPr>
              <w:t>、本公司</w:t>
            </w:r>
            <w:r>
              <w:rPr>
                <w:rFonts w:ascii="Times New Roman" w:hAnsi="Times New Roman" w:cs="Times New Roman" w:eastAsia="Times New Roman" w:hint="default"/>
                <w:sz w:val="18"/>
                <w:szCs w:val="18"/>
              </w:rPr>
              <w:t>/</w:t>
            </w:r>
            <w:r>
              <w:rPr>
                <w:rFonts w:ascii="宋体" w:hAnsi="宋体" w:cs="宋体" w:eastAsia="宋体" w:hint="default"/>
                <w:sz w:val="18"/>
                <w:szCs w:val="18"/>
              </w:rPr>
              <w:t>本人将充分尊重上市 公司及慧康物联的独立法人地位，保障上市公 司、慧康物联及其控制的企业的独立经营、自 主决策；</w:t>
            </w:r>
            <w:r>
              <w:rPr>
                <w:rFonts w:ascii="Times New Roman" w:hAnsi="Times New Roman" w:cs="Times New Roman" w:eastAsia="Times New Roman" w:hint="default"/>
                <w:sz w:val="18"/>
                <w:szCs w:val="18"/>
              </w:rPr>
              <w:t>5</w:t>
            </w:r>
            <w:r>
              <w:rPr>
                <w:rFonts w:ascii="宋体" w:hAnsi="宋体" w:cs="宋体" w:eastAsia="宋体" w:hint="default"/>
                <w:sz w:val="18"/>
                <w:szCs w:val="18"/>
              </w:rPr>
              <w:t>、本公司</w:t>
            </w:r>
            <w:r>
              <w:rPr>
                <w:rFonts w:ascii="Times New Roman" w:hAnsi="Times New Roman" w:cs="Times New Roman" w:eastAsia="Times New Roman" w:hint="default"/>
                <w:sz w:val="18"/>
                <w:szCs w:val="18"/>
              </w:rPr>
              <w:t>/</w:t>
            </w:r>
            <w:r>
              <w:rPr>
                <w:rFonts w:ascii="宋体" w:hAnsi="宋体" w:cs="宋体" w:eastAsia="宋体" w:hint="default"/>
                <w:sz w:val="18"/>
                <w:szCs w:val="18"/>
              </w:rPr>
              <w:t>本人承诺不以现在于慧康 物联任职职位或未来可能于上市公司所任职</w:t>
            </w:r>
          </w:p>
        </w:tc>
        <w:tc>
          <w:tcPr>
            <w:tcW w:w="99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8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3"/>
              <w:ind w:left="101"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103" w:right="170"/>
              <w:jc w:val="left"/>
              <w:rPr>
                <w:rFonts w:ascii="宋体" w:hAnsi="宋体" w:cs="宋体" w:eastAsia="宋体" w:hint="default"/>
                <w:sz w:val="18"/>
                <w:szCs w:val="18"/>
              </w:rPr>
            </w:pPr>
            <w:r>
              <w:rPr>
                <w:rFonts w:ascii="宋体" w:hAnsi="宋体" w:cs="宋体" w:eastAsia="宋体" w:hint="default"/>
                <w:sz w:val="18"/>
                <w:szCs w:val="18"/>
              </w:rPr>
              <w:t>正常 履行</w:t>
            </w: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位便利谋求不正当利益，进而损害上市公司、</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慧康物联其他股东的权益。如因本公司或本公</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司控制</w:t>
            </w:r>
            <w:r>
              <w:rPr>
                <w:rFonts w:ascii="Times New Roman" w:hAnsi="Times New Roman" w:cs="Times New Roman" w:eastAsia="Times New Roman" w:hint="default"/>
                <w:sz w:val="18"/>
                <w:szCs w:val="18"/>
              </w:rPr>
              <w:t>/</w:t>
            </w:r>
            <w:r>
              <w:rPr>
                <w:rFonts w:ascii="宋体" w:hAnsi="宋体" w:cs="宋体" w:eastAsia="宋体" w:hint="default"/>
                <w:sz w:val="18"/>
                <w:szCs w:val="18"/>
              </w:rPr>
              <w:t>本人或本人控制的其他企业违反上述</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声明与承诺而导致上市公司、慧康物联及其控</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pacing w:val="-3"/>
                <w:sz w:val="18"/>
                <w:szCs w:val="18"/>
              </w:rPr>
              <w:t>制的企业的权益受到损害的，本公司</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本人将对</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因违反承诺给上市公司、慧康物联造成的损</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失，以现金形式进行充分赔偿；</w:t>
            </w:r>
            <w:r>
              <w:rPr>
                <w:rFonts w:ascii="Times New Roman" w:hAnsi="Times New Roman" w:cs="Times New Roman" w:eastAsia="Times New Roman" w:hint="default"/>
                <w:sz w:val="18"/>
                <w:szCs w:val="18"/>
              </w:rPr>
              <w:t>6</w:t>
            </w:r>
            <w:r>
              <w:rPr>
                <w:rFonts w:ascii="宋体" w:hAnsi="宋体" w:cs="宋体" w:eastAsia="宋体" w:hint="default"/>
                <w:sz w:val="18"/>
                <w:szCs w:val="18"/>
              </w:rPr>
              <w:t>、本承诺自</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pacing w:val="-3"/>
                <w:sz w:val="18"/>
                <w:szCs w:val="18"/>
              </w:rPr>
              <w:t>签署之日起生效，生效后即构成对本公司</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本人</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有约束力的法律文件。如违反本承诺，本公司</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5" w:hRule="exact"/>
        </w:trPr>
        <w:tc>
          <w:tcPr>
            <w:tcW w:w="1842" w:type="dxa"/>
            <w:vMerge/>
            <w:tcBorders>
              <w:left w:val="single" w:sz="4" w:space="0" w:color="000000"/>
              <w:bottom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single" w:sz="4" w:space="0" w:color="000000"/>
              <w:right w:val="single" w:sz="4" w:space="0" w:color="000000"/>
            </w:tcBorders>
          </w:tcPr>
          <w:p>
            <w:pPr/>
          </w:p>
        </w:tc>
        <w:tc>
          <w:tcPr>
            <w:tcW w:w="631" w:type="dxa"/>
            <w:tcBorders>
              <w:top w:val="nil" w:sz="6" w:space="0" w:color="auto"/>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本人愿意承担法律责任；</w:t>
            </w:r>
            <w:r>
              <w:rPr>
                <w:rFonts w:ascii="Times New Roman" w:hAnsi="Times New Roman" w:cs="Times New Roman" w:eastAsia="Times New Roman" w:hint="default"/>
                <w:sz w:val="18"/>
                <w:szCs w:val="18"/>
              </w:rPr>
              <w:t>7</w:t>
            </w:r>
            <w:r>
              <w:rPr>
                <w:rFonts w:ascii="宋体" w:hAnsi="宋体" w:cs="宋体" w:eastAsia="宋体" w:hint="default"/>
                <w:sz w:val="18"/>
                <w:szCs w:val="18"/>
              </w:rPr>
              <w:t>、本承诺在本公司</w:t>
            </w:r>
            <w:r>
              <w:rPr>
                <w:rFonts w:ascii="Times New Roman" w:hAnsi="Times New Roman" w:cs="Times New Roman" w:eastAsia="Times New Roman" w:hint="default"/>
                <w:sz w:val="18"/>
                <w:szCs w:val="18"/>
              </w:rPr>
              <w:t>/</w:t>
            </w:r>
          </w:p>
        </w:tc>
        <w:tc>
          <w:tcPr>
            <w:tcW w:w="990" w:type="dxa"/>
            <w:tcBorders>
              <w:top w:val="nil" w:sz="6" w:space="0" w:color="auto"/>
              <w:left w:val="single" w:sz="4" w:space="0" w:color="000000"/>
              <w:bottom w:val="single" w:sz="4" w:space="0" w:color="000000"/>
              <w:right w:val="single" w:sz="4" w:space="0" w:color="000000"/>
            </w:tcBorders>
          </w:tcPr>
          <w:p>
            <w:pPr/>
          </w:p>
        </w:tc>
        <w:tc>
          <w:tcPr>
            <w:tcW w:w="810" w:type="dxa"/>
            <w:tcBorders>
              <w:top w:val="nil" w:sz="6" w:space="0" w:color="auto"/>
              <w:left w:val="single" w:sz="4" w:space="0" w:color="000000"/>
              <w:bottom w:val="single" w:sz="4" w:space="0" w:color="000000"/>
              <w:right w:val="single" w:sz="4" w:space="0" w:color="000000"/>
            </w:tcBorders>
          </w:tcPr>
          <w:p>
            <w:pPr/>
          </w:p>
        </w:tc>
        <w:tc>
          <w:tcPr>
            <w:tcW w:w="645"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842"/>
        <w:gridCol w:w="839"/>
        <w:gridCol w:w="631"/>
        <w:gridCol w:w="3810"/>
        <w:gridCol w:w="990"/>
        <w:gridCol w:w="810"/>
        <w:gridCol w:w="645"/>
      </w:tblGrid>
      <w:tr>
        <w:trPr>
          <w:trHeight w:val="318" w:hRule="exact"/>
        </w:trPr>
        <w:tc>
          <w:tcPr>
            <w:tcW w:w="1842" w:type="dxa"/>
            <w:vMerge w:val="restart"/>
            <w:tcBorders>
              <w:top w:val="single" w:sz="4" w:space="0" w:color="000000"/>
              <w:left w:val="single" w:sz="4" w:space="0" w:color="000000"/>
              <w:right w:val="single" w:sz="4" w:space="0" w:color="000000"/>
            </w:tcBorders>
            <w:shd w:val="clear" w:color="auto" w:fill="D2D2D2"/>
          </w:tcPr>
          <w:p>
            <w:pPr/>
          </w:p>
        </w:tc>
        <w:tc>
          <w:tcPr>
            <w:tcW w:w="839" w:type="dxa"/>
            <w:vMerge w:val="restart"/>
            <w:tcBorders>
              <w:top w:val="single" w:sz="4" w:space="0" w:color="000000"/>
              <w:left w:val="single" w:sz="4" w:space="0" w:color="000000"/>
              <w:right w:val="single" w:sz="4" w:space="0" w:color="000000"/>
            </w:tcBorders>
          </w:tcPr>
          <w:p>
            <w:pPr/>
          </w:p>
        </w:tc>
        <w:tc>
          <w:tcPr>
            <w:tcW w:w="631" w:type="dxa"/>
            <w:vMerge w:val="restart"/>
            <w:tcBorders>
              <w:top w:val="single" w:sz="4" w:space="0" w:color="000000"/>
              <w:left w:val="single" w:sz="4" w:space="0" w:color="000000"/>
              <w:right w:val="single" w:sz="4" w:space="0" w:color="000000"/>
            </w:tcBorders>
          </w:tcPr>
          <w:p>
            <w:pP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本人直接或间接持有上市公司股份期间内持</w:t>
            </w:r>
          </w:p>
        </w:tc>
        <w:tc>
          <w:tcPr>
            <w:tcW w:w="990" w:type="dxa"/>
            <w:vMerge w:val="restart"/>
            <w:tcBorders>
              <w:top w:val="single" w:sz="4" w:space="0" w:color="000000"/>
              <w:left w:val="single" w:sz="4" w:space="0" w:color="000000"/>
              <w:right w:val="single" w:sz="4" w:space="0" w:color="000000"/>
            </w:tcBorders>
          </w:tcPr>
          <w:p>
            <w:pPr/>
          </w:p>
        </w:tc>
        <w:tc>
          <w:tcPr>
            <w:tcW w:w="810" w:type="dxa"/>
            <w:vMerge w:val="restart"/>
            <w:tcBorders>
              <w:top w:val="single" w:sz="4" w:space="0" w:color="000000"/>
              <w:left w:val="single" w:sz="4" w:space="0" w:color="000000"/>
              <w:right w:val="single" w:sz="4" w:space="0" w:color="000000"/>
            </w:tcBorders>
          </w:tcPr>
          <w:p>
            <w:pPr/>
          </w:p>
        </w:tc>
        <w:tc>
          <w:tcPr>
            <w:tcW w:w="645" w:type="dxa"/>
            <w:vMerge w:val="restart"/>
            <w:tcBorders>
              <w:top w:val="single" w:sz="4" w:space="0" w:color="000000"/>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续有效且不可变更或撤销。二、关于减少和规</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范关联交易的承诺为减少并规范本承诺人及</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所控制的企业与创业慧康之间的关联交易，本</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承诺人现作出确认、承诺和保证如下：</w:t>
            </w:r>
            <w:r>
              <w:rPr>
                <w:rFonts w:ascii="Times New Roman" w:hAnsi="Times New Roman" w:cs="Times New Roman" w:eastAsia="Times New Roman" w:hint="default"/>
                <w:sz w:val="18"/>
                <w:szCs w:val="18"/>
              </w:rPr>
              <w:t>1</w:t>
            </w:r>
            <w:r>
              <w:rPr>
                <w:rFonts w:ascii="宋体" w:hAnsi="宋体" w:cs="宋体" w:eastAsia="宋体" w:hint="default"/>
                <w:sz w:val="18"/>
                <w:szCs w:val="18"/>
              </w:rPr>
              <w:t>、本</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本公司及本人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本公司控制的企业（如有）</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与上市公司及其控股子公司之间已存在及将</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来不可避免发生的关联交易事项，保证遵循市</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场交易的公平原则即正常的商业条款与上市</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公司及其控股子公司发生交易。如未按市场交</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易的公平原则与上市公司及其控股子公司发</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生交易，而给上市公司及其控股子公司造成损</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pacing w:val="-3"/>
                <w:sz w:val="18"/>
                <w:szCs w:val="18"/>
              </w:rPr>
              <w:t>失或已经造成损失，由本人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本公司承担赔偿责</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任；</w:t>
            </w:r>
            <w:r>
              <w:rPr>
                <w:rFonts w:ascii="Times New Roman" w:hAnsi="Times New Roman" w:cs="Times New Roman" w:eastAsia="Times New Roman" w:hint="default"/>
                <w:sz w:val="18"/>
                <w:szCs w:val="18"/>
              </w:rPr>
              <w:t>2</w:t>
            </w:r>
            <w:r>
              <w:rPr>
                <w:rFonts w:ascii="宋体" w:hAnsi="宋体" w:cs="宋体" w:eastAsia="宋体" w:hint="default"/>
                <w:sz w:val="18"/>
                <w:szCs w:val="18"/>
              </w:rPr>
              <w:t>、本人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本公司将善意履行作为上市公司</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股东的义务，充分尊重上市公司的独立法人地</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位，保障上市公司独立经营、自主决策。本人</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本公司将严格按照中国《公司法》以及上市公</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pacing w:val="-3"/>
                <w:sz w:val="18"/>
                <w:szCs w:val="18"/>
              </w:rPr>
              <w:t>司的公司章程的规定，促使经本人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本公司提名</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的上市公司董事（如有）依法履行其应尽的诚</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信和勤勉责任；</w:t>
            </w:r>
            <w:r>
              <w:rPr>
                <w:rFonts w:ascii="Times New Roman" w:hAnsi="Times New Roman" w:cs="Times New Roman" w:eastAsia="Times New Roman" w:hint="default"/>
                <w:sz w:val="18"/>
                <w:szCs w:val="18"/>
              </w:rPr>
              <w:t>3</w:t>
            </w:r>
            <w:r>
              <w:rPr>
                <w:rFonts w:ascii="宋体" w:hAnsi="宋体" w:cs="宋体" w:eastAsia="宋体" w:hint="default"/>
                <w:sz w:val="18"/>
                <w:szCs w:val="18"/>
              </w:rPr>
              <w:t>、本人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本公司以及本人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司控股或实际控制的其他公司或者其他企业</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pacing w:val="-3"/>
                <w:sz w:val="18"/>
                <w:szCs w:val="18"/>
              </w:rPr>
              <w:t>或经济组织（以下统称“本人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本公司的关联企</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业</w:t>
            </w:r>
            <w:r>
              <w:rPr>
                <w:rFonts w:ascii="宋体" w:hAnsi="宋体" w:cs="宋体" w:eastAsia="宋体" w:hint="default"/>
                <w:spacing w:val="-89"/>
                <w:sz w:val="18"/>
                <w:szCs w:val="18"/>
              </w:rPr>
              <w:t>”</w:t>
            </w:r>
            <w:r>
              <w:rPr>
                <w:rFonts w:ascii="宋体" w:hAnsi="宋体" w:cs="宋体" w:eastAsia="宋体" w:hint="default"/>
                <w:spacing w:val="-3"/>
                <w:sz w:val="18"/>
                <w:szCs w:val="18"/>
              </w:rPr>
              <w:t>，</w:t>
            </w:r>
            <w:r>
              <w:rPr>
                <w:rFonts w:ascii="宋体" w:hAnsi="宋体" w:cs="宋体" w:eastAsia="宋体" w:hint="default"/>
                <w:sz w:val="18"/>
                <w:szCs w:val="18"/>
              </w:rPr>
              <w:t>如有</w:t>
            </w:r>
            <w:r>
              <w:rPr>
                <w:rFonts w:ascii="宋体" w:hAnsi="宋体" w:cs="宋体" w:eastAsia="宋体" w:hint="default"/>
                <w:spacing w:val="-92"/>
                <w:sz w:val="18"/>
                <w:szCs w:val="18"/>
              </w:rPr>
              <w:t>）</w:t>
            </w:r>
            <w:r>
              <w:rPr>
                <w:rFonts w:ascii="宋体" w:hAnsi="宋体" w:cs="宋体" w:eastAsia="宋体" w:hint="default"/>
                <w:spacing w:val="-3"/>
                <w:sz w:val="18"/>
                <w:szCs w:val="18"/>
              </w:rPr>
              <w:t>，</w:t>
            </w:r>
            <w:r>
              <w:rPr>
                <w:rFonts w:ascii="宋体" w:hAnsi="宋体" w:cs="宋体" w:eastAsia="宋体" w:hint="default"/>
                <w:sz w:val="18"/>
                <w:szCs w:val="18"/>
              </w:rPr>
              <w:t>将来尽可能避免与上市公司发生</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关联交易；</w:t>
            </w:r>
            <w:r>
              <w:rPr>
                <w:rFonts w:ascii="Times New Roman" w:hAnsi="Times New Roman" w:cs="Times New Roman" w:eastAsia="Times New Roman" w:hint="default"/>
                <w:sz w:val="18"/>
                <w:szCs w:val="18"/>
              </w:rPr>
              <w:t>4</w:t>
            </w:r>
            <w:r>
              <w:rPr>
                <w:rFonts w:ascii="宋体" w:hAnsi="宋体" w:cs="宋体" w:eastAsia="宋体" w:hint="default"/>
                <w:sz w:val="18"/>
                <w:szCs w:val="18"/>
              </w:rPr>
              <w:t>、本人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本公司及本人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本公司的关</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联企业承诺不以借款、代偿债务、代垫款项或</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者其他方式占用上市公司资金，也不要求上市</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公司为本人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本公司及本人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本公司的关联企业</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进行违规担保；</w:t>
            </w:r>
            <w:r>
              <w:rPr>
                <w:rFonts w:ascii="Times New Roman" w:hAnsi="Times New Roman" w:cs="Times New Roman" w:eastAsia="Times New Roman" w:hint="default"/>
                <w:sz w:val="18"/>
                <w:szCs w:val="18"/>
              </w:rPr>
              <w:t>5</w:t>
            </w:r>
            <w:r>
              <w:rPr>
                <w:rFonts w:ascii="宋体" w:hAnsi="宋体" w:cs="宋体" w:eastAsia="宋体" w:hint="default"/>
                <w:sz w:val="18"/>
                <w:szCs w:val="18"/>
              </w:rPr>
              <w:t>、如果上市公司在今后的经</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营活动中必须与本人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本公司或本人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本公司的</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pacing w:val="-3"/>
                <w:sz w:val="18"/>
                <w:szCs w:val="18"/>
              </w:rPr>
              <w:t>关联企业发生不可避免的关联交易，本人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本公</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司将促使此等交易严格按照国家有关法律法</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规、上市公司章程和上市公司的有关规定履行</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有关程序，在上市公司股东大会对关联交易进</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pacing w:val="-3"/>
                <w:sz w:val="18"/>
                <w:szCs w:val="18"/>
              </w:rPr>
              <w:t>行表决时，本人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本公司严格履行回避表决的义</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务；与上市公司依法签订协议，及时进行信息</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披露；保证按照正常的商业条件进行，且本人</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本公司及本人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本公司的关联企业将不会要求</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或接受上市公司给予比在任何一项市场公平</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交易中第三者更优惠的条件，保证不通过关联</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交易损害上市公司及其他股东的合法权益；</w:t>
            </w:r>
            <w:r>
              <w:rPr>
                <w:rFonts w:ascii="Times New Roman" w:hAnsi="Times New Roman" w:cs="Times New Roman" w:eastAsia="Times New Roman" w:hint="default"/>
                <w:sz w:val="18"/>
                <w:szCs w:val="18"/>
              </w:rPr>
              <w:t>6</w:t>
            </w:r>
            <w:r>
              <w:rPr>
                <w:rFonts w:ascii="宋体" w:hAnsi="宋体" w:cs="宋体" w:eastAsia="宋体" w:hint="default"/>
                <w:sz w:val="18"/>
                <w:szCs w:val="18"/>
              </w:rPr>
              <w:t>、</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本公司及本人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本公司的关联企业将严格</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和善意地履行其与上市公司签订的各种关联</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交易协议。本人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本公司及本人</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本公司的关联</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0" w:hRule="exact"/>
        </w:trPr>
        <w:tc>
          <w:tcPr>
            <w:tcW w:w="1842" w:type="dxa"/>
            <w:vMerge/>
            <w:tcBorders>
              <w:left w:val="single" w:sz="4" w:space="0" w:color="000000"/>
              <w:bottom w:val="single" w:sz="4" w:space="0" w:color="000000"/>
              <w:right w:val="single" w:sz="4" w:space="0" w:color="000000"/>
            </w:tcBorders>
            <w:shd w:val="clear" w:color="auto" w:fill="D2D2D2"/>
          </w:tcPr>
          <w:p>
            <w:pPr/>
          </w:p>
        </w:tc>
        <w:tc>
          <w:tcPr>
            <w:tcW w:w="839" w:type="dxa"/>
            <w:vMerge/>
            <w:tcBorders>
              <w:left w:val="single" w:sz="4" w:space="0" w:color="000000"/>
              <w:bottom w:val="single" w:sz="4" w:space="0" w:color="000000"/>
              <w:right w:val="single" w:sz="4" w:space="0" w:color="000000"/>
            </w:tcBorders>
          </w:tcPr>
          <w:p>
            <w:pPr/>
          </w:p>
        </w:tc>
        <w:tc>
          <w:tcPr>
            <w:tcW w:w="631" w:type="dxa"/>
            <w:vMerge/>
            <w:tcBorders>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企业将不会向上市公司谋求任何超出上述协</w:t>
            </w:r>
          </w:p>
        </w:tc>
        <w:tc>
          <w:tcPr>
            <w:tcW w:w="990" w:type="dxa"/>
            <w:vMerge/>
            <w:tcBorders>
              <w:left w:val="single" w:sz="4" w:space="0" w:color="000000"/>
              <w:bottom w:val="single" w:sz="4" w:space="0" w:color="000000"/>
              <w:right w:val="single" w:sz="4" w:space="0" w:color="000000"/>
            </w:tcBorders>
          </w:tcPr>
          <w:p>
            <w:pPr/>
          </w:p>
        </w:tc>
        <w:tc>
          <w:tcPr>
            <w:tcW w:w="810" w:type="dxa"/>
            <w:vMerge/>
            <w:tcBorders>
              <w:left w:val="single" w:sz="4" w:space="0" w:color="000000"/>
              <w:bottom w:val="single" w:sz="4" w:space="0" w:color="000000"/>
              <w:right w:val="single" w:sz="4" w:space="0" w:color="000000"/>
            </w:tcBorders>
          </w:tcPr>
          <w:p>
            <w:pPr/>
          </w:p>
        </w:tc>
        <w:tc>
          <w:tcPr>
            <w:tcW w:w="645" w:type="dxa"/>
            <w:vMerge/>
            <w:tcBorders>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842"/>
        <w:gridCol w:w="839"/>
        <w:gridCol w:w="631"/>
        <w:gridCol w:w="3810"/>
        <w:gridCol w:w="990"/>
        <w:gridCol w:w="810"/>
        <w:gridCol w:w="645"/>
      </w:tblGrid>
      <w:tr>
        <w:trPr>
          <w:trHeight w:val="322" w:hRule="exact"/>
        </w:trPr>
        <w:tc>
          <w:tcPr>
            <w:tcW w:w="1842" w:type="dxa"/>
            <w:vMerge w:val="restart"/>
            <w:tcBorders>
              <w:top w:val="single" w:sz="4" w:space="0" w:color="000000"/>
              <w:left w:val="single" w:sz="4" w:space="0" w:color="000000"/>
              <w:right w:val="single" w:sz="4" w:space="0" w:color="000000"/>
            </w:tcBorders>
            <w:shd w:val="clear" w:color="auto" w:fill="D2D2D2"/>
          </w:tcPr>
          <w:p>
            <w:pPr/>
          </w:p>
        </w:tc>
        <w:tc>
          <w:tcPr>
            <w:tcW w:w="839" w:type="dxa"/>
            <w:vMerge w:val="restart"/>
            <w:tcBorders>
              <w:top w:val="single" w:sz="4" w:space="0" w:color="000000"/>
              <w:left w:val="single" w:sz="4" w:space="0" w:color="000000"/>
              <w:right w:val="single" w:sz="4" w:space="0" w:color="000000"/>
            </w:tcBorders>
          </w:tcPr>
          <w:p>
            <w:pPr/>
          </w:p>
        </w:tc>
        <w:tc>
          <w:tcPr>
            <w:tcW w:w="631" w:type="dxa"/>
            <w:vMerge w:val="restart"/>
            <w:tcBorders>
              <w:top w:val="single" w:sz="4" w:space="0" w:color="000000"/>
              <w:left w:val="single" w:sz="4" w:space="0" w:color="000000"/>
              <w:right w:val="single" w:sz="4" w:space="0" w:color="000000"/>
            </w:tcBorders>
          </w:tcPr>
          <w:p>
            <w:pP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议规定以外的利益或收益；</w:t>
            </w:r>
            <w:r>
              <w:rPr>
                <w:rFonts w:ascii="Times New Roman" w:hAnsi="Times New Roman" w:cs="Times New Roman" w:eastAsia="Times New Roman" w:hint="default"/>
                <w:sz w:val="18"/>
                <w:szCs w:val="18"/>
              </w:rPr>
              <w:t>7</w:t>
            </w:r>
            <w:r>
              <w:rPr>
                <w:rFonts w:ascii="宋体" w:hAnsi="宋体" w:cs="宋体" w:eastAsia="宋体" w:hint="default"/>
                <w:sz w:val="18"/>
                <w:szCs w:val="18"/>
              </w:rPr>
              <w:t>、如违反上述承</w:t>
            </w:r>
          </w:p>
        </w:tc>
        <w:tc>
          <w:tcPr>
            <w:tcW w:w="990" w:type="dxa"/>
            <w:vMerge w:val="restart"/>
            <w:tcBorders>
              <w:top w:val="single" w:sz="4" w:space="0" w:color="000000"/>
              <w:left w:val="single" w:sz="4" w:space="0" w:color="000000"/>
              <w:right w:val="single" w:sz="4" w:space="0" w:color="000000"/>
            </w:tcBorders>
          </w:tcPr>
          <w:p>
            <w:pPr/>
          </w:p>
        </w:tc>
        <w:tc>
          <w:tcPr>
            <w:tcW w:w="810" w:type="dxa"/>
            <w:vMerge w:val="restart"/>
            <w:tcBorders>
              <w:top w:val="single" w:sz="4" w:space="0" w:color="000000"/>
              <w:left w:val="single" w:sz="4" w:space="0" w:color="000000"/>
              <w:right w:val="single" w:sz="4" w:space="0" w:color="000000"/>
            </w:tcBorders>
          </w:tcPr>
          <w:p>
            <w:pPr/>
          </w:p>
        </w:tc>
        <w:tc>
          <w:tcPr>
            <w:tcW w:w="645" w:type="dxa"/>
            <w:vMerge w:val="restart"/>
            <w:tcBorders>
              <w:top w:val="single" w:sz="4" w:space="0" w:color="000000"/>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pacing w:val="-3"/>
                <w:sz w:val="18"/>
                <w:szCs w:val="18"/>
              </w:rPr>
              <w:t>诺给上市公司造成损失，本人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本公司将向上市</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公司作出赔偿。三、关于不存在资金占用情形</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的承诺慧康物联实际控制人周建新承诺：截至</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本承诺出具日，本人及本人控制的其他企业不</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存在对杭州慧康物联网科技有限公司非经营</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56" w:hRule="exact"/>
        </w:trPr>
        <w:tc>
          <w:tcPr>
            <w:tcW w:w="1842" w:type="dxa"/>
            <w:vMerge/>
            <w:tcBorders>
              <w:left w:val="single" w:sz="4" w:space="0" w:color="000000"/>
              <w:bottom w:val="single" w:sz="4" w:space="0" w:color="000000"/>
              <w:right w:val="single" w:sz="4" w:space="0" w:color="000000"/>
            </w:tcBorders>
            <w:shd w:val="clear" w:color="auto" w:fill="D2D2D2"/>
          </w:tcPr>
          <w:p>
            <w:pPr/>
          </w:p>
        </w:tc>
        <w:tc>
          <w:tcPr>
            <w:tcW w:w="839" w:type="dxa"/>
            <w:vMerge/>
            <w:tcBorders>
              <w:left w:val="single" w:sz="4" w:space="0" w:color="000000"/>
              <w:bottom w:val="single" w:sz="4" w:space="0" w:color="000000"/>
              <w:right w:val="single" w:sz="4" w:space="0" w:color="000000"/>
            </w:tcBorders>
          </w:tcPr>
          <w:p>
            <w:pPr/>
          </w:p>
        </w:tc>
        <w:tc>
          <w:tcPr>
            <w:tcW w:w="631" w:type="dxa"/>
            <w:vMerge/>
            <w:tcBorders>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性资金占用的情形。</w:t>
            </w:r>
          </w:p>
        </w:tc>
        <w:tc>
          <w:tcPr>
            <w:tcW w:w="990" w:type="dxa"/>
            <w:vMerge/>
            <w:tcBorders>
              <w:left w:val="single" w:sz="4" w:space="0" w:color="000000"/>
              <w:bottom w:val="single" w:sz="4" w:space="0" w:color="000000"/>
              <w:right w:val="single" w:sz="4" w:space="0" w:color="000000"/>
            </w:tcBorders>
          </w:tcPr>
          <w:p>
            <w:pPr/>
          </w:p>
        </w:tc>
        <w:tc>
          <w:tcPr>
            <w:tcW w:w="810" w:type="dxa"/>
            <w:vMerge/>
            <w:tcBorders>
              <w:left w:val="single" w:sz="4" w:space="0" w:color="000000"/>
              <w:bottom w:val="single" w:sz="4" w:space="0" w:color="000000"/>
              <w:right w:val="single" w:sz="4" w:space="0" w:color="000000"/>
            </w:tcBorders>
          </w:tcPr>
          <w:p>
            <w:pPr/>
          </w:p>
        </w:tc>
        <w:tc>
          <w:tcPr>
            <w:tcW w:w="645" w:type="dxa"/>
            <w:vMerge/>
            <w:tcBorders>
              <w:left w:val="single" w:sz="4" w:space="0" w:color="000000"/>
              <w:bottom w:val="single" w:sz="4" w:space="0" w:color="000000"/>
              <w:right w:val="single" w:sz="4" w:space="0" w:color="000000"/>
            </w:tcBorders>
          </w:tcPr>
          <w:p>
            <w:pPr/>
          </w:p>
        </w:tc>
      </w:tr>
      <w:tr>
        <w:trPr>
          <w:trHeight w:val="362" w:hRule="exact"/>
        </w:trPr>
        <w:tc>
          <w:tcPr>
            <w:tcW w:w="1842" w:type="dxa"/>
            <w:tcBorders>
              <w:top w:val="single" w:sz="4" w:space="0" w:color="000000"/>
              <w:left w:val="single" w:sz="4" w:space="0" w:color="000000"/>
              <w:bottom w:val="nil" w:sz="6" w:space="0" w:color="auto"/>
              <w:right w:val="single" w:sz="4" w:space="0" w:color="000000"/>
            </w:tcBorders>
            <w:shd w:val="clear" w:color="auto" w:fill="D2D2D2"/>
          </w:tcPr>
          <w:p>
            <w:pPr/>
          </w:p>
        </w:tc>
        <w:tc>
          <w:tcPr>
            <w:tcW w:w="839" w:type="dxa"/>
            <w:tcBorders>
              <w:top w:val="single" w:sz="4" w:space="0" w:color="000000"/>
              <w:left w:val="single" w:sz="4" w:space="0" w:color="000000"/>
              <w:bottom w:val="nil" w:sz="6" w:space="0" w:color="auto"/>
              <w:right w:val="single" w:sz="4" w:space="0" w:color="000000"/>
            </w:tcBorders>
          </w:tcPr>
          <w:p>
            <w:pPr/>
          </w:p>
        </w:tc>
        <w:tc>
          <w:tcPr>
            <w:tcW w:w="631" w:type="dxa"/>
            <w:tcBorders>
              <w:top w:val="single" w:sz="4" w:space="0" w:color="000000"/>
              <w:left w:val="single" w:sz="4" w:space="0" w:color="000000"/>
              <w:bottom w:val="nil" w:sz="6" w:space="0" w:color="auto"/>
              <w:right w:val="single" w:sz="4" w:space="0" w:color="000000"/>
            </w:tcBorders>
          </w:tcPr>
          <w:p>
            <w:pP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自公司股票上市之日起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个月内，不转让或</w:t>
            </w:r>
          </w:p>
        </w:tc>
        <w:tc>
          <w:tcPr>
            <w:tcW w:w="990" w:type="dxa"/>
            <w:tcBorders>
              <w:top w:val="single" w:sz="4" w:space="0" w:color="000000"/>
              <w:left w:val="single" w:sz="4" w:space="0" w:color="000000"/>
              <w:bottom w:val="nil" w:sz="6" w:space="0" w:color="auto"/>
              <w:right w:val="single" w:sz="4" w:space="0" w:color="000000"/>
            </w:tcBorders>
          </w:tcPr>
          <w:p>
            <w:pPr/>
          </w:p>
        </w:tc>
        <w:tc>
          <w:tcPr>
            <w:tcW w:w="810" w:type="dxa"/>
            <w:tcBorders>
              <w:top w:val="single" w:sz="4" w:space="0" w:color="000000"/>
              <w:left w:val="single" w:sz="4" w:space="0" w:color="000000"/>
              <w:bottom w:val="nil" w:sz="6" w:space="0" w:color="auto"/>
              <w:right w:val="single" w:sz="4" w:space="0" w:color="000000"/>
            </w:tcBorders>
          </w:tcPr>
          <w:p>
            <w:pPr/>
          </w:p>
        </w:tc>
        <w:tc>
          <w:tcPr>
            <w:tcW w:w="645" w:type="dxa"/>
            <w:tcBorders>
              <w:top w:val="single" w:sz="4" w:space="0" w:color="000000"/>
              <w:left w:val="single" w:sz="4" w:space="0" w:color="000000"/>
              <w:bottom w:val="nil" w:sz="6" w:space="0" w:color="auto"/>
              <w:right w:val="single" w:sz="4" w:space="0" w:color="000000"/>
            </w:tcBorders>
          </w:tcPr>
          <w:p>
            <w:pPr/>
          </w:p>
        </w:tc>
      </w:tr>
      <w:tr>
        <w:trPr>
          <w:trHeight w:val="307"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者委托他人管理本人直接或间接持有的创业</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慧康公开发行股票前已发行的股份，也不由创</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业慧康回购上述股份。创业慧康上市后</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个月</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内如公司股票价格连续</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个交易日的收盘价</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（如因派息、送股、资本公积金转增股本、增</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发新股等原因除权、除息的，则须按照深圳证</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1253"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16" w:lineRule="auto"/>
              <w:ind w:left="104" w:right="155"/>
              <w:jc w:val="both"/>
              <w:rPr>
                <w:rFonts w:ascii="宋体" w:hAnsi="宋体" w:cs="宋体" w:eastAsia="宋体" w:hint="default"/>
                <w:sz w:val="18"/>
                <w:szCs w:val="18"/>
              </w:rPr>
            </w:pPr>
            <w:r>
              <w:rPr>
                <w:rFonts w:ascii="宋体" w:hAnsi="宋体" w:cs="宋体" w:eastAsia="宋体" w:hint="default"/>
                <w:sz w:val="18"/>
                <w:szCs w:val="18"/>
              </w:rPr>
              <w:t>限售 锁定 承诺</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312" w:lineRule="auto" w:before="10"/>
              <w:ind w:left="101" w:right="101"/>
              <w:jc w:val="both"/>
              <w:rPr>
                <w:rFonts w:ascii="宋体" w:hAnsi="宋体" w:cs="宋体" w:eastAsia="宋体" w:hint="default"/>
                <w:sz w:val="18"/>
                <w:szCs w:val="18"/>
              </w:rPr>
            </w:pPr>
            <w:r>
              <w:rPr>
                <w:rFonts w:ascii="宋体" w:hAnsi="宋体" w:cs="宋体" w:eastAsia="宋体" w:hint="default"/>
                <w:sz w:val="18"/>
                <w:szCs w:val="18"/>
              </w:rPr>
              <w:t>券交易所的有关规定进行调整，下同）均低于 发行价，或者上市后</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个月期末收盘价低于发 行价，本人所持创业慧康的股票的锁定期限自 动延长</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个月。上述承诺期满后，本人在担任</w:t>
            </w:r>
          </w:p>
        </w:tc>
        <w:tc>
          <w:tcPr>
            <w:tcW w:w="99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8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36 </w:t>
            </w:r>
            <w:r>
              <w:rPr>
                <w:rFonts w:ascii="宋体" w:hAnsi="宋体" w:cs="宋体" w:eastAsia="宋体" w:hint="default"/>
                <w:sz w:val="18"/>
                <w:szCs w:val="18"/>
              </w:rPr>
              <w:t>个月</w:t>
            </w:r>
          </w:p>
        </w:tc>
        <w:tc>
          <w:tcPr>
            <w:tcW w:w="6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15"/>
              <w:ind w:left="103" w:right="170"/>
              <w:jc w:val="left"/>
              <w:rPr>
                <w:rFonts w:ascii="宋体" w:hAnsi="宋体" w:cs="宋体" w:eastAsia="宋体" w:hint="default"/>
                <w:sz w:val="18"/>
                <w:szCs w:val="18"/>
              </w:rPr>
            </w:pPr>
            <w:r>
              <w:rPr>
                <w:rFonts w:ascii="宋体" w:hAnsi="宋体" w:cs="宋体" w:eastAsia="宋体" w:hint="default"/>
                <w:sz w:val="18"/>
                <w:szCs w:val="18"/>
              </w:rPr>
              <w:t>正常 履行</w:t>
            </w:r>
          </w:p>
        </w:tc>
      </w:tr>
      <w:tr>
        <w:trPr>
          <w:trHeight w:val="307"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创业慧康董事、监事或高级管理人员期间，每</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年转让的股份不超过本人直接或间接持有的</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创业慧康股份总数的百分之二十五；若今后从</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创业慧康离职，离职后半年内，不转让本人直</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接或间接持有的创业慧康股份。在上述承诺履</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行期间，本人职务变更、离职等原因不影响本</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80"/>
              <w:ind w:left="101" w:right="0"/>
              <w:jc w:val="left"/>
              <w:rPr>
                <w:rFonts w:ascii="宋体" w:hAnsi="宋体" w:cs="宋体" w:eastAsia="宋体" w:hint="default"/>
                <w:sz w:val="18"/>
                <w:szCs w:val="18"/>
              </w:rPr>
            </w:pPr>
            <w:r>
              <w:rPr>
                <w:rFonts w:ascii="宋体" w:hAnsi="宋体" w:cs="宋体" w:eastAsia="宋体" w:hint="default"/>
                <w:sz w:val="18"/>
                <w:szCs w:val="18"/>
              </w:rPr>
              <w:t>首次公开发行或再融</w:t>
            </w:r>
          </w:p>
        </w:tc>
        <w:tc>
          <w:tcPr>
            <w:tcW w:w="839" w:type="dxa"/>
            <w:tcBorders>
              <w:top w:val="nil" w:sz="6" w:space="0" w:color="auto"/>
              <w:left w:val="single" w:sz="4" w:space="0" w:color="000000"/>
              <w:bottom w:val="single" w:sz="4" w:space="0" w:color="000000"/>
              <w:right w:val="single" w:sz="4" w:space="0" w:color="000000"/>
            </w:tcBorders>
          </w:tcPr>
          <w:p>
            <w:pPr/>
          </w:p>
        </w:tc>
        <w:tc>
          <w:tcPr>
            <w:tcW w:w="631" w:type="dxa"/>
            <w:tcBorders>
              <w:top w:val="nil" w:sz="6" w:space="0" w:color="auto"/>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承诺的效力。</w:t>
            </w:r>
          </w:p>
        </w:tc>
        <w:tc>
          <w:tcPr>
            <w:tcW w:w="990" w:type="dxa"/>
            <w:tcBorders>
              <w:top w:val="nil" w:sz="6" w:space="0" w:color="auto"/>
              <w:left w:val="single" w:sz="4" w:space="0" w:color="000000"/>
              <w:bottom w:val="single" w:sz="4" w:space="0" w:color="000000"/>
              <w:right w:val="single" w:sz="4" w:space="0" w:color="000000"/>
            </w:tcBorders>
          </w:tcPr>
          <w:p>
            <w:pPr/>
          </w:p>
        </w:tc>
        <w:tc>
          <w:tcPr>
            <w:tcW w:w="810" w:type="dxa"/>
            <w:tcBorders>
              <w:top w:val="nil" w:sz="6" w:space="0" w:color="auto"/>
              <w:left w:val="single" w:sz="4" w:space="0" w:color="000000"/>
              <w:bottom w:val="single" w:sz="4" w:space="0" w:color="000000"/>
              <w:right w:val="single" w:sz="4" w:space="0" w:color="000000"/>
            </w:tcBorders>
          </w:tcPr>
          <w:p>
            <w:pPr/>
          </w:p>
        </w:tc>
        <w:tc>
          <w:tcPr>
            <w:tcW w:w="645" w:type="dxa"/>
            <w:tcBorders>
              <w:top w:val="nil" w:sz="6" w:space="0" w:color="auto"/>
              <w:left w:val="single" w:sz="4" w:space="0" w:color="000000"/>
              <w:bottom w:val="single" w:sz="4" w:space="0" w:color="000000"/>
              <w:right w:val="single" w:sz="4" w:space="0" w:color="000000"/>
            </w:tcBorders>
          </w:tcPr>
          <w:p>
            <w:pPr/>
          </w:p>
        </w:tc>
      </w:tr>
      <w:tr>
        <w:trPr>
          <w:trHeight w:val="362"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34"/>
              <w:ind w:left="101" w:right="0"/>
              <w:jc w:val="left"/>
              <w:rPr>
                <w:rFonts w:ascii="宋体" w:hAnsi="宋体" w:cs="宋体" w:eastAsia="宋体" w:hint="default"/>
                <w:sz w:val="18"/>
                <w:szCs w:val="18"/>
              </w:rPr>
            </w:pPr>
            <w:r>
              <w:rPr>
                <w:rFonts w:ascii="宋体" w:hAnsi="宋体" w:cs="宋体" w:eastAsia="宋体" w:hint="default"/>
                <w:sz w:val="18"/>
                <w:szCs w:val="18"/>
              </w:rPr>
              <w:t>资时所作承诺</w:t>
            </w:r>
          </w:p>
        </w:tc>
        <w:tc>
          <w:tcPr>
            <w:tcW w:w="839" w:type="dxa"/>
            <w:tcBorders>
              <w:top w:val="single" w:sz="4" w:space="0" w:color="000000"/>
              <w:left w:val="single" w:sz="4" w:space="0" w:color="000000"/>
              <w:bottom w:val="nil" w:sz="6" w:space="0" w:color="auto"/>
              <w:right w:val="single" w:sz="4" w:space="0" w:color="000000"/>
            </w:tcBorders>
          </w:tcPr>
          <w:p>
            <w:pPr/>
          </w:p>
        </w:tc>
        <w:tc>
          <w:tcPr>
            <w:tcW w:w="631" w:type="dxa"/>
            <w:tcBorders>
              <w:top w:val="single" w:sz="4" w:space="0" w:color="000000"/>
              <w:left w:val="single" w:sz="4" w:space="0" w:color="000000"/>
              <w:bottom w:val="nil" w:sz="6" w:space="0" w:color="auto"/>
              <w:right w:val="single" w:sz="4" w:space="0" w:color="000000"/>
            </w:tcBorders>
          </w:tcPr>
          <w:p>
            <w:pP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自公司股票上市之日起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个月内，不转让或</w:t>
            </w:r>
          </w:p>
        </w:tc>
        <w:tc>
          <w:tcPr>
            <w:tcW w:w="990" w:type="dxa"/>
            <w:tcBorders>
              <w:top w:val="single" w:sz="4" w:space="0" w:color="000000"/>
              <w:left w:val="single" w:sz="4" w:space="0" w:color="000000"/>
              <w:bottom w:val="nil" w:sz="6" w:space="0" w:color="auto"/>
              <w:right w:val="single" w:sz="4" w:space="0" w:color="000000"/>
            </w:tcBorders>
          </w:tcPr>
          <w:p>
            <w:pPr/>
          </w:p>
        </w:tc>
        <w:tc>
          <w:tcPr>
            <w:tcW w:w="810" w:type="dxa"/>
            <w:tcBorders>
              <w:top w:val="single" w:sz="4" w:space="0" w:color="000000"/>
              <w:left w:val="single" w:sz="4" w:space="0" w:color="000000"/>
              <w:bottom w:val="nil" w:sz="6" w:space="0" w:color="auto"/>
              <w:right w:val="single" w:sz="4" w:space="0" w:color="000000"/>
            </w:tcBorders>
          </w:tcPr>
          <w:p>
            <w:pPr/>
          </w:p>
        </w:tc>
        <w:tc>
          <w:tcPr>
            <w:tcW w:w="645" w:type="dxa"/>
            <w:tcBorders>
              <w:top w:val="single" w:sz="4" w:space="0" w:color="000000"/>
              <w:left w:val="single" w:sz="4" w:space="0" w:color="000000"/>
              <w:bottom w:val="nil" w:sz="6" w:space="0" w:color="auto"/>
              <w:right w:val="single" w:sz="4" w:space="0" w:color="000000"/>
            </w:tcBorders>
          </w:tcPr>
          <w:p>
            <w:pPr/>
          </w:p>
        </w:tc>
      </w:tr>
      <w:tr>
        <w:trPr>
          <w:trHeight w:val="308"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者委托他人管理本公司持有的创业慧康公开</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1252"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3" w:right="184"/>
              <w:jc w:val="both"/>
              <w:rPr>
                <w:rFonts w:ascii="宋体" w:hAnsi="宋体" w:cs="宋体" w:eastAsia="宋体" w:hint="default"/>
                <w:sz w:val="18"/>
                <w:szCs w:val="18"/>
              </w:rPr>
            </w:pPr>
            <w:r>
              <w:rPr>
                <w:rFonts w:ascii="宋体" w:hAnsi="宋体" w:cs="宋体" w:eastAsia="宋体" w:hint="default"/>
                <w:sz w:val="18"/>
                <w:szCs w:val="18"/>
              </w:rPr>
              <w:t>杭州阜 康投资 有限公 司</w:t>
            </w: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16" w:lineRule="auto"/>
              <w:ind w:left="104" w:right="155"/>
              <w:jc w:val="both"/>
              <w:rPr>
                <w:rFonts w:ascii="宋体" w:hAnsi="宋体" w:cs="宋体" w:eastAsia="宋体" w:hint="default"/>
                <w:sz w:val="18"/>
                <w:szCs w:val="18"/>
              </w:rPr>
            </w:pPr>
            <w:r>
              <w:rPr>
                <w:rFonts w:ascii="宋体" w:hAnsi="宋体" w:cs="宋体" w:eastAsia="宋体" w:hint="default"/>
                <w:sz w:val="18"/>
                <w:szCs w:val="18"/>
              </w:rPr>
              <w:t>限售 锁定 承诺</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01"/>
              <w:jc w:val="left"/>
              <w:rPr>
                <w:rFonts w:ascii="宋体" w:hAnsi="宋体" w:cs="宋体" w:eastAsia="宋体" w:hint="default"/>
                <w:sz w:val="18"/>
                <w:szCs w:val="18"/>
              </w:rPr>
            </w:pPr>
            <w:r>
              <w:rPr>
                <w:rFonts w:ascii="宋体" w:hAnsi="宋体" w:cs="宋体" w:eastAsia="宋体" w:hint="default"/>
                <w:sz w:val="18"/>
                <w:szCs w:val="18"/>
              </w:rPr>
              <w:t>发行股票前已发行的股份，也不由创业慧康回 购上述股份。创业慧康上市后</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个月内如公司</w:t>
            </w:r>
          </w:p>
          <w:p>
            <w:pPr>
              <w:pStyle w:val="TableParagraph"/>
              <w:spacing w:line="248" w:lineRule="exact"/>
              <w:ind w:left="101" w:right="0"/>
              <w:jc w:val="left"/>
              <w:rPr>
                <w:rFonts w:ascii="宋体" w:hAnsi="宋体" w:cs="宋体" w:eastAsia="宋体" w:hint="default"/>
                <w:sz w:val="18"/>
                <w:szCs w:val="18"/>
              </w:rPr>
            </w:pPr>
            <w:r>
              <w:rPr>
                <w:rFonts w:ascii="宋体" w:hAnsi="宋体" w:cs="宋体" w:eastAsia="宋体" w:hint="default"/>
                <w:sz w:val="18"/>
                <w:szCs w:val="18"/>
              </w:rPr>
              <w:t>股票价格连续</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个交易日的收盘价均低于发</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行价，或者上市后</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个月期末收盘价低于发行</w:t>
            </w:r>
          </w:p>
        </w:tc>
        <w:tc>
          <w:tcPr>
            <w:tcW w:w="99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8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36 </w:t>
            </w:r>
            <w:r>
              <w:rPr>
                <w:rFonts w:ascii="宋体" w:hAnsi="宋体" w:cs="宋体" w:eastAsia="宋体" w:hint="default"/>
                <w:sz w:val="18"/>
                <w:szCs w:val="18"/>
              </w:rPr>
              <w:t>个月</w:t>
            </w:r>
          </w:p>
        </w:tc>
        <w:tc>
          <w:tcPr>
            <w:tcW w:w="6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15"/>
              <w:ind w:left="103" w:right="170"/>
              <w:jc w:val="left"/>
              <w:rPr>
                <w:rFonts w:ascii="宋体" w:hAnsi="宋体" w:cs="宋体" w:eastAsia="宋体" w:hint="default"/>
                <w:sz w:val="18"/>
                <w:szCs w:val="18"/>
              </w:rPr>
            </w:pPr>
            <w:r>
              <w:rPr>
                <w:rFonts w:ascii="宋体" w:hAnsi="宋体" w:cs="宋体" w:eastAsia="宋体" w:hint="default"/>
                <w:sz w:val="18"/>
                <w:szCs w:val="18"/>
              </w:rPr>
              <w:t>正常 履行</w:t>
            </w:r>
          </w:p>
        </w:tc>
      </w:tr>
      <w:tr>
        <w:trPr>
          <w:trHeight w:val="308"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价，本公司所持创业慧康的股票的锁定期限自</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56"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single" w:sz="4" w:space="0" w:color="000000"/>
              <w:right w:val="single" w:sz="4" w:space="0" w:color="000000"/>
            </w:tcBorders>
          </w:tcPr>
          <w:p>
            <w:pPr/>
          </w:p>
        </w:tc>
        <w:tc>
          <w:tcPr>
            <w:tcW w:w="631" w:type="dxa"/>
            <w:tcBorders>
              <w:top w:val="nil" w:sz="6" w:space="0" w:color="auto"/>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动延长</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990" w:type="dxa"/>
            <w:tcBorders>
              <w:top w:val="nil" w:sz="6" w:space="0" w:color="auto"/>
              <w:left w:val="single" w:sz="4" w:space="0" w:color="000000"/>
              <w:bottom w:val="single" w:sz="4" w:space="0" w:color="000000"/>
              <w:right w:val="single" w:sz="4" w:space="0" w:color="000000"/>
            </w:tcBorders>
          </w:tcPr>
          <w:p>
            <w:pPr/>
          </w:p>
        </w:tc>
        <w:tc>
          <w:tcPr>
            <w:tcW w:w="810" w:type="dxa"/>
            <w:tcBorders>
              <w:top w:val="nil" w:sz="6" w:space="0" w:color="auto"/>
              <w:left w:val="single" w:sz="4" w:space="0" w:color="000000"/>
              <w:bottom w:val="single" w:sz="4" w:space="0" w:color="000000"/>
              <w:right w:val="single" w:sz="4" w:space="0" w:color="000000"/>
            </w:tcBorders>
          </w:tcPr>
          <w:p>
            <w:pPr/>
          </w:p>
        </w:tc>
        <w:tc>
          <w:tcPr>
            <w:tcW w:w="645" w:type="dxa"/>
            <w:tcBorders>
              <w:top w:val="nil" w:sz="6" w:space="0" w:color="auto"/>
              <w:left w:val="single" w:sz="4" w:space="0" w:color="000000"/>
              <w:bottom w:val="single" w:sz="4" w:space="0" w:color="000000"/>
              <w:right w:val="single" w:sz="4" w:space="0" w:color="000000"/>
            </w:tcBorders>
          </w:tcPr>
          <w:p>
            <w:pPr/>
          </w:p>
        </w:tc>
      </w:tr>
      <w:tr>
        <w:trPr>
          <w:trHeight w:val="362"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single" w:sz="4" w:space="0" w:color="000000"/>
              <w:left w:val="single" w:sz="4" w:space="0" w:color="000000"/>
              <w:bottom w:val="nil" w:sz="6" w:space="0" w:color="auto"/>
              <w:right w:val="single" w:sz="4" w:space="0" w:color="000000"/>
            </w:tcBorders>
          </w:tcPr>
          <w:p>
            <w:pPr/>
          </w:p>
        </w:tc>
        <w:tc>
          <w:tcPr>
            <w:tcW w:w="631" w:type="dxa"/>
            <w:tcBorders>
              <w:top w:val="single" w:sz="4" w:space="0" w:color="000000"/>
              <w:left w:val="single" w:sz="4" w:space="0" w:color="000000"/>
              <w:bottom w:val="nil" w:sz="6" w:space="0" w:color="auto"/>
              <w:right w:val="single" w:sz="4" w:space="0" w:color="000000"/>
            </w:tcBorders>
          </w:tcPr>
          <w:p>
            <w:pP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、本公司将严格遵守公司本次发行上市前其</w:t>
            </w:r>
          </w:p>
        </w:tc>
        <w:tc>
          <w:tcPr>
            <w:tcW w:w="990" w:type="dxa"/>
            <w:tcBorders>
              <w:top w:val="single" w:sz="4" w:space="0" w:color="000000"/>
              <w:left w:val="single" w:sz="4" w:space="0" w:color="000000"/>
              <w:bottom w:val="nil" w:sz="6" w:space="0" w:color="auto"/>
              <w:right w:val="single" w:sz="4" w:space="0" w:color="000000"/>
            </w:tcBorders>
          </w:tcPr>
          <w:p>
            <w:pPr/>
          </w:p>
        </w:tc>
        <w:tc>
          <w:tcPr>
            <w:tcW w:w="810" w:type="dxa"/>
            <w:tcBorders>
              <w:top w:val="single" w:sz="4" w:space="0" w:color="000000"/>
              <w:left w:val="single" w:sz="4" w:space="0" w:color="000000"/>
              <w:bottom w:val="nil" w:sz="6" w:space="0" w:color="auto"/>
              <w:right w:val="single" w:sz="4" w:space="0" w:color="000000"/>
            </w:tcBorders>
          </w:tcPr>
          <w:p>
            <w:pPr/>
          </w:p>
        </w:tc>
        <w:tc>
          <w:tcPr>
            <w:tcW w:w="645" w:type="dxa"/>
            <w:tcBorders>
              <w:top w:val="single" w:sz="4" w:space="0" w:color="000000"/>
              <w:left w:val="single" w:sz="4" w:space="0" w:color="000000"/>
              <w:bottom w:val="nil" w:sz="6" w:space="0" w:color="auto"/>
              <w:right w:val="single" w:sz="4" w:space="0" w:color="000000"/>
            </w:tcBorders>
          </w:tcPr>
          <w:p>
            <w:pPr/>
          </w:p>
        </w:tc>
      </w:tr>
      <w:tr>
        <w:trPr>
          <w:trHeight w:val="307"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做出的股份限售安排和自愿锁定的承诺，在锁</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02"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定期满后两年内进行减持的，合计减持数量不</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1263"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316" w:lineRule="auto" w:before="1"/>
              <w:ind w:left="103" w:right="184"/>
              <w:jc w:val="both"/>
              <w:rPr>
                <w:rFonts w:ascii="宋体" w:hAnsi="宋体" w:cs="宋体" w:eastAsia="宋体" w:hint="default"/>
                <w:sz w:val="18"/>
                <w:szCs w:val="18"/>
              </w:rPr>
            </w:pPr>
            <w:r>
              <w:rPr>
                <w:rFonts w:ascii="宋体" w:hAnsi="宋体" w:cs="宋体" w:eastAsia="宋体" w:hint="default"/>
                <w:sz w:val="18"/>
                <w:szCs w:val="18"/>
              </w:rPr>
              <w:t>杭州阜 康投资 有限公 司</w:t>
            </w: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316" w:lineRule="auto" w:before="157"/>
              <w:ind w:left="104" w:right="155"/>
              <w:jc w:val="both"/>
              <w:rPr>
                <w:rFonts w:ascii="宋体" w:hAnsi="宋体" w:cs="宋体" w:eastAsia="宋体" w:hint="default"/>
                <w:sz w:val="18"/>
                <w:szCs w:val="18"/>
              </w:rPr>
            </w:pPr>
            <w:r>
              <w:rPr>
                <w:rFonts w:ascii="宋体" w:hAnsi="宋体" w:cs="宋体" w:eastAsia="宋体" w:hint="default"/>
                <w:sz w:val="18"/>
                <w:szCs w:val="18"/>
              </w:rPr>
              <w:t>股份 减持 承诺</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312" w:lineRule="auto" w:before="20"/>
              <w:ind w:left="101" w:right="101"/>
              <w:jc w:val="left"/>
              <w:rPr>
                <w:rFonts w:ascii="宋体" w:hAnsi="宋体" w:cs="宋体" w:eastAsia="宋体" w:hint="default"/>
                <w:sz w:val="18"/>
                <w:szCs w:val="18"/>
              </w:rPr>
            </w:pPr>
            <w:r>
              <w:rPr>
                <w:rFonts w:ascii="宋体" w:hAnsi="宋体" w:cs="宋体" w:eastAsia="宋体" w:hint="default"/>
                <w:sz w:val="18"/>
                <w:szCs w:val="18"/>
              </w:rPr>
              <w:t>超过公司本次发行上市时本公司所持公司股 份的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、本公司在锁定期满后两年内进 行减持时，减持价格不低于本次公开发行股票 的发行价格。</w:t>
            </w:r>
            <w:r>
              <w:rPr>
                <w:rFonts w:ascii="Times New Roman" w:hAnsi="Times New Roman" w:cs="Times New Roman" w:eastAsia="Times New Roman" w:hint="default"/>
                <w:sz w:val="18"/>
                <w:szCs w:val="18"/>
              </w:rPr>
              <w:t>3</w:t>
            </w:r>
            <w:r>
              <w:rPr>
                <w:rFonts w:ascii="宋体" w:hAnsi="宋体" w:cs="宋体" w:eastAsia="宋体" w:hint="default"/>
                <w:sz w:val="18"/>
                <w:szCs w:val="18"/>
              </w:rPr>
              <w:t>、本公司在减持创业慧康股份</w:t>
            </w:r>
          </w:p>
        </w:tc>
        <w:tc>
          <w:tcPr>
            <w:tcW w:w="99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8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6"/>
              <w:ind w:left="103" w:right="170"/>
              <w:jc w:val="left"/>
              <w:rPr>
                <w:rFonts w:ascii="宋体" w:hAnsi="宋体" w:cs="宋体" w:eastAsia="宋体" w:hint="default"/>
                <w:sz w:val="18"/>
                <w:szCs w:val="18"/>
              </w:rPr>
            </w:pPr>
            <w:r>
              <w:rPr>
                <w:rFonts w:ascii="宋体" w:hAnsi="宋体" w:cs="宋体" w:eastAsia="宋体" w:hint="default"/>
                <w:sz w:val="18"/>
                <w:szCs w:val="18"/>
              </w:rPr>
              <w:t>正常 履行</w:t>
            </w:r>
          </w:p>
        </w:tc>
      </w:tr>
      <w:tr>
        <w:trPr>
          <w:trHeight w:val="312"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前，应提前</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个交易日公告，并按照深圳证券</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交易所的规则及时、准确、完整地履行信息披</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5" w:hRule="exact"/>
        </w:trPr>
        <w:tc>
          <w:tcPr>
            <w:tcW w:w="1842" w:type="dxa"/>
            <w:tcBorders>
              <w:top w:val="nil" w:sz="6" w:space="0" w:color="auto"/>
              <w:left w:val="single" w:sz="4" w:space="0" w:color="000000"/>
              <w:bottom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single" w:sz="4" w:space="0" w:color="000000"/>
              <w:right w:val="single" w:sz="4" w:space="0" w:color="000000"/>
            </w:tcBorders>
          </w:tcPr>
          <w:p>
            <w:pPr/>
          </w:p>
        </w:tc>
        <w:tc>
          <w:tcPr>
            <w:tcW w:w="631" w:type="dxa"/>
            <w:tcBorders>
              <w:top w:val="nil" w:sz="6" w:space="0" w:color="auto"/>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露义务。</w:t>
            </w:r>
            <w:r>
              <w:rPr>
                <w:rFonts w:ascii="Times New Roman" w:hAnsi="Times New Roman" w:cs="Times New Roman" w:eastAsia="Times New Roman" w:hint="default"/>
                <w:sz w:val="18"/>
                <w:szCs w:val="18"/>
              </w:rPr>
              <w:t>4</w:t>
            </w:r>
            <w:r>
              <w:rPr>
                <w:rFonts w:ascii="宋体" w:hAnsi="宋体" w:cs="宋体" w:eastAsia="宋体" w:hint="default"/>
                <w:sz w:val="18"/>
                <w:szCs w:val="18"/>
              </w:rPr>
              <w:t>、本公司将根据相关法律法规及深</w:t>
            </w:r>
          </w:p>
        </w:tc>
        <w:tc>
          <w:tcPr>
            <w:tcW w:w="990" w:type="dxa"/>
            <w:tcBorders>
              <w:top w:val="nil" w:sz="6" w:space="0" w:color="auto"/>
              <w:left w:val="single" w:sz="4" w:space="0" w:color="000000"/>
              <w:bottom w:val="single" w:sz="4" w:space="0" w:color="000000"/>
              <w:right w:val="single" w:sz="4" w:space="0" w:color="000000"/>
            </w:tcBorders>
          </w:tcPr>
          <w:p>
            <w:pPr/>
          </w:p>
        </w:tc>
        <w:tc>
          <w:tcPr>
            <w:tcW w:w="810" w:type="dxa"/>
            <w:tcBorders>
              <w:top w:val="nil" w:sz="6" w:space="0" w:color="auto"/>
              <w:left w:val="single" w:sz="4" w:space="0" w:color="000000"/>
              <w:bottom w:val="single" w:sz="4" w:space="0" w:color="000000"/>
              <w:right w:val="single" w:sz="4" w:space="0" w:color="000000"/>
            </w:tcBorders>
          </w:tcPr>
          <w:p>
            <w:pPr/>
          </w:p>
        </w:tc>
        <w:tc>
          <w:tcPr>
            <w:tcW w:w="645" w:type="dxa"/>
            <w:tcBorders>
              <w:top w:val="nil" w:sz="6" w:space="0" w:color="auto"/>
              <w:left w:val="single" w:sz="4" w:space="0" w:color="000000"/>
              <w:bottom w:val="single" w:sz="4" w:space="0" w:color="000000"/>
              <w:right w:val="single" w:sz="4" w:space="0" w:color="000000"/>
            </w:tcBorders>
          </w:tcPr>
          <w:p>
            <w:pPr/>
          </w:p>
        </w:tc>
      </w:tr>
    </w:tbl>
    <w:p>
      <w:pPr>
        <w:spacing w:after="0"/>
        <w:sectPr>
          <w:footerReference w:type="default" r:id="rId31"/>
          <w:pgSz w:w="11910" w:h="16840"/>
          <w:pgMar w:footer="1016" w:header="907" w:top="1100" w:bottom="1200" w:left="1020" w:right="0"/>
          <w:pgNumType w:start="5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842"/>
        <w:gridCol w:w="839"/>
        <w:gridCol w:w="631"/>
        <w:gridCol w:w="3810"/>
        <w:gridCol w:w="990"/>
        <w:gridCol w:w="810"/>
        <w:gridCol w:w="645"/>
      </w:tblGrid>
      <w:tr>
        <w:trPr>
          <w:trHeight w:val="318" w:hRule="exact"/>
        </w:trPr>
        <w:tc>
          <w:tcPr>
            <w:tcW w:w="1842" w:type="dxa"/>
            <w:vMerge w:val="restart"/>
            <w:tcBorders>
              <w:top w:val="single" w:sz="4" w:space="0" w:color="000000"/>
              <w:left w:val="single" w:sz="4" w:space="0" w:color="000000"/>
              <w:right w:val="single" w:sz="4" w:space="0" w:color="000000"/>
            </w:tcBorders>
            <w:shd w:val="clear" w:color="auto" w:fill="D2D2D2"/>
          </w:tcPr>
          <w:p>
            <w:pPr/>
          </w:p>
        </w:tc>
        <w:tc>
          <w:tcPr>
            <w:tcW w:w="839" w:type="dxa"/>
            <w:vMerge w:val="restart"/>
            <w:tcBorders>
              <w:top w:val="single" w:sz="4" w:space="0" w:color="000000"/>
              <w:left w:val="single" w:sz="4" w:space="0" w:color="000000"/>
              <w:right w:val="single" w:sz="4" w:space="0" w:color="000000"/>
            </w:tcBorders>
          </w:tcPr>
          <w:p>
            <w:pPr/>
          </w:p>
        </w:tc>
        <w:tc>
          <w:tcPr>
            <w:tcW w:w="631" w:type="dxa"/>
            <w:vMerge w:val="restart"/>
            <w:tcBorders>
              <w:top w:val="single" w:sz="4" w:space="0" w:color="000000"/>
              <w:left w:val="single" w:sz="4" w:space="0" w:color="000000"/>
              <w:right w:val="single" w:sz="4" w:space="0" w:color="000000"/>
            </w:tcBorders>
          </w:tcPr>
          <w:p>
            <w:pP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圳证券交易所规则，结合证券市场情况、公司</w:t>
            </w:r>
          </w:p>
        </w:tc>
        <w:tc>
          <w:tcPr>
            <w:tcW w:w="990" w:type="dxa"/>
            <w:vMerge w:val="restart"/>
            <w:tcBorders>
              <w:top w:val="single" w:sz="4" w:space="0" w:color="000000"/>
              <w:left w:val="single" w:sz="4" w:space="0" w:color="000000"/>
              <w:right w:val="single" w:sz="4" w:space="0" w:color="000000"/>
            </w:tcBorders>
          </w:tcPr>
          <w:p>
            <w:pPr/>
          </w:p>
        </w:tc>
        <w:tc>
          <w:tcPr>
            <w:tcW w:w="810" w:type="dxa"/>
            <w:vMerge w:val="restart"/>
            <w:tcBorders>
              <w:top w:val="single" w:sz="4" w:space="0" w:color="000000"/>
              <w:left w:val="single" w:sz="4" w:space="0" w:color="000000"/>
              <w:right w:val="single" w:sz="4" w:space="0" w:color="000000"/>
            </w:tcBorders>
          </w:tcPr>
          <w:p>
            <w:pPr/>
          </w:p>
        </w:tc>
        <w:tc>
          <w:tcPr>
            <w:tcW w:w="645" w:type="dxa"/>
            <w:vMerge w:val="restart"/>
            <w:tcBorders>
              <w:top w:val="single" w:sz="4" w:space="0" w:color="000000"/>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股票走势及公开信息、承诺人需要等情况，自</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主决策、择机进行减持。</w:t>
            </w:r>
            <w:r>
              <w:rPr>
                <w:rFonts w:ascii="Times New Roman" w:hAnsi="Times New Roman" w:cs="Times New Roman" w:eastAsia="Times New Roman" w:hint="default"/>
                <w:sz w:val="18"/>
                <w:szCs w:val="18"/>
              </w:rPr>
              <w:t>5</w:t>
            </w:r>
            <w:r>
              <w:rPr>
                <w:rFonts w:ascii="宋体" w:hAnsi="宋体" w:cs="宋体" w:eastAsia="宋体" w:hint="default"/>
                <w:sz w:val="18"/>
                <w:szCs w:val="18"/>
              </w:rPr>
              <w:t>、本公司在减持创</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业慧康股份时应符合相关法律法规及深圳证</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券交易所的相关规则要求，减持方式包括但不</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限于交易所集中竞价交易方式、大宗交易方</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5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bottom w:val="single" w:sz="4" w:space="0" w:color="000000"/>
              <w:right w:val="single" w:sz="4" w:space="0" w:color="000000"/>
            </w:tcBorders>
          </w:tcPr>
          <w:p>
            <w:pPr/>
          </w:p>
        </w:tc>
        <w:tc>
          <w:tcPr>
            <w:tcW w:w="631" w:type="dxa"/>
            <w:vMerge/>
            <w:tcBorders>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式、协议转让方式等。</w:t>
            </w:r>
          </w:p>
        </w:tc>
        <w:tc>
          <w:tcPr>
            <w:tcW w:w="990" w:type="dxa"/>
            <w:vMerge/>
            <w:tcBorders>
              <w:left w:val="single" w:sz="4" w:space="0" w:color="000000"/>
              <w:bottom w:val="single" w:sz="4" w:space="0" w:color="000000"/>
              <w:right w:val="single" w:sz="4" w:space="0" w:color="000000"/>
            </w:tcBorders>
          </w:tcPr>
          <w:p>
            <w:pPr/>
          </w:p>
        </w:tc>
        <w:tc>
          <w:tcPr>
            <w:tcW w:w="810" w:type="dxa"/>
            <w:vMerge/>
            <w:tcBorders>
              <w:left w:val="single" w:sz="4" w:space="0" w:color="000000"/>
              <w:bottom w:val="single" w:sz="4" w:space="0" w:color="000000"/>
              <w:right w:val="single" w:sz="4" w:space="0" w:color="000000"/>
            </w:tcBorders>
          </w:tcPr>
          <w:p>
            <w:pPr/>
          </w:p>
        </w:tc>
        <w:tc>
          <w:tcPr>
            <w:tcW w:w="645" w:type="dxa"/>
            <w:vMerge/>
            <w:tcBorders>
              <w:left w:val="single" w:sz="4" w:space="0" w:color="000000"/>
              <w:bottom w:val="single" w:sz="4" w:space="0" w:color="000000"/>
              <w:right w:val="single" w:sz="4" w:space="0" w:color="000000"/>
            </w:tcBorders>
          </w:tcPr>
          <w:p>
            <w:pPr/>
          </w:p>
        </w:tc>
      </w:tr>
      <w:tr>
        <w:trPr>
          <w:trHeight w:val="362" w:hRule="exact"/>
        </w:trPr>
        <w:tc>
          <w:tcPr>
            <w:tcW w:w="1842" w:type="dxa"/>
            <w:vMerge/>
            <w:tcBorders>
              <w:left w:val="single" w:sz="4" w:space="0" w:color="000000"/>
              <w:right w:val="single" w:sz="4" w:space="0" w:color="000000"/>
            </w:tcBorders>
            <w:shd w:val="clear" w:color="auto" w:fill="D2D2D2"/>
          </w:tcPr>
          <w:p>
            <w:pPr/>
          </w:p>
        </w:tc>
        <w:tc>
          <w:tcPr>
            <w:tcW w:w="839" w:type="dxa"/>
            <w:tcBorders>
              <w:top w:val="single" w:sz="4" w:space="0" w:color="000000"/>
              <w:left w:val="single" w:sz="4" w:space="0" w:color="000000"/>
              <w:bottom w:val="nil" w:sz="6" w:space="0" w:color="auto"/>
              <w:right w:val="single" w:sz="4" w:space="0" w:color="000000"/>
            </w:tcBorders>
          </w:tcPr>
          <w:p>
            <w:pPr/>
          </w:p>
        </w:tc>
        <w:tc>
          <w:tcPr>
            <w:tcW w:w="631" w:type="dxa"/>
            <w:tcBorders>
              <w:top w:val="single" w:sz="4" w:space="0" w:color="000000"/>
              <w:left w:val="single" w:sz="4" w:space="0" w:color="000000"/>
              <w:bottom w:val="nil" w:sz="6" w:space="0" w:color="auto"/>
              <w:right w:val="single" w:sz="4" w:space="0" w:color="000000"/>
            </w:tcBorders>
          </w:tcPr>
          <w:p>
            <w:pP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、本人将严格遵守公司本次发行上市前其做</w:t>
            </w:r>
          </w:p>
        </w:tc>
        <w:tc>
          <w:tcPr>
            <w:tcW w:w="990" w:type="dxa"/>
            <w:tcBorders>
              <w:top w:val="single" w:sz="4" w:space="0" w:color="000000"/>
              <w:left w:val="single" w:sz="4" w:space="0" w:color="000000"/>
              <w:bottom w:val="nil" w:sz="6" w:space="0" w:color="auto"/>
              <w:right w:val="single" w:sz="4" w:space="0" w:color="000000"/>
            </w:tcBorders>
          </w:tcPr>
          <w:p>
            <w:pPr/>
          </w:p>
        </w:tc>
        <w:tc>
          <w:tcPr>
            <w:tcW w:w="810" w:type="dxa"/>
            <w:tcBorders>
              <w:top w:val="single" w:sz="4" w:space="0" w:color="000000"/>
              <w:left w:val="single" w:sz="4" w:space="0" w:color="000000"/>
              <w:bottom w:val="nil" w:sz="6" w:space="0" w:color="auto"/>
              <w:right w:val="single" w:sz="4" w:space="0" w:color="000000"/>
            </w:tcBorders>
          </w:tcPr>
          <w:p>
            <w:pPr/>
          </w:p>
        </w:tc>
        <w:tc>
          <w:tcPr>
            <w:tcW w:w="645" w:type="dxa"/>
            <w:tcBorders>
              <w:top w:val="single" w:sz="4" w:space="0" w:color="000000"/>
              <w:left w:val="single" w:sz="4" w:space="0" w:color="000000"/>
              <w:bottom w:val="nil" w:sz="6" w:space="0" w:color="auto"/>
              <w:right w:val="single" w:sz="4" w:space="0" w:color="000000"/>
            </w:tcBorders>
          </w:tcPr>
          <w:p>
            <w:pPr/>
          </w:p>
        </w:tc>
      </w:tr>
      <w:tr>
        <w:trPr>
          <w:trHeight w:val="30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出的股份限售安排和自愿锁定的承诺，在锁定</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期满后两年内进行减持的，合计减持数量不超</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过公司本次发行上市时本人所持公司股份的</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（如因送股、资本公积金转增股本的，则</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须按照深圳证券交易所的有关规定进行调整，</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下同</w:t>
            </w:r>
            <w:r>
              <w:rPr>
                <w:rFonts w:ascii="宋体" w:hAnsi="宋体" w:cs="宋体" w:eastAsia="宋体" w:hint="default"/>
                <w:spacing w:val="-89"/>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2"/>
                <w:sz w:val="18"/>
                <w:szCs w:val="18"/>
              </w:rPr>
              <w:t>2</w:t>
            </w:r>
            <w:r>
              <w:rPr>
                <w:rFonts w:ascii="宋体" w:hAnsi="宋体" w:cs="宋体" w:eastAsia="宋体" w:hint="default"/>
                <w:spacing w:val="-3"/>
                <w:sz w:val="18"/>
                <w:szCs w:val="18"/>
              </w:rPr>
              <w:t>、</w:t>
            </w:r>
            <w:r>
              <w:rPr>
                <w:rFonts w:ascii="宋体" w:hAnsi="宋体" w:cs="宋体" w:eastAsia="宋体" w:hint="default"/>
                <w:sz w:val="18"/>
                <w:szCs w:val="18"/>
              </w:rPr>
              <w:t>本人在锁定期满后两年内进行减持</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时，减持价格（如因派息、送股、资本公积金</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转增股本、增发新股等原因除权、除息的，则</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须按照深圳证券交易所的有关规定进行调整，</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936"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103"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4" w:right="155"/>
              <w:jc w:val="both"/>
              <w:rPr>
                <w:rFonts w:ascii="宋体" w:hAnsi="宋体" w:cs="宋体" w:eastAsia="宋体" w:hint="default"/>
                <w:sz w:val="18"/>
                <w:szCs w:val="18"/>
              </w:rPr>
            </w:pPr>
            <w:r>
              <w:rPr>
                <w:rFonts w:ascii="宋体" w:hAnsi="宋体" w:cs="宋体" w:eastAsia="宋体" w:hint="default"/>
                <w:sz w:val="18"/>
                <w:szCs w:val="18"/>
              </w:rPr>
              <w:t>股份 减持 承诺</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309" w:lineRule="auto" w:before="10"/>
              <w:ind w:left="101" w:right="96"/>
              <w:jc w:val="left"/>
              <w:rPr>
                <w:rFonts w:ascii="宋体" w:hAnsi="宋体" w:cs="宋体" w:eastAsia="宋体" w:hint="default"/>
                <w:sz w:val="18"/>
                <w:szCs w:val="18"/>
              </w:rPr>
            </w:pPr>
            <w:r>
              <w:rPr>
                <w:rFonts w:ascii="宋体" w:hAnsi="宋体" w:cs="宋体" w:eastAsia="宋体" w:hint="default"/>
                <w:sz w:val="18"/>
                <w:szCs w:val="18"/>
              </w:rPr>
              <w:t>下同）不低于本次公开发行股票的发行价格。 </w:t>
            </w:r>
            <w:r>
              <w:rPr>
                <w:rFonts w:ascii="Times New Roman" w:hAnsi="Times New Roman" w:cs="Times New Roman" w:eastAsia="Times New Roman" w:hint="default"/>
                <w:sz w:val="18"/>
                <w:szCs w:val="18"/>
              </w:rPr>
              <w:t>3</w:t>
            </w:r>
            <w:r>
              <w:rPr>
                <w:rFonts w:ascii="宋体" w:hAnsi="宋体" w:cs="宋体" w:eastAsia="宋体" w:hint="default"/>
                <w:sz w:val="18"/>
                <w:szCs w:val="18"/>
              </w:rPr>
              <w:t>、本人在减持公司股份前，应提前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 日公告，并按照深圳证券交易所的规则及时、</w:t>
            </w:r>
          </w:p>
        </w:tc>
        <w:tc>
          <w:tcPr>
            <w:tcW w:w="99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8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101"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4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16" w:lineRule="auto"/>
              <w:ind w:left="103" w:right="170"/>
              <w:jc w:val="left"/>
              <w:rPr>
                <w:rFonts w:ascii="宋体" w:hAnsi="宋体" w:cs="宋体" w:eastAsia="宋体" w:hint="default"/>
                <w:sz w:val="18"/>
                <w:szCs w:val="18"/>
              </w:rPr>
            </w:pPr>
            <w:r>
              <w:rPr>
                <w:rFonts w:ascii="宋体" w:hAnsi="宋体" w:cs="宋体" w:eastAsia="宋体" w:hint="default"/>
                <w:sz w:val="18"/>
                <w:szCs w:val="18"/>
              </w:rPr>
              <w:t>正常 履行</w:t>
            </w:r>
          </w:p>
        </w:tc>
      </w:tr>
      <w:tr>
        <w:trPr>
          <w:trHeight w:val="31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准确、完整地履行信息披露义务。</w:t>
            </w:r>
            <w:r>
              <w:rPr>
                <w:rFonts w:ascii="Times New Roman" w:hAnsi="Times New Roman" w:cs="Times New Roman" w:eastAsia="Times New Roman" w:hint="default"/>
                <w:sz w:val="18"/>
                <w:szCs w:val="18"/>
              </w:rPr>
              <w:t>4</w:t>
            </w:r>
            <w:r>
              <w:rPr>
                <w:rFonts w:ascii="宋体" w:hAnsi="宋体" w:cs="宋体" w:eastAsia="宋体" w:hint="default"/>
                <w:sz w:val="18"/>
                <w:szCs w:val="18"/>
              </w:rPr>
              <w:t>、本人将</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根据相关法律法规及深圳证券交易所规则，结</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合证券市场情况、公司股票走势及公开信息、</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pacing w:val="-5"/>
                <w:sz w:val="18"/>
                <w:szCs w:val="18"/>
              </w:rPr>
              <w:t>承诺人需要等情况，自主决策、择机进行减持。</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、本人在减持公司股份时应符合相关法律法</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规及深圳证券交易所的相关规则要求，减持方</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式包括但不限于交易所集中竞价交易方式、大</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宗交易方式、协议转让方式等。</w:t>
            </w:r>
            <w:r>
              <w:rPr>
                <w:rFonts w:ascii="Times New Roman" w:hAnsi="Times New Roman" w:cs="Times New Roman" w:eastAsia="Times New Roman" w:hint="default"/>
                <w:sz w:val="18"/>
                <w:szCs w:val="18"/>
              </w:rPr>
              <w:t>6</w:t>
            </w:r>
            <w:r>
              <w:rPr>
                <w:rFonts w:ascii="宋体" w:hAnsi="宋体" w:cs="宋体" w:eastAsia="宋体" w:hint="default"/>
                <w:sz w:val="18"/>
                <w:szCs w:val="18"/>
              </w:rPr>
              <w:t>、在上述承</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诺履行期间，本人职务变更、离职等原因不影</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single" w:sz="4" w:space="0" w:color="000000"/>
              <w:right w:val="single" w:sz="4" w:space="0" w:color="000000"/>
            </w:tcBorders>
          </w:tcPr>
          <w:p>
            <w:pPr/>
          </w:p>
        </w:tc>
        <w:tc>
          <w:tcPr>
            <w:tcW w:w="631" w:type="dxa"/>
            <w:tcBorders>
              <w:top w:val="nil" w:sz="6" w:space="0" w:color="auto"/>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响承诺的效力。</w:t>
            </w:r>
          </w:p>
        </w:tc>
        <w:tc>
          <w:tcPr>
            <w:tcW w:w="990" w:type="dxa"/>
            <w:tcBorders>
              <w:top w:val="nil" w:sz="6" w:space="0" w:color="auto"/>
              <w:left w:val="single" w:sz="4" w:space="0" w:color="000000"/>
              <w:bottom w:val="single" w:sz="4" w:space="0" w:color="000000"/>
              <w:right w:val="single" w:sz="4" w:space="0" w:color="000000"/>
            </w:tcBorders>
          </w:tcPr>
          <w:p>
            <w:pPr/>
          </w:p>
        </w:tc>
        <w:tc>
          <w:tcPr>
            <w:tcW w:w="810" w:type="dxa"/>
            <w:tcBorders>
              <w:top w:val="nil" w:sz="6" w:space="0" w:color="auto"/>
              <w:left w:val="single" w:sz="4" w:space="0" w:color="000000"/>
              <w:bottom w:val="single" w:sz="4" w:space="0" w:color="000000"/>
              <w:right w:val="single" w:sz="4" w:space="0" w:color="000000"/>
            </w:tcBorders>
          </w:tcPr>
          <w:p>
            <w:pPr/>
          </w:p>
        </w:tc>
        <w:tc>
          <w:tcPr>
            <w:tcW w:w="645" w:type="dxa"/>
            <w:tcBorders>
              <w:top w:val="nil" w:sz="6" w:space="0" w:color="auto"/>
              <w:left w:val="single" w:sz="4" w:space="0" w:color="000000"/>
              <w:bottom w:val="single" w:sz="4" w:space="0" w:color="000000"/>
              <w:right w:val="single" w:sz="4" w:space="0" w:color="000000"/>
            </w:tcBorders>
          </w:tcPr>
          <w:p>
            <w:pPr/>
          </w:p>
        </w:tc>
      </w:tr>
      <w:tr>
        <w:trPr>
          <w:trHeight w:val="351" w:hRule="exact"/>
        </w:trPr>
        <w:tc>
          <w:tcPr>
            <w:tcW w:w="1842" w:type="dxa"/>
            <w:vMerge/>
            <w:tcBorders>
              <w:left w:val="single" w:sz="4" w:space="0" w:color="000000"/>
              <w:right w:val="single" w:sz="4" w:space="0" w:color="000000"/>
            </w:tcBorders>
            <w:shd w:val="clear" w:color="auto" w:fill="D2D2D2"/>
          </w:tcPr>
          <w:p>
            <w:pPr/>
          </w:p>
        </w:tc>
        <w:tc>
          <w:tcPr>
            <w:tcW w:w="839" w:type="dxa"/>
            <w:tcBorders>
              <w:top w:val="single" w:sz="4" w:space="0" w:color="000000"/>
              <w:left w:val="single" w:sz="4" w:space="0" w:color="000000"/>
              <w:bottom w:val="nil" w:sz="6" w:space="0" w:color="auto"/>
              <w:right w:val="single" w:sz="4" w:space="0" w:color="000000"/>
            </w:tcBorders>
          </w:tcPr>
          <w:p>
            <w:pPr/>
          </w:p>
        </w:tc>
        <w:tc>
          <w:tcPr>
            <w:tcW w:w="631" w:type="dxa"/>
            <w:tcBorders>
              <w:top w:val="single" w:sz="4" w:space="0" w:color="000000"/>
              <w:left w:val="single" w:sz="4" w:space="0" w:color="000000"/>
              <w:bottom w:val="nil" w:sz="6" w:space="0" w:color="auto"/>
              <w:right w:val="single" w:sz="4" w:space="0" w:color="000000"/>
            </w:tcBorders>
          </w:tcPr>
          <w:p>
            <w:pP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、截至本承诺函出具之日，除已经披露的情</w:t>
            </w:r>
          </w:p>
        </w:tc>
        <w:tc>
          <w:tcPr>
            <w:tcW w:w="990" w:type="dxa"/>
            <w:tcBorders>
              <w:top w:val="single" w:sz="4" w:space="0" w:color="000000"/>
              <w:left w:val="single" w:sz="4" w:space="0" w:color="000000"/>
              <w:bottom w:val="nil" w:sz="6" w:space="0" w:color="auto"/>
              <w:right w:val="single" w:sz="4" w:space="0" w:color="000000"/>
            </w:tcBorders>
          </w:tcPr>
          <w:p>
            <w:pPr/>
          </w:p>
        </w:tc>
        <w:tc>
          <w:tcPr>
            <w:tcW w:w="810" w:type="dxa"/>
            <w:tcBorders>
              <w:top w:val="single" w:sz="4" w:space="0" w:color="000000"/>
              <w:left w:val="single" w:sz="4" w:space="0" w:color="000000"/>
              <w:bottom w:val="nil" w:sz="6" w:space="0" w:color="auto"/>
              <w:right w:val="single" w:sz="4" w:space="0" w:color="000000"/>
            </w:tcBorders>
          </w:tcPr>
          <w:p>
            <w:pPr/>
          </w:p>
        </w:tc>
        <w:tc>
          <w:tcPr>
            <w:tcW w:w="645" w:type="dxa"/>
            <w:tcBorders>
              <w:top w:val="single" w:sz="4" w:space="0" w:color="000000"/>
              <w:left w:val="single" w:sz="4" w:space="0" w:color="000000"/>
              <w:bottom w:val="nil" w:sz="6" w:space="0" w:color="auto"/>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31" w:lineRule="exact"/>
              <w:ind w:left="104" w:right="0"/>
              <w:jc w:val="left"/>
              <w:rPr>
                <w:rFonts w:ascii="宋体" w:hAnsi="宋体" w:cs="宋体" w:eastAsia="宋体" w:hint="default"/>
                <w:sz w:val="18"/>
                <w:szCs w:val="18"/>
              </w:rPr>
            </w:pPr>
            <w:r>
              <w:rPr>
                <w:rFonts w:ascii="宋体" w:hAnsi="宋体" w:cs="宋体" w:eastAsia="宋体" w:hint="default"/>
                <w:sz w:val="18"/>
                <w:szCs w:val="18"/>
              </w:rPr>
              <w:t>关于</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01" w:right="0"/>
              <w:jc w:val="left"/>
              <w:rPr>
                <w:rFonts w:ascii="宋体" w:hAnsi="宋体" w:cs="宋体" w:eastAsia="宋体" w:hint="default"/>
                <w:sz w:val="18"/>
                <w:szCs w:val="18"/>
              </w:rPr>
            </w:pPr>
            <w:r>
              <w:rPr>
                <w:rFonts w:ascii="宋体" w:hAnsi="宋体" w:cs="宋体" w:eastAsia="宋体" w:hint="default"/>
                <w:sz w:val="18"/>
                <w:szCs w:val="18"/>
              </w:rPr>
              <w:t>形外，本人（包括本人所控制的公司）与发行</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4" w:right="0"/>
              <w:jc w:val="left"/>
              <w:rPr>
                <w:rFonts w:ascii="宋体" w:hAnsi="宋体" w:cs="宋体" w:eastAsia="宋体" w:hint="default"/>
                <w:sz w:val="18"/>
                <w:szCs w:val="18"/>
              </w:rPr>
            </w:pPr>
            <w:r>
              <w:rPr>
                <w:rFonts w:ascii="宋体" w:hAnsi="宋体" w:cs="宋体" w:eastAsia="宋体" w:hint="default"/>
                <w:sz w:val="18"/>
                <w:szCs w:val="18"/>
              </w:rPr>
              <w:t>同业</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1" w:right="0"/>
              <w:jc w:val="left"/>
              <w:rPr>
                <w:rFonts w:ascii="宋体" w:hAnsi="宋体" w:cs="宋体" w:eastAsia="宋体" w:hint="default"/>
                <w:sz w:val="18"/>
                <w:szCs w:val="18"/>
              </w:rPr>
            </w:pPr>
            <w:r>
              <w:rPr>
                <w:rFonts w:ascii="宋体" w:hAnsi="宋体" w:cs="宋体" w:eastAsia="宋体" w:hint="default"/>
                <w:sz w:val="18"/>
                <w:szCs w:val="18"/>
              </w:rPr>
              <w:t>人之间不存在其他关联交易。本人不利用实际</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4" w:right="0"/>
              <w:jc w:val="left"/>
              <w:rPr>
                <w:rFonts w:ascii="宋体" w:hAnsi="宋体" w:cs="宋体" w:eastAsia="宋体" w:hint="default"/>
                <w:sz w:val="18"/>
                <w:szCs w:val="18"/>
              </w:rPr>
            </w:pPr>
            <w:r>
              <w:rPr>
                <w:rFonts w:ascii="宋体" w:hAnsi="宋体" w:cs="宋体" w:eastAsia="宋体" w:hint="default"/>
                <w:sz w:val="18"/>
                <w:szCs w:val="18"/>
              </w:rPr>
              <w:t>竞</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1" w:right="0"/>
              <w:jc w:val="left"/>
              <w:rPr>
                <w:rFonts w:ascii="宋体" w:hAnsi="宋体" w:cs="宋体" w:eastAsia="宋体" w:hint="default"/>
                <w:sz w:val="18"/>
                <w:szCs w:val="18"/>
              </w:rPr>
            </w:pPr>
            <w:r>
              <w:rPr>
                <w:rFonts w:ascii="宋体" w:hAnsi="宋体" w:cs="宋体" w:eastAsia="宋体" w:hint="default"/>
                <w:sz w:val="18"/>
                <w:szCs w:val="18"/>
              </w:rPr>
              <w:t>控制人的地位影响发行人的独立性、故意促使</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4" w:right="0"/>
              <w:jc w:val="left"/>
              <w:rPr>
                <w:rFonts w:ascii="宋体" w:hAnsi="宋体" w:cs="宋体" w:eastAsia="宋体" w:hint="default"/>
                <w:sz w:val="18"/>
                <w:szCs w:val="18"/>
              </w:rPr>
            </w:pPr>
            <w:r>
              <w:rPr>
                <w:rFonts w:ascii="宋体" w:hAnsi="宋体" w:cs="宋体" w:eastAsia="宋体" w:hint="default"/>
                <w:sz w:val="18"/>
                <w:szCs w:val="18"/>
              </w:rPr>
              <w:t>争、</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1" w:right="0"/>
              <w:jc w:val="left"/>
              <w:rPr>
                <w:rFonts w:ascii="宋体" w:hAnsi="宋体" w:cs="宋体" w:eastAsia="宋体" w:hint="default"/>
                <w:sz w:val="18"/>
                <w:szCs w:val="18"/>
              </w:rPr>
            </w:pPr>
            <w:r>
              <w:rPr>
                <w:rFonts w:ascii="宋体" w:hAnsi="宋体" w:cs="宋体" w:eastAsia="宋体" w:hint="default"/>
                <w:sz w:val="18"/>
                <w:szCs w:val="18"/>
              </w:rPr>
              <w:t>发行人对与本人（包括本人所控制的公司）的</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4" w:right="0"/>
              <w:jc w:val="left"/>
              <w:rPr>
                <w:rFonts w:ascii="宋体" w:hAnsi="宋体" w:cs="宋体" w:eastAsia="宋体" w:hint="default"/>
                <w:sz w:val="18"/>
                <w:szCs w:val="18"/>
              </w:rPr>
            </w:pPr>
            <w:r>
              <w:rPr>
                <w:rFonts w:ascii="宋体" w:hAnsi="宋体" w:cs="宋体" w:eastAsia="宋体" w:hint="default"/>
                <w:sz w:val="18"/>
                <w:szCs w:val="18"/>
              </w:rPr>
              <w:t>关联</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1" w:right="0"/>
              <w:jc w:val="left"/>
              <w:rPr>
                <w:rFonts w:ascii="宋体" w:hAnsi="宋体" w:cs="宋体" w:eastAsia="宋体" w:hint="default"/>
                <w:sz w:val="18"/>
                <w:szCs w:val="18"/>
              </w:rPr>
            </w:pPr>
            <w:r>
              <w:rPr>
                <w:rFonts w:ascii="宋体" w:hAnsi="宋体" w:cs="宋体" w:eastAsia="宋体" w:hint="default"/>
                <w:sz w:val="18"/>
                <w:szCs w:val="18"/>
              </w:rPr>
              <w:t>任何关联交易采取任何行动、故意促使发行人</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624"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155"/>
              <w:ind w:left="103"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316" w:lineRule="auto"/>
              <w:ind w:left="104" w:right="155"/>
              <w:jc w:val="left"/>
              <w:rPr>
                <w:rFonts w:ascii="宋体" w:hAnsi="宋体" w:cs="宋体" w:eastAsia="宋体" w:hint="default"/>
                <w:sz w:val="18"/>
                <w:szCs w:val="18"/>
              </w:rPr>
            </w:pPr>
            <w:r>
              <w:rPr>
                <w:rFonts w:ascii="宋体" w:hAnsi="宋体" w:cs="宋体" w:eastAsia="宋体" w:hint="default"/>
                <w:sz w:val="18"/>
                <w:szCs w:val="18"/>
              </w:rPr>
              <w:t>交 易、</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316" w:lineRule="auto" w:before="21"/>
              <w:ind w:left="101" w:right="101"/>
              <w:jc w:val="left"/>
              <w:rPr>
                <w:rFonts w:ascii="宋体" w:hAnsi="宋体" w:cs="宋体" w:eastAsia="宋体" w:hint="default"/>
                <w:sz w:val="18"/>
                <w:szCs w:val="18"/>
              </w:rPr>
            </w:pPr>
            <w:r>
              <w:rPr>
                <w:rFonts w:ascii="宋体" w:hAnsi="宋体" w:cs="宋体" w:eastAsia="宋体" w:hint="default"/>
                <w:sz w:val="18"/>
                <w:szCs w:val="18"/>
              </w:rPr>
              <w:t>的股东大会或董事会作出侵犯其他股东合法 权益的决议。如果发行人必须与本人（包括本</w:t>
            </w:r>
          </w:p>
        </w:tc>
        <w:tc>
          <w:tcPr>
            <w:tcW w:w="990" w:type="dxa"/>
            <w:tcBorders>
              <w:top w:val="nil" w:sz="6" w:space="0" w:color="auto"/>
              <w:left w:val="single" w:sz="4" w:space="0" w:color="000000"/>
              <w:bottom w:val="nil" w:sz="6" w:space="0" w:color="auto"/>
              <w:right w:val="single" w:sz="4" w:space="0" w:color="000000"/>
            </w:tcBorders>
          </w:tcPr>
          <w:p>
            <w:pPr>
              <w:pStyle w:val="TableParagraph"/>
              <w:spacing w:line="249" w:lineRule="exact"/>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55"/>
              <w:ind w:left="101"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45" w:type="dxa"/>
            <w:tcBorders>
              <w:top w:val="nil" w:sz="6" w:space="0" w:color="auto"/>
              <w:left w:val="single" w:sz="4" w:space="0" w:color="000000"/>
              <w:bottom w:val="nil" w:sz="6" w:space="0" w:color="auto"/>
              <w:right w:val="single" w:sz="4" w:space="0" w:color="000000"/>
            </w:tcBorders>
          </w:tcPr>
          <w:p>
            <w:pPr>
              <w:pStyle w:val="TableParagraph"/>
              <w:spacing w:line="316" w:lineRule="auto"/>
              <w:ind w:left="103" w:right="170"/>
              <w:jc w:val="left"/>
              <w:rPr>
                <w:rFonts w:ascii="宋体" w:hAnsi="宋体" w:cs="宋体" w:eastAsia="宋体" w:hint="default"/>
                <w:sz w:val="18"/>
                <w:szCs w:val="18"/>
              </w:rPr>
            </w:pPr>
            <w:r>
              <w:rPr>
                <w:rFonts w:ascii="宋体" w:hAnsi="宋体" w:cs="宋体" w:eastAsia="宋体" w:hint="default"/>
                <w:sz w:val="18"/>
                <w:szCs w:val="18"/>
              </w:rPr>
              <w:t>正常 履行</w:t>
            </w: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4" w:right="0"/>
              <w:jc w:val="left"/>
              <w:rPr>
                <w:rFonts w:ascii="宋体" w:hAnsi="宋体" w:cs="宋体" w:eastAsia="宋体" w:hint="default"/>
                <w:sz w:val="18"/>
                <w:szCs w:val="18"/>
              </w:rPr>
            </w:pPr>
            <w:r>
              <w:rPr>
                <w:rFonts w:ascii="宋体" w:hAnsi="宋体" w:cs="宋体" w:eastAsia="宋体" w:hint="default"/>
                <w:sz w:val="18"/>
                <w:szCs w:val="18"/>
              </w:rPr>
              <w:t>资金</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1" w:right="0"/>
              <w:jc w:val="left"/>
              <w:rPr>
                <w:rFonts w:ascii="宋体" w:hAnsi="宋体" w:cs="宋体" w:eastAsia="宋体" w:hint="default"/>
                <w:sz w:val="18"/>
                <w:szCs w:val="18"/>
              </w:rPr>
            </w:pPr>
            <w:r>
              <w:rPr>
                <w:rFonts w:ascii="宋体" w:hAnsi="宋体" w:cs="宋体" w:eastAsia="宋体" w:hint="default"/>
                <w:sz w:val="18"/>
                <w:szCs w:val="18"/>
              </w:rPr>
              <w:t>人所控制的公司）发生任何关联交易，则本人</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4" w:right="0"/>
              <w:jc w:val="left"/>
              <w:rPr>
                <w:rFonts w:ascii="宋体" w:hAnsi="宋体" w:cs="宋体" w:eastAsia="宋体" w:hint="default"/>
                <w:sz w:val="18"/>
                <w:szCs w:val="18"/>
              </w:rPr>
            </w:pPr>
            <w:r>
              <w:rPr>
                <w:rFonts w:ascii="宋体" w:hAnsi="宋体" w:cs="宋体" w:eastAsia="宋体" w:hint="default"/>
                <w:sz w:val="18"/>
                <w:szCs w:val="18"/>
              </w:rPr>
              <w:t>占用</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1" w:right="0"/>
              <w:jc w:val="left"/>
              <w:rPr>
                <w:rFonts w:ascii="宋体" w:hAnsi="宋体" w:cs="宋体" w:eastAsia="宋体" w:hint="default"/>
                <w:sz w:val="18"/>
                <w:szCs w:val="18"/>
              </w:rPr>
            </w:pPr>
            <w:r>
              <w:rPr>
                <w:rFonts w:ascii="宋体" w:hAnsi="宋体" w:cs="宋体" w:eastAsia="宋体" w:hint="default"/>
                <w:sz w:val="18"/>
                <w:szCs w:val="18"/>
              </w:rPr>
              <w:t>承诺将促使上述交易按照公平合理和正常商</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4" w:right="0"/>
              <w:jc w:val="left"/>
              <w:rPr>
                <w:rFonts w:ascii="宋体" w:hAnsi="宋体" w:cs="宋体" w:eastAsia="宋体" w:hint="default"/>
                <w:sz w:val="18"/>
                <w:szCs w:val="18"/>
              </w:rPr>
            </w:pPr>
            <w:r>
              <w:rPr>
                <w:rFonts w:ascii="宋体" w:hAnsi="宋体" w:cs="宋体" w:eastAsia="宋体" w:hint="default"/>
                <w:sz w:val="18"/>
                <w:szCs w:val="18"/>
              </w:rPr>
              <w:t>方面</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1" w:right="0"/>
              <w:jc w:val="left"/>
              <w:rPr>
                <w:rFonts w:ascii="宋体" w:hAnsi="宋体" w:cs="宋体" w:eastAsia="宋体" w:hint="default"/>
                <w:sz w:val="18"/>
                <w:szCs w:val="18"/>
              </w:rPr>
            </w:pPr>
            <w:r>
              <w:rPr>
                <w:rFonts w:ascii="宋体" w:hAnsi="宋体" w:cs="宋体" w:eastAsia="宋体" w:hint="default"/>
                <w:sz w:val="18"/>
                <w:szCs w:val="18"/>
              </w:rPr>
              <w:t>业交易的条件进行。本人（包括本人所控制的</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4" w:right="0"/>
              <w:jc w:val="left"/>
              <w:rPr>
                <w:rFonts w:ascii="宋体" w:hAnsi="宋体" w:cs="宋体" w:eastAsia="宋体" w:hint="default"/>
                <w:sz w:val="18"/>
                <w:szCs w:val="18"/>
              </w:rPr>
            </w:pPr>
            <w:r>
              <w:rPr>
                <w:rFonts w:ascii="宋体" w:hAnsi="宋体" w:cs="宋体" w:eastAsia="宋体" w:hint="default"/>
                <w:sz w:val="18"/>
                <w:szCs w:val="18"/>
              </w:rPr>
              <w:t>的承</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1" w:right="0"/>
              <w:jc w:val="left"/>
              <w:rPr>
                <w:rFonts w:ascii="宋体" w:hAnsi="宋体" w:cs="宋体" w:eastAsia="宋体" w:hint="default"/>
                <w:sz w:val="18"/>
                <w:szCs w:val="18"/>
              </w:rPr>
            </w:pPr>
            <w:r>
              <w:rPr>
                <w:rFonts w:ascii="宋体" w:hAnsi="宋体" w:cs="宋体" w:eastAsia="宋体" w:hint="default"/>
                <w:sz w:val="18"/>
                <w:szCs w:val="18"/>
              </w:rPr>
              <w:t>公司）将不会要求或接受发行人给予比在任何</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2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4" w:right="0"/>
              <w:jc w:val="left"/>
              <w:rPr>
                <w:rFonts w:ascii="宋体" w:hAnsi="宋体" w:cs="宋体" w:eastAsia="宋体" w:hint="default"/>
                <w:sz w:val="18"/>
                <w:szCs w:val="18"/>
              </w:rPr>
            </w:pPr>
            <w:r>
              <w:rPr>
                <w:rFonts w:ascii="宋体" w:hAnsi="宋体" w:cs="宋体" w:eastAsia="宋体" w:hint="default"/>
                <w:sz w:val="18"/>
                <w:szCs w:val="18"/>
              </w:rPr>
              <w:t>诺</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1" w:right="0"/>
              <w:jc w:val="left"/>
              <w:rPr>
                <w:rFonts w:ascii="宋体" w:hAnsi="宋体" w:cs="宋体" w:eastAsia="宋体" w:hint="default"/>
                <w:sz w:val="18"/>
                <w:szCs w:val="18"/>
              </w:rPr>
            </w:pPr>
            <w:r>
              <w:rPr>
                <w:rFonts w:ascii="宋体" w:hAnsi="宋体" w:cs="宋体" w:eastAsia="宋体" w:hint="default"/>
                <w:sz w:val="18"/>
                <w:szCs w:val="18"/>
              </w:rPr>
              <w:t>一项市场公平交易中第三者更优惠的条件。</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0" w:hRule="exact"/>
        </w:trPr>
        <w:tc>
          <w:tcPr>
            <w:tcW w:w="1842" w:type="dxa"/>
            <w:vMerge/>
            <w:tcBorders>
              <w:left w:val="single" w:sz="4" w:space="0" w:color="000000"/>
              <w:bottom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single" w:sz="4" w:space="0" w:color="000000"/>
              <w:right w:val="single" w:sz="4" w:space="0" w:color="000000"/>
            </w:tcBorders>
          </w:tcPr>
          <w:p>
            <w:pPr/>
          </w:p>
        </w:tc>
        <w:tc>
          <w:tcPr>
            <w:tcW w:w="631" w:type="dxa"/>
            <w:tcBorders>
              <w:top w:val="nil" w:sz="6" w:space="0" w:color="auto"/>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本人（包括本人所控制的公司）将严格和善意</w:t>
            </w:r>
          </w:p>
        </w:tc>
        <w:tc>
          <w:tcPr>
            <w:tcW w:w="990" w:type="dxa"/>
            <w:tcBorders>
              <w:top w:val="nil" w:sz="6" w:space="0" w:color="auto"/>
              <w:left w:val="single" w:sz="4" w:space="0" w:color="000000"/>
              <w:bottom w:val="single" w:sz="4" w:space="0" w:color="000000"/>
              <w:right w:val="single" w:sz="4" w:space="0" w:color="000000"/>
            </w:tcBorders>
          </w:tcPr>
          <w:p>
            <w:pPr/>
          </w:p>
        </w:tc>
        <w:tc>
          <w:tcPr>
            <w:tcW w:w="810" w:type="dxa"/>
            <w:tcBorders>
              <w:top w:val="nil" w:sz="6" w:space="0" w:color="auto"/>
              <w:left w:val="single" w:sz="4" w:space="0" w:color="000000"/>
              <w:bottom w:val="single" w:sz="4" w:space="0" w:color="000000"/>
              <w:right w:val="single" w:sz="4" w:space="0" w:color="000000"/>
            </w:tcBorders>
          </w:tcPr>
          <w:p>
            <w:pPr/>
          </w:p>
        </w:tc>
        <w:tc>
          <w:tcPr>
            <w:tcW w:w="645"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842"/>
        <w:gridCol w:w="839"/>
        <w:gridCol w:w="631"/>
        <w:gridCol w:w="3810"/>
        <w:gridCol w:w="990"/>
        <w:gridCol w:w="810"/>
        <w:gridCol w:w="645"/>
      </w:tblGrid>
      <w:tr>
        <w:trPr>
          <w:trHeight w:val="318" w:hRule="exact"/>
        </w:trPr>
        <w:tc>
          <w:tcPr>
            <w:tcW w:w="1842" w:type="dxa"/>
            <w:vMerge w:val="restart"/>
            <w:tcBorders>
              <w:top w:val="single" w:sz="4" w:space="0" w:color="000000"/>
              <w:left w:val="single" w:sz="4" w:space="0" w:color="000000"/>
              <w:right w:val="single" w:sz="4" w:space="0" w:color="000000"/>
            </w:tcBorders>
            <w:shd w:val="clear" w:color="auto" w:fill="D2D2D2"/>
          </w:tcPr>
          <w:p>
            <w:pPr/>
          </w:p>
        </w:tc>
        <w:tc>
          <w:tcPr>
            <w:tcW w:w="839" w:type="dxa"/>
            <w:vMerge w:val="restart"/>
            <w:tcBorders>
              <w:top w:val="single" w:sz="4" w:space="0" w:color="000000"/>
              <w:left w:val="single" w:sz="4" w:space="0" w:color="000000"/>
              <w:right w:val="single" w:sz="4" w:space="0" w:color="000000"/>
            </w:tcBorders>
          </w:tcPr>
          <w:p>
            <w:pPr/>
          </w:p>
        </w:tc>
        <w:tc>
          <w:tcPr>
            <w:tcW w:w="631" w:type="dxa"/>
            <w:vMerge w:val="restart"/>
            <w:tcBorders>
              <w:top w:val="single" w:sz="4" w:space="0" w:color="000000"/>
              <w:left w:val="single" w:sz="4" w:space="0" w:color="000000"/>
              <w:right w:val="single" w:sz="4" w:space="0" w:color="000000"/>
            </w:tcBorders>
          </w:tcPr>
          <w:p>
            <w:pP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地履行与发行人签订的各种关联交易协议。本</w:t>
            </w:r>
          </w:p>
        </w:tc>
        <w:tc>
          <w:tcPr>
            <w:tcW w:w="990" w:type="dxa"/>
            <w:vMerge w:val="restart"/>
            <w:tcBorders>
              <w:top w:val="single" w:sz="4" w:space="0" w:color="000000"/>
              <w:left w:val="single" w:sz="4" w:space="0" w:color="000000"/>
              <w:right w:val="single" w:sz="4" w:space="0" w:color="000000"/>
            </w:tcBorders>
          </w:tcPr>
          <w:p>
            <w:pPr/>
          </w:p>
        </w:tc>
        <w:tc>
          <w:tcPr>
            <w:tcW w:w="810" w:type="dxa"/>
            <w:vMerge w:val="restart"/>
            <w:tcBorders>
              <w:top w:val="single" w:sz="4" w:space="0" w:color="000000"/>
              <w:left w:val="single" w:sz="4" w:space="0" w:color="000000"/>
              <w:right w:val="single" w:sz="4" w:space="0" w:color="000000"/>
            </w:tcBorders>
          </w:tcPr>
          <w:p>
            <w:pPr/>
          </w:p>
        </w:tc>
        <w:tc>
          <w:tcPr>
            <w:tcW w:w="645" w:type="dxa"/>
            <w:vMerge w:val="restart"/>
            <w:tcBorders>
              <w:top w:val="single" w:sz="4" w:space="0" w:color="000000"/>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人（包括本人所控制的公司）承诺将不会向发</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行人谋求任何超出上述协议规定以外的利益</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或收益。</w:t>
            </w:r>
            <w:r>
              <w:rPr>
                <w:rFonts w:ascii="Times New Roman" w:hAnsi="Times New Roman" w:cs="Times New Roman" w:eastAsia="Times New Roman" w:hint="default"/>
                <w:sz w:val="18"/>
                <w:szCs w:val="18"/>
              </w:rPr>
              <w:t>3</w:t>
            </w:r>
            <w:r>
              <w:rPr>
                <w:rFonts w:ascii="宋体" w:hAnsi="宋体" w:cs="宋体" w:eastAsia="宋体" w:hint="default"/>
                <w:sz w:val="18"/>
                <w:szCs w:val="18"/>
              </w:rPr>
              <w:t>、本人对上述承诺的真实性及合法</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性负全部法律责任，如果本人（包括本人所控</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制的公司）违反上述声明、保证与承诺，并造</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成发行人经济损失的，本人同意赔偿相应的损</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失。</w:t>
            </w:r>
            <w:r>
              <w:rPr>
                <w:rFonts w:ascii="Times New Roman" w:hAnsi="Times New Roman" w:cs="Times New Roman" w:eastAsia="Times New Roman" w:hint="default"/>
                <w:sz w:val="18"/>
                <w:szCs w:val="18"/>
              </w:rPr>
              <w:t>4</w:t>
            </w:r>
            <w:r>
              <w:rPr>
                <w:rFonts w:ascii="宋体" w:hAnsi="宋体" w:cs="宋体" w:eastAsia="宋体" w:hint="default"/>
                <w:sz w:val="18"/>
                <w:szCs w:val="18"/>
              </w:rPr>
              <w:t>、本承诺将持续有效，直至本人不再作</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5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bottom w:val="single" w:sz="4" w:space="0" w:color="000000"/>
              <w:right w:val="single" w:sz="4" w:space="0" w:color="000000"/>
            </w:tcBorders>
          </w:tcPr>
          <w:p>
            <w:pPr/>
          </w:p>
        </w:tc>
        <w:tc>
          <w:tcPr>
            <w:tcW w:w="631" w:type="dxa"/>
            <w:vMerge/>
            <w:tcBorders>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为发行人的实际控制人。</w:t>
            </w:r>
          </w:p>
        </w:tc>
        <w:tc>
          <w:tcPr>
            <w:tcW w:w="990" w:type="dxa"/>
            <w:vMerge/>
            <w:tcBorders>
              <w:left w:val="single" w:sz="4" w:space="0" w:color="000000"/>
              <w:bottom w:val="single" w:sz="4" w:space="0" w:color="000000"/>
              <w:right w:val="single" w:sz="4" w:space="0" w:color="000000"/>
            </w:tcBorders>
          </w:tcPr>
          <w:p>
            <w:pPr/>
          </w:p>
        </w:tc>
        <w:tc>
          <w:tcPr>
            <w:tcW w:w="810" w:type="dxa"/>
            <w:vMerge/>
            <w:tcBorders>
              <w:left w:val="single" w:sz="4" w:space="0" w:color="000000"/>
              <w:bottom w:val="single" w:sz="4" w:space="0" w:color="000000"/>
              <w:right w:val="single" w:sz="4" w:space="0" w:color="000000"/>
            </w:tcBorders>
          </w:tcPr>
          <w:p>
            <w:pPr/>
          </w:p>
        </w:tc>
        <w:tc>
          <w:tcPr>
            <w:tcW w:w="645" w:type="dxa"/>
            <w:vMerge/>
            <w:tcBorders>
              <w:left w:val="single" w:sz="4" w:space="0" w:color="000000"/>
              <w:bottom w:val="single" w:sz="4" w:space="0" w:color="000000"/>
              <w:right w:val="single" w:sz="4" w:space="0" w:color="000000"/>
            </w:tcBorders>
          </w:tcPr>
          <w:p>
            <w:pPr/>
          </w:p>
        </w:tc>
      </w:tr>
      <w:tr>
        <w:trPr>
          <w:trHeight w:val="362" w:hRule="exact"/>
        </w:trPr>
        <w:tc>
          <w:tcPr>
            <w:tcW w:w="1842" w:type="dxa"/>
            <w:vMerge/>
            <w:tcBorders>
              <w:left w:val="single" w:sz="4" w:space="0" w:color="000000"/>
              <w:right w:val="single" w:sz="4" w:space="0" w:color="000000"/>
            </w:tcBorders>
            <w:shd w:val="clear" w:color="auto" w:fill="D2D2D2"/>
          </w:tcPr>
          <w:p>
            <w:pPr/>
          </w:p>
        </w:tc>
        <w:tc>
          <w:tcPr>
            <w:tcW w:w="839" w:type="dxa"/>
            <w:tcBorders>
              <w:top w:val="single" w:sz="4" w:space="0" w:color="000000"/>
              <w:left w:val="single" w:sz="4" w:space="0" w:color="000000"/>
              <w:bottom w:val="nil" w:sz="6" w:space="0" w:color="auto"/>
              <w:right w:val="single" w:sz="4" w:space="0" w:color="000000"/>
            </w:tcBorders>
          </w:tcPr>
          <w:p>
            <w:pPr/>
          </w:p>
        </w:tc>
        <w:tc>
          <w:tcPr>
            <w:tcW w:w="631" w:type="dxa"/>
            <w:tcBorders>
              <w:top w:val="single" w:sz="4" w:space="0" w:color="000000"/>
              <w:left w:val="single" w:sz="4" w:space="0" w:color="000000"/>
              <w:bottom w:val="nil" w:sz="6" w:space="0" w:color="auto"/>
              <w:right w:val="single" w:sz="4" w:space="0" w:color="000000"/>
            </w:tcBorders>
          </w:tcPr>
          <w:p>
            <w:pP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）在本承诺函签署之日，本人及所控制的</w:t>
            </w:r>
          </w:p>
        </w:tc>
        <w:tc>
          <w:tcPr>
            <w:tcW w:w="990" w:type="dxa"/>
            <w:tcBorders>
              <w:top w:val="single" w:sz="4" w:space="0" w:color="000000"/>
              <w:left w:val="single" w:sz="4" w:space="0" w:color="000000"/>
              <w:bottom w:val="nil" w:sz="6" w:space="0" w:color="auto"/>
              <w:right w:val="single" w:sz="4" w:space="0" w:color="000000"/>
            </w:tcBorders>
          </w:tcPr>
          <w:p>
            <w:pPr/>
          </w:p>
        </w:tc>
        <w:tc>
          <w:tcPr>
            <w:tcW w:w="810" w:type="dxa"/>
            <w:tcBorders>
              <w:top w:val="single" w:sz="4" w:space="0" w:color="000000"/>
              <w:left w:val="single" w:sz="4" w:space="0" w:color="000000"/>
              <w:bottom w:val="nil" w:sz="6" w:space="0" w:color="auto"/>
              <w:right w:val="single" w:sz="4" w:space="0" w:color="000000"/>
            </w:tcBorders>
          </w:tcPr>
          <w:p>
            <w:pPr/>
          </w:p>
        </w:tc>
        <w:tc>
          <w:tcPr>
            <w:tcW w:w="645" w:type="dxa"/>
            <w:tcBorders>
              <w:top w:val="single" w:sz="4" w:space="0" w:color="000000"/>
              <w:left w:val="single" w:sz="4" w:space="0" w:color="000000"/>
              <w:bottom w:val="nil" w:sz="6" w:space="0" w:color="auto"/>
              <w:right w:val="single" w:sz="4" w:space="0" w:color="000000"/>
            </w:tcBorders>
          </w:tcPr>
          <w:p>
            <w:pPr/>
          </w:p>
        </w:tc>
      </w:tr>
      <w:tr>
        <w:trPr>
          <w:trHeight w:val="30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公司和拥有权益的公司均未生产、开发任何与</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创业慧康产品构成竞争或可能竞争的产品，未</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直接或间接经营任何与创业慧康经营的业务</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构成竞争或可能竞争的业务，也未参与投资任</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何与创业慧康生产的产品或经营的业务构成</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关于</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竞争或可能竞争的其他企业</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2"/>
                <w:sz w:val="18"/>
                <w:szCs w:val="18"/>
              </w:rPr>
              <w:t>2</w:t>
            </w:r>
            <w:r>
              <w:rPr>
                <w:rFonts w:ascii="宋体" w:hAnsi="宋体" w:cs="宋体" w:eastAsia="宋体" w:hint="default"/>
                <w:spacing w:val="-3"/>
                <w:sz w:val="18"/>
                <w:szCs w:val="18"/>
              </w:rPr>
              <w:t>）</w:t>
            </w:r>
            <w:r>
              <w:rPr>
                <w:rFonts w:ascii="宋体" w:hAnsi="宋体" w:cs="宋体" w:eastAsia="宋体" w:hint="default"/>
                <w:sz w:val="18"/>
                <w:szCs w:val="18"/>
              </w:rPr>
              <w:t>自本承诺函</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4" w:right="0"/>
              <w:jc w:val="left"/>
              <w:rPr>
                <w:rFonts w:ascii="宋体" w:hAnsi="宋体" w:cs="宋体" w:eastAsia="宋体" w:hint="default"/>
                <w:sz w:val="18"/>
                <w:szCs w:val="18"/>
              </w:rPr>
            </w:pPr>
            <w:r>
              <w:rPr>
                <w:rFonts w:ascii="宋体" w:hAnsi="宋体" w:cs="宋体" w:eastAsia="宋体" w:hint="default"/>
                <w:sz w:val="18"/>
                <w:szCs w:val="18"/>
              </w:rPr>
              <w:t>同业</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签署之日起，本人及所控制的公司和拥有权益</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竞</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的公司将不生产、开发任何与创业慧康产品构</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争、</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成竞争或可能竞争的产品，不直接或间接经营</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关联</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任何与创业慧康经营的业务构成竞争或可能</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629"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4" w:right="155"/>
              <w:jc w:val="left"/>
              <w:rPr>
                <w:rFonts w:ascii="宋体" w:hAnsi="宋体" w:cs="宋体" w:eastAsia="宋体" w:hint="default"/>
                <w:sz w:val="18"/>
                <w:szCs w:val="18"/>
              </w:rPr>
            </w:pPr>
            <w:r>
              <w:rPr>
                <w:rFonts w:ascii="宋体" w:hAnsi="宋体" w:cs="宋体" w:eastAsia="宋体" w:hint="default"/>
                <w:sz w:val="18"/>
                <w:szCs w:val="18"/>
              </w:rPr>
              <w:t>交 易、</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01"/>
              <w:jc w:val="left"/>
              <w:rPr>
                <w:rFonts w:ascii="宋体" w:hAnsi="宋体" w:cs="宋体" w:eastAsia="宋体" w:hint="default"/>
                <w:sz w:val="18"/>
                <w:szCs w:val="18"/>
              </w:rPr>
            </w:pPr>
            <w:r>
              <w:rPr>
                <w:rFonts w:ascii="宋体" w:hAnsi="宋体" w:cs="宋体" w:eastAsia="宋体" w:hint="default"/>
                <w:sz w:val="18"/>
                <w:szCs w:val="18"/>
              </w:rPr>
              <w:t>竞争的业务，不参与投资任何与创业慧康生产 的产品或经营的业务构成竞争或可能竞争的</w:t>
            </w:r>
          </w:p>
        </w:tc>
        <w:tc>
          <w:tcPr>
            <w:tcW w:w="99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45"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3" w:right="170"/>
              <w:jc w:val="left"/>
              <w:rPr>
                <w:rFonts w:ascii="宋体" w:hAnsi="宋体" w:cs="宋体" w:eastAsia="宋体" w:hint="default"/>
                <w:sz w:val="18"/>
                <w:szCs w:val="18"/>
              </w:rPr>
            </w:pPr>
            <w:r>
              <w:rPr>
                <w:rFonts w:ascii="宋体" w:hAnsi="宋体" w:cs="宋体" w:eastAsia="宋体" w:hint="default"/>
                <w:sz w:val="18"/>
                <w:szCs w:val="18"/>
              </w:rPr>
              <w:t>正常 履行</w:t>
            </w: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4" w:right="0"/>
              <w:jc w:val="left"/>
              <w:rPr>
                <w:rFonts w:ascii="宋体" w:hAnsi="宋体" w:cs="宋体" w:eastAsia="宋体" w:hint="default"/>
                <w:sz w:val="18"/>
                <w:szCs w:val="18"/>
              </w:rPr>
            </w:pPr>
            <w:r>
              <w:rPr>
                <w:rFonts w:ascii="宋体" w:hAnsi="宋体" w:cs="宋体" w:eastAsia="宋体" w:hint="default"/>
                <w:sz w:val="18"/>
                <w:szCs w:val="18"/>
              </w:rPr>
              <w:t>资金</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其他企业</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3</w:t>
            </w:r>
            <w:r>
              <w:rPr>
                <w:rFonts w:ascii="宋体" w:hAnsi="宋体" w:cs="宋体" w:eastAsia="宋体" w:hint="default"/>
                <w:spacing w:val="-3"/>
                <w:sz w:val="18"/>
                <w:szCs w:val="18"/>
              </w:rPr>
              <w:t>）</w:t>
            </w:r>
            <w:r>
              <w:rPr>
                <w:rFonts w:ascii="宋体" w:hAnsi="宋体" w:cs="宋体" w:eastAsia="宋体" w:hint="default"/>
                <w:sz w:val="18"/>
                <w:szCs w:val="18"/>
              </w:rPr>
              <w:t>自本承诺函签署之日起</w:t>
            </w:r>
            <w:r>
              <w:rPr>
                <w:rFonts w:ascii="宋体" w:hAnsi="宋体" w:cs="宋体" w:eastAsia="宋体" w:hint="default"/>
                <w:spacing w:val="-3"/>
                <w:sz w:val="18"/>
                <w:szCs w:val="18"/>
              </w:rPr>
              <w:t>，</w:t>
            </w:r>
            <w:r>
              <w:rPr>
                <w:rFonts w:ascii="宋体" w:hAnsi="宋体" w:cs="宋体" w:eastAsia="宋体" w:hint="default"/>
                <w:sz w:val="18"/>
                <w:szCs w:val="18"/>
              </w:rPr>
              <w:t>如创</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4" w:right="0"/>
              <w:jc w:val="left"/>
              <w:rPr>
                <w:rFonts w:ascii="宋体" w:hAnsi="宋体" w:cs="宋体" w:eastAsia="宋体" w:hint="default"/>
                <w:sz w:val="18"/>
                <w:szCs w:val="18"/>
              </w:rPr>
            </w:pPr>
            <w:r>
              <w:rPr>
                <w:rFonts w:ascii="宋体" w:hAnsi="宋体" w:cs="宋体" w:eastAsia="宋体" w:hint="default"/>
                <w:sz w:val="18"/>
                <w:szCs w:val="18"/>
              </w:rPr>
              <w:t>占用</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业慧康进一步拓展其产品和业务范围，本人及</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方面</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所控制的公司和拥有权益的公司将不与创业</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的承</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慧康拓展后的产品和业务相竞争；若与创业慧</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4" w:right="0"/>
              <w:jc w:val="left"/>
              <w:rPr>
                <w:rFonts w:ascii="宋体" w:hAnsi="宋体" w:cs="宋体" w:eastAsia="宋体" w:hint="default"/>
                <w:sz w:val="18"/>
                <w:szCs w:val="18"/>
              </w:rPr>
            </w:pPr>
            <w:r>
              <w:rPr>
                <w:rFonts w:ascii="宋体" w:hAnsi="宋体" w:cs="宋体" w:eastAsia="宋体" w:hint="default"/>
                <w:sz w:val="18"/>
                <w:szCs w:val="18"/>
              </w:rPr>
              <w:t>诺</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康拓展后的产品和业务相竞争，本人及所控制</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的公司和拥有权益的公司将采取以下方式避</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免同业竞争：①停止生产或经营相竞争的产品</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和业务；②将相竞争的业务纳入创业慧康经</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营</w:t>
            </w:r>
            <w:r>
              <w:rPr>
                <w:rFonts w:ascii="宋体" w:hAnsi="宋体" w:cs="宋体" w:eastAsia="宋体" w:hint="default"/>
                <w:spacing w:val="-48"/>
                <w:sz w:val="18"/>
                <w:szCs w:val="18"/>
              </w:rPr>
              <w:t>；</w:t>
            </w:r>
            <w:r>
              <w:rPr>
                <w:rFonts w:ascii="宋体" w:hAnsi="宋体" w:cs="宋体" w:eastAsia="宋体" w:hint="default"/>
                <w:sz w:val="18"/>
                <w:szCs w:val="18"/>
              </w:rPr>
              <w:t>③向无关联关系的第三方转让该业务</w:t>
            </w:r>
            <w:r>
              <w:rPr>
                <w:rFonts w:ascii="宋体" w:hAnsi="宋体" w:cs="宋体" w:eastAsia="宋体" w:hint="default"/>
                <w:spacing w:val="-137"/>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2"/>
                <w:sz w:val="18"/>
                <w:szCs w:val="18"/>
              </w:rPr>
              <w:t>4</w:t>
            </w:r>
            <w:r>
              <w:rPr>
                <w:rFonts w:ascii="宋体" w:hAnsi="宋体" w:cs="宋体" w:eastAsia="宋体" w:hint="default"/>
                <w:sz w:val="18"/>
                <w:szCs w:val="18"/>
              </w:rPr>
              <w:t>）</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如本承诺函未被遵守，将向创业慧康赔偿一切</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single" w:sz="4" w:space="0" w:color="000000"/>
              <w:right w:val="single" w:sz="4" w:space="0" w:color="000000"/>
            </w:tcBorders>
          </w:tcPr>
          <w:p>
            <w:pPr/>
          </w:p>
        </w:tc>
        <w:tc>
          <w:tcPr>
            <w:tcW w:w="631" w:type="dxa"/>
            <w:tcBorders>
              <w:top w:val="nil" w:sz="6" w:space="0" w:color="auto"/>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直接或间接损失。</w:t>
            </w:r>
          </w:p>
        </w:tc>
        <w:tc>
          <w:tcPr>
            <w:tcW w:w="990" w:type="dxa"/>
            <w:tcBorders>
              <w:top w:val="nil" w:sz="6" w:space="0" w:color="auto"/>
              <w:left w:val="single" w:sz="4" w:space="0" w:color="000000"/>
              <w:bottom w:val="single" w:sz="4" w:space="0" w:color="000000"/>
              <w:right w:val="single" w:sz="4" w:space="0" w:color="000000"/>
            </w:tcBorders>
          </w:tcPr>
          <w:p>
            <w:pPr/>
          </w:p>
        </w:tc>
        <w:tc>
          <w:tcPr>
            <w:tcW w:w="810" w:type="dxa"/>
            <w:tcBorders>
              <w:top w:val="nil" w:sz="6" w:space="0" w:color="auto"/>
              <w:left w:val="single" w:sz="4" w:space="0" w:color="000000"/>
              <w:bottom w:val="single" w:sz="4" w:space="0" w:color="000000"/>
              <w:right w:val="single" w:sz="4" w:space="0" w:color="000000"/>
            </w:tcBorders>
          </w:tcPr>
          <w:p>
            <w:pPr/>
          </w:p>
        </w:tc>
        <w:tc>
          <w:tcPr>
            <w:tcW w:w="645" w:type="dxa"/>
            <w:tcBorders>
              <w:top w:val="nil" w:sz="6" w:space="0" w:color="auto"/>
              <w:left w:val="single" w:sz="4" w:space="0" w:color="000000"/>
              <w:bottom w:val="single" w:sz="4" w:space="0" w:color="000000"/>
              <w:right w:val="single" w:sz="4" w:space="0" w:color="000000"/>
            </w:tcBorders>
          </w:tcPr>
          <w:p>
            <w:pPr/>
          </w:p>
        </w:tc>
      </w:tr>
      <w:tr>
        <w:trPr>
          <w:trHeight w:val="358" w:hRule="exact"/>
        </w:trPr>
        <w:tc>
          <w:tcPr>
            <w:tcW w:w="1842" w:type="dxa"/>
            <w:vMerge/>
            <w:tcBorders>
              <w:left w:val="single" w:sz="4" w:space="0" w:color="000000"/>
              <w:right w:val="single" w:sz="4" w:space="0" w:color="000000"/>
            </w:tcBorders>
            <w:shd w:val="clear" w:color="auto" w:fill="D2D2D2"/>
          </w:tcPr>
          <w:p>
            <w:pPr/>
          </w:p>
        </w:tc>
        <w:tc>
          <w:tcPr>
            <w:tcW w:w="839" w:type="dxa"/>
            <w:tcBorders>
              <w:top w:val="single" w:sz="4" w:space="0" w:color="000000"/>
              <w:left w:val="single" w:sz="4" w:space="0" w:color="000000"/>
              <w:bottom w:val="nil" w:sz="6" w:space="0" w:color="auto"/>
              <w:right w:val="single" w:sz="4" w:space="0" w:color="000000"/>
            </w:tcBorders>
          </w:tcPr>
          <w:p>
            <w:pPr/>
          </w:p>
        </w:tc>
        <w:tc>
          <w:tcPr>
            <w:tcW w:w="631" w:type="dxa"/>
            <w:tcBorders>
              <w:top w:val="single" w:sz="4" w:space="0" w:color="000000"/>
              <w:left w:val="single" w:sz="4" w:space="0" w:color="000000"/>
              <w:bottom w:val="nil" w:sz="6" w:space="0" w:color="auto"/>
              <w:right w:val="single" w:sz="4" w:space="0" w:color="000000"/>
            </w:tcBorders>
          </w:tcPr>
          <w:p>
            <w:pP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创业慧康科技股份有限公司股票上市后三年</w:t>
            </w:r>
          </w:p>
        </w:tc>
        <w:tc>
          <w:tcPr>
            <w:tcW w:w="990" w:type="dxa"/>
            <w:tcBorders>
              <w:top w:val="single" w:sz="4" w:space="0" w:color="000000"/>
              <w:left w:val="single" w:sz="4" w:space="0" w:color="000000"/>
              <w:bottom w:val="nil" w:sz="6" w:space="0" w:color="auto"/>
              <w:right w:val="single" w:sz="4" w:space="0" w:color="000000"/>
            </w:tcBorders>
          </w:tcPr>
          <w:p>
            <w:pPr/>
          </w:p>
        </w:tc>
        <w:tc>
          <w:tcPr>
            <w:tcW w:w="810" w:type="dxa"/>
            <w:tcBorders>
              <w:top w:val="single" w:sz="4" w:space="0" w:color="000000"/>
              <w:left w:val="single" w:sz="4" w:space="0" w:color="000000"/>
              <w:bottom w:val="nil" w:sz="6" w:space="0" w:color="auto"/>
              <w:right w:val="single" w:sz="4" w:space="0" w:color="000000"/>
            </w:tcBorders>
          </w:tcPr>
          <w:p>
            <w:pPr/>
          </w:p>
        </w:tc>
        <w:tc>
          <w:tcPr>
            <w:tcW w:w="645"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内公司股价低于每股净资产时股价稳定预案：</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一、启动稳定股价措施的条件公司自上市后三</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1315"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Style w:val="TableParagraph"/>
              <w:spacing w:line="310" w:lineRule="atLeast" w:before="70"/>
              <w:ind w:left="103" w:right="184"/>
              <w:jc w:val="both"/>
              <w:rPr>
                <w:rFonts w:ascii="宋体" w:hAnsi="宋体" w:cs="宋体" w:eastAsia="宋体" w:hint="default"/>
                <w:sz w:val="18"/>
                <w:szCs w:val="18"/>
              </w:rPr>
            </w:pPr>
            <w:r>
              <w:rPr>
                <w:rFonts w:ascii="宋体" w:hAnsi="宋体" w:cs="宋体" w:eastAsia="宋体" w:hint="default"/>
                <w:sz w:val="18"/>
                <w:szCs w:val="18"/>
              </w:rPr>
              <w:t>创业慧 康科技 股份有 限公司</w:t>
            </w:r>
          </w:p>
        </w:tc>
        <w:tc>
          <w:tcPr>
            <w:tcW w:w="63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104" w:right="0"/>
              <w:jc w:val="both"/>
              <w:rPr>
                <w:rFonts w:ascii="Times New Roman" w:hAnsi="Times New Roman" w:cs="Times New Roman" w:eastAsia="Times New Roman" w:hint="default"/>
                <w:sz w:val="18"/>
                <w:szCs w:val="18"/>
              </w:rPr>
            </w:pPr>
            <w:r>
              <w:rPr>
                <w:rFonts w:ascii="Times New Roman"/>
                <w:sz w:val="18"/>
              </w:rPr>
              <w:t>IPO</w:t>
            </w:r>
          </w:p>
          <w:p>
            <w:pPr>
              <w:pStyle w:val="TableParagraph"/>
              <w:spacing w:line="312" w:lineRule="exact" w:before="23"/>
              <w:ind w:left="104" w:right="155"/>
              <w:jc w:val="both"/>
              <w:rPr>
                <w:rFonts w:ascii="宋体" w:hAnsi="宋体" w:cs="宋体" w:eastAsia="宋体" w:hint="default"/>
                <w:sz w:val="18"/>
                <w:szCs w:val="18"/>
              </w:rPr>
            </w:pPr>
            <w:r>
              <w:rPr>
                <w:rFonts w:ascii="宋体" w:hAnsi="宋体" w:cs="宋体" w:eastAsia="宋体" w:hint="default"/>
                <w:sz w:val="18"/>
                <w:szCs w:val="18"/>
              </w:rPr>
              <w:t>稳定 股价 承诺</w:t>
            </w: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312" w:lineRule="auto" w:before="10"/>
              <w:ind w:left="101" w:right="12"/>
              <w:jc w:val="left"/>
              <w:rPr>
                <w:rFonts w:ascii="宋体" w:hAnsi="宋体" w:cs="宋体" w:eastAsia="宋体" w:hint="default"/>
                <w:sz w:val="18"/>
                <w:szCs w:val="18"/>
              </w:rPr>
            </w:pPr>
            <w:r>
              <w:rPr>
                <w:rFonts w:ascii="宋体" w:hAnsi="宋体" w:cs="宋体" w:eastAsia="宋体" w:hint="default"/>
                <w:sz w:val="18"/>
                <w:szCs w:val="18"/>
              </w:rPr>
              <w:t>年内，如出现连续</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个交易日公司股票的收 </w:t>
            </w:r>
            <w:r>
              <w:rPr>
                <w:rFonts w:ascii="宋体" w:hAnsi="宋体" w:cs="宋体" w:eastAsia="宋体" w:hint="default"/>
                <w:spacing w:val="-5"/>
                <w:sz w:val="18"/>
                <w:szCs w:val="18"/>
              </w:rPr>
              <w:t>盘价（如因派息、送股、资本公积金转增股本、</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增发新股等原因除权、除息的，则须按照深圳</w:t>
            </w:r>
            <w:r>
              <w:rPr>
                <w:rFonts w:ascii="宋体" w:hAnsi="宋体" w:cs="宋体" w:eastAsia="宋体" w:hint="default"/>
                <w:sz w:val="18"/>
                <w:szCs w:val="18"/>
              </w:rPr>
              <w:t> 证券交易所的有关规定进行调整，下同）均低</w:t>
            </w:r>
          </w:p>
        </w:tc>
        <w:tc>
          <w:tcPr>
            <w:tcW w:w="99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8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36 </w:t>
            </w:r>
            <w:r>
              <w:rPr>
                <w:rFonts w:ascii="宋体" w:hAnsi="宋体" w:cs="宋体" w:eastAsia="宋体" w:hint="default"/>
                <w:sz w:val="18"/>
                <w:szCs w:val="18"/>
              </w:rPr>
              <w:t>个月</w:t>
            </w:r>
          </w:p>
        </w:tc>
        <w:tc>
          <w:tcPr>
            <w:tcW w:w="64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316" w:lineRule="auto"/>
              <w:ind w:left="103" w:right="170"/>
              <w:jc w:val="left"/>
              <w:rPr>
                <w:rFonts w:ascii="宋体" w:hAnsi="宋体" w:cs="宋体" w:eastAsia="宋体" w:hint="default"/>
                <w:sz w:val="18"/>
                <w:szCs w:val="18"/>
              </w:rPr>
            </w:pPr>
            <w:r>
              <w:rPr>
                <w:rFonts w:ascii="宋体" w:hAnsi="宋体" w:cs="宋体" w:eastAsia="宋体" w:hint="default"/>
                <w:sz w:val="18"/>
                <w:szCs w:val="18"/>
              </w:rPr>
              <w:t>履行 完毕</w:t>
            </w:r>
          </w:p>
        </w:tc>
      </w:tr>
      <w:tr>
        <w:trPr>
          <w:trHeight w:val="245"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179" w:lineRule="exact"/>
              <w:ind w:left="101" w:right="0"/>
              <w:jc w:val="left"/>
              <w:rPr>
                <w:rFonts w:ascii="宋体" w:hAnsi="宋体" w:cs="宋体" w:eastAsia="宋体" w:hint="default"/>
                <w:sz w:val="18"/>
                <w:szCs w:val="18"/>
              </w:rPr>
            </w:pPr>
            <w:r>
              <w:rPr>
                <w:rFonts w:ascii="宋体" w:hAnsi="宋体" w:cs="宋体" w:eastAsia="宋体" w:hint="default"/>
                <w:sz w:val="18"/>
                <w:szCs w:val="18"/>
              </w:rPr>
              <w:t>于公司最近一期经审计的每股净资产（每股净</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资产</w:t>
            </w:r>
            <w:r>
              <w:rPr>
                <w:rFonts w:ascii="Times New Roman" w:hAnsi="Times New Roman" w:cs="Times New Roman" w:eastAsia="Times New Roman" w:hint="default"/>
                <w:sz w:val="18"/>
                <w:szCs w:val="18"/>
              </w:rPr>
              <w:t>=</w:t>
            </w:r>
            <w:r>
              <w:rPr>
                <w:rFonts w:ascii="宋体" w:hAnsi="宋体" w:cs="宋体" w:eastAsia="宋体" w:hint="default"/>
                <w:sz w:val="18"/>
                <w:szCs w:val="18"/>
              </w:rPr>
              <w:t>合并财务报表中归属于母公司普通股股</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tcBorders>
              <w:top w:val="nil" w:sz="6" w:space="0" w:color="auto"/>
              <w:left w:val="single" w:sz="4" w:space="0" w:color="000000"/>
              <w:bottom w:val="nil" w:sz="6" w:space="0" w:color="auto"/>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pacing w:val="-5"/>
                <w:sz w:val="18"/>
                <w:szCs w:val="18"/>
              </w:rPr>
              <w:t>东权益合计数÷公司股份总数，下同）情形时，</w:t>
            </w:r>
          </w:p>
        </w:tc>
        <w:tc>
          <w:tcPr>
            <w:tcW w:w="990" w:type="dxa"/>
            <w:tcBorders>
              <w:top w:val="nil" w:sz="6" w:space="0" w:color="auto"/>
              <w:left w:val="single" w:sz="4" w:space="0" w:color="000000"/>
              <w:bottom w:val="nil" w:sz="6" w:space="0" w:color="auto"/>
              <w:right w:val="single" w:sz="4" w:space="0" w:color="000000"/>
            </w:tcBorders>
          </w:tcPr>
          <w:p>
            <w:pPr/>
          </w:p>
        </w:tc>
        <w:tc>
          <w:tcPr>
            <w:tcW w:w="810" w:type="dxa"/>
            <w:tcBorders>
              <w:top w:val="nil" w:sz="6" w:space="0" w:color="auto"/>
              <w:left w:val="single" w:sz="4" w:space="0" w:color="000000"/>
              <w:bottom w:val="nil" w:sz="6" w:space="0" w:color="auto"/>
              <w:right w:val="single" w:sz="4" w:space="0" w:color="000000"/>
            </w:tcBorders>
          </w:tcPr>
          <w:p>
            <w:pPr/>
          </w:p>
        </w:tc>
        <w:tc>
          <w:tcPr>
            <w:tcW w:w="645" w:type="dxa"/>
            <w:tcBorders>
              <w:top w:val="nil" w:sz="6" w:space="0" w:color="auto"/>
              <w:left w:val="single" w:sz="4" w:space="0" w:color="000000"/>
              <w:bottom w:val="nil" w:sz="6" w:space="0" w:color="auto"/>
              <w:right w:val="single" w:sz="4" w:space="0" w:color="000000"/>
            </w:tcBorders>
          </w:tcPr>
          <w:p>
            <w:pPr/>
          </w:p>
        </w:tc>
      </w:tr>
      <w:tr>
        <w:trPr>
          <w:trHeight w:val="314" w:hRule="exact"/>
        </w:trPr>
        <w:tc>
          <w:tcPr>
            <w:tcW w:w="1842" w:type="dxa"/>
            <w:vMerge/>
            <w:tcBorders>
              <w:left w:val="single" w:sz="4" w:space="0" w:color="000000"/>
              <w:bottom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single" w:sz="4" w:space="0" w:color="000000"/>
              <w:right w:val="single" w:sz="4" w:space="0" w:color="000000"/>
            </w:tcBorders>
          </w:tcPr>
          <w:p>
            <w:pPr/>
          </w:p>
        </w:tc>
        <w:tc>
          <w:tcPr>
            <w:tcW w:w="631" w:type="dxa"/>
            <w:tcBorders>
              <w:top w:val="nil" w:sz="6" w:space="0" w:color="auto"/>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非因不可抗力因素所致，则启动稳定股价的预</w:t>
            </w:r>
          </w:p>
        </w:tc>
        <w:tc>
          <w:tcPr>
            <w:tcW w:w="990" w:type="dxa"/>
            <w:tcBorders>
              <w:top w:val="nil" w:sz="6" w:space="0" w:color="auto"/>
              <w:left w:val="single" w:sz="4" w:space="0" w:color="000000"/>
              <w:bottom w:val="single" w:sz="4" w:space="0" w:color="000000"/>
              <w:right w:val="single" w:sz="4" w:space="0" w:color="000000"/>
            </w:tcBorders>
          </w:tcPr>
          <w:p>
            <w:pPr/>
          </w:p>
        </w:tc>
        <w:tc>
          <w:tcPr>
            <w:tcW w:w="810" w:type="dxa"/>
            <w:tcBorders>
              <w:top w:val="nil" w:sz="6" w:space="0" w:color="auto"/>
              <w:left w:val="single" w:sz="4" w:space="0" w:color="000000"/>
              <w:bottom w:val="single" w:sz="4" w:space="0" w:color="000000"/>
              <w:right w:val="single" w:sz="4" w:space="0" w:color="000000"/>
            </w:tcBorders>
          </w:tcPr>
          <w:p>
            <w:pPr/>
          </w:p>
        </w:tc>
        <w:tc>
          <w:tcPr>
            <w:tcW w:w="645"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842"/>
        <w:gridCol w:w="839"/>
        <w:gridCol w:w="631"/>
        <w:gridCol w:w="3810"/>
        <w:gridCol w:w="990"/>
        <w:gridCol w:w="810"/>
        <w:gridCol w:w="645"/>
      </w:tblGrid>
      <w:tr>
        <w:trPr>
          <w:trHeight w:val="318" w:hRule="exact"/>
        </w:trPr>
        <w:tc>
          <w:tcPr>
            <w:tcW w:w="1842" w:type="dxa"/>
            <w:vMerge w:val="restart"/>
            <w:tcBorders>
              <w:top w:val="single" w:sz="4" w:space="0" w:color="000000"/>
              <w:left w:val="single" w:sz="4" w:space="0" w:color="000000"/>
              <w:right w:val="single" w:sz="4" w:space="0" w:color="000000"/>
            </w:tcBorders>
            <w:shd w:val="clear" w:color="auto" w:fill="D2D2D2"/>
          </w:tcPr>
          <w:p>
            <w:pPr/>
          </w:p>
        </w:tc>
        <w:tc>
          <w:tcPr>
            <w:tcW w:w="839" w:type="dxa"/>
            <w:vMerge w:val="restart"/>
            <w:tcBorders>
              <w:top w:val="single" w:sz="4" w:space="0" w:color="000000"/>
              <w:left w:val="single" w:sz="4" w:space="0" w:color="000000"/>
              <w:right w:val="single" w:sz="4" w:space="0" w:color="000000"/>
            </w:tcBorders>
          </w:tcPr>
          <w:p>
            <w:pPr/>
          </w:p>
        </w:tc>
        <w:tc>
          <w:tcPr>
            <w:tcW w:w="631" w:type="dxa"/>
            <w:vMerge w:val="restart"/>
            <w:tcBorders>
              <w:top w:val="single" w:sz="4" w:space="0" w:color="000000"/>
              <w:left w:val="single" w:sz="4" w:space="0" w:color="000000"/>
              <w:right w:val="single" w:sz="4" w:space="0" w:color="000000"/>
            </w:tcBorders>
          </w:tcPr>
          <w:p>
            <w:pP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案。二、稳定股价的具体措施公司将在启动稳</w:t>
            </w:r>
          </w:p>
        </w:tc>
        <w:tc>
          <w:tcPr>
            <w:tcW w:w="990" w:type="dxa"/>
            <w:vMerge w:val="restart"/>
            <w:tcBorders>
              <w:top w:val="single" w:sz="4" w:space="0" w:color="000000"/>
              <w:left w:val="single" w:sz="4" w:space="0" w:color="000000"/>
              <w:right w:val="single" w:sz="4" w:space="0" w:color="000000"/>
            </w:tcBorders>
          </w:tcPr>
          <w:p>
            <w:pPr/>
          </w:p>
        </w:tc>
        <w:tc>
          <w:tcPr>
            <w:tcW w:w="810" w:type="dxa"/>
            <w:vMerge w:val="restart"/>
            <w:tcBorders>
              <w:top w:val="single" w:sz="4" w:space="0" w:color="000000"/>
              <w:left w:val="single" w:sz="4" w:space="0" w:color="000000"/>
              <w:right w:val="single" w:sz="4" w:space="0" w:color="000000"/>
            </w:tcBorders>
          </w:tcPr>
          <w:p>
            <w:pPr/>
          </w:p>
        </w:tc>
        <w:tc>
          <w:tcPr>
            <w:tcW w:w="645" w:type="dxa"/>
            <w:vMerge w:val="restart"/>
            <w:tcBorders>
              <w:top w:val="single" w:sz="4" w:space="0" w:color="000000"/>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定股价措施的条件触发之日起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个交易日内与</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公司控股股东、董事及高级管理人员协商确定</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稳定股价的措施。公司及相关主体将采取以下</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措施中的一项或多项稳定公司股价：</w:t>
            </w:r>
            <w:r>
              <w:rPr>
                <w:rFonts w:ascii="Times New Roman" w:hAnsi="Times New Roman" w:cs="Times New Roman" w:eastAsia="Times New Roman" w:hint="default"/>
                <w:sz w:val="18"/>
                <w:szCs w:val="18"/>
              </w:rPr>
              <w:t>1</w:t>
            </w:r>
            <w:r>
              <w:rPr>
                <w:rFonts w:ascii="宋体" w:hAnsi="宋体" w:cs="宋体" w:eastAsia="宋体" w:hint="default"/>
                <w:sz w:val="18"/>
                <w:szCs w:val="18"/>
              </w:rPr>
              <w:t>、公司</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回购公司股票；</w:t>
            </w:r>
            <w:r>
              <w:rPr>
                <w:rFonts w:ascii="Times New Roman" w:hAnsi="Times New Roman" w:cs="Times New Roman" w:eastAsia="Times New Roman" w:hint="default"/>
                <w:sz w:val="18"/>
                <w:szCs w:val="18"/>
              </w:rPr>
              <w:t>2</w:t>
            </w:r>
            <w:r>
              <w:rPr>
                <w:rFonts w:ascii="宋体" w:hAnsi="宋体" w:cs="宋体" w:eastAsia="宋体" w:hint="default"/>
                <w:sz w:val="18"/>
                <w:szCs w:val="18"/>
              </w:rPr>
              <w:t>、公司控股股东增持公司股</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票；</w:t>
            </w:r>
            <w:r>
              <w:rPr>
                <w:rFonts w:ascii="Times New Roman" w:hAnsi="Times New Roman" w:cs="Times New Roman" w:eastAsia="Times New Roman" w:hint="default"/>
                <w:sz w:val="18"/>
                <w:szCs w:val="18"/>
              </w:rPr>
              <w:t>3</w:t>
            </w:r>
            <w:r>
              <w:rPr>
                <w:rFonts w:ascii="宋体" w:hAnsi="宋体" w:cs="宋体" w:eastAsia="宋体" w:hint="default"/>
                <w:sz w:val="18"/>
                <w:szCs w:val="18"/>
              </w:rPr>
              <w:t>、公司董事、高级管理人员增持公司股</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票。</w:t>
            </w:r>
            <w:r>
              <w:rPr>
                <w:rFonts w:ascii="Times New Roman" w:hAnsi="Times New Roman" w:cs="Times New Roman" w:eastAsia="Times New Roman" w:hint="default"/>
                <w:sz w:val="18"/>
                <w:szCs w:val="18"/>
              </w:rPr>
              <w:t>1</w:t>
            </w:r>
            <w:r>
              <w:rPr>
                <w:rFonts w:ascii="宋体" w:hAnsi="宋体" w:cs="宋体" w:eastAsia="宋体" w:hint="default"/>
                <w:sz w:val="18"/>
                <w:szCs w:val="18"/>
              </w:rPr>
              <w:t>、公司回购公司股票如各方最终确定以</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公司回购公司股票作为稳定股价的措施，则公</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司将在符合相关法律、法规的规定且不应导致</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公司股权分布不符合上市条件的前提下，向社</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会公众股东依法回购股份，回购价格不高于公</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司最近一期经审计的每股净资产。公司董事会</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应在启动稳定股价预案的条件触发之日起</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个交易日内，做出实施回购股份的决议。公司</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董事会应当在做出决议后及时公告董事会决</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议、回购股份预案，并发布召开股东大会的通</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知。公司股东大会对回购股份做出决议，须经</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出席会议的股东所持表决权的三分之二以上</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通过，公司控股股东承诺就该等回购事宜在股</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东大会中投赞成票。经股东大会决议决定实施</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回购的，公司将依法通知债权人，并向证券监</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督管理部门、证券交易所等主管部门报送相关</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材料，办理审批或备案手续。公司回购公司股</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票应在履行完毕法律法规规定的程序后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交易日内实施完毕。单次实施回购股票完毕或</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终止后，本次回购的公司股票应在实施完毕或</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终止之日起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内注销，并及时办理公司减资</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程序。公司董事会公告回购股份预案后，公司</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股票收盘价连续</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个交易日高于最近一期经</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审计的每股净资产，则公司可不再继续实施回</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购股份计划。若某一会计年度内公司股价多次</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触发上述启动稳定股价措施的条件的（不包括</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控股股东实施稳定股价措施期间及自实施完</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毕当次稳定股价措施并由公司公告日后开始</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计算的连续</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个交易日股票收盘价仍低于上</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一个会计年度经审计的每股净资产的情形</w:t>
            </w:r>
            <w:r>
              <w:rPr>
                <w:rFonts w:ascii="宋体" w:hAnsi="宋体" w:cs="宋体" w:eastAsia="宋体" w:hint="default"/>
                <w:spacing w:val="-89"/>
                <w:sz w:val="18"/>
                <w:szCs w:val="18"/>
              </w:rPr>
              <w:t>）</w:t>
            </w:r>
            <w:r>
              <w:rPr>
                <w:rFonts w:ascii="宋体" w:hAnsi="宋体" w:cs="宋体" w:eastAsia="宋体" w:hint="default"/>
                <w:sz w:val="18"/>
                <w:szCs w:val="18"/>
              </w:rPr>
              <w:t>，</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公司将继续按照上述稳定股价预案执行。公司</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为稳定股价进行股份回购的，除应符合相关法</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律法规之要求之外，还应遵循以下原则：单次</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用于回购股份的资金金额不高于上一个会计</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年度经审计的归属于母公司股东净利润的</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宋体" w:hAnsi="宋体" w:cs="宋体" w:eastAsia="宋体" w:hint="default"/>
                <w:sz w:val="18"/>
                <w:szCs w:val="18"/>
              </w:rPr>
              <w:t>，单一会计年度用以稳定股价的回购资金</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0" w:hRule="exact"/>
        </w:trPr>
        <w:tc>
          <w:tcPr>
            <w:tcW w:w="1842" w:type="dxa"/>
            <w:vMerge/>
            <w:tcBorders>
              <w:left w:val="single" w:sz="4" w:space="0" w:color="000000"/>
              <w:bottom w:val="single" w:sz="4" w:space="0" w:color="000000"/>
              <w:right w:val="single" w:sz="4" w:space="0" w:color="000000"/>
            </w:tcBorders>
            <w:shd w:val="clear" w:color="auto" w:fill="D2D2D2"/>
          </w:tcPr>
          <w:p>
            <w:pPr/>
          </w:p>
        </w:tc>
        <w:tc>
          <w:tcPr>
            <w:tcW w:w="839" w:type="dxa"/>
            <w:vMerge/>
            <w:tcBorders>
              <w:left w:val="single" w:sz="4" w:space="0" w:color="000000"/>
              <w:bottom w:val="single" w:sz="4" w:space="0" w:color="000000"/>
              <w:right w:val="single" w:sz="4" w:space="0" w:color="000000"/>
            </w:tcBorders>
          </w:tcPr>
          <w:p>
            <w:pPr/>
          </w:p>
        </w:tc>
        <w:tc>
          <w:tcPr>
            <w:tcW w:w="631" w:type="dxa"/>
            <w:vMerge/>
            <w:tcBorders>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合计不超过上一会计年度经审计的归属于母</w:t>
            </w:r>
          </w:p>
        </w:tc>
        <w:tc>
          <w:tcPr>
            <w:tcW w:w="990" w:type="dxa"/>
            <w:vMerge/>
            <w:tcBorders>
              <w:left w:val="single" w:sz="4" w:space="0" w:color="000000"/>
              <w:bottom w:val="single" w:sz="4" w:space="0" w:color="000000"/>
              <w:right w:val="single" w:sz="4" w:space="0" w:color="000000"/>
            </w:tcBorders>
          </w:tcPr>
          <w:p>
            <w:pPr/>
          </w:p>
        </w:tc>
        <w:tc>
          <w:tcPr>
            <w:tcW w:w="810" w:type="dxa"/>
            <w:vMerge/>
            <w:tcBorders>
              <w:left w:val="single" w:sz="4" w:space="0" w:color="000000"/>
              <w:bottom w:val="single" w:sz="4" w:space="0" w:color="000000"/>
              <w:right w:val="single" w:sz="4" w:space="0" w:color="000000"/>
            </w:tcBorders>
          </w:tcPr>
          <w:p>
            <w:pPr/>
          </w:p>
        </w:tc>
        <w:tc>
          <w:tcPr>
            <w:tcW w:w="645" w:type="dxa"/>
            <w:vMerge/>
            <w:tcBorders>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842"/>
        <w:gridCol w:w="839"/>
        <w:gridCol w:w="631"/>
        <w:gridCol w:w="3810"/>
        <w:gridCol w:w="990"/>
        <w:gridCol w:w="810"/>
        <w:gridCol w:w="645"/>
      </w:tblGrid>
      <w:tr>
        <w:trPr>
          <w:trHeight w:val="322" w:hRule="exact"/>
        </w:trPr>
        <w:tc>
          <w:tcPr>
            <w:tcW w:w="1842" w:type="dxa"/>
            <w:vMerge w:val="restart"/>
            <w:tcBorders>
              <w:top w:val="single" w:sz="4" w:space="0" w:color="000000"/>
              <w:left w:val="single" w:sz="4" w:space="0" w:color="000000"/>
              <w:right w:val="single" w:sz="4" w:space="0" w:color="000000"/>
            </w:tcBorders>
            <w:shd w:val="clear" w:color="auto" w:fill="D2D2D2"/>
          </w:tcPr>
          <w:p>
            <w:pPr/>
          </w:p>
        </w:tc>
        <w:tc>
          <w:tcPr>
            <w:tcW w:w="839" w:type="dxa"/>
            <w:vMerge w:val="restart"/>
            <w:tcBorders>
              <w:top w:val="single" w:sz="4" w:space="0" w:color="000000"/>
              <w:left w:val="single" w:sz="4" w:space="0" w:color="000000"/>
              <w:right w:val="single" w:sz="4" w:space="0" w:color="000000"/>
            </w:tcBorders>
          </w:tcPr>
          <w:p>
            <w:pPr/>
          </w:p>
        </w:tc>
        <w:tc>
          <w:tcPr>
            <w:tcW w:w="631" w:type="dxa"/>
            <w:vMerge w:val="restart"/>
            <w:tcBorders>
              <w:top w:val="single" w:sz="4" w:space="0" w:color="000000"/>
              <w:left w:val="single" w:sz="4" w:space="0" w:color="000000"/>
              <w:right w:val="single" w:sz="4" w:space="0" w:color="000000"/>
            </w:tcBorders>
          </w:tcPr>
          <w:p>
            <w:pP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公司股东净利润的</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；超过上述标准的，有</w:t>
            </w:r>
          </w:p>
        </w:tc>
        <w:tc>
          <w:tcPr>
            <w:tcW w:w="990" w:type="dxa"/>
            <w:vMerge w:val="restart"/>
            <w:tcBorders>
              <w:top w:val="single" w:sz="4" w:space="0" w:color="000000"/>
              <w:left w:val="single" w:sz="4" w:space="0" w:color="000000"/>
              <w:right w:val="single" w:sz="4" w:space="0" w:color="000000"/>
            </w:tcBorders>
          </w:tcPr>
          <w:p>
            <w:pPr/>
          </w:p>
        </w:tc>
        <w:tc>
          <w:tcPr>
            <w:tcW w:w="810" w:type="dxa"/>
            <w:vMerge w:val="restart"/>
            <w:tcBorders>
              <w:top w:val="single" w:sz="4" w:space="0" w:color="000000"/>
              <w:left w:val="single" w:sz="4" w:space="0" w:color="000000"/>
              <w:right w:val="single" w:sz="4" w:space="0" w:color="000000"/>
            </w:tcBorders>
          </w:tcPr>
          <w:p>
            <w:pPr/>
          </w:p>
        </w:tc>
        <w:tc>
          <w:tcPr>
            <w:tcW w:w="645" w:type="dxa"/>
            <w:vMerge w:val="restart"/>
            <w:tcBorders>
              <w:top w:val="single" w:sz="4" w:space="0" w:color="000000"/>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关稳定股价措施在当年度不再继续实施。</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公司控股股东增持公司股票如各方最终确定</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以公司控股股东增持公司股票作为稳定股价</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的措施，则公司控股股东在符合相关法律、法</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规的规定且不应导致公司股权分布不符合上</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市条件的前提下，依法对公司股票进行增持，</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增持价格不高于公司最近一期经审计的每股</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净资产。控股股东应在启动稳定股价预案的条</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件触发之日起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个交易日内，就其增持公司</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股票的具体计划书面通知公司并由公司进行</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公告，并应在履行完毕法律法规规定的程序后</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90 </w:t>
            </w:r>
            <w:r>
              <w:rPr>
                <w:rFonts w:ascii="宋体" w:hAnsi="宋体" w:cs="宋体" w:eastAsia="宋体" w:hint="default"/>
                <w:sz w:val="18"/>
                <w:szCs w:val="18"/>
              </w:rPr>
              <w:t>个交易日内实施完毕。增持公告作出之日</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后，公司股票收盘价连续</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个交易日高于最</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近一期经审计的每股净资产，则控股股东可不</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再继续实施增持计划。若某一会计年度内公司</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股价多次触发上述启动稳定股价措施的条件</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的（不包括控股股东实施稳定股价措施期间及</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自实施完毕当次稳定股价措施并由公司公告</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日后开始计算的连续</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个交易日股票收盘价</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仍低于上一个会计年度经审计的每股净资产</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的情形</w:t>
            </w:r>
            <w:r>
              <w:rPr>
                <w:rFonts w:ascii="宋体" w:hAnsi="宋体" w:cs="宋体" w:eastAsia="宋体" w:hint="default"/>
                <w:spacing w:val="-89"/>
                <w:sz w:val="18"/>
                <w:szCs w:val="18"/>
              </w:rPr>
              <w:t>）</w:t>
            </w:r>
            <w:r>
              <w:rPr>
                <w:rFonts w:ascii="宋体" w:hAnsi="宋体" w:cs="宋体" w:eastAsia="宋体" w:hint="default"/>
                <w:sz w:val="18"/>
                <w:szCs w:val="18"/>
              </w:rPr>
              <w:t>，控股股东将继续按照上述稳定股价</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预案执行。单次用于增持公司股份的资金不少</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于其自上市后累计从公司取得的税后现金分</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红总和的</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，单一年度用以稳定股价的增持</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资金不超过其自上市后累计从公司取得的税</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后现金分红总和的</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；超过上述标准的，有</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关稳定股价措施在当年度不再继续实施。下一</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年度触发股价稳定措施时，以前年度已经用于</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稳定股价的增持资金额不再计入累计现金分</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红金额。控股股东履行完成前述增持义务后，</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可自愿增持。</w:t>
            </w:r>
            <w:r>
              <w:rPr>
                <w:rFonts w:ascii="Times New Roman" w:hAnsi="Times New Roman" w:cs="Times New Roman" w:eastAsia="Times New Roman" w:hint="default"/>
                <w:sz w:val="18"/>
                <w:szCs w:val="18"/>
              </w:rPr>
              <w:t>3</w:t>
            </w:r>
            <w:r>
              <w:rPr>
                <w:rFonts w:ascii="宋体" w:hAnsi="宋体" w:cs="宋体" w:eastAsia="宋体" w:hint="default"/>
                <w:sz w:val="18"/>
                <w:szCs w:val="18"/>
              </w:rPr>
              <w:t>、公司董事、高级管理人员增</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持公司股票如各方最终确定以公司董事、高级</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管理人员增持公司股票作为稳定股价的措施，</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则在公司领取薪酬的董事（独立董事除外</w:t>
            </w:r>
            <w:r>
              <w:rPr>
                <w:rFonts w:ascii="宋体" w:hAnsi="宋体" w:cs="宋体" w:eastAsia="宋体" w:hint="default"/>
                <w:spacing w:val="-89"/>
                <w:sz w:val="18"/>
                <w:szCs w:val="18"/>
              </w:rPr>
              <w:t>）</w:t>
            </w:r>
            <w:r>
              <w:rPr>
                <w:rFonts w:ascii="宋体" w:hAnsi="宋体" w:cs="宋体" w:eastAsia="宋体" w:hint="default"/>
                <w:sz w:val="18"/>
                <w:szCs w:val="18"/>
              </w:rPr>
              <w:t>、</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高级管理人员将在符合相关法律、法规的规定</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且不应导致公司股权分布不符合上市条件的</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前提下，依法对公司股票进行增持，增持价格</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不高于公司最近一期经审计的每股净资产。有</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义务增持的董事、高级管理人员应在启动稳定</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股价预案的条件触发之日起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个交易日内，</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就其增持公司股票的具体计划书面通知公司</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并由公司进行公告，并应在履行完毕法律法规</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4" w:hRule="exact"/>
        </w:trPr>
        <w:tc>
          <w:tcPr>
            <w:tcW w:w="1842" w:type="dxa"/>
            <w:vMerge/>
            <w:tcBorders>
              <w:left w:val="single" w:sz="4" w:space="0" w:color="000000"/>
              <w:bottom w:val="single" w:sz="4" w:space="0" w:color="000000"/>
              <w:right w:val="single" w:sz="4" w:space="0" w:color="000000"/>
            </w:tcBorders>
            <w:shd w:val="clear" w:color="auto" w:fill="D2D2D2"/>
          </w:tcPr>
          <w:p>
            <w:pPr/>
          </w:p>
        </w:tc>
        <w:tc>
          <w:tcPr>
            <w:tcW w:w="839" w:type="dxa"/>
            <w:vMerge/>
            <w:tcBorders>
              <w:left w:val="single" w:sz="4" w:space="0" w:color="000000"/>
              <w:bottom w:val="single" w:sz="4" w:space="0" w:color="000000"/>
              <w:right w:val="single" w:sz="4" w:space="0" w:color="000000"/>
            </w:tcBorders>
          </w:tcPr>
          <w:p>
            <w:pPr/>
          </w:p>
        </w:tc>
        <w:tc>
          <w:tcPr>
            <w:tcW w:w="631" w:type="dxa"/>
            <w:vMerge/>
            <w:tcBorders>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规定的程序后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个交易日内实施完毕。增持</w:t>
            </w:r>
          </w:p>
        </w:tc>
        <w:tc>
          <w:tcPr>
            <w:tcW w:w="990" w:type="dxa"/>
            <w:vMerge/>
            <w:tcBorders>
              <w:left w:val="single" w:sz="4" w:space="0" w:color="000000"/>
              <w:bottom w:val="single" w:sz="4" w:space="0" w:color="000000"/>
              <w:right w:val="single" w:sz="4" w:space="0" w:color="000000"/>
            </w:tcBorders>
          </w:tcPr>
          <w:p>
            <w:pPr/>
          </w:p>
        </w:tc>
        <w:tc>
          <w:tcPr>
            <w:tcW w:w="810" w:type="dxa"/>
            <w:vMerge/>
            <w:tcBorders>
              <w:left w:val="single" w:sz="4" w:space="0" w:color="000000"/>
              <w:bottom w:val="single" w:sz="4" w:space="0" w:color="000000"/>
              <w:right w:val="single" w:sz="4" w:space="0" w:color="000000"/>
            </w:tcBorders>
          </w:tcPr>
          <w:p>
            <w:pPr/>
          </w:p>
        </w:tc>
        <w:tc>
          <w:tcPr>
            <w:tcW w:w="645" w:type="dxa"/>
            <w:vMerge/>
            <w:tcBorders>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842"/>
        <w:gridCol w:w="839"/>
        <w:gridCol w:w="631"/>
        <w:gridCol w:w="3810"/>
        <w:gridCol w:w="990"/>
        <w:gridCol w:w="810"/>
        <w:gridCol w:w="645"/>
      </w:tblGrid>
      <w:tr>
        <w:trPr>
          <w:trHeight w:val="322" w:hRule="exact"/>
        </w:trPr>
        <w:tc>
          <w:tcPr>
            <w:tcW w:w="1842" w:type="dxa"/>
            <w:vMerge w:val="restart"/>
            <w:tcBorders>
              <w:top w:val="single" w:sz="4" w:space="0" w:color="000000"/>
              <w:left w:val="single" w:sz="4" w:space="0" w:color="000000"/>
              <w:right w:val="single" w:sz="4" w:space="0" w:color="000000"/>
            </w:tcBorders>
            <w:shd w:val="clear" w:color="auto" w:fill="D2D2D2"/>
          </w:tcPr>
          <w:p>
            <w:pPr/>
          </w:p>
        </w:tc>
        <w:tc>
          <w:tcPr>
            <w:tcW w:w="839" w:type="dxa"/>
            <w:vMerge w:val="restart"/>
            <w:tcBorders>
              <w:top w:val="single" w:sz="4" w:space="0" w:color="000000"/>
              <w:left w:val="single" w:sz="4" w:space="0" w:color="000000"/>
              <w:right w:val="single" w:sz="4" w:space="0" w:color="000000"/>
            </w:tcBorders>
          </w:tcPr>
          <w:p>
            <w:pPr/>
          </w:p>
        </w:tc>
        <w:tc>
          <w:tcPr>
            <w:tcW w:w="631" w:type="dxa"/>
            <w:vMerge w:val="restart"/>
            <w:tcBorders>
              <w:top w:val="single" w:sz="4" w:space="0" w:color="000000"/>
              <w:left w:val="single" w:sz="4" w:space="0" w:color="000000"/>
              <w:right w:val="single" w:sz="4" w:space="0" w:color="000000"/>
            </w:tcBorders>
          </w:tcPr>
          <w:p>
            <w:pP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公告作出之日后，公司股票收盘价连续</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w:t>
            </w:r>
          </w:p>
        </w:tc>
        <w:tc>
          <w:tcPr>
            <w:tcW w:w="990" w:type="dxa"/>
            <w:vMerge w:val="restart"/>
            <w:tcBorders>
              <w:top w:val="single" w:sz="4" w:space="0" w:color="000000"/>
              <w:left w:val="single" w:sz="4" w:space="0" w:color="000000"/>
              <w:right w:val="single" w:sz="4" w:space="0" w:color="000000"/>
            </w:tcBorders>
          </w:tcPr>
          <w:p>
            <w:pPr/>
          </w:p>
        </w:tc>
        <w:tc>
          <w:tcPr>
            <w:tcW w:w="810" w:type="dxa"/>
            <w:vMerge w:val="restart"/>
            <w:tcBorders>
              <w:top w:val="single" w:sz="4" w:space="0" w:color="000000"/>
              <w:left w:val="single" w:sz="4" w:space="0" w:color="000000"/>
              <w:right w:val="single" w:sz="4" w:space="0" w:color="000000"/>
            </w:tcBorders>
          </w:tcPr>
          <w:p>
            <w:pPr/>
          </w:p>
        </w:tc>
        <w:tc>
          <w:tcPr>
            <w:tcW w:w="645" w:type="dxa"/>
            <w:vMerge w:val="restart"/>
            <w:tcBorders>
              <w:top w:val="single" w:sz="4" w:space="0" w:color="000000"/>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交易日高于最近一期经审计的每股净资产，则</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董事、高级管理人员可不再继续实施增持计</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划。若某一会计年度内公司股价多次触发上述</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启动稳定股价措施的条件的（不包括董事、高</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级管理人员实施稳定股价措施期间及自实施</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完毕当次稳定股价措施并由公司公告日后开</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始计算的连续</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个交易日股票收盘价仍低于</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上一个会计年度经审计的每股净资产的情</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形</w:t>
            </w:r>
            <w:r>
              <w:rPr>
                <w:rFonts w:ascii="宋体" w:hAnsi="宋体" w:cs="宋体" w:eastAsia="宋体" w:hint="default"/>
                <w:spacing w:val="-89"/>
                <w:sz w:val="18"/>
                <w:szCs w:val="18"/>
              </w:rPr>
              <w:t>）</w:t>
            </w:r>
            <w:r>
              <w:rPr>
                <w:rFonts w:ascii="宋体" w:hAnsi="宋体" w:cs="宋体" w:eastAsia="宋体" w:hint="default"/>
                <w:sz w:val="18"/>
                <w:szCs w:val="18"/>
              </w:rPr>
              <w:t>，董事、高级管理人员将继续按照上述稳</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定股价预案执行。有义务增持的公司董事、高</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级管理人员应遵循以下原则：单次用于增持公</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司股份的资金不少于该等董事、高级管理人员</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上年度从公司取得的薪酬总和（税后，下同）</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的</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，单一年度内用于增持公司股份的资金</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不超过该等董事、高级管理人员上年度从公司</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取得的薪酬总和的</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；超过上述标准的，有</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关稳定股价措施在当年度不再继续实施。公司</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在首次公开发行</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A </w:t>
            </w:r>
            <w:r>
              <w:rPr>
                <w:rFonts w:ascii="宋体" w:hAnsi="宋体" w:cs="宋体" w:eastAsia="宋体" w:hint="default"/>
                <w:sz w:val="18"/>
                <w:szCs w:val="18"/>
              </w:rPr>
              <w:t>股股票上市后三年内新聘</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任的在公司领取薪酬的董事和高级管理人员</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应当遵守本预案关于公司董事、高级管理人员</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的义务及责任的规定，公司及公司控股股东、</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现有董事、高级管理人员应当促成公司新聘任</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的该等董事、高级管理人员遵守本预案并签署</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相关承诺。三、约束措施若公司董事会制订的</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稳定公司股价措施涉及公司控股股东增持公</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司股票的，如果控股股东未能履行其增持义</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务，则公司有权将用于实施增持股票计划相等</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金额的应付控股股东现金分红予以扣留或扣</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减。若公司董事会制订的稳定公司股价措施涉</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及公司董事、高级管理人员增持公司股票的，</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如果公司董事、高级管理人员未能履行其增持</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义务，则公司有权将应付董事、高级管理人员</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的薪酬及现金分红予以扣留或扣减。四、本预</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案的法律程序本预案经公司股东大会审议通</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过后，自公司完成首次公开发行股票并在创业</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板上市之日起生效。如因法律法规修订或政策</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变动等情形导致本预案与相关规定不符，公司</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董事会应对本预案进行调整的，需经出席股东</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大会的股东所持有表决权股份总数的二分之</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56" w:hRule="exact"/>
        </w:trPr>
        <w:tc>
          <w:tcPr>
            <w:tcW w:w="1842" w:type="dxa"/>
            <w:vMerge/>
            <w:tcBorders>
              <w:left w:val="single" w:sz="4" w:space="0" w:color="000000"/>
              <w:right w:val="single" w:sz="4" w:space="0" w:color="000000"/>
            </w:tcBorders>
            <w:shd w:val="clear" w:color="auto" w:fill="D2D2D2"/>
          </w:tcPr>
          <w:p>
            <w:pPr/>
          </w:p>
        </w:tc>
        <w:tc>
          <w:tcPr>
            <w:tcW w:w="839" w:type="dxa"/>
            <w:vMerge/>
            <w:tcBorders>
              <w:left w:val="single" w:sz="4" w:space="0" w:color="000000"/>
              <w:bottom w:val="single" w:sz="4" w:space="0" w:color="000000"/>
              <w:right w:val="single" w:sz="4" w:space="0" w:color="000000"/>
            </w:tcBorders>
          </w:tcPr>
          <w:p>
            <w:pPr/>
          </w:p>
        </w:tc>
        <w:tc>
          <w:tcPr>
            <w:tcW w:w="631" w:type="dxa"/>
            <w:vMerge/>
            <w:tcBorders>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一以上同意通过。</w:t>
            </w:r>
          </w:p>
        </w:tc>
        <w:tc>
          <w:tcPr>
            <w:tcW w:w="990" w:type="dxa"/>
            <w:vMerge/>
            <w:tcBorders>
              <w:left w:val="single" w:sz="4" w:space="0" w:color="000000"/>
              <w:bottom w:val="single" w:sz="4" w:space="0" w:color="000000"/>
              <w:right w:val="single" w:sz="4" w:space="0" w:color="000000"/>
            </w:tcBorders>
          </w:tcPr>
          <w:p>
            <w:pPr/>
          </w:p>
        </w:tc>
        <w:tc>
          <w:tcPr>
            <w:tcW w:w="810" w:type="dxa"/>
            <w:vMerge/>
            <w:tcBorders>
              <w:left w:val="single" w:sz="4" w:space="0" w:color="000000"/>
              <w:bottom w:val="single" w:sz="4" w:space="0" w:color="000000"/>
              <w:right w:val="single" w:sz="4" w:space="0" w:color="000000"/>
            </w:tcBorders>
          </w:tcPr>
          <w:p>
            <w:pPr/>
          </w:p>
        </w:tc>
        <w:tc>
          <w:tcPr>
            <w:tcW w:w="645" w:type="dxa"/>
            <w:vMerge/>
            <w:tcBorders>
              <w:left w:val="single" w:sz="4" w:space="0" w:color="000000"/>
              <w:bottom w:val="single" w:sz="4" w:space="0" w:color="000000"/>
              <w:right w:val="single" w:sz="4" w:space="0" w:color="000000"/>
            </w:tcBorders>
          </w:tcPr>
          <w:p>
            <w:pPr/>
          </w:p>
        </w:tc>
      </w:tr>
      <w:tr>
        <w:trPr>
          <w:trHeight w:val="984" w:hRule="exact"/>
        </w:trPr>
        <w:tc>
          <w:tcPr>
            <w:tcW w:w="1842" w:type="dxa"/>
            <w:vMerge/>
            <w:tcBorders>
              <w:left w:val="single" w:sz="4" w:space="0" w:color="000000"/>
              <w:bottom w:val="single" w:sz="4" w:space="0" w:color="000000"/>
              <w:right w:val="single" w:sz="4" w:space="0" w:color="000000"/>
            </w:tcBorders>
            <w:shd w:val="clear" w:color="auto" w:fill="D2D2D2"/>
          </w:tcPr>
          <w:p>
            <w:pP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184"/>
              <w:jc w:val="both"/>
              <w:rPr>
                <w:rFonts w:ascii="宋体" w:hAnsi="宋体" w:cs="宋体" w:eastAsia="宋体" w:hint="default"/>
                <w:sz w:val="18"/>
                <w:szCs w:val="18"/>
              </w:rPr>
            </w:pPr>
            <w:r>
              <w:rPr>
                <w:rFonts w:ascii="宋体" w:hAnsi="宋体" w:cs="宋体" w:eastAsia="宋体" w:hint="default"/>
                <w:sz w:val="18"/>
                <w:szCs w:val="18"/>
              </w:rPr>
              <w:t>创业慧 康科技 股份有</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316" w:lineRule="auto"/>
              <w:ind w:left="104" w:right="155"/>
              <w:jc w:val="left"/>
              <w:rPr>
                <w:rFonts w:ascii="宋体" w:hAnsi="宋体" w:cs="宋体" w:eastAsia="宋体" w:hint="default"/>
                <w:sz w:val="18"/>
                <w:szCs w:val="18"/>
              </w:rPr>
            </w:pPr>
            <w:r>
              <w:rPr>
                <w:rFonts w:ascii="宋体" w:hAnsi="宋体" w:cs="宋体" w:eastAsia="宋体" w:hint="default"/>
                <w:sz w:val="18"/>
                <w:szCs w:val="18"/>
              </w:rPr>
              <w:t>其他 承诺</w:t>
            </w:r>
          </w:p>
        </w:tc>
        <w:tc>
          <w:tcPr>
            <w:tcW w:w="3810"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0"/>
              <w:ind w:left="101" w:right="101"/>
              <w:jc w:val="left"/>
              <w:rPr>
                <w:rFonts w:ascii="宋体" w:hAnsi="宋体" w:cs="宋体" w:eastAsia="宋体" w:hint="default"/>
                <w:sz w:val="18"/>
                <w:szCs w:val="18"/>
              </w:rPr>
            </w:pPr>
            <w:r>
              <w:rPr>
                <w:rFonts w:ascii="宋体" w:hAnsi="宋体" w:cs="宋体" w:eastAsia="宋体" w:hint="default"/>
                <w:sz w:val="18"/>
                <w:szCs w:val="18"/>
              </w:rPr>
              <w:t>关于首次公开发行股票填补被摊薄即期回报 的措施及承诺：</w:t>
            </w:r>
            <w:r>
              <w:rPr>
                <w:rFonts w:ascii="Times New Roman" w:hAnsi="Times New Roman" w:cs="Times New Roman" w:eastAsia="Times New Roman" w:hint="default"/>
                <w:sz w:val="18"/>
                <w:szCs w:val="18"/>
              </w:rPr>
              <w:t>1</w:t>
            </w:r>
            <w:r>
              <w:rPr>
                <w:rFonts w:ascii="宋体" w:hAnsi="宋体" w:cs="宋体" w:eastAsia="宋体" w:hint="default"/>
                <w:sz w:val="18"/>
                <w:szCs w:val="18"/>
              </w:rPr>
              <w:t>、提高募集资金使用效率， 加强募集资金管理本次募集资金到位，有助于</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left="101"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316" w:lineRule="auto"/>
              <w:ind w:left="103" w:right="170"/>
              <w:jc w:val="left"/>
              <w:rPr>
                <w:rFonts w:ascii="宋体" w:hAnsi="宋体" w:cs="宋体" w:eastAsia="宋体" w:hint="default"/>
                <w:sz w:val="18"/>
                <w:szCs w:val="18"/>
              </w:rPr>
            </w:pPr>
            <w:r>
              <w:rPr>
                <w:rFonts w:ascii="宋体" w:hAnsi="宋体" w:cs="宋体" w:eastAsia="宋体" w:hint="default"/>
                <w:sz w:val="18"/>
                <w:szCs w:val="18"/>
              </w:rPr>
              <w:t>正常 履行</w:t>
            </w:r>
          </w:p>
        </w:tc>
      </w:tr>
    </w:tbl>
    <w:p>
      <w:pPr>
        <w:spacing w:after="0" w:line="316"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842"/>
        <w:gridCol w:w="839"/>
        <w:gridCol w:w="631"/>
        <w:gridCol w:w="3810"/>
        <w:gridCol w:w="990"/>
        <w:gridCol w:w="810"/>
        <w:gridCol w:w="645"/>
      </w:tblGrid>
      <w:tr>
        <w:trPr>
          <w:trHeight w:val="318" w:hRule="exact"/>
        </w:trPr>
        <w:tc>
          <w:tcPr>
            <w:tcW w:w="1842" w:type="dxa"/>
            <w:vMerge w:val="restart"/>
            <w:tcBorders>
              <w:top w:val="single" w:sz="4" w:space="0" w:color="000000"/>
              <w:left w:val="single" w:sz="4" w:space="0" w:color="000000"/>
              <w:right w:val="single" w:sz="4" w:space="0" w:color="000000"/>
            </w:tcBorders>
            <w:shd w:val="clear" w:color="auto" w:fill="D2D2D2"/>
          </w:tcPr>
          <w:p>
            <w:pPr/>
          </w:p>
        </w:tc>
        <w:tc>
          <w:tcPr>
            <w:tcW w:w="83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631" w:type="dxa"/>
            <w:vMerge w:val="restart"/>
            <w:tcBorders>
              <w:top w:val="single" w:sz="4" w:space="0" w:color="000000"/>
              <w:left w:val="single" w:sz="4" w:space="0" w:color="000000"/>
              <w:right w:val="single" w:sz="4" w:space="0" w:color="000000"/>
            </w:tcBorders>
          </w:tcPr>
          <w:p>
            <w:pPr/>
          </w:p>
        </w:tc>
        <w:tc>
          <w:tcPr>
            <w:tcW w:w="381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进一步增强公司的资本实力，满足公司经营的</w:t>
            </w:r>
          </w:p>
        </w:tc>
        <w:tc>
          <w:tcPr>
            <w:tcW w:w="990" w:type="dxa"/>
            <w:vMerge w:val="restart"/>
            <w:tcBorders>
              <w:top w:val="single" w:sz="4" w:space="0" w:color="000000"/>
              <w:left w:val="single" w:sz="4" w:space="0" w:color="000000"/>
              <w:right w:val="single" w:sz="4" w:space="0" w:color="000000"/>
            </w:tcBorders>
          </w:tcPr>
          <w:p>
            <w:pPr/>
          </w:p>
        </w:tc>
        <w:tc>
          <w:tcPr>
            <w:tcW w:w="810" w:type="dxa"/>
            <w:vMerge w:val="restart"/>
            <w:tcBorders>
              <w:top w:val="single" w:sz="4" w:space="0" w:color="000000"/>
              <w:left w:val="single" w:sz="4" w:space="0" w:color="000000"/>
              <w:right w:val="single" w:sz="4" w:space="0" w:color="000000"/>
            </w:tcBorders>
          </w:tcPr>
          <w:p>
            <w:pPr/>
          </w:p>
        </w:tc>
        <w:tc>
          <w:tcPr>
            <w:tcW w:w="645" w:type="dxa"/>
            <w:vMerge w:val="restart"/>
            <w:tcBorders>
              <w:top w:val="single" w:sz="4" w:space="0" w:color="000000"/>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资金需求，优化公司财务结构，综合提升公司</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的盈利能力。同时，公司将根据相关法规和公</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司《募集资金使用管理办法》的要求，严格管</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理募集资金使用，保证募集资金按照原定用途</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得到充分有效利用。</w:t>
            </w:r>
            <w:r>
              <w:rPr>
                <w:rFonts w:ascii="Times New Roman" w:hAnsi="Times New Roman" w:cs="Times New Roman" w:eastAsia="Times New Roman" w:hint="default"/>
                <w:sz w:val="18"/>
                <w:szCs w:val="18"/>
              </w:rPr>
              <w:t>2</w:t>
            </w:r>
            <w:r>
              <w:rPr>
                <w:rFonts w:ascii="宋体" w:hAnsi="宋体" w:cs="宋体" w:eastAsia="宋体" w:hint="default"/>
                <w:sz w:val="18"/>
                <w:szCs w:val="18"/>
              </w:rPr>
              <w:t>、推动主营业务的优化</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升级，提高公司市场竞争力和持续盈利能力公</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司主营业务为面向医疗卫生行业提供医疗卫</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生信息化应用软件和基于信息技术的系统集</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成服务。目前，公司在医疗卫生信息化建设领</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域已形成较强的竞争力，依托业已形成的综合</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优势，通过技术改造实现核心产品的升级换代</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和研发、服务体系的优化升级，从而提升公司</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的技术开发能力、客户服务能力，提高核心产</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6"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品的市场竞争能力和持续盈利能力。</w:t>
            </w:r>
            <w:r>
              <w:rPr>
                <w:rFonts w:ascii="Times New Roman" w:hAnsi="Times New Roman" w:cs="Times New Roman" w:eastAsia="Times New Roman" w:hint="default"/>
                <w:sz w:val="18"/>
                <w:szCs w:val="18"/>
              </w:rPr>
              <w:t>3</w:t>
            </w:r>
            <w:r>
              <w:rPr>
                <w:rFonts w:ascii="宋体" w:hAnsi="宋体" w:cs="宋体" w:eastAsia="宋体" w:hint="default"/>
                <w:sz w:val="18"/>
                <w:szCs w:val="18"/>
              </w:rPr>
              <w:t>、严格</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08"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执行公司既定的分红政策，保证公司股东的利</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益回报公司上市后适用</w:t>
            </w:r>
            <w:r>
              <w:rPr>
                <w:rFonts w:ascii="宋体" w:hAnsi="宋体" w:cs="宋体" w:eastAsia="宋体" w:hint="default"/>
                <w:spacing w:val="-3"/>
                <w:sz w:val="18"/>
                <w:szCs w:val="18"/>
              </w:rPr>
              <w:t>的</w:t>
            </w:r>
            <w:r>
              <w:rPr>
                <w:rFonts w:ascii="宋体" w:hAnsi="宋体" w:cs="宋体" w:eastAsia="宋体" w:hint="default"/>
                <w:sz w:val="18"/>
                <w:szCs w:val="18"/>
              </w:rPr>
              <w:t>《公司章</w:t>
            </w:r>
            <w:r>
              <w:rPr>
                <w:rFonts w:ascii="宋体" w:hAnsi="宋体" w:cs="宋体" w:eastAsia="宋体" w:hint="default"/>
                <w:spacing w:val="-3"/>
                <w:sz w:val="18"/>
                <w:szCs w:val="18"/>
              </w:rPr>
              <w:t>程</w:t>
            </w:r>
            <w:r>
              <w:rPr>
                <w:rFonts w:ascii="宋体" w:hAnsi="宋体" w:cs="宋体" w:eastAsia="宋体" w:hint="default"/>
                <w:sz w:val="18"/>
                <w:szCs w:val="18"/>
              </w:rPr>
              <w:t>（草案</w:t>
            </w:r>
            <w:r>
              <w:rPr>
                <w:rFonts w:ascii="宋体" w:hAnsi="宋体" w:cs="宋体" w:eastAsia="宋体" w:hint="default"/>
                <w:spacing w:val="-92"/>
                <w:sz w:val="18"/>
                <w:szCs w:val="18"/>
              </w:rPr>
              <w:t>）</w:t>
            </w:r>
            <w:r>
              <w:rPr>
                <w:rFonts w:ascii="宋体" w:hAnsi="宋体" w:cs="宋体" w:eastAsia="宋体" w:hint="default"/>
                <w:sz w:val="18"/>
                <w:szCs w:val="18"/>
              </w:rPr>
              <w:t>》</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明确了利润分配尤其是现金分红的具体条件、</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比例、分配形式等，完善了公司利润分配的决</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策程序和机制以及利润分配政策的调整原则，</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加强了对中小投资者的利益保护，公司本次发</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12" w:hRule="exact"/>
        </w:trPr>
        <w:tc>
          <w:tcPr>
            <w:tcW w:w="1842" w:type="dxa"/>
            <w:vMerge/>
            <w:tcBorders>
              <w:left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nil" w:sz="6" w:space="0" w:color="auto"/>
              <w:right w:val="single" w:sz="4" w:space="0" w:color="000000"/>
            </w:tcBorders>
          </w:tcPr>
          <w:p>
            <w:pPr/>
          </w:p>
        </w:tc>
        <w:tc>
          <w:tcPr>
            <w:tcW w:w="631" w:type="dxa"/>
            <w:vMerge/>
            <w:tcBorders>
              <w:left w:val="single" w:sz="4" w:space="0" w:color="000000"/>
              <w:right w:val="single" w:sz="4" w:space="0" w:color="000000"/>
            </w:tcBorders>
          </w:tcPr>
          <w:p>
            <w:pPr/>
          </w:p>
        </w:tc>
        <w:tc>
          <w:tcPr>
            <w:tcW w:w="38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行完成并上市后将严格执行相关利润分配政</w:t>
            </w:r>
          </w:p>
        </w:tc>
        <w:tc>
          <w:tcPr>
            <w:tcW w:w="990" w:type="dxa"/>
            <w:vMerge/>
            <w:tcBorders>
              <w:left w:val="single" w:sz="4" w:space="0" w:color="000000"/>
              <w:right w:val="single" w:sz="4" w:space="0" w:color="000000"/>
            </w:tcBorders>
          </w:tcPr>
          <w:p>
            <w:pPr/>
          </w:p>
        </w:tc>
        <w:tc>
          <w:tcPr>
            <w:tcW w:w="810" w:type="dxa"/>
            <w:vMerge/>
            <w:tcBorders>
              <w:left w:val="single" w:sz="4" w:space="0" w:color="000000"/>
              <w:right w:val="single" w:sz="4" w:space="0" w:color="000000"/>
            </w:tcBorders>
          </w:tcPr>
          <w:p>
            <w:pPr/>
          </w:p>
        </w:tc>
        <w:tc>
          <w:tcPr>
            <w:tcW w:w="645" w:type="dxa"/>
            <w:vMerge/>
            <w:tcBorders>
              <w:left w:val="single" w:sz="4" w:space="0" w:color="000000"/>
              <w:right w:val="single" w:sz="4" w:space="0" w:color="000000"/>
            </w:tcBorders>
          </w:tcPr>
          <w:p>
            <w:pPr/>
          </w:p>
        </w:tc>
      </w:tr>
      <w:tr>
        <w:trPr>
          <w:trHeight w:val="356" w:hRule="exact"/>
        </w:trPr>
        <w:tc>
          <w:tcPr>
            <w:tcW w:w="1842" w:type="dxa"/>
            <w:vMerge/>
            <w:tcBorders>
              <w:left w:val="single" w:sz="4" w:space="0" w:color="000000"/>
              <w:bottom w:val="single" w:sz="4" w:space="0" w:color="000000"/>
              <w:right w:val="single" w:sz="4" w:space="0" w:color="000000"/>
            </w:tcBorders>
            <w:shd w:val="clear" w:color="auto" w:fill="D2D2D2"/>
          </w:tcPr>
          <w:p>
            <w:pPr/>
          </w:p>
        </w:tc>
        <w:tc>
          <w:tcPr>
            <w:tcW w:w="839" w:type="dxa"/>
            <w:tcBorders>
              <w:top w:val="nil" w:sz="6" w:space="0" w:color="auto"/>
              <w:left w:val="single" w:sz="4" w:space="0" w:color="000000"/>
              <w:bottom w:val="single" w:sz="4" w:space="0" w:color="000000"/>
              <w:right w:val="single" w:sz="4" w:space="0" w:color="000000"/>
            </w:tcBorders>
          </w:tcPr>
          <w:p>
            <w:pPr/>
          </w:p>
        </w:tc>
        <w:tc>
          <w:tcPr>
            <w:tcW w:w="631" w:type="dxa"/>
            <w:vMerge/>
            <w:tcBorders>
              <w:left w:val="single" w:sz="4" w:space="0" w:color="000000"/>
              <w:bottom w:val="single" w:sz="4" w:space="0" w:color="000000"/>
              <w:right w:val="single" w:sz="4" w:space="0" w:color="000000"/>
            </w:tcBorders>
          </w:tcPr>
          <w:p>
            <w:pPr/>
          </w:p>
        </w:tc>
        <w:tc>
          <w:tcPr>
            <w:tcW w:w="38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策。</w:t>
            </w:r>
          </w:p>
        </w:tc>
        <w:tc>
          <w:tcPr>
            <w:tcW w:w="990" w:type="dxa"/>
            <w:vMerge/>
            <w:tcBorders>
              <w:left w:val="single" w:sz="4" w:space="0" w:color="000000"/>
              <w:bottom w:val="single" w:sz="4" w:space="0" w:color="000000"/>
              <w:right w:val="single" w:sz="4" w:space="0" w:color="000000"/>
            </w:tcBorders>
          </w:tcPr>
          <w:p>
            <w:pPr/>
          </w:p>
        </w:tc>
        <w:tc>
          <w:tcPr>
            <w:tcW w:w="810" w:type="dxa"/>
            <w:vMerge/>
            <w:tcBorders>
              <w:left w:val="single" w:sz="4" w:space="0" w:color="000000"/>
              <w:bottom w:val="single" w:sz="4" w:space="0" w:color="000000"/>
              <w:right w:val="single" w:sz="4" w:space="0" w:color="000000"/>
            </w:tcBorders>
          </w:tcPr>
          <w:p>
            <w:pPr/>
          </w:p>
        </w:tc>
        <w:tc>
          <w:tcPr>
            <w:tcW w:w="645" w:type="dxa"/>
            <w:vMerge/>
            <w:tcBorders>
              <w:left w:val="single" w:sz="4" w:space="0" w:color="000000"/>
              <w:bottom w:val="single" w:sz="4" w:space="0" w:color="000000"/>
              <w:right w:val="single" w:sz="4" w:space="0" w:color="000000"/>
            </w:tcBorders>
          </w:tcPr>
          <w:p>
            <w:pPr/>
          </w:p>
        </w:tc>
      </w:tr>
      <w:tr>
        <w:trPr>
          <w:trHeight w:val="402" w:hRule="exact"/>
        </w:trPr>
        <w:tc>
          <w:tcPr>
            <w:tcW w:w="18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8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63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81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1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45"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58" w:hRule="exact"/>
        </w:trPr>
        <w:tc>
          <w:tcPr>
            <w:tcW w:w="1842"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如承诺超期未履行完</w:t>
            </w:r>
          </w:p>
        </w:tc>
        <w:tc>
          <w:tcPr>
            <w:tcW w:w="7725" w:type="dxa"/>
            <w:gridSpan w:val="6"/>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毕的，应当详细说明</w:t>
            </w:r>
          </w:p>
        </w:tc>
        <w:tc>
          <w:tcPr>
            <w:tcW w:w="7725" w:type="dxa"/>
            <w:gridSpan w:val="6"/>
            <w:tcBorders>
              <w:top w:val="nil" w:sz="6" w:space="0" w:color="auto"/>
              <w:left w:val="single" w:sz="4" w:space="0" w:color="000000"/>
              <w:bottom w:val="nil" w:sz="6" w:space="0" w:color="auto"/>
              <w:right w:val="single" w:sz="4" w:space="0" w:color="000000"/>
            </w:tcBorders>
          </w:tcPr>
          <w:p>
            <w:pPr/>
          </w:p>
        </w:tc>
      </w:tr>
      <w:tr>
        <w:trPr>
          <w:trHeight w:val="312"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未完成履行的具体原</w:t>
            </w:r>
          </w:p>
        </w:tc>
        <w:tc>
          <w:tcPr>
            <w:tcW w:w="7725" w:type="dxa"/>
            <w:gridSpan w:val="6"/>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12" w:hRule="exact"/>
        </w:trPr>
        <w:tc>
          <w:tcPr>
            <w:tcW w:w="184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因及下一步的工作计</w:t>
            </w:r>
          </w:p>
        </w:tc>
        <w:tc>
          <w:tcPr>
            <w:tcW w:w="7725" w:type="dxa"/>
            <w:gridSpan w:val="6"/>
            <w:tcBorders>
              <w:top w:val="nil" w:sz="6" w:space="0" w:color="auto"/>
              <w:left w:val="single" w:sz="4" w:space="0" w:color="000000"/>
              <w:bottom w:val="nil" w:sz="6" w:space="0" w:color="auto"/>
              <w:right w:val="single" w:sz="4" w:space="0" w:color="000000"/>
            </w:tcBorders>
          </w:tcPr>
          <w:p>
            <w:pPr/>
          </w:p>
        </w:tc>
      </w:tr>
      <w:tr>
        <w:trPr>
          <w:trHeight w:val="356" w:hRule="exact"/>
        </w:trPr>
        <w:tc>
          <w:tcPr>
            <w:tcW w:w="1842"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划</w:t>
            </w:r>
          </w:p>
        </w:tc>
        <w:tc>
          <w:tcPr>
            <w:tcW w:w="7725" w:type="dxa"/>
            <w:gridSpan w:val="6"/>
            <w:tcBorders>
              <w:top w:val="nil" w:sz="6" w:space="0" w:color="auto"/>
              <w:left w:val="single" w:sz="4" w:space="0" w:color="000000"/>
              <w:bottom w:val="single" w:sz="4" w:space="0" w:color="000000"/>
              <w:right w:val="single" w:sz="4" w:space="0" w:color="000000"/>
            </w:tcBorders>
          </w:tcPr>
          <w:p>
            <w:pPr/>
          </w:p>
        </w:tc>
      </w:tr>
    </w:tbl>
    <w:p>
      <w:pPr>
        <w:spacing w:line="240" w:lineRule="auto" w:before="11"/>
        <w:rPr>
          <w:rFonts w:ascii="Times New Roman" w:hAnsi="Times New Roman" w:cs="Times New Roman" w:eastAsia="Times New Roman" w:hint="default"/>
          <w:sz w:val="21"/>
          <w:szCs w:val="21"/>
        </w:rPr>
      </w:pPr>
    </w:p>
    <w:p>
      <w:pPr>
        <w:pStyle w:val="Heading3"/>
        <w:spacing w:line="259" w:lineRule="auto" w:before="34"/>
        <w:ind w:right="1120"/>
        <w:jc w:val="left"/>
        <w:rPr>
          <w:b w:val="0"/>
          <w:bCs w:val="0"/>
        </w:rPr>
      </w:pPr>
      <w:bookmarkStart w:name="2、公司资产或项目存在盈利预测，且报告期仍处在盈利预测期间，公司就资产或项目达到" w:id="76"/>
      <w:bookmarkEnd w:id="76"/>
      <w:r>
        <w:rPr>
          <w:b w:val="0"/>
          <w:bCs w:val="0"/>
        </w:rPr>
      </w:r>
      <w:r>
        <w:rPr>
          <w:rFonts w:ascii="Times New Roman" w:hAnsi="Times New Roman" w:cs="Times New Roman" w:eastAsia="Times New Roman" w:hint="default"/>
          <w:spacing w:val="3"/>
          <w:w w:val="95"/>
        </w:rPr>
        <w:t>2</w:t>
      </w:r>
      <w:r>
        <w:rPr>
          <w:spacing w:val="3"/>
          <w:w w:val="95"/>
        </w:rPr>
        <w:t>、公司资产或项目存在盈利预测，且报告期仍处在盈利预测期间，公司就资产或项目达到原盈利预测及</w:t>
      </w:r>
      <w:r>
        <w:rPr>
          <w:spacing w:val="95"/>
          <w:w w:val="95"/>
        </w:rPr>
        <w:t> </w:t>
      </w:r>
      <w:r>
        <w:rPr>
          <w:spacing w:val="95"/>
          <w:w w:val="95"/>
        </w:rPr>
      </w:r>
      <w:r>
        <w:rPr/>
        <w:t>其原因做出说明</w:t>
      </w:r>
      <w:r>
        <w:rPr>
          <w:b w:val="0"/>
          <w:bCs w:val="0"/>
        </w:rPr>
      </w:r>
    </w:p>
    <w:p>
      <w:pPr>
        <w:spacing w:line="240" w:lineRule="auto" w:before="3"/>
        <w:rPr>
          <w:rFonts w:ascii="宋体" w:hAnsi="宋体" w:cs="宋体" w:eastAsia="宋体" w:hint="default"/>
          <w:b/>
          <w:bCs/>
          <w:sz w:val="26"/>
          <w:szCs w:val="26"/>
        </w:rPr>
      </w:pPr>
    </w:p>
    <w:p>
      <w:pPr>
        <w:pStyle w:val="BodyText"/>
        <w:spacing w:line="240" w:lineRule="auto"/>
        <w:ind w:left="204" w:right="0"/>
        <w:jc w:val="left"/>
      </w:pPr>
      <w:r>
        <w:rPr/>
        <w:t>□ 适用√</w:t>
      </w:r>
      <w:r>
        <w:rPr>
          <w:spacing w:val="-1"/>
        </w:rPr>
        <w:t> </w:t>
      </w:r>
      <w:r>
        <w:rPr/>
        <w:t>不适用</w:t>
      </w:r>
    </w:p>
    <w:p>
      <w:pPr>
        <w:spacing w:line="240" w:lineRule="auto" w:before="3"/>
        <w:rPr>
          <w:rFonts w:ascii="宋体" w:hAnsi="宋体" w:cs="宋体" w:eastAsia="宋体" w:hint="default"/>
          <w:sz w:val="25"/>
          <w:szCs w:val="25"/>
        </w:rPr>
      </w:pPr>
    </w:p>
    <w:p>
      <w:pPr>
        <w:pStyle w:val="Heading2"/>
        <w:spacing w:line="240" w:lineRule="auto"/>
        <w:ind w:right="0"/>
        <w:jc w:val="left"/>
        <w:rPr>
          <w:b w:val="0"/>
          <w:bCs w:val="0"/>
        </w:rPr>
      </w:pPr>
      <w:bookmarkStart w:name="三、控股股东及其关联方对上市公司的非经营性占用资金情况" w:id="77"/>
      <w:bookmarkEnd w:id="77"/>
      <w:r>
        <w:rPr>
          <w:b w:val="0"/>
          <w:bCs w:val="0"/>
        </w:rPr>
      </w:r>
      <w:r>
        <w:rPr/>
        <w:t>三、控股股东及其关联方对上市公司的非经营性占用资金情况</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4994" w:firstLine="91"/>
        <w:jc w:val="left"/>
      </w:pPr>
      <w:r>
        <w:rPr/>
        <w:t>□ 适用√</w:t>
      </w:r>
      <w:r>
        <w:rPr>
          <w:spacing w:val="-1"/>
        </w:rPr>
        <w:t> </w:t>
      </w:r>
      <w:r>
        <w:rPr/>
        <w:t>不适用</w:t>
      </w:r>
      <w:r>
        <w:rPr/>
        <w:t> 公司报告期不存在控股股东及其关联方对上市公司的非经营性占用资金。</w:t>
      </w:r>
    </w:p>
    <w:p>
      <w:pPr>
        <w:spacing w:line="240" w:lineRule="auto" w:before="2"/>
        <w:rPr>
          <w:rFonts w:ascii="宋体" w:hAnsi="宋体" w:cs="宋体" w:eastAsia="宋体" w:hint="default"/>
          <w:sz w:val="18"/>
          <w:szCs w:val="18"/>
        </w:rPr>
      </w:pPr>
    </w:p>
    <w:p>
      <w:pPr>
        <w:pStyle w:val="Heading2"/>
        <w:spacing w:line="240" w:lineRule="auto"/>
        <w:ind w:right="0"/>
        <w:jc w:val="left"/>
        <w:rPr>
          <w:b w:val="0"/>
          <w:bCs w:val="0"/>
        </w:rPr>
      </w:pPr>
      <w:bookmarkStart w:name="四、董事会对最近一期“非标准审计报告”相关情况的说明" w:id="78"/>
      <w:bookmarkEnd w:id="78"/>
      <w:r>
        <w:rPr>
          <w:b w:val="0"/>
          <w:bCs w:val="0"/>
        </w:rPr>
      </w:r>
      <w:r>
        <w:rPr/>
        <w:t>四、董事会对最近一期“非标准审计报告”相关情况的说明</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204" w:right="0"/>
        <w:jc w:val="left"/>
      </w:pPr>
      <w:r>
        <w:rPr/>
        <w:t>□ 适用√</w:t>
      </w:r>
      <w:r>
        <w:rPr>
          <w:spacing w:val="-1"/>
        </w:rPr>
        <w:t> </w:t>
      </w:r>
      <w:r>
        <w:rPr/>
        <w:t>不适用</w:t>
      </w:r>
    </w:p>
    <w:p>
      <w:pPr>
        <w:spacing w:after="0" w:line="240" w:lineRule="auto"/>
        <w:jc w:val="left"/>
        <w:sectPr>
          <w:pgSz w:w="11910" w:h="16840"/>
          <w:pgMar w:header="907" w:footer="1016" w:top="1100" w:bottom="1200" w:left="1020" w:right="0"/>
        </w:sectPr>
      </w:pPr>
    </w:p>
    <w:p>
      <w:pPr>
        <w:spacing w:line="240" w:lineRule="auto" w:before="9"/>
        <w:rPr>
          <w:rFonts w:ascii="宋体" w:hAnsi="宋体" w:cs="宋体" w:eastAsia="宋体" w:hint="default"/>
          <w:sz w:val="20"/>
          <w:szCs w:val="20"/>
        </w:rPr>
      </w:pPr>
    </w:p>
    <w:p>
      <w:pPr>
        <w:pStyle w:val="Heading2"/>
        <w:spacing w:line="312" w:lineRule="exact" w:before="56"/>
        <w:ind w:right="1034"/>
        <w:jc w:val="left"/>
        <w:rPr>
          <w:b w:val="0"/>
          <w:bCs w:val="0"/>
        </w:rPr>
      </w:pPr>
      <w:bookmarkStart w:name="五、董事会、监事会、独立董事（如有）对会计师事务所本报告期“非标准审计报告”的说" w:id="79"/>
      <w:bookmarkEnd w:id="79"/>
      <w:r>
        <w:rPr>
          <w:b w:val="0"/>
          <w:bCs w:val="0"/>
        </w:rPr>
      </w:r>
      <w:r>
        <w:rPr/>
        <w:t>五、董事会、监事会、独立董事（如有）对会计师事务所本报告期“非标准审计报告”的说</w:t>
      </w:r>
      <w:r>
        <w:rPr>
          <w:spacing w:val="-97"/>
        </w:rPr>
        <w:t> </w:t>
      </w:r>
      <w:r>
        <w:rPr>
          <w:spacing w:val="-97"/>
        </w:rPr>
      </w:r>
      <w:r>
        <w:rPr/>
        <w:t>明</w:t>
      </w:r>
      <w:r>
        <w:rPr>
          <w:b w:val="0"/>
          <w:bCs w:val="0"/>
        </w:rPr>
      </w:r>
    </w:p>
    <w:p>
      <w:pPr>
        <w:spacing w:line="240" w:lineRule="auto" w:before="4"/>
        <w:rPr>
          <w:rFonts w:ascii="宋体" w:hAnsi="宋体" w:cs="宋体" w:eastAsia="宋体" w:hint="default"/>
          <w:b/>
          <w:bCs/>
          <w:sz w:val="24"/>
          <w:szCs w:val="24"/>
        </w:rPr>
      </w:pPr>
    </w:p>
    <w:p>
      <w:pPr>
        <w:pStyle w:val="BodyText"/>
        <w:spacing w:line="240" w:lineRule="auto"/>
        <w:ind w:left="204" w:right="0"/>
        <w:jc w:val="left"/>
      </w:pPr>
      <w:r>
        <w:rPr/>
        <w:t>□ 适用√</w:t>
      </w:r>
      <w:r>
        <w:rPr>
          <w:spacing w:val="-1"/>
        </w:rPr>
        <w:t> </w:t>
      </w:r>
      <w:r>
        <w:rPr/>
        <w:t>不适用</w:t>
      </w:r>
    </w:p>
    <w:p>
      <w:pPr>
        <w:spacing w:line="240" w:lineRule="auto" w:before="3"/>
        <w:rPr>
          <w:rFonts w:ascii="宋体" w:hAnsi="宋体" w:cs="宋体" w:eastAsia="宋体" w:hint="default"/>
          <w:sz w:val="25"/>
          <w:szCs w:val="25"/>
        </w:rPr>
      </w:pPr>
    </w:p>
    <w:p>
      <w:pPr>
        <w:pStyle w:val="Heading2"/>
        <w:spacing w:line="240" w:lineRule="auto"/>
        <w:ind w:right="0"/>
        <w:jc w:val="left"/>
        <w:rPr>
          <w:b w:val="0"/>
          <w:bCs w:val="0"/>
        </w:rPr>
      </w:pPr>
      <w:bookmarkStart w:name="六、董事会关于报告期会计政策、会计估计变更或重大会计差错更正的说明" w:id="80"/>
      <w:bookmarkEnd w:id="80"/>
      <w:r>
        <w:rPr>
          <w:b w:val="0"/>
          <w:bCs w:val="0"/>
        </w:rPr>
      </w:r>
      <w:r>
        <w:rPr/>
        <w:t>六、董事会关于报告期会计政策、会计估计变更或重大会计差错更正的说明</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 适用</w:t>
      </w:r>
      <w:r>
        <w:rPr>
          <w:spacing w:val="-1"/>
        </w:rPr>
        <w:t> </w:t>
      </w:r>
      <w:r>
        <w:rPr/>
        <w:t>□不适用</w:t>
      </w:r>
    </w:p>
    <w:p>
      <w:pPr>
        <w:pStyle w:val="BodyText"/>
        <w:spacing w:line="300" w:lineRule="auto" w:before="117"/>
        <w:ind w:right="1130" w:firstLine="420"/>
        <w:jc w:val="both"/>
      </w:pPr>
      <w:r>
        <w:rPr>
          <w:rFonts w:ascii="Times New Roman" w:hAnsi="Times New Roman" w:cs="Times New Roman" w:eastAsia="Times New Roman" w:hint="default"/>
        </w:rPr>
        <w:t>1</w:t>
      </w:r>
      <w:r>
        <w:rPr/>
        <w:t>、本公司根据《财政部关于修订印发</w:t>
      </w:r>
      <w:r>
        <w:rPr>
          <w:rFonts w:ascii="Times New Roman" w:hAnsi="Times New Roman" w:cs="Times New Roman" w:eastAsia="Times New Roman" w:hint="default"/>
        </w:rPr>
        <w:t>2018</w:t>
      </w:r>
      <w:r>
        <w:rPr/>
        <w:t>年度一般企业财务报表格式的通知》</w:t>
      </w:r>
      <w:r>
        <w:rPr>
          <w:rFonts w:ascii="Times New Roman" w:hAnsi="Times New Roman" w:cs="Times New Roman" w:eastAsia="Times New Roman" w:hint="default"/>
        </w:rPr>
        <w:t>(</w:t>
      </w:r>
      <w:r>
        <w:rPr/>
        <w:t>财会〔</w:t>
      </w:r>
      <w:r>
        <w:rPr>
          <w:rFonts w:ascii="Times New Roman" w:hAnsi="Times New Roman" w:cs="Times New Roman" w:eastAsia="Times New Roman" w:hint="default"/>
        </w:rPr>
        <w:t>2018</w:t>
      </w:r>
      <w:r>
        <w:rPr/>
        <w:t>〕</w:t>
      </w:r>
      <w:r>
        <w:rPr>
          <w:rFonts w:ascii="Times New Roman" w:hAnsi="Times New Roman" w:cs="Times New Roman" w:eastAsia="Times New Roman" w:hint="default"/>
        </w:rPr>
        <w:t>15</w:t>
      </w:r>
      <w:r>
        <w:rPr/>
        <w:t>号</w:t>
      </w:r>
      <w:r>
        <w:rPr>
          <w:rFonts w:ascii="Times New Roman" w:hAnsi="Times New Roman" w:cs="Times New Roman" w:eastAsia="Times New Roman" w:hint="default"/>
        </w:rPr>
        <w:t>)</w:t>
      </w:r>
      <w:r>
        <w:rPr/>
        <w:t>及其解读和企业会 </w:t>
      </w:r>
      <w:r>
        <w:rPr>
          <w:spacing w:val="-2"/>
        </w:rPr>
        <w:t>计准则的要求编制</w:t>
      </w:r>
      <w:r>
        <w:rPr>
          <w:rFonts w:ascii="Times New Roman" w:hAnsi="Times New Roman" w:cs="Times New Roman" w:eastAsia="Times New Roman" w:hint="default"/>
          <w:spacing w:val="-2"/>
        </w:rPr>
        <w:t>2018</w:t>
      </w:r>
      <w:r>
        <w:rPr>
          <w:spacing w:val="-2"/>
        </w:rPr>
        <w:t>年度财务报表，此项会计政策变更采用追溯调整法。</w:t>
      </w:r>
      <w:r>
        <w:rPr>
          <w:rFonts w:ascii="Times New Roman" w:hAnsi="Times New Roman" w:cs="Times New Roman" w:eastAsia="Times New Roman" w:hint="default"/>
          <w:spacing w:val="-2"/>
        </w:rPr>
        <w:t>2017</w:t>
      </w:r>
      <w:r>
        <w:rPr>
          <w:spacing w:val="-2"/>
        </w:rPr>
        <w:t>年度财务报表受重要影响的报表项目和金额</w:t>
      </w:r>
      <w:r>
        <w:rPr>
          <w:spacing w:val="-60"/>
        </w:rPr>
        <w:t> </w:t>
      </w:r>
      <w:r>
        <w:rPr/>
        <w:t>如下：</w:t>
      </w:r>
    </w:p>
    <w:tbl>
      <w:tblPr>
        <w:tblW w:w="0" w:type="auto"/>
        <w:jc w:val="left"/>
        <w:tblInd w:w="667" w:type="dxa"/>
        <w:tblLayout w:type="fixed"/>
        <w:tblCellMar>
          <w:top w:w="0" w:type="dxa"/>
          <w:left w:w="0" w:type="dxa"/>
          <w:bottom w:w="0" w:type="dxa"/>
          <w:right w:w="0" w:type="dxa"/>
        </w:tblCellMar>
        <w:tblLook w:val="01E0"/>
      </w:tblPr>
      <w:tblGrid>
        <w:gridCol w:w="2268"/>
        <w:gridCol w:w="2093"/>
        <w:gridCol w:w="2158"/>
        <w:gridCol w:w="2003"/>
      </w:tblGrid>
      <w:tr>
        <w:trPr>
          <w:trHeight w:val="344" w:hRule="exact"/>
        </w:trPr>
        <w:tc>
          <w:tcPr>
            <w:tcW w:w="4361" w:type="dxa"/>
            <w:gridSpan w:val="2"/>
            <w:tcBorders>
              <w:top w:val="single" w:sz="4" w:space="0" w:color="000000"/>
              <w:left w:val="single" w:sz="4" w:space="0" w:color="000000"/>
              <w:bottom w:val="single" w:sz="6" w:space="0" w:color="000000"/>
              <w:right w:val="single" w:sz="6" w:space="0" w:color="000000"/>
            </w:tcBorders>
            <w:shd w:val="clear" w:color="auto" w:fill="BDBDBD"/>
          </w:tcPr>
          <w:p>
            <w:pPr>
              <w:pStyle w:val="TableParagraph"/>
              <w:spacing w:line="240" w:lineRule="auto" w:before="20"/>
              <w:ind w:left="1274" w:right="0"/>
              <w:jc w:val="left"/>
              <w:rPr>
                <w:rFonts w:ascii="宋体" w:hAnsi="宋体" w:cs="宋体" w:eastAsia="宋体" w:hint="default"/>
                <w:sz w:val="18"/>
                <w:szCs w:val="18"/>
              </w:rPr>
            </w:pPr>
            <w:r>
              <w:rPr>
                <w:rFonts w:ascii="宋体" w:hAnsi="宋体" w:cs="宋体" w:eastAsia="宋体" w:hint="default"/>
                <w:sz w:val="18"/>
                <w:szCs w:val="18"/>
              </w:rPr>
              <w:t>原列报报表项目及金额</w:t>
            </w:r>
          </w:p>
        </w:tc>
        <w:tc>
          <w:tcPr>
            <w:tcW w:w="4161" w:type="dxa"/>
            <w:gridSpan w:val="2"/>
            <w:tcBorders>
              <w:top w:val="single" w:sz="4" w:space="0" w:color="000000"/>
              <w:left w:val="single" w:sz="6" w:space="0" w:color="000000"/>
              <w:bottom w:val="single" w:sz="6" w:space="0" w:color="000000"/>
              <w:right w:val="single" w:sz="4" w:space="0" w:color="000000"/>
            </w:tcBorders>
            <w:shd w:val="clear" w:color="auto" w:fill="BDBDBD"/>
          </w:tcPr>
          <w:p>
            <w:pPr>
              <w:pStyle w:val="TableParagraph"/>
              <w:spacing w:line="240" w:lineRule="auto" w:before="20"/>
              <w:ind w:left="1173" w:right="0"/>
              <w:jc w:val="left"/>
              <w:rPr>
                <w:rFonts w:ascii="宋体" w:hAnsi="宋体" w:cs="宋体" w:eastAsia="宋体" w:hint="default"/>
                <w:sz w:val="18"/>
                <w:szCs w:val="18"/>
              </w:rPr>
            </w:pPr>
            <w:r>
              <w:rPr>
                <w:rFonts w:ascii="宋体" w:hAnsi="宋体" w:cs="宋体" w:eastAsia="宋体" w:hint="default"/>
                <w:sz w:val="18"/>
                <w:szCs w:val="18"/>
              </w:rPr>
              <w:t>新列报报表项目及金额</w:t>
            </w:r>
          </w:p>
        </w:tc>
      </w:tr>
      <w:tr>
        <w:trPr>
          <w:trHeight w:val="347" w:hRule="exact"/>
        </w:trPr>
        <w:tc>
          <w:tcPr>
            <w:tcW w:w="2268"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19"/>
              <w:ind w:left="184"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093" w:type="dxa"/>
            <w:tcBorders>
              <w:top w:val="single" w:sz="6" w:space="0" w:color="000000"/>
              <w:left w:val="single" w:sz="6" w:space="0" w:color="000000"/>
              <w:bottom w:val="single" w:sz="6" w:space="0" w:color="000000"/>
              <w:right w:val="single" w:sz="6" w:space="0" w:color="000000"/>
            </w:tcBorders>
          </w:tcPr>
          <w:p>
            <w:pPr/>
          </w:p>
        </w:tc>
        <w:tc>
          <w:tcPr>
            <w:tcW w:w="2158" w:type="dxa"/>
            <w:vMerge w:val="restart"/>
            <w:tcBorders>
              <w:top w:val="single" w:sz="6" w:space="0" w:color="000000"/>
              <w:left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2003" w:type="dxa"/>
            <w:vMerge w:val="restart"/>
            <w:tcBorders>
              <w:top w:val="single" w:sz="6" w:space="0" w:color="000000"/>
              <w:left w:val="single" w:sz="6"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860" w:right="0"/>
              <w:jc w:val="left"/>
              <w:rPr>
                <w:rFonts w:ascii="Times New Roman" w:hAnsi="Times New Roman" w:cs="Times New Roman" w:eastAsia="Times New Roman" w:hint="default"/>
                <w:sz w:val="18"/>
                <w:szCs w:val="18"/>
              </w:rPr>
            </w:pPr>
            <w:r>
              <w:rPr>
                <w:rFonts w:ascii="Times New Roman"/>
                <w:sz w:val="18"/>
              </w:rPr>
              <w:t>447,674,875.18</w:t>
            </w:r>
          </w:p>
        </w:tc>
      </w:tr>
      <w:tr>
        <w:trPr>
          <w:trHeight w:val="347" w:hRule="exact"/>
        </w:trPr>
        <w:tc>
          <w:tcPr>
            <w:tcW w:w="2268"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0"/>
              <w:ind w:left="18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0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447,674,875.18</w:t>
            </w:r>
          </w:p>
        </w:tc>
        <w:tc>
          <w:tcPr>
            <w:tcW w:w="2158" w:type="dxa"/>
            <w:vMerge/>
            <w:tcBorders>
              <w:left w:val="single" w:sz="6" w:space="0" w:color="000000"/>
              <w:bottom w:val="single" w:sz="6" w:space="0" w:color="000000"/>
              <w:right w:val="single" w:sz="6" w:space="0" w:color="000000"/>
            </w:tcBorders>
          </w:tcPr>
          <w:p>
            <w:pPr/>
          </w:p>
        </w:tc>
        <w:tc>
          <w:tcPr>
            <w:tcW w:w="2003" w:type="dxa"/>
            <w:vMerge/>
            <w:tcBorders>
              <w:left w:val="single" w:sz="6" w:space="0" w:color="000000"/>
              <w:bottom w:val="single" w:sz="6" w:space="0" w:color="000000"/>
              <w:right w:val="single" w:sz="4" w:space="0" w:color="000000"/>
            </w:tcBorders>
          </w:tcPr>
          <w:p>
            <w:pPr/>
          </w:p>
        </w:tc>
      </w:tr>
      <w:tr>
        <w:trPr>
          <w:trHeight w:val="347" w:hRule="exact"/>
        </w:trPr>
        <w:tc>
          <w:tcPr>
            <w:tcW w:w="2268"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1"/>
              <w:ind w:left="184"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2093" w:type="dxa"/>
            <w:tcBorders>
              <w:top w:val="single" w:sz="6" w:space="0" w:color="000000"/>
              <w:left w:val="single" w:sz="6" w:space="0" w:color="000000"/>
              <w:bottom w:val="single" w:sz="6" w:space="0" w:color="000000"/>
              <w:right w:val="single" w:sz="6" w:space="0" w:color="000000"/>
            </w:tcBorders>
          </w:tcPr>
          <w:p>
            <w:pPr/>
          </w:p>
        </w:tc>
        <w:tc>
          <w:tcPr>
            <w:tcW w:w="2158"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18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003" w:type="dxa"/>
            <w:vMerge w:val="restart"/>
            <w:tcBorders>
              <w:top w:val="single" w:sz="6" w:space="0" w:color="000000"/>
              <w:left w:val="single" w:sz="6"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949" w:right="0"/>
              <w:jc w:val="left"/>
              <w:rPr>
                <w:rFonts w:ascii="Times New Roman" w:hAnsi="Times New Roman" w:cs="Times New Roman" w:eastAsia="Times New Roman" w:hint="default"/>
                <w:sz w:val="18"/>
                <w:szCs w:val="18"/>
              </w:rPr>
            </w:pPr>
            <w:r>
              <w:rPr>
                <w:rFonts w:ascii="Times New Roman"/>
                <w:sz w:val="18"/>
              </w:rPr>
              <w:t>41,735,381.28</w:t>
            </w:r>
          </w:p>
        </w:tc>
      </w:tr>
      <w:tr>
        <w:trPr>
          <w:trHeight w:val="347" w:hRule="exact"/>
        </w:trPr>
        <w:tc>
          <w:tcPr>
            <w:tcW w:w="2268"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19"/>
              <w:ind w:left="184"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093" w:type="dxa"/>
            <w:tcBorders>
              <w:top w:val="single" w:sz="6" w:space="0" w:color="000000"/>
              <w:left w:val="single" w:sz="6" w:space="0" w:color="000000"/>
              <w:bottom w:val="single" w:sz="6" w:space="0" w:color="000000"/>
              <w:right w:val="single" w:sz="6" w:space="0" w:color="000000"/>
            </w:tcBorders>
          </w:tcPr>
          <w:p>
            <w:pPr/>
          </w:p>
        </w:tc>
        <w:tc>
          <w:tcPr>
            <w:tcW w:w="2158" w:type="dxa"/>
            <w:vMerge/>
            <w:tcBorders>
              <w:left w:val="single" w:sz="6" w:space="0" w:color="000000"/>
              <w:right w:val="single" w:sz="6" w:space="0" w:color="000000"/>
            </w:tcBorders>
          </w:tcPr>
          <w:p>
            <w:pPr/>
          </w:p>
        </w:tc>
        <w:tc>
          <w:tcPr>
            <w:tcW w:w="2003" w:type="dxa"/>
            <w:vMerge/>
            <w:tcBorders>
              <w:left w:val="single" w:sz="6" w:space="0" w:color="000000"/>
              <w:right w:val="single" w:sz="4" w:space="0" w:color="000000"/>
            </w:tcBorders>
          </w:tcPr>
          <w:p>
            <w:pPr/>
          </w:p>
        </w:tc>
      </w:tr>
      <w:tr>
        <w:trPr>
          <w:trHeight w:val="347" w:hRule="exact"/>
        </w:trPr>
        <w:tc>
          <w:tcPr>
            <w:tcW w:w="2268"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0"/>
              <w:ind w:left="18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0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41,735,381.28</w:t>
            </w:r>
          </w:p>
        </w:tc>
        <w:tc>
          <w:tcPr>
            <w:tcW w:w="2158" w:type="dxa"/>
            <w:vMerge/>
            <w:tcBorders>
              <w:left w:val="single" w:sz="6" w:space="0" w:color="000000"/>
              <w:bottom w:val="single" w:sz="6" w:space="0" w:color="000000"/>
              <w:right w:val="single" w:sz="6" w:space="0" w:color="000000"/>
            </w:tcBorders>
          </w:tcPr>
          <w:p>
            <w:pPr/>
          </w:p>
        </w:tc>
        <w:tc>
          <w:tcPr>
            <w:tcW w:w="2003" w:type="dxa"/>
            <w:vMerge/>
            <w:tcBorders>
              <w:left w:val="single" w:sz="6" w:space="0" w:color="000000"/>
              <w:bottom w:val="single" w:sz="6" w:space="0" w:color="000000"/>
              <w:right w:val="single" w:sz="4" w:space="0" w:color="000000"/>
            </w:tcBorders>
          </w:tcPr>
          <w:p>
            <w:pPr/>
          </w:p>
        </w:tc>
      </w:tr>
      <w:tr>
        <w:trPr>
          <w:trHeight w:val="347" w:hRule="exact"/>
        </w:trPr>
        <w:tc>
          <w:tcPr>
            <w:tcW w:w="2268"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19"/>
              <w:ind w:left="18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0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310,211,428.25</w:t>
            </w:r>
          </w:p>
        </w:tc>
        <w:tc>
          <w:tcPr>
            <w:tcW w:w="2158" w:type="dxa"/>
            <w:vMerge w:val="restart"/>
            <w:tcBorders>
              <w:top w:val="single" w:sz="6" w:space="0" w:color="000000"/>
              <w:left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003" w:type="dxa"/>
            <w:vMerge w:val="restart"/>
            <w:tcBorders>
              <w:top w:val="single" w:sz="6" w:space="0" w:color="000000"/>
              <w:left w:val="single" w:sz="6"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868" w:right="0"/>
              <w:jc w:val="left"/>
              <w:rPr>
                <w:rFonts w:ascii="Times New Roman" w:hAnsi="Times New Roman" w:cs="Times New Roman" w:eastAsia="Times New Roman" w:hint="default"/>
                <w:sz w:val="18"/>
                <w:szCs w:val="18"/>
              </w:rPr>
            </w:pPr>
            <w:r>
              <w:rPr>
                <w:rFonts w:ascii="Times New Roman"/>
                <w:sz w:val="18"/>
              </w:rPr>
              <w:t>310,211,428.25</w:t>
            </w:r>
          </w:p>
        </w:tc>
      </w:tr>
      <w:tr>
        <w:trPr>
          <w:trHeight w:val="347" w:hRule="exact"/>
        </w:trPr>
        <w:tc>
          <w:tcPr>
            <w:tcW w:w="2268"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0"/>
              <w:ind w:left="184"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2093" w:type="dxa"/>
            <w:tcBorders>
              <w:top w:val="single" w:sz="6" w:space="0" w:color="000000"/>
              <w:left w:val="single" w:sz="6" w:space="0" w:color="000000"/>
              <w:bottom w:val="single" w:sz="6" w:space="0" w:color="000000"/>
              <w:right w:val="single" w:sz="6" w:space="0" w:color="000000"/>
            </w:tcBorders>
          </w:tcPr>
          <w:p>
            <w:pPr/>
          </w:p>
        </w:tc>
        <w:tc>
          <w:tcPr>
            <w:tcW w:w="2158" w:type="dxa"/>
            <w:vMerge/>
            <w:tcBorders>
              <w:left w:val="single" w:sz="6" w:space="0" w:color="000000"/>
              <w:bottom w:val="single" w:sz="6" w:space="0" w:color="000000"/>
              <w:right w:val="single" w:sz="6" w:space="0" w:color="000000"/>
            </w:tcBorders>
          </w:tcPr>
          <w:p>
            <w:pPr/>
          </w:p>
        </w:tc>
        <w:tc>
          <w:tcPr>
            <w:tcW w:w="2003" w:type="dxa"/>
            <w:vMerge/>
            <w:tcBorders>
              <w:left w:val="single" w:sz="6" w:space="0" w:color="000000"/>
              <w:bottom w:val="single" w:sz="6" w:space="0" w:color="000000"/>
              <w:right w:val="single" w:sz="4" w:space="0" w:color="000000"/>
            </w:tcBorders>
          </w:tcPr>
          <w:p>
            <w:pPr/>
          </w:p>
        </w:tc>
      </w:tr>
      <w:tr>
        <w:trPr>
          <w:trHeight w:val="347" w:hRule="exact"/>
        </w:trPr>
        <w:tc>
          <w:tcPr>
            <w:tcW w:w="2268"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1"/>
              <w:ind w:left="18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0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35,404,389.82</w:t>
            </w:r>
          </w:p>
        </w:tc>
        <w:tc>
          <w:tcPr>
            <w:tcW w:w="2158" w:type="dxa"/>
            <w:vMerge w:val="restart"/>
            <w:tcBorders>
              <w:top w:val="single" w:sz="6" w:space="0" w:color="000000"/>
              <w:left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003" w:type="dxa"/>
            <w:vMerge w:val="restart"/>
            <w:tcBorders>
              <w:top w:val="single" w:sz="6" w:space="0" w:color="000000"/>
              <w:left w:val="single" w:sz="6"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949" w:right="0"/>
              <w:jc w:val="left"/>
              <w:rPr>
                <w:rFonts w:ascii="Times New Roman" w:hAnsi="Times New Roman" w:cs="Times New Roman" w:eastAsia="Times New Roman" w:hint="default"/>
                <w:sz w:val="18"/>
                <w:szCs w:val="18"/>
              </w:rPr>
            </w:pPr>
            <w:r>
              <w:rPr>
                <w:rFonts w:ascii="Times New Roman"/>
                <w:sz w:val="18"/>
              </w:rPr>
              <w:t>35,404,389.82</w:t>
            </w:r>
          </w:p>
        </w:tc>
      </w:tr>
      <w:tr>
        <w:trPr>
          <w:trHeight w:val="347" w:hRule="exact"/>
        </w:trPr>
        <w:tc>
          <w:tcPr>
            <w:tcW w:w="2268"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0"/>
              <w:ind w:left="184"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2093" w:type="dxa"/>
            <w:tcBorders>
              <w:top w:val="single" w:sz="6" w:space="0" w:color="000000"/>
              <w:left w:val="single" w:sz="6" w:space="0" w:color="000000"/>
              <w:bottom w:val="single" w:sz="6" w:space="0" w:color="000000"/>
              <w:right w:val="single" w:sz="6" w:space="0" w:color="000000"/>
            </w:tcBorders>
          </w:tcPr>
          <w:p>
            <w:pPr/>
          </w:p>
        </w:tc>
        <w:tc>
          <w:tcPr>
            <w:tcW w:w="2158" w:type="dxa"/>
            <w:vMerge/>
            <w:tcBorders>
              <w:left w:val="single" w:sz="6" w:space="0" w:color="000000"/>
              <w:bottom w:val="single" w:sz="6" w:space="0" w:color="000000"/>
              <w:right w:val="single" w:sz="6" w:space="0" w:color="000000"/>
            </w:tcBorders>
          </w:tcPr>
          <w:p>
            <w:pPr/>
          </w:p>
        </w:tc>
        <w:tc>
          <w:tcPr>
            <w:tcW w:w="2003" w:type="dxa"/>
            <w:vMerge/>
            <w:tcBorders>
              <w:left w:val="single" w:sz="6" w:space="0" w:color="000000"/>
              <w:bottom w:val="single" w:sz="6" w:space="0" w:color="000000"/>
              <w:right w:val="single" w:sz="4" w:space="0" w:color="000000"/>
            </w:tcBorders>
          </w:tcPr>
          <w:p>
            <w:pPr/>
          </w:p>
        </w:tc>
      </w:tr>
      <w:tr>
        <w:trPr>
          <w:trHeight w:val="347" w:hRule="exact"/>
        </w:trPr>
        <w:tc>
          <w:tcPr>
            <w:tcW w:w="2268"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1"/>
              <w:ind w:left="184"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0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1,886,791.00</w:t>
            </w:r>
          </w:p>
        </w:tc>
        <w:tc>
          <w:tcPr>
            <w:tcW w:w="2158" w:type="dxa"/>
            <w:vMerge w:val="restart"/>
            <w:tcBorders>
              <w:top w:val="single" w:sz="6" w:space="0" w:color="000000"/>
              <w:left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2003" w:type="dxa"/>
            <w:vMerge w:val="restart"/>
            <w:tcBorders>
              <w:top w:val="single" w:sz="6" w:space="0" w:color="000000"/>
              <w:left w:val="single" w:sz="6"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860" w:right="0"/>
              <w:jc w:val="left"/>
              <w:rPr>
                <w:rFonts w:ascii="Times New Roman" w:hAnsi="Times New Roman" w:cs="Times New Roman" w:eastAsia="Times New Roman" w:hint="default"/>
                <w:sz w:val="18"/>
                <w:szCs w:val="18"/>
              </w:rPr>
            </w:pPr>
            <w:r>
              <w:rPr>
                <w:rFonts w:ascii="Times New Roman"/>
                <w:sz w:val="18"/>
              </w:rPr>
              <w:t>161,413,972.08</w:t>
            </w:r>
          </w:p>
        </w:tc>
      </w:tr>
      <w:tr>
        <w:trPr>
          <w:trHeight w:val="347" w:hRule="exact"/>
        </w:trPr>
        <w:tc>
          <w:tcPr>
            <w:tcW w:w="2268"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19"/>
              <w:ind w:left="18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0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159,527,181.08</w:t>
            </w:r>
          </w:p>
        </w:tc>
        <w:tc>
          <w:tcPr>
            <w:tcW w:w="2158" w:type="dxa"/>
            <w:vMerge/>
            <w:tcBorders>
              <w:left w:val="single" w:sz="6" w:space="0" w:color="000000"/>
              <w:bottom w:val="single" w:sz="6" w:space="0" w:color="000000"/>
              <w:right w:val="single" w:sz="6" w:space="0" w:color="000000"/>
            </w:tcBorders>
          </w:tcPr>
          <w:p>
            <w:pPr/>
          </w:p>
        </w:tc>
        <w:tc>
          <w:tcPr>
            <w:tcW w:w="2003" w:type="dxa"/>
            <w:vMerge/>
            <w:tcBorders>
              <w:left w:val="single" w:sz="6" w:space="0" w:color="000000"/>
              <w:bottom w:val="single" w:sz="6" w:space="0" w:color="000000"/>
              <w:right w:val="single" w:sz="4" w:space="0" w:color="000000"/>
            </w:tcBorders>
          </w:tcPr>
          <w:p>
            <w:pPr/>
          </w:p>
        </w:tc>
      </w:tr>
      <w:tr>
        <w:trPr>
          <w:trHeight w:val="347" w:hRule="exact"/>
        </w:trPr>
        <w:tc>
          <w:tcPr>
            <w:tcW w:w="2268"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0"/>
              <w:ind w:left="184"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20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183,333.33</w:t>
            </w:r>
          </w:p>
        </w:tc>
        <w:tc>
          <w:tcPr>
            <w:tcW w:w="2158"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0"/>
              <w:ind w:left="18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003" w:type="dxa"/>
            <w:vMerge w:val="restart"/>
            <w:tcBorders>
              <w:top w:val="single" w:sz="6" w:space="0" w:color="000000"/>
              <w:left w:val="single" w:sz="6"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949" w:right="0"/>
              <w:jc w:val="left"/>
              <w:rPr>
                <w:rFonts w:ascii="Times New Roman" w:hAnsi="Times New Roman" w:cs="Times New Roman" w:eastAsia="Times New Roman" w:hint="default"/>
                <w:sz w:val="18"/>
                <w:szCs w:val="18"/>
              </w:rPr>
            </w:pPr>
            <w:r>
              <w:rPr>
                <w:rFonts w:ascii="Times New Roman"/>
                <w:sz w:val="18"/>
              </w:rPr>
              <w:t>79,972,449.13</w:t>
            </w:r>
          </w:p>
        </w:tc>
      </w:tr>
      <w:tr>
        <w:trPr>
          <w:trHeight w:val="347" w:hRule="exact"/>
        </w:trPr>
        <w:tc>
          <w:tcPr>
            <w:tcW w:w="2268"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19"/>
              <w:ind w:left="184"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2093" w:type="dxa"/>
            <w:tcBorders>
              <w:top w:val="single" w:sz="6" w:space="0" w:color="000000"/>
              <w:left w:val="single" w:sz="6" w:space="0" w:color="000000"/>
              <w:bottom w:val="single" w:sz="6" w:space="0" w:color="000000"/>
              <w:right w:val="single" w:sz="6" w:space="0" w:color="000000"/>
            </w:tcBorders>
          </w:tcPr>
          <w:p>
            <w:pPr/>
          </w:p>
        </w:tc>
        <w:tc>
          <w:tcPr>
            <w:tcW w:w="2158" w:type="dxa"/>
            <w:vMerge/>
            <w:tcBorders>
              <w:left w:val="single" w:sz="6" w:space="0" w:color="000000"/>
              <w:right w:val="single" w:sz="6" w:space="0" w:color="000000"/>
            </w:tcBorders>
          </w:tcPr>
          <w:p>
            <w:pPr/>
          </w:p>
        </w:tc>
        <w:tc>
          <w:tcPr>
            <w:tcW w:w="2003" w:type="dxa"/>
            <w:vMerge/>
            <w:tcBorders>
              <w:left w:val="single" w:sz="6" w:space="0" w:color="000000"/>
              <w:right w:val="single" w:sz="4" w:space="0" w:color="000000"/>
            </w:tcBorders>
          </w:tcPr>
          <w:p>
            <w:pPr/>
          </w:p>
        </w:tc>
      </w:tr>
      <w:tr>
        <w:trPr>
          <w:trHeight w:val="347" w:hRule="exact"/>
        </w:trPr>
        <w:tc>
          <w:tcPr>
            <w:tcW w:w="2268"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0"/>
              <w:ind w:left="18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0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2"/>
                <w:sz w:val="18"/>
              </w:rPr>
              <w:t>79,789,115.80</w:t>
            </w:r>
          </w:p>
        </w:tc>
        <w:tc>
          <w:tcPr>
            <w:tcW w:w="2158" w:type="dxa"/>
            <w:vMerge/>
            <w:tcBorders>
              <w:left w:val="single" w:sz="6" w:space="0" w:color="000000"/>
              <w:bottom w:val="single" w:sz="6" w:space="0" w:color="000000"/>
              <w:right w:val="single" w:sz="6" w:space="0" w:color="000000"/>
            </w:tcBorders>
          </w:tcPr>
          <w:p>
            <w:pPr/>
          </w:p>
        </w:tc>
        <w:tc>
          <w:tcPr>
            <w:tcW w:w="2003" w:type="dxa"/>
            <w:vMerge/>
            <w:tcBorders>
              <w:left w:val="single" w:sz="6" w:space="0" w:color="000000"/>
              <w:bottom w:val="single" w:sz="6" w:space="0" w:color="000000"/>
              <w:right w:val="single" w:sz="4" w:space="0" w:color="000000"/>
            </w:tcBorders>
          </w:tcPr>
          <w:p>
            <w:pPr/>
          </w:p>
        </w:tc>
      </w:tr>
      <w:tr>
        <w:trPr>
          <w:trHeight w:val="347" w:hRule="exact"/>
        </w:trPr>
        <w:tc>
          <w:tcPr>
            <w:tcW w:w="2268" w:type="dxa"/>
            <w:vMerge w:val="restart"/>
            <w:tcBorders>
              <w:top w:val="single" w:sz="6" w:space="0" w:color="000000"/>
              <w:left w:val="single" w:sz="4" w:space="0" w:color="000000"/>
              <w:right w:val="single" w:sz="6"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84"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093" w:type="dxa"/>
            <w:vMerge w:val="restart"/>
            <w:tcBorders>
              <w:top w:val="single" w:sz="6" w:space="0" w:color="000000"/>
              <w:left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950" w:right="0"/>
              <w:jc w:val="left"/>
              <w:rPr>
                <w:rFonts w:ascii="Times New Roman" w:hAnsi="Times New Roman" w:cs="Times New Roman" w:eastAsia="Times New Roman" w:hint="default"/>
                <w:sz w:val="18"/>
                <w:szCs w:val="18"/>
              </w:rPr>
            </w:pPr>
            <w:r>
              <w:rPr>
                <w:rFonts w:ascii="Times New Roman"/>
                <w:sz w:val="18"/>
              </w:rPr>
              <w:t>268,141,153.86</w:t>
            </w:r>
          </w:p>
        </w:tc>
        <w:tc>
          <w:tcPr>
            <w:tcW w:w="21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8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003"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152,415,963.38</w:t>
            </w:r>
          </w:p>
        </w:tc>
      </w:tr>
      <w:tr>
        <w:trPr>
          <w:trHeight w:val="347" w:hRule="exact"/>
        </w:trPr>
        <w:tc>
          <w:tcPr>
            <w:tcW w:w="2268" w:type="dxa"/>
            <w:vMerge/>
            <w:tcBorders>
              <w:left w:val="single" w:sz="4" w:space="0" w:color="000000"/>
              <w:bottom w:val="single" w:sz="6" w:space="0" w:color="000000"/>
              <w:right w:val="single" w:sz="6" w:space="0" w:color="000000"/>
            </w:tcBorders>
          </w:tcPr>
          <w:p>
            <w:pPr/>
          </w:p>
        </w:tc>
        <w:tc>
          <w:tcPr>
            <w:tcW w:w="2093" w:type="dxa"/>
            <w:vMerge/>
            <w:tcBorders>
              <w:left w:val="single" w:sz="6" w:space="0" w:color="000000"/>
              <w:bottom w:val="single" w:sz="6" w:space="0" w:color="000000"/>
              <w:right w:val="single" w:sz="6" w:space="0" w:color="000000"/>
            </w:tcBorders>
          </w:tcPr>
          <w:p>
            <w:pPr/>
          </w:p>
        </w:tc>
        <w:tc>
          <w:tcPr>
            <w:tcW w:w="21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
              <w:ind w:left="18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2003"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115,725,190.48</w:t>
            </w:r>
          </w:p>
        </w:tc>
      </w:tr>
      <w:tr>
        <w:trPr>
          <w:trHeight w:val="659" w:hRule="exact"/>
        </w:trPr>
        <w:tc>
          <w:tcPr>
            <w:tcW w:w="2268" w:type="dxa"/>
            <w:tcBorders>
              <w:top w:val="single" w:sz="6" w:space="0" w:color="000000"/>
              <w:left w:val="single" w:sz="4" w:space="0" w:color="000000"/>
              <w:bottom w:val="single" w:sz="6" w:space="0" w:color="000000"/>
              <w:right w:val="single" w:sz="6" w:space="0" w:color="000000"/>
            </w:tcBorders>
          </w:tcPr>
          <w:p>
            <w:pPr>
              <w:pStyle w:val="TableParagraph"/>
              <w:spacing w:line="316" w:lineRule="auto" w:before="20"/>
              <w:ind w:left="4" w:right="89" w:firstLine="180"/>
              <w:jc w:val="left"/>
              <w:rPr>
                <w:rFonts w:ascii="Times New Roman" w:hAnsi="Times New Roman" w:cs="Times New Roman" w:eastAsia="Times New Roman" w:hint="default"/>
                <w:sz w:val="18"/>
                <w:szCs w:val="18"/>
              </w:rPr>
            </w:pPr>
            <w:r>
              <w:rPr>
                <w:rFonts w:ascii="宋体" w:hAnsi="宋体" w:cs="宋体" w:eastAsia="宋体" w:hint="default"/>
                <w:sz w:val="18"/>
                <w:szCs w:val="18"/>
              </w:rPr>
              <w:t>收到其他与经营活动有关 的现金</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Times New Roman" w:hAnsi="Times New Roman" w:cs="Times New Roman" w:eastAsia="Times New Roman" w:hint="default"/>
                <w:sz w:val="18"/>
                <w:szCs w:val="18"/>
              </w:rPr>
              <w:t>]</w:t>
            </w:r>
          </w:p>
        </w:tc>
        <w:tc>
          <w:tcPr>
            <w:tcW w:w="20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20,996,299.33</w:t>
            </w:r>
          </w:p>
        </w:tc>
        <w:tc>
          <w:tcPr>
            <w:tcW w:w="215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2" w:right="1" w:firstLine="180"/>
              <w:jc w:val="left"/>
              <w:rPr>
                <w:rFonts w:ascii="宋体" w:hAnsi="宋体" w:cs="宋体" w:eastAsia="宋体" w:hint="default"/>
                <w:sz w:val="18"/>
                <w:szCs w:val="18"/>
              </w:rPr>
            </w:pPr>
            <w:r>
              <w:rPr>
                <w:rFonts w:ascii="宋体" w:hAnsi="宋体" w:cs="宋体" w:eastAsia="宋体" w:hint="default"/>
                <w:spacing w:val="15"/>
                <w:sz w:val="18"/>
                <w:szCs w:val="18"/>
              </w:rPr>
              <w:t>收到其他与经营活动有</w:t>
            </w:r>
            <w:r>
              <w:rPr>
                <w:rFonts w:ascii="宋体" w:hAnsi="宋体" w:cs="宋体" w:eastAsia="宋体" w:hint="default"/>
                <w:sz w:val="18"/>
                <w:szCs w:val="18"/>
              </w:rPr>
              <w:t> 关的现金</w:t>
            </w:r>
          </w:p>
        </w:tc>
        <w:tc>
          <w:tcPr>
            <w:tcW w:w="2003"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3"/>
              <w:jc w:val="right"/>
              <w:rPr>
                <w:rFonts w:ascii="Times New Roman" w:hAnsi="Times New Roman" w:cs="Times New Roman" w:eastAsia="Times New Roman" w:hint="default"/>
                <w:sz w:val="18"/>
                <w:szCs w:val="18"/>
              </w:rPr>
            </w:pPr>
            <w:r>
              <w:rPr>
                <w:rFonts w:ascii="Times New Roman"/>
                <w:spacing w:val="-1"/>
                <w:sz w:val="18"/>
              </w:rPr>
              <w:t>22,336,299.33</w:t>
            </w:r>
          </w:p>
        </w:tc>
      </w:tr>
      <w:tr>
        <w:trPr>
          <w:trHeight w:val="657" w:hRule="exact"/>
        </w:trPr>
        <w:tc>
          <w:tcPr>
            <w:tcW w:w="2268" w:type="dxa"/>
            <w:tcBorders>
              <w:top w:val="single" w:sz="6" w:space="0" w:color="000000"/>
              <w:left w:val="single" w:sz="4" w:space="0" w:color="000000"/>
              <w:bottom w:val="single" w:sz="4" w:space="0" w:color="000000"/>
              <w:right w:val="single" w:sz="6" w:space="0" w:color="000000"/>
            </w:tcBorders>
          </w:tcPr>
          <w:p>
            <w:pPr>
              <w:pStyle w:val="TableParagraph"/>
              <w:spacing w:line="316" w:lineRule="auto" w:before="19"/>
              <w:ind w:left="4" w:right="89" w:firstLine="180"/>
              <w:jc w:val="left"/>
              <w:rPr>
                <w:rFonts w:ascii="Times New Roman" w:hAnsi="Times New Roman" w:cs="Times New Roman" w:eastAsia="Times New Roman" w:hint="default"/>
                <w:sz w:val="18"/>
                <w:szCs w:val="18"/>
              </w:rPr>
            </w:pPr>
            <w:r>
              <w:rPr>
                <w:rFonts w:ascii="宋体" w:hAnsi="宋体" w:cs="宋体" w:eastAsia="宋体" w:hint="default"/>
                <w:sz w:val="18"/>
                <w:szCs w:val="18"/>
              </w:rPr>
              <w:t>收到其他与投资活动有关 的现金</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Times New Roman" w:hAnsi="Times New Roman" w:cs="Times New Roman" w:eastAsia="Times New Roman" w:hint="default"/>
                <w:sz w:val="18"/>
                <w:szCs w:val="18"/>
              </w:rPr>
              <w:t>]</w:t>
            </w:r>
          </w:p>
        </w:tc>
        <w:tc>
          <w:tcPr>
            <w:tcW w:w="2093"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183,837,438.88</w:t>
            </w:r>
          </w:p>
        </w:tc>
        <w:tc>
          <w:tcPr>
            <w:tcW w:w="2158" w:type="dxa"/>
            <w:tcBorders>
              <w:top w:val="single" w:sz="6" w:space="0" w:color="000000"/>
              <w:left w:val="single" w:sz="6" w:space="0" w:color="000000"/>
              <w:bottom w:val="single" w:sz="4" w:space="0" w:color="000000"/>
              <w:right w:val="single" w:sz="6" w:space="0" w:color="000000"/>
            </w:tcBorders>
          </w:tcPr>
          <w:p>
            <w:pPr>
              <w:pStyle w:val="TableParagraph"/>
              <w:spacing w:line="316" w:lineRule="auto" w:before="19"/>
              <w:ind w:left="2" w:right="1" w:firstLine="180"/>
              <w:jc w:val="left"/>
              <w:rPr>
                <w:rFonts w:ascii="宋体" w:hAnsi="宋体" w:cs="宋体" w:eastAsia="宋体" w:hint="default"/>
                <w:sz w:val="18"/>
                <w:szCs w:val="18"/>
              </w:rPr>
            </w:pPr>
            <w:r>
              <w:rPr>
                <w:rFonts w:ascii="宋体" w:hAnsi="宋体" w:cs="宋体" w:eastAsia="宋体" w:hint="default"/>
                <w:spacing w:val="15"/>
                <w:sz w:val="18"/>
                <w:szCs w:val="18"/>
              </w:rPr>
              <w:t>收到其他与投资活动有</w:t>
            </w:r>
            <w:r>
              <w:rPr>
                <w:rFonts w:ascii="宋体" w:hAnsi="宋体" w:cs="宋体" w:eastAsia="宋体" w:hint="default"/>
                <w:sz w:val="18"/>
                <w:szCs w:val="18"/>
              </w:rPr>
              <w:t> 关的现金</w:t>
            </w:r>
          </w:p>
        </w:tc>
        <w:tc>
          <w:tcPr>
            <w:tcW w:w="2003" w:type="dxa"/>
            <w:tcBorders>
              <w:top w:val="single" w:sz="6" w:space="0" w:color="000000"/>
              <w:left w:val="single" w:sz="6"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182,497,438.88</w:t>
            </w:r>
          </w:p>
        </w:tc>
      </w:tr>
    </w:tbl>
    <w:p>
      <w:pPr>
        <w:pStyle w:val="BodyText"/>
        <w:spacing w:line="300" w:lineRule="auto" w:before="31"/>
        <w:ind w:right="1039" w:firstLine="420"/>
        <w:jc w:val="both"/>
      </w:pPr>
      <w:r>
        <w:rPr>
          <w:rFonts w:ascii="Times New Roman" w:hAnsi="Times New Roman" w:cs="Times New Roman" w:eastAsia="Times New Roman" w:hint="default"/>
          <w:spacing w:val="-1"/>
        </w:rPr>
        <w:t>[</w:t>
      </w:r>
      <w:r>
        <w:rPr>
          <w:spacing w:val="-1"/>
        </w:rPr>
        <w:t>注</w:t>
      </w:r>
      <w:r>
        <w:rPr>
          <w:rFonts w:ascii="Times New Roman" w:hAnsi="Times New Roman" w:cs="Times New Roman" w:eastAsia="Times New Roman" w:hint="default"/>
          <w:spacing w:val="-1"/>
        </w:rPr>
        <w:t>]</w:t>
      </w:r>
      <w:r>
        <w:rPr>
          <w:spacing w:val="-1"/>
        </w:rPr>
        <w:t>：将实际收到的与资产相关的政府补助</w:t>
      </w:r>
      <w:r>
        <w:rPr>
          <w:rFonts w:ascii="Times New Roman" w:hAnsi="Times New Roman" w:cs="Times New Roman" w:eastAsia="Times New Roman" w:hint="default"/>
          <w:spacing w:val="-1"/>
        </w:rPr>
        <w:t>1,340,000.00</w:t>
      </w:r>
      <w:r>
        <w:rPr>
          <w:spacing w:val="-1"/>
        </w:rPr>
        <w:t>元在现金流量表中的列报由“收到其他与投资活动有关的现金”</w:t>
      </w:r>
      <w:r>
        <w:rPr>
          <w:w w:val="99"/>
        </w:rPr>
        <w:t> </w:t>
      </w:r>
      <w:r>
        <w:rPr>
          <w:spacing w:val="-5"/>
          <w:w w:val="99"/>
        </w:rPr>
        <w:t>调整为“收到其他与经营活动有关的现金”。</w:t>
      </w:r>
      <w:r>
        <w:rPr>
          <w:spacing w:val="-5"/>
        </w:rPr>
      </w:r>
    </w:p>
    <w:p>
      <w:pPr>
        <w:pStyle w:val="BodyText"/>
        <w:spacing w:line="300" w:lineRule="auto" w:before="31"/>
        <w:ind w:right="1130" w:firstLine="420"/>
        <w:jc w:val="both"/>
      </w:pPr>
      <w:r>
        <w:rPr>
          <w:rFonts w:ascii="Times New Roman" w:hAnsi="Times New Roman" w:cs="Times New Roman" w:eastAsia="Times New Roman" w:hint="default"/>
          <w:spacing w:val="-3"/>
        </w:rPr>
        <w:t>2</w:t>
      </w:r>
      <w:r>
        <w:rPr>
          <w:spacing w:val="-3"/>
        </w:rPr>
        <w:t>、财政部于</w:t>
      </w:r>
      <w:r>
        <w:rPr>
          <w:rFonts w:ascii="Times New Roman" w:hAnsi="Times New Roman" w:cs="Times New Roman" w:eastAsia="Times New Roman" w:hint="default"/>
          <w:spacing w:val="-3"/>
        </w:rPr>
        <w:t>2017</w:t>
      </w:r>
      <w:r>
        <w:rPr>
          <w:spacing w:val="-3"/>
        </w:rPr>
        <w:t>年度颁布了《企业会计准则解释第</w:t>
      </w:r>
      <w:r>
        <w:rPr>
          <w:rFonts w:ascii="Times New Roman" w:hAnsi="Times New Roman" w:cs="Times New Roman" w:eastAsia="Times New Roman" w:hint="default"/>
          <w:spacing w:val="-3"/>
        </w:rPr>
        <w:t>9</w:t>
      </w:r>
      <w:r>
        <w:rPr>
          <w:spacing w:val="-3"/>
        </w:rPr>
        <w:t>号</w:t>
      </w:r>
      <w:r>
        <w:rPr>
          <w:rFonts w:ascii="Times New Roman" w:hAnsi="Times New Roman" w:cs="Times New Roman" w:eastAsia="Times New Roman" w:hint="default"/>
          <w:spacing w:val="-3"/>
        </w:rPr>
        <w:t>——</w:t>
      </w:r>
      <w:r>
        <w:rPr>
          <w:spacing w:val="-3"/>
        </w:rPr>
        <w:t>关于权益法下投资净损失的会计处理》《企业会计准则解释</w:t>
      </w:r>
      <w:r>
        <w:rPr/>
        <w:t> </w:t>
      </w:r>
      <w:r>
        <w:rPr>
          <w:spacing w:val="-2"/>
        </w:rPr>
        <w:t>第</w:t>
      </w:r>
      <w:r>
        <w:rPr>
          <w:rFonts w:ascii="Times New Roman" w:hAnsi="Times New Roman" w:cs="Times New Roman" w:eastAsia="Times New Roman" w:hint="default"/>
          <w:spacing w:val="-2"/>
        </w:rPr>
        <w:t>10</w:t>
      </w:r>
      <w:r>
        <w:rPr>
          <w:spacing w:val="-2"/>
        </w:rPr>
        <w:t>号</w:t>
      </w:r>
      <w:r>
        <w:rPr>
          <w:rFonts w:ascii="Times New Roman" w:hAnsi="Times New Roman" w:cs="Times New Roman" w:eastAsia="Times New Roman" w:hint="default"/>
          <w:spacing w:val="-2"/>
        </w:rPr>
        <w:t>——</w:t>
      </w:r>
      <w:r>
        <w:rPr>
          <w:spacing w:val="-2"/>
        </w:rPr>
        <w:t>关于以使用固定资产产生的收入为基础的折旧方法》《企业会计准则解释第</w:t>
      </w:r>
      <w:r>
        <w:rPr>
          <w:rFonts w:ascii="Times New Roman" w:hAnsi="Times New Roman" w:cs="Times New Roman" w:eastAsia="Times New Roman" w:hint="default"/>
          <w:spacing w:val="-2"/>
        </w:rPr>
        <w:t>11</w:t>
      </w:r>
      <w:r>
        <w:rPr>
          <w:spacing w:val="-2"/>
        </w:rPr>
        <w:t>号</w:t>
      </w:r>
      <w:r>
        <w:rPr>
          <w:rFonts w:ascii="Times New Roman" w:hAnsi="Times New Roman" w:cs="Times New Roman" w:eastAsia="Times New Roman" w:hint="default"/>
          <w:spacing w:val="-2"/>
        </w:rPr>
        <w:t>——</w:t>
      </w:r>
      <w:r>
        <w:rPr>
          <w:spacing w:val="-2"/>
        </w:rPr>
        <w:t>关于以使用无形资产产生的</w:t>
      </w:r>
      <w:r>
        <w:rPr>
          <w:spacing w:val="-64"/>
        </w:rPr>
        <w:t> </w:t>
      </w:r>
      <w:r>
        <w:rPr>
          <w:spacing w:val="-64"/>
        </w:rPr>
      </w:r>
      <w:r>
        <w:rPr>
          <w:spacing w:val="-2"/>
        </w:rPr>
        <w:t>收入为基础的摊销方法》及《企业会计准则解释第</w:t>
      </w:r>
      <w:r>
        <w:rPr>
          <w:rFonts w:ascii="Times New Roman" w:hAnsi="Times New Roman" w:cs="Times New Roman" w:eastAsia="Times New Roman" w:hint="default"/>
          <w:spacing w:val="-2"/>
        </w:rPr>
        <w:t>12</w:t>
      </w:r>
      <w:r>
        <w:rPr>
          <w:spacing w:val="-2"/>
        </w:rPr>
        <w:t>号</w:t>
      </w:r>
      <w:r>
        <w:rPr>
          <w:rFonts w:ascii="Times New Roman" w:hAnsi="Times New Roman" w:cs="Times New Roman" w:eastAsia="Times New Roman" w:hint="default"/>
          <w:spacing w:val="-2"/>
        </w:rPr>
        <w:t>——</w:t>
      </w:r>
      <w:r>
        <w:rPr>
          <w:spacing w:val="-2"/>
        </w:rPr>
        <w:t>关于关键管理人员服务的提供方与接受方是否为关联方》。公司</w:t>
      </w:r>
      <w:r>
        <w:rPr>
          <w:spacing w:val="-64"/>
        </w:rPr>
        <w:t> </w:t>
      </w:r>
      <w:r>
        <w:rPr>
          <w:spacing w:val="-64"/>
        </w:rPr>
      </w:r>
      <w:r>
        <w:rPr/>
        <w:t>自</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日起执行上述企业会计准则解释，执行上述解释对公司期初财务数据无影响。</w:t>
      </w:r>
    </w:p>
    <w:p>
      <w:pPr>
        <w:spacing w:after="0" w:line="300" w:lineRule="auto"/>
        <w:jc w:val="both"/>
        <w:sectPr>
          <w:pgSz w:w="11910" w:h="16840"/>
          <w:pgMar w:header="907" w:footer="1016" w:top="1100" w:bottom="1200" w:left="1020" w:right="0"/>
        </w:sectPr>
      </w:pPr>
    </w:p>
    <w:p>
      <w:pPr>
        <w:spacing w:line="240" w:lineRule="auto" w:before="9"/>
        <w:rPr>
          <w:rFonts w:ascii="宋体" w:hAnsi="宋体" w:cs="宋体" w:eastAsia="宋体" w:hint="default"/>
          <w:sz w:val="20"/>
          <w:szCs w:val="20"/>
        </w:rPr>
      </w:pPr>
    </w:p>
    <w:p>
      <w:pPr>
        <w:pStyle w:val="Heading2"/>
        <w:spacing w:line="240" w:lineRule="auto" w:before="26"/>
        <w:ind w:right="0"/>
        <w:jc w:val="left"/>
        <w:rPr>
          <w:b w:val="0"/>
          <w:bCs w:val="0"/>
        </w:rPr>
      </w:pPr>
      <w:bookmarkStart w:name="七、与上年度财务报告相比，合并报表范围发生变化的情况说明" w:id="81"/>
      <w:bookmarkEnd w:id="81"/>
      <w:r>
        <w:rPr>
          <w:b w:val="0"/>
          <w:bCs w:val="0"/>
        </w:rPr>
      </w:r>
      <w:r>
        <w:rPr/>
        <w:t>七、与上年度财务报告相比，合并报表范围发生变化的情况说明</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6074"/>
        <w:jc w:val="left"/>
      </w:pPr>
      <w:r>
        <w:rPr/>
        <w:t>√ 适用</w:t>
      </w:r>
      <w:r>
        <w:rPr>
          <w:spacing w:val="-1"/>
        </w:rPr>
        <w:t> </w:t>
      </w:r>
      <w:r>
        <w:rPr/>
        <w:t>□不适用</w:t>
      </w:r>
      <w:r>
        <w:rPr/>
        <w:t> 杭州鼎泰医康科技有限公司本期注销，不再纳入合并范围。</w:t>
      </w:r>
    </w:p>
    <w:p>
      <w:pPr>
        <w:spacing w:line="240" w:lineRule="auto" w:before="2"/>
        <w:rPr>
          <w:rFonts w:ascii="宋体" w:hAnsi="宋体" w:cs="宋体" w:eastAsia="宋体" w:hint="default"/>
          <w:sz w:val="18"/>
          <w:szCs w:val="18"/>
        </w:rPr>
      </w:pPr>
    </w:p>
    <w:p>
      <w:pPr>
        <w:pStyle w:val="Heading2"/>
        <w:spacing w:line="240" w:lineRule="auto"/>
        <w:ind w:right="0"/>
        <w:jc w:val="left"/>
        <w:rPr>
          <w:b w:val="0"/>
          <w:bCs w:val="0"/>
        </w:rPr>
      </w:pPr>
      <w:bookmarkStart w:name="八、聘任、解聘会计师事务所情况" w:id="82"/>
      <w:bookmarkEnd w:id="82"/>
      <w:r>
        <w:rPr>
          <w:b w:val="0"/>
          <w:bCs w:val="0"/>
        </w:rPr>
      </w:r>
      <w:r>
        <w:rPr/>
        <w:t>八、聘任、解聘会计师事务所情况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现聘任的会计事务所</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91"/>
        <w:gridCol w:w="4777"/>
      </w:tblGrid>
      <w:tr>
        <w:trPr>
          <w:trHeight w:val="402" w:hRule="exact"/>
        </w:trPr>
        <w:tc>
          <w:tcPr>
            <w:tcW w:w="4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天健会计师事务所（特殊普通合伙）</w:t>
            </w:r>
          </w:p>
        </w:tc>
      </w:tr>
      <w:tr>
        <w:trPr>
          <w:trHeight w:val="402" w:hRule="exact"/>
        </w:trPr>
        <w:tc>
          <w:tcPr>
            <w:tcW w:w="4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130</w:t>
            </w:r>
          </w:p>
        </w:tc>
      </w:tr>
      <w:tr>
        <w:trPr>
          <w:trHeight w:val="402" w:hRule="exact"/>
        </w:trPr>
        <w:tc>
          <w:tcPr>
            <w:tcW w:w="4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3" w:right="0"/>
              <w:jc w:val="left"/>
              <w:rPr>
                <w:rFonts w:ascii="Times New Roman" w:hAnsi="Times New Roman" w:cs="Times New Roman" w:eastAsia="Times New Roman" w:hint="default"/>
                <w:sz w:val="18"/>
                <w:szCs w:val="18"/>
              </w:rPr>
            </w:pPr>
            <w:r>
              <w:rPr>
                <w:rFonts w:ascii="Times New Roman"/>
                <w:sz w:val="18"/>
              </w:rPr>
              <w:t>11</w:t>
            </w:r>
          </w:p>
        </w:tc>
      </w:tr>
      <w:tr>
        <w:trPr>
          <w:trHeight w:val="402" w:hRule="exact"/>
        </w:trPr>
        <w:tc>
          <w:tcPr>
            <w:tcW w:w="4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王强、李鸿霞</w:t>
            </w:r>
          </w:p>
        </w:tc>
      </w:tr>
      <w:tr>
        <w:trPr>
          <w:trHeight w:val="402" w:hRule="exact"/>
        </w:trPr>
        <w:tc>
          <w:tcPr>
            <w:tcW w:w="4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王强连续服务年限</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年，李红霞连续服务年限</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bl>
    <w:p>
      <w:pPr>
        <w:pStyle w:val="BodyText"/>
        <w:spacing w:line="240" w:lineRule="auto" w:before="49"/>
        <w:ind w:right="0"/>
        <w:jc w:val="left"/>
      </w:pPr>
      <w:r>
        <w:rPr/>
        <w:t>是否改聘会计师事务所</w:t>
      </w:r>
    </w:p>
    <w:p>
      <w:pPr>
        <w:pStyle w:val="BodyText"/>
        <w:spacing w:line="357" w:lineRule="auto" w:before="117"/>
        <w:ind w:right="6254" w:firstLine="91"/>
        <w:jc w:val="left"/>
      </w:pPr>
      <w:r>
        <w:rPr/>
        <w:t>□是√否 聘请内部控制审计会计师事务所、财务顾问或保荐人情况</w:t>
      </w:r>
    </w:p>
    <w:p>
      <w:pPr>
        <w:pStyle w:val="BodyText"/>
        <w:spacing w:line="240" w:lineRule="auto" w:before="29"/>
        <w:ind w:left="204" w:right="0"/>
        <w:jc w:val="left"/>
      </w:pPr>
      <w:r>
        <w:rPr/>
        <w:t>□ 适用√</w:t>
      </w:r>
      <w:r>
        <w:rPr>
          <w:spacing w:val="-1"/>
        </w:rPr>
        <w:t> </w:t>
      </w:r>
      <w:r>
        <w:rPr/>
        <w:t>不适用</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bookmarkStart w:name="九、年度报告披露后面临暂停上市和终止上市情况" w:id="83"/>
      <w:bookmarkEnd w:id="83"/>
      <w:r>
        <w:rPr>
          <w:b w:val="0"/>
          <w:bCs w:val="0"/>
        </w:rPr>
      </w:r>
      <w:r>
        <w:rPr/>
        <w:t>九、年度报告披露后面临暂停上市和终止上市情况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204" w:right="0"/>
        <w:jc w:val="left"/>
      </w:pPr>
      <w:r>
        <w:rPr/>
        <w:t>□ 适用√</w:t>
      </w:r>
      <w:r>
        <w:rPr>
          <w:spacing w:val="-1"/>
        </w:rPr>
        <w:t> </w:t>
      </w:r>
      <w:r>
        <w:rPr/>
        <w:t>不适用</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bookmarkStart w:name="十、破产重整相关事项" w:id="84"/>
      <w:bookmarkEnd w:id="84"/>
      <w:r>
        <w:rPr>
          <w:b w:val="0"/>
          <w:bCs w:val="0"/>
        </w:rPr>
      </w:r>
      <w:r>
        <w:rPr/>
        <w:t>十、破产重整相关事项</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7694" w:firstLine="91"/>
        <w:jc w:val="left"/>
      </w:pPr>
      <w:r>
        <w:rPr/>
        <w:t>□ 适用√</w:t>
      </w:r>
      <w:r>
        <w:rPr>
          <w:spacing w:val="-1"/>
        </w:rPr>
        <w:t> </w:t>
      </w:r>
      <w:r>
        <w:rPr/>
        <w:t>不适用</w:t>
      </w:r>
      <w:r>
        <w:rPr/>
        <w:t> 公司报告期未发生破产重整相关事项。</w:t>
      </w:r>
    </w:p>
    <w:p>
      <w:pPr>
        <w:spacing w:line="240" w:lineRule="auto" w:before="2"/>
        <w:rPr>
          <w:rFonts w:ascii="宋体" w:hAnsi="宋体" w:cs="宋体" w:eastAsia="宋体" w:hint="default"/>
          <w:sz w:val="18"/>
          <w:szCs w:val="18"/>
        </w:rPr>
      </w:pPr>
    </w:p>
    <w:p>
      <w:pPr>
        <w:pStyle w:val="Heading2"/>
        <w:spacing w:line="240" w:lineRule="auto"/>
        <w:ind w:right="0"/>
        <w:jc w:val="left"/>
        <w:rPr>
          <w:b w:val="0"/>
          <w:bCs w:val="0"/>
        </w:rPr>
      </w:pPr>
      <w:bookmarkStart w:name="十一、重大诉讼、仲裁事项" w:id="85"/>
      <w:bookmarkEnd w:id="85"/>
      <w:r>
        <w:rPr>
          <w:b w:val="0"/>
          <w:bCs w:val="0"/>
        </w:rPr>
      </w:r>
      <w:r>
        <w:rPr/>
        <w:t>十一、重大诉讼、仲裁事项</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7874" w:firstLine="91"/>
        <w:jc w:val="left"/>
      </w:pPr>
      <w:r>
        <w:rPr/>
        <w:t>□ 适用√</w:t>
      </w:r>
      <w:r>
        <w:rPr>
          <w:spacing w:val="-1"/>
        </w:rPr>
        <w:t> </w:t>
      </w:r>
      <w:r>
        <w:rPr/>
        <w:t>不适用</w:t>
      </w:r>
      <w:r>
        <w:rPr/>
        <w:t> 本年度公司无重大诉讼、仲裁事项。</w:t>
      </w:r>
    </w:p>
    <w:p>
      <w:pPr>
        <w:spacing w:line="240" w:lineRule="auto" w:before="2"/>
        <w:rPr>
          <w:rFonts w:ascii="宋体" w:hAnsi="宋体" w:cs="宋体" w:eastAsia="宋体" w:hint="default"/>
          <w:sz w:val="18"/>
          <w:szCs w:val="18"/>
        </w:rPr>
      </w:pPr>
    </w:p>
    <w:p>
      <w:pPr>
        <w:pStyle w:val="Heading2"/>
        <w:spacing w:line="240" w:lineRule="auto"/>
        <w:ind w:right="0"/>
        <w:jc w:val="left"/>
        <w:rPr>
          <w:b w:val="0"/>
          <w:bCs w:val="0"/>
        </w:rPr>
      </w:pPr>
      <w:bookmarkStart w:name="十二、处罚及整改情况" w:id="86"/>
      <w:bookmarkEnd w:id="86"/>
      <w:r>
        <w:rPr>
          <w:b w:val="0"/>
          <w:bCs w:val="0"/>
        </w:rPr>
      </w:r>
      <w:r>
        <w:rPr/>
        <w:t>十二、处罚及整改情况</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7874" w:firstLine="91"/>
        <w:jc w:val="left"/>
      </w:pPr>
      <w:r>
        <w:rPr/>
        <w:t>□ 适用√</w:t>
      </w:r>
      <w:r>
        <w:rPr>
          <w:spacing w:val="-1"/>
        </w:rPr>
        <w:t> </w:t>
      </w:r>
      <w:r>
        <w:rPr/>
        <w:t>不适用</w:t>
      </w:r>
      <w:r>
        <w:rPr/>
        <w:t> 公司报告期不存在处罚及整改情况。</w:t>
      </w:r>
    </w:p>
    <w:p>
      <w:pPr>
        <w:spacing w:line="240" w:lineRule="auto" w:before="4"/>
        <w:rPr>
          <w:rFonts w:ascii="宋体" w:hAnsi="宋体" w:cs="宋体" w:eastAsia="宋体" w:hint="default"/>
          <w:sz w:val="18"/>
          <w:szCs w:val="18"/>
        </w:rPr>
      </w:pPr>
    </w:p>
    <w:p>
      <w:pPr>
        <w:pStyle w:val="Heading2"/>
        <w:spacing w:line="240" w:lineRule="auto"/>
        <w:ind w:right="0"/>
        <w:jc w:val="left"/>
        <w:rPr>
          <w:b w:val="0"/>
          <w:bCs w:val="0"/>
        </w:rPr>
      </w:pPr>
      <w:bookmarkStart w:name="十三、公司及其控股股东、实际控制人的诚信状况" w:id="87"/>
      <w:bookmarkEnd w:id="87"/>
      <w:r>
        <w:rPr>
          <w:b w:val="0"/>
          <w:bCs w:val="0"/>
        </w:rPr>
      </w:r>
      <w:r>
        <w:rPr/>
        <w:t>十三、公司及其控股股东、实际控制人的诚信状况</w:t>
      </w:r>
      <w:r>
        <w:rPr>
          <w:b w:val="0"/>
          <w:bCs w:val="0"/>
        </w:rPr>
      </w:r>
    </w:p>
    <w:p>
      <w:pPr>
        <w:spacing w:line="240" w:lineRule="auto" w:before="9"/>
        <w:rPr>
          <w:rFonts w:ascii="宋体" w:hAnsi="宋体" w:cs="宋体" w:eastAsia="宋体" w:hint="default"/>
          <w:b/>
          <w:bCs/>
          <w:sz w:val="26"/>
          <w:szCs w:val="26"/>
        </w:rPr>
      </w:pPr>
    </w:p>
    <w:p>
      <w:pPr>
        <w:pStyle w:val="BodyText"/>
        <w:spacing w:line="360" w:lineRule="auto"/>
        <w:ind w:right="1934"/>
        <w:jc w:val="left"/>
      </w:pPr>
      <w:r>
        <w:rPr/>
        <w:t>√ 适用</w:t>
      </w:r>
      <w:r>
        <w:rPr>
          <w:spacing w:val="-1"/>
        </w:rPr>
        <w:t> </w:t>
      </w:r>
      <w:r>
        <w:rPr/>
        <w:t>□不适用</w:t>
      </w:r>
      <w:r>
        <w:rPr/>
        <w:t> 公司及其控股股东、实际控制人不存在未履行的法院生效判决、不存在所负数额较大的债务到期未清偿等情况。</w:t>
      </w:r>
    </w:p>
    <w:p>
      <w:pPr>
        <w:spacing w:after="0" w:line="360" w:lineRule="auto"/>
        <w:jc w:val="left"/>
        <w:sectPr>
          <w:pgSz w:w="11910" w:h="16840"/>
          <w:pgMar w:header="907" w:footer="1016" w:top="1100" w:bottom="1200" w:left="1020" w:right="0"/>
        </w:sectPr>
      </w:pPr>
    </w:p>
    <w:p>
      <w:pPr>
        <w:spacing w:line="240" w:lineRule="auto" w:before="9"/>
        <w:rPr>
          <w:rFonts w:ascii="宋体" w:hAnsi="宋体" w:cs="宋体" w:eastAsia="宋体" w:hint="default"/>
          <w:sz w:val="20"/>
          <w:szCs w:val="20"/>
        </w:rPr>
      </w:pPr>
    </w:p>
    <w:p>
      <w:pPr>
        <w:pStyle w:val="Heading2"/>
        <w:spacing w:line="240" w:lineRule="auto" w:before="26"/>
        <w:ind w:right="0"/>
        <w:jc w:val="left"/>
        <w:rPr>
          <w:b w:val="0"/>
          <w:bCs w:val="0"/>
        </w:rPr>
      </w:pPr>
      <w:bookmarkStart w:name="十四、公司股权激励计划、员工持股计划或其他员工激励措施的实施情况" w:id="88"/>
      <w:bookmarkEnd w:id="88"/>
      <w:r>
        <w:rPr>
          <w:b w:val="0"/>
          <w:bCs w:val="0"/>
        </w:rPr>
      </w:r>
      <w:r>
        <w:rPr/>
        <w:t>十四、公司股权激励计划、员工持股计划或其他员工激励措施的实施情况</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left="472" w:right="7334" w:hanging="360"/>
        <w:jc w:val="left"/>
      </w:pPr>
      <w:r>
        <w:rPr/>
        <w:t>√ 适用</w:t>
      </w:r>
      <w:r>
        <w:rPr>
          <w:spacing w:val="-1"/>
        </w:rPr>
        <w:t> </w:t>
      </w:r>
      <w:r>
        <w:rPr/>
        <w:t>□不适用</w:t>
      </w:r>
      <w:r>
        <w:rPr/>
        <w:t> 一、报告期内公司股权激励计划如下：</w:t>
      </w:r>
    </w:p>
    <w:p>
      <w:pPr>
        <w:pStyle w:val="BodyText"/>
        <w:spacing w:line="304" w:lineRule="auto" w:before="25"/>
        <w:ind w:right="1132" w:firstLine="360"/>
        <w:jc w:val="both"/>
      </w:pPr>
      <w:r>
        <w:rPr/>
        <w:t>根据公司</w:t>
      </w:r>
      <w:r>
        <w:rPr>
          <w:rFonts w:ascii="Times New Roman" w:hAnsi="Times New Roman" w:cs="Times New Roman" w:eastAsia="Times New Roman" w:hint="default"/>
        </w:rPr>
        <w:t>2015</w:t>
      </w:r>
      <w:r>
        <w:rPr/>
        <w:t>年第三次临时股东大会审议通过的《关于创业股份有限公司</w:t>
      </w:r>
      <w:r>
        <w:rPr>
          <w:rFonts w:ascii="Times New Roman" w:hAnsi="Times New Roman" w:cs="Times New Roman" w:eastAsia="Times New Roman" w:hint="default"/>
        </w:rPr>
        <w:t>&lt;</w:t>
      </w:r>
      <w:r>
        <w:rPr/>
        <w:t>股票期权与限制性股票激励计划（草案修订 稿）</w:t>
      </w:r>
      <w:r>
        <w:rPr>
          <w:rFonts w:ascii="Times New Roman" w:hAnsi="Times New Roman" w:cs="Times New Roman" w:eastAsia="Times New Roman" w:hint="default"/>
        </w:rPr>
        <w:t>&gt;</w:t>
      </w:r>
      <w:r>
        <w:rPr/>
        <w:t>及其摘要的议案》和第五届董事会第十一次会议审议通过的《关于调整股票期权与限制性股票激励计划相关事项的议 </w:t>
      </w:r>
      <w:r>
        <w:rPr>
          <w:spacing w:val="-2"/>
        </w:rPr>
        <w:t>案》等议案。公司向包括公司董事、高级管理人员、中层管理人员、核心技术（业务）人员授予限制性股票和股票期权。首</w:t>
      </w:r>
      <w:r>
        <w:rPr>
          <w:spacing w:val="-66"/>
        </w:rPr>
        <w:t> </w:t>
      </w:r>
      <w:r>
        <w:rPr>
          <w:spacing w:val="-66"/>
        </w:rPr>
      </w:r>
      <w:r>
        <w:rPr/>
        <w:t>次限制性股票授予日为</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30</w:t>
      </w:r>
      <w:r>
        <w:rPr/>
        <w:t>日，并于</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日授予登记完成。</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29</w:t>
      </w:r>
      <w:r>
        <w:rPr/>
        <w:t>日，向</w:t>
      </w:r>
      <w:r>
        <w:rPr>
          <w:rFonts w:ascii="Times New Roman" w:hAnsi="Times New Roman" w:cs="Times New Roman" w:eastAsia="Times New Roman" w:hint="default"/>
        </w:rPr>
        <w:t>28</w:t>
      </w:r>
      <w:r>
        <w:rPr/>
        <w:t>名激励对象授予</w:t>
      </w:r>
      <w:r>
        <w:rPr>
          <w:rFonts w:ascii="Times New Roman" w:hAnsi="Times New Roman" w:cs="Times New Roman" w:eastAsia="Times New Roman" w:hint="default"/>
        </w:rPr>
        <w:t>26.7</w:t>
      </w:r>
      <w:r>
        <w:rPr/>
        <w:t>万 预留限制性股票。具体内容详见公司在巨潮资讯网站（</w:t>
      </w:r>
      <w:hyperlink r:id="rId15">
        <w:r>
          <w:rPr>
            <w:rFonts w:ascii="Times New Roman" w:hAnsi="Times New Roman" w:cs="Times New Roman" w:eastAsia="Times New Roman" w:hint="default"/>
          </w:rPr>
          <w:t>www.cninfo.com.cn</w:t>
        </w:r>
      </w:hyperlink>
      <w:r>
        <w:rPr/>
        <w:t>）披露的公告。</w:t>
      </w:r>
    </w:p>
    <w:p>
      <w:pPr>
        <w:pStyle w:val="BodyText"/>
        <w:spacing w:line="300" w:lineRule="auto" w:before="50"/>
        <w:ind w:right="1129" w:firstLine="360"/>
        <w:jc w:val="both"/>
      </w:pPr>
      <w:r>
        <w:rPr>
          <w:rFonts w:ascii="Times New Roman" w:hAnsi="Times New Roman" w:cs="Times New Roman" w:eastAsia="Times New Roman" w:hint="default"/>
          <w:spacing w:val="-1"/>
        </w:rPr>
        <w:t>1</w:t>
      </w:r>
      <w:r>
        <w:rPr>
          <w:spacing w:val="-1"/>
        </w:rPr>
        <w:t>、</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1</w:t>
      </w:r>
      <w:r>
        <w:rPr>
          <w:spacing w:val="-1"/>
        </w:rPr>
        <w:t>月</w:t>
      </w:r>
      <w:r>
        <w:rPr>
          <w:rFonts w:ascii="Times New Roman" w:hAnsi="Times New Roman" w:cs="Times New Roman" w:eastAsia="Times New Roman" w:hint="default"/>
          <w:spacing w:val="-1"/>
        </w:rPr>
        <w:t>11</w:t>
      </w:r>
      <w:r>
        <w:rPr>
          <w:spacing w:val="-1"/>
        </w:rPr>
        <w:t>日，公司完成回购注销限制性股票</w:t>
      </w:r>
      <w:r>
        <w:rPr>
          <w:rFonts w:ascii="Times New Roman" w:hAnsi="Times New Roman" w:cs="Times New Roman" w:eastAsia="Times New Roman" w:hint="default"/>
          <w:spacing w:val="-1"/>
        </w:rPr>
        <w:t>147,376</w:t>
      </w:r>
      <w:r>
        <w:rPr>
          <w:spacing w:val="-1"/>
        </w:rPr>
        <w:t>股，占回购前公司总股本的</w:t>
      </w:r>
      <w:r>
        <w:rPr>
          <w:rFonts w:ascii="Times New Roman" w:hAnsi="Times New Roman" w:cs="Times New Roman" w:eastAsia="Times New Roman" w:hint="default"/>
          <w:spacing w:val="-1"/>
        </w:rPr>
        <w:t>0.0607%</w:t>
      </w:r>
      <w:r>
        <w:rPr>
          <w:spacing w:val="-1"/>
        </w:rPr>
        <w:t>，具体内容详见公司在巨</w:t>
      </w:r>
      <w:r>
        <w:rPr/>
        <w:t> </w:t>
      </w:r>
      <w:r>
        <w:rPr>
          <w:spacing w:val="-3"/>
          <w:w w:val="99"/>
        </w:rPr>
        <w:t>潮资讯网站（</w:t>
      </w:r>
      <w:hyperlink r:id="rId15">
        <w:r>
          <w:rPr>
            <w:rFonts w:ascii="Times New Roman" w:hAnsi="Times New Roman" w:cs="Times New Roman" w:eastAsia="Times New Roman" w:hint="default"/>
            <w:spacing w:val="-3"/>
            <w:w w:val="99"/>
          </w:rPr>
          <w:t>www.cninfo.com.cn</w:t>
        </w:r>
      </w:hyperlink>
      <w:r>
        <w:rPr>
          <w:spacing w:val="-3"/>
          <w:w w:val="99"/>
        </w:rPr>
        <w:t>）披露的公告（公告编号：</w:t>
      </w:r>
      <w:r>
        <w:rPr>
          <w:rFonts w:ascii="Times New Roman" w:hAnsi="Times New Roman" w:cs="Times New Roman" w:eastAsia="Times New Roman" w:hint="default"/>
          <w:spacing w:val="-3"/>
          <w:w w:val="99"/>
        </w:rPr>
        <w:t>2018-006</w:t>
      </w:r>
      <w:r>
        <w:rPr>
          <w:spacing w:val="-3"/>
          <w:w w:val="99"/>
        </w:rPr>
        <w:t>）。</w:t>
      </w:r>
    </w:p>
    <w:p>
      <w:pPr>
        <w:pStyle w:val="BodyText"/>
        <w:spacing w:line="304" w:lineRule="auto" w:before="53"/>
        <w:ind w:right="1130" w:firstLine="360"/>
        <w:jc w:val="both"/>
      </w:pPr>
      <w:r>
        <w:rPr>
          <w:rFonts w:ascii="Times New Roman" w:hAnsi="Times New Roman" w:cs="Times New Roman" w:eastAsia="Times New Roman" w:hint="default"/>
          <w:spacing w:val="-2"/>
        </w:rPr>
        <w:t>2</w:t>
      </w:r>
      <w:r>
        <w:rPr>
          <w:spacing w:val="-2"/>
        </w:rPr>
        <w:t>、</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27</w:t>
      </w:r>
      <w:r>
        <w:rPr>
          <w:spacing w:val="-2"/>
        </w:rPr>
        <w:t>日，公司召开第六届董事会第九次会议和第六届监事会第七次会议，审议通过了《关于对股票期权与限</w:t>
      </w:r>
      <w:r>
        <w:rPr/>
        <w:t> </w:t>
      </w:r>
      <w:r>
        <w:rPr>
          <w:spacing w:val="-5"/>
        </w:rPr>
        <w:t>制性股票激励计划部分激励股份回购注销的议案》、《关于调整股票期权与限制性股票激励计划相关事项的议案》。鉴于公司</w:t>
      </w:r>
      <w:r>
        <w:rPr>
          <w:spacing w:val="-80"/>
        </w:rPr>
        <w:t> </w:t>
      </w:r>
      <w:r>
        <w:rPr>
          <w:spacing w:val="-80"/>
        </w:rPr>
      </w:r>
      <w:r>
        <w:rPr/>
        <w:t>原激励对象黄导等</w:t>
      </w:r>
      <w:r>
        <w:rPr>
          <w:rFonts w:ascii="Times New Roman" w:hAnsi="Times New Roman" w:cs="Times New Roman" w:eastAsia="Times New Roman" w:hint="default"/>
        </w:rPr>
        <w:t>15</w:t>
      </w:r>
      <w:r>
        <w:rPr/>
        <w:t>人因已离职不符合激励条件，公司拟对相关激励对象已获授（含已获准行权）但尚未行权的</w:t>
      </w:r>
      <w:r>
        <w:rPr>
          <w:rFonts w:ascii="Times New Roman" w:hAnsi="Times New Roman" w:cs="Times New Roman" w:eastAsia="Times New Roman" w:hint="default"/>
        </w:rPr>
        <w:t>241,875</w:t>
      </w:r>
      <w:r>
        <w:rPr/>
        <w:t>份</w:t>
      </w:r>
      <w:r>
        <w:rPr>
          <w:spacing w:val="-50"/>
        </w:rPr>
        <w:t> </w:t>
      </w:r>
      <w:r>
        <w:rPr/>
        <w:t>股票期权进行注销，对其已获授但尚未解锁的</w:t>
      </w:r>
      <w:r>
        <w:rPr>
          <w:rFonts w:ascii="Times New Roman" w:hAnsi="Times New Roman" w:cs="Times New Roman" w:eastAsia="Times New Roman" w:hint="default"/>
        </w:rPr>
        <w:t>2,250</w:t>
      </w:r>
      <w:r>
        <w:rPr/>
        <w:t>股限制性股票回购注销。上述股票期权注销手续，已于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5</w:t>
      </w:r>
      <w:r>
        <w:rPr/>
        <w:t>日办</w:t>
      </w:r>
      <w:r>
        <w:rPr>
          <w:spacing w:val="-53"/>
        </w:rPr>
        <w:t> </w:t>
      </w:r>
      <w:r>
        <w:rPr/>
        <w:t>理</w:t>
      </w:r>
      <w:r>
        <w:rPr>
          <w:spacing w:val="-62"/>
        </w:rPr>
        <w:t> </w:t>
      </w:r>
      <w:r>
        <w:rPr/>
        <w:t>完</w:t>
      </w:r>
      <w:r>
        <w:rPr>
          <w:spacing w:val="-64"/>
        </w:rPr>
        <w:t> </w:t>
      </w:r>
      <w:r>
        <w:rPr/>
        <w:t>毕</w:t>
      </w:r>
      <w:r>
        <w:rPr>
          <w:spacing w:val="-62"/>
        </w:rPr>
        <w:t> </w:t>
      </w:r>
      <w:r>
        <w:rPr/>
        <w:t>；</w:t>
      </w:r>
      <w:r>
        <w:rPr>
          <w:spacing w:val="-62"/>
        </w:rPr>
        <w:t> </w:t>
      </w:r>
      <w:r>
        <w:rPr/>
        <w:t>上</w:t>
      </w:r>
      <w:r>
        <w:rPr>
          <w:spacing w:val="-62"/>
        </w:rPr>
        <w:t> </w:t>
      </w:r>
      <w:r>
        <w:rPr/>
        <w:t>述</w:t>
      </w:r>
      <w:r>
        <w:rPr>
          <w:spacing w:val="-64"/>
        </w:rPr>
        <w:t> </w:t>
      </w:r>
      <w:r>
        <w:rPr/>
        <w:t>限</w:t>
      </w:r>
      <w:r>
        <w:rPr>
          <w:spacing w:val="-62"/>
        </w:rPr>
        <w:t> </w:t>
      </w:r>
      <w:r>
        <w:rPr/>
        <w:t>制</w:t>
      </w:r>
      <w:r>
        <w:rPr>
          <w:spacing w:val="-62"/>
        </w:rPr>
        <w:t> </w:t>
      </w:r>
      <w:r>
        <w:rPr/>
        <w:t>性</w:t>
      </w:r>
      <w:r>
        <w:rPr>
          <w:spacing w:val="-62"/>
        </w:rPr>
        <w:t> </w:t>
      </w:r>
      <w:r>
        <w:rPr/>
        <w:t>股</w:t>
      </w:r>
      <w:r>
        <w:rPr>
          <w:spacing w:val="-64"/>
        </w:rPr>
        <w:t> </w:t>
      </w:r>
      <w:r>
        <w:rPr/>
        <w:t>票</w:t>
      </w:r>
      <w:r>
        <w:rPr>
          <w:spacing w:val="-62"/>
        </w:rPr>
        <w:t> </w:t>
      </w:r>
      <w:r>
        <w:rPr/>
        <w:t>回</w:t>
      </w:r>
      <w:r>
        <w:rPr>
          <w:spacing w:val="-62"/>
        </w:rPr>
        <w:t> </w:t>
      </w:r>
      <w:r>
        <w:rPr/>
        <w:t>购</w:t>
      </w:r>
      <w:r>
        <w:rPr>
          <w:spacing w:val="-62"/>
        </w:rPr>
        <w:t> </w:t>
      </w:r>
      <w:r>
        <w:rPr/>
        <w:t>注</w:t>
      </w:r>
      <w:r>
        <w:rPr>
          <w:spacing w:val="-64"/>
        </w:rPr>
        <w:t> </w:t>
      </w:r>
      <w:r>
        <w:rPr/>
        <w:t>销</w:t>
      </w:r>
      <w:r>
        <w:rPr>
          <w:spacing w:val="-62"/>
        </w:rPr>
        <w:t> </w:t>
      </w:r>
      <w:r>
        <w:rPr/>
        <w:t>手</w:t>
      </w:r>
      <w:r>
        <w:rPr>
          <w:spacing w:val="-62"/>
        </w:rPr>
        <w:t> </w:t>
      </w:r>
      <w:r>
        <w:rPr/>
        <w:t>续</w:t>
      </w:r>
      <w:r>
        <w:rPr>
          <w:spacing w:val="-62"/>
        </w:rPr>
        <w:t> </w:t>
      </w:r>
      <w:r>
        <w:rPr/>
        <w:t>，</w:t>
      </w:r>
      <w:r>
        <w:rPr>
          <w:spacing w:val="-64"/>
        </w:rPr>
        <w:t> </w:t>
      </w:r>
      <w:r>
        <w:rPr/>
        <w:t>已</w:t>
      </w:r>
      <w:r>
        <w:rPr>
          <w:spacing w:val="-62"/>
        </w:rPr>
        <w:t> </w:t>
      </w:r>
      <w:r>
        <w:rPr/>
        <w:t>于</w:t>
      </w:r>
      <w:r>
        <w:rPr>
          <w:spacing w:val="-62"/>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8"/>
        </w:rPr>
        <w:t> </w:t>
      </w:r>
      <w:r>
        <w:rPr/>
        <w:t>年</w:t>
      </w:r>
      <w:r>
        <w:rPr>
          <w:spacing w:val="-64"/>
        </w:rPr>
        <w:t> </w:t>
      </w:r>
      <w:r>
        <w:rPr>
          <w:rFonts w:ascii="Times New Roman" w:hAnsi="Times New Roman" w:cs="Times New Roman" w:eastAsia="Times New Roman" w:hint="default"/>
        </w:rPr>
        <w:t>10</w:t>
      </w:r>
      <w:r>
        <w:rPr>
          <w:rFonts w:ascii="Times New Roman" w:hAnsi="Times New Roman" w:cs="Times New Roman" w:eastAsia="Times New Roman" w:hint="default"/>
          <w:spacing w:val="-18"/>
        </w:rPr>
        <w:t> </w:t>
      </w:r>
      <w:r>
        <w:rPr/>
        <w:t>月</w:t>
      </w:r>
      <w:r>
        <w:rPr>
          <w:spacing w:val="-62"/>
        </w:rPr>
        <w:t> </w:t>
      </w:r>
      <w:r>
        <w:rPr>
          <w:rFonts w:ascii="Times New Roman" w:hAnsi="Times New Roman" w:cs="Times New Roman" w:eastAsia="Times New Roman" w:hint="default"/>
        </w:rPr>
        <w:t>8</w:t>
      </w:r>
      <w:r>
        <w:rPr>
          <w:rFonts w:ascii="Times New Roman" w:hAnsi="Times New Roman" w:cs="Times New Roman" w:eastAsia="Times New Roman" w:hint="default"/>
          <w:spacing w:val="-18"/>
        </w:rPr>
        <w:t> </w:t>
      </w:r>
      <w:r>
        <w:rPr/>
        <w:t>日</w:t>
      </w:r>
      <w:r>
        <w:rPr>
          <w:spacing w:val="-62"/>
        </w:rPr>
        <w:t> </w:t>
      </w:r>
      <w:r>
        <w:rPr/>
        <w:t>办</w:t>
      </w:r>
      <w:r>
        <w:rPr>
          <w:spacing w:val="-64"/>
        </w:rPr>
        <w:t> </w:t>
      </w:r>
      <w:r>
        <w:rPr/>
        <w:t>理</w:t>
      </w:r>
      <w:r>
        <w:rPr>
          <w:spacing w:val="-62"/>
        </w:rPr>
        <w:t> </w:t>
      </w:r>
      <w:r>
        <w:rPr/>
        <w:t>完</w:t>
      </w:r>
      <w:r>
        <w:rPr>
          <w:spacing w:val="-62"/>
        </w:rPr>
        <w:t> </w:t>
      </w:r>
      <w:r>
        <w:rPr/>
        <w:t>毕</w:t>
      </w:r>
      <w:r>
        <w:rPr>
          <w:spacing w:val="-62"/>
        </w:rPr>
        <w:t> </w:t>
      </w:r>
      <w:r>
        <w:rPr/>
        <w:t>。</w:t>
      </w:r>
      <w:r>
        <w:rPr>
          <w:spacing w:val="-64"/>
        </w:rPr>
        <w:t> </w:t>
      </w:r>
      <w:r>
        <w:rPr/>
        <w:t>具</w:t>
      </w:r>
      <w:r>
        <w:rPr>
          <w:spacing w:val="-62"/>
        </w:rPr>
        <w:t> </w:t>
      </w:r>
      <w:r>
        <w:rPr/>
        <w:t>体</w:t>
      </w:r>
      <w:r>
        <w:rPr>
          <w:spacing w:val="-62"/>
        </w:rPr>
        <w:t> </w:t>
      </w:r>
      <w:r>
        <w:rPr/>
        <w:t>内</w:t>
      </w:r>
      <w:r>
        <w:rPr>
          <w:spacing w:val="-62"/>
        </w:rPr>
        <w:t> </w:t>
      </w:r>
      <w:r>
        <w:rPr/>
        <w:t>容</w:t>
      </w:r>
      <w:r>
        <w:rPr>
          <w:spacing w:val="-64"/>
        </w:rPr>
        <w:t> </w:t>
      </w:r>
      <w:r>
        <w:rPr/>
        <w:t>详</w:t>
      </w:r>
      <w:r>
        <w:rPr>
          <w:spacing w:val="-62"/>
        </w:rPr>
        <w:t> </w:t>
      </w:r>
      <w:r>
        <w:rPr/>
        <w:t>见</w:t>
      </w:r>
      <w:r>
        <w:rPr>
          <w:spacing w:val="-62"/>
        </w:rPr>
        <w:t> </w:t>
      </w:r>
      <w:r>
        <w:rPr/>
        <w:t>公</w:t>
      </w:r>
      <w:r>
        <w:rPr>
          <w:spacing w:val="-62"/>
        </w:rPr>
        <w:t> </w:t>
      </w:r>
      <w:r>
        <w:rPr/>
        <w:t>司</w:t>
      </w:r>
      <w:r>
        <w:rPr>
          <w:spacing w:val="-64"/>
        </w:rPr>
        <w:t> </w:t>
      </w:r>
      <w:r>
        <w:rPr/>
        <w:t>在</w:t>
      </w:r>
      <w:r>
        <w:rPr>
          <w:spacing w:val="-62"/>
        </w:rPr>
        <w:t> </w:t>
      </w:r>
      <w:r>
        <w:rPr/>
        <w:t>巨</w:t>
      </w:r>
      <w:r>
        <w:rPr>
          <w:spacing w:val="-62"/>
        </w:rPr>
        <w:t> </w:t>
      </w:r>
      <w:r>
        <w:rPr/>
        <w:t>潮</w:t>
      </w:r>
      <w:r>
        <w:rPr>
          <w:spacing w:val="-62"/>
        </w:rPr>
        <w:t> </w:t>
      </w:r>
      <w:r>
        <w:rPr/>
        <w:t>资</w:t>
      </w:r>
      <w:r>
        <w:rPr>
          <w:spacing w:val="-64"/>
        </w:rPr>
        <w:t> </w:t>
      </w:r>
      <w:r>
        <w:rPr/>
        <w:t>讯</w:t>
      </w:r>
      <w:r>
        <w:rPr>
          <w:spacing w:val="-62"/>
        </w:rPr>
        <w:t> </w:t>
      </w:r>
      <w:r>
        <w:rPr/>
        <w:t>网</w:t>
      </w:r>
      <w:r>
        <w:rPr>
          <w:spacing w:val="-62"/>
        </w:rPr>
        <w:t> </w:t>
      </w:r>
      <w:r>
        <w:rPr/>
        <w:t>站</w:t>
      </w:r>
    </w:p>
    <w:p>
      <w:pPr>
        <w:pStyle w:val="BodyText"/>
        <w:spacing w:line="240" w:lineRule="auto" w:before="9"/>
        <w:ind w:right="0"/>
        <w:jc w:val="left"/>
      </w:pPr>
      <w:r>
        <w:rPr/>
        <w:t>（</w:t>
      </w:r>
      <w:hyperlink r:id="rId15">
        <w:r>
          <w:rPr>
            <w:rFonts w:ascii="Times New Roman" w:hAnsi="Times New Roman" w:cs="Times New Roman" w:eastAsia="Times New Roman" w:hint="default"/>
            <w:spacing w:val="-1"/>
            <w:w w:val="99"/>
          </w:rPr>
          <w:t>ww</w:t>
        </w:r>
        <w:r>
          <w:rPr>
            <w:rFonts w:ascii="Times New Roman" w:hAnsi="Times New Roman" w:cs="Times New Roman" w:eastAsia="Times New Roman" w:hint="default"/>
            <w:spacing w:val="-8"/>
            <w:w w:val="99"/>
          </w:rPr>
          <w:t>w</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1"/>
            <w:w w:val="99"/>
          </w:rPr>
          <w:t>c</w:t>
        </w:r>
        <w:r>
          <w:rPr>
            <w:rFonts w:ascii="Times New Roman" w:hAnsi="Times New Roman" w:cs="Times New Roman" w:eastAsia="Times New Roman" w:hint="default"/>
            <w:spacing w:val="1"/>
          </w:rPr>
          <w:t>n</w:t>
        </w:r>
        <w:r>
          <w:rPr>
            <w:rFonts w:ascii="Times New Roman" w:hAnsi="Times New Roman" w:cs="Times New Roman" w:eastAsia="Times New Roman" w:hint="default"/>
            <w:spacing w:val="-2"/>
            <w:w w:val="99"/>
          </w:rPr>
          <w:t>i</w:t>
        </w:r>
        <w:r>
          <w:rPr>
            <w:rFonts w:ascii="Times New Roman" w:hAnsi="Times New Roman" w:cs="Times New Roman" w:eastAsia="Times New Roman" w:hint="default"/>
            <w:spacing w:val="1"/>
          </w:rPr>
          <w:t>n</w:t>
        </w:r>
        <w:r>
          <w:rPr>
            <w:rFonts w:ascii="Times New Roman" w:hAnsi="Times New Roman" w:cs="Times New Roman" w:eastAsia="Times New Roman" w:hint="default"/>
            <w:spacing w:val="-3"/>
          </w:rPr>
          <w:t>f</w:t>
        </w:r>
        <w:r>
          <w:rPr>
            <w:rFonts w:ascii="Times New Roman" w:hAnsi="Times New Roman" w:cs="Times New Roman" w:eastAsia="Times New Roman" w:hint="default"/>
            <w:spacing w:val="1"/>
          </w:rPr>
          <w:t>o</w:t>
        </w:r>
        <w:r>
          <w:rPr>
            <w:rFonts w:ascii="Times New Roman" w:hAnsi="Times New Roman" w:cs="Times New Roman" w:eastAsia="Times New Roman" w:hint="default"/>
          </w:rPr>
          <w:t>.</w:t>
        </w:r>
        <w:r>
          <w:rPr>
            <w:rFonts w:ascii="Times New Roman" w:hAnsi="Times New Roman" w:cs="Times New Roman" w:eastAsia="Times New Roman" w:hint="default"/>
            <w:spacing w:val="-1"/>
            <w:w w:val="99"/>
          </w:rPr>
          <w:t>c</w:t>
        </w:r>
        <w:r>
          <w:rPr>
            <w:rFonts w:ascii="Times New Roman" w:hAnsi="Times New Roman" w:cs="Times New Roman" w:eastAsia="Times New Roman" w:hint="default"/>
            <w:spacing w:val="1"/>
          </w:rPr>
          <w:t>o</w:t>
        </w:r>
        <w:r>
          <w:rPr>
            <w:rFonts w:ascii="Times New Roman" w:hAnsi="Times New Roman" w:cs="Times New Roman" w:eastAsia="Times New Roman" w:hint="default"/>
            <w:spacing w:val="-4"/>
            <w:w w:val="99"/>
          </w:rPr>
          <w:t>m</w:t>
        </w:r>
        <w:r>
          <w:rPr>
            <w:rFonts w:ascii="Times New Roman" w:hAnsi="Times New Roman" w:cs="Times New Roman" w:eastAsia="Times New Roman" w:hint="default"/>
          </w:rPr>
          <w:t>.</w:t>
        </w:r>
        <w:r>
          <w:rPr>
            <w:rFonts w:ascii="Times New Roman" w:hAnsi="Times New Roman" w:cs="Times New Roman" w:eastAsia="Times New Roman" w:hint="default"/>
            <w:spacing w:val="-1"/>
            <w:w w:val="99"/>
          </w:rPr>
          <w:t>c</w:t>
        </w:r>
        <w:r>
          <w:rPr>
            <w:rFonts w:ascii="Times New Roman" w:hAnsi="Times New Roman" w:cs="Times New Roman" w:eastAsia="Times New Roman" w:hint="default"/>
            <w:spacing w:val="1"/>
          </w:rPr>
          <w:t>n</w:t>
        </w:r>
      </w:hyperlink>
      <w:r>
        <w:rPr/>
        <w:t>）披露的公告（公告编号：</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8</w:t>
      </w:r>
      <w:r>
        <w:rPr>
          <w:rFonts w:ascii="Times New Roman" w:hAnsi="Times New Roman" w:cs="Times New Roman" w:eastAsia="Times New Roman" w:hint="default"/>
        </w:rPr>
        <w:t>-</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4</w:t>
      </w:r>
      <w:r>
        <w:rPr>
          <w:rFonts w:ascii="Times New Roman" w:hAnsi="Times New Roman" w:cs="Times New Roman" w:eastAsia="Times New Roman" w:hint="default"/>
          <w:spacing w:val="1"/>
        </w:rPr>
        <w:t>0</w:t>
      </w:r>
      <w:r>
        <w:rPr/>
        <w:t>、</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8</w:t>
      </w:r>
      <w:r>
        <w:rPr>
          <w:rFonts w:ascii="Times New Roman" w:hAnsi="Times New Roman" w:cs="Times New Roman" w:eastAsia="Times New Roman" w:hint="default"/>
        </w:rPr>
        <w:t>-</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41</w:t>
      </w:r>
      <w:r>
        <w:rPr/>
        <w:t>、</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8</w:t>
      </w:r>
      <w:r>
        <w:rPr>
          <w:rFonts w:ascii="Times New Roman" w:hAnsi="Times New Roman" w:cs="Times New Roman" w:eastAsia="Times New Roman" w:hint="default"/>
        </w:rPr>
        <w:t>-</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5</w:t>
      </w:r>
      <w:r>
        <w:rPr>
          <w:rFonts w:ascii="Times New Roman" w:hAnsi="Times New Roman" w:cs="Times New Roman" w:eastAsia="Times New Roman" w:hint="default"/>
          <w:spacing w:val="1"/>
        </w:rPr>
        <w:t>8</w:t>
      </w:r>
      <w:r>
        <w:rPr>
          <w:spacing w:val="-92"/>
        </w:rPr>
        <w:t>）</w:t>
      </w:r>
      <w:r>
        <w:rPr/>
        <w:t>。</w:t>
      </w:r>
    </w:p>
    <w:p>
      <w:pPr>
        <w:pStyle w:val="BodyText"/>
        <w:spacing w:line="302" w:lineRule="auto" w:before="101"/>
        <w:ind w:right="1123" w:firstLine="360"/>
        <w:jc w:val="both"/>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w:t>
      </w:r>
      <w:r>
        <w:rPr/>
        <w:t>日，公司召开第六届董事会第十一次会议和第六届监事会第九次会议，审议通过了《关于调整股票期权 </w:t>
      </w:r>
      <w:r>
        <w:rPr>
          <w:spacing w:val="-5"/>
        </w:rPr>
        <w:t>与限制性股票激励计划相关事项的议案》、《关于对股票期权与限制性股票激励计划部分股票期权注销的议案》及《关于股票</w:t>
      </w:r>
      <w:r>
        <w:rPr>
          <w:spacing w:val="-76"/>
        </w:rPr>
        <w:t> </w:t>
      </w:r>
      <w:r>
        <w:rPr>
          <w:spacing w:val="-76"/>
        </w:rPr>
      </w:r>
      <w:r>
        <w:rPr>
          <w:spacing w:val="-1"/>
        </w:rPr>
        <w:t>期权与限制性股票激励计划预留授予部分限制性股票第二个解锁期解锁条件成就的议案》。鉴于公司原激励对象方云楼等</w:t>
      </w:r>
      <w:r>
        <w:rPr>
          <w:rFonts w:ascii="Times New Roman" w:hAnsi="Times New Roman" w:cs="Times New Roman" w:eastAsia="Times New Roman" w:hint="default"/>
          <w:spacing w:val="-1"/>
        </w:rPr>
        <w:t>6 </w:t>
      </w:r>
      <w:r>
        <w:rPr>
          <w:spacing w:val="-1"/>
        </w:rPr>
        <w:t>人因已离职不符合激励条件，根据公司股权激励计划，公司拟对相关激励对象已获授（含已获准行权）但尚未行权的</w:t>
      </w:r>
      <w:r>
        <w:rPr>
          <w:rFonts w:ascii="Times New Roman" w:hAnsi="Times New Roman" w:cs="Times New Roman" w:eastAsia="Times New Roman" w:hint="default"/>
          <w:spacing w:val="-1"/>
        </w:rPr>
        <w:t>13,500</w:t>
      </w:r>
      <w:r>
        <w:rPr>
          <w:rFonts w:ascii="Times New Roman" w:hAnsi="Times New Roman" w:cs="Times New Roman" w:eastAsia="Times New Roman" w:hint="default"/>
          <w:spacing w:val="-26"/>
        </w:rPr>
        <w:t> </w:t>
      </w:r>
      <w:r>
        <w:rPr>
          <w:rFonts w:ascii="Times New Roman" w:hAnsi="Times New Roman" w:cs="Times New Roman" w:eastAsia="Times New Roman" w:hint="default"/>
          <w:spacing w:val="-26"/>
        </w:rPr>
      </w:r>
      <w:r>
        <w:rPr/>
        <w:t>份股票期权进行注销，对其已获授但尚未解锁的</w:t>
      </w:r>
      <w:r>
        <w:rPr>
          <w:rFonts w:ascii="Times New Roman" w:hAnsi="Times New Roman" w:cs="Times New Roman" w:eastAsia="Times New Roman" w:hint="default"/>
        </w:rPr>
        <w:t>11,400</w:t>
      </w:r>
      <w:r>
        <w:rPr/>
        <w:t>股限制性股票回购注销，其中首次授予部分</w:t>
      </w:r>
      <w:r>
        <w:rPr>
          <w:rFonts w:ascii="Times New Roman" w:hAnsi="Times New Roman" w:cs="Times New Roman" w:eastAsia="Times New Roman" w:hint="default"/>
        </w:rPr>
        <w:t>6,000</w:t>
      </w:r>
      <w:r>
        <w:rPr/>
        <w:t>股，预留授予部分</w:t>
      </w:r>
      <w:r>
        <w:rPr>
          <w:spacing w:val="-14"/>
        </w:rPr>
        <w:t> </w:t>
      </w:r>
      <w:r>
        <w:rPr>
          <w:spacing w:val="-14"/>
        </w:rPr>
      </w:r>
      <w:r>
        <w:rPr>
          <w:rFonts w:ascii="Times New Roman" w:hAnsi="Times New Roman" w:cs="Times New Roman" w:eastAsia="Times New Roman" w:hint="default"/>
          <w:spacing w:val="-1"/>
        </w:rPr>
        <w:t>5,400</w:t>
      </w:r>
      <w:r>
        <w:rPr>
          <w:spacing w:val="-1"/>
        </w:rPr>
        <w:t>股。董事会认为，除</w:t>
      </w:r>
      <w:r>
        <w:rPr>
          <w:rFonts w:ascii="Times New Roman" w:hAnsi="Times New Roman" w:cs="Times New Roman" w:eastAsia="Times New Roman" w:hint="default"/>
          <w:spacing w:val="-1"/>
        </w:rPr>
        <w:t>1</w:t>
      </w:r>
      <w:r>
        <w:rPr>
          <w:spacing w:val="-1"/>
        </w:rPr>
        <w:t>名激励对象因已离职不符合激励条件外，公司本次激励计划预留授予部分限制性股票第二个解锁</w:t>
      </w:r>
      <w:r>
        <w:rPr>
          <w:spacing w:val="-71"/>
        </w:rPr>
        <w:t> </w:t>
      </w:r>
      <w:r>
        <w:rPr>
          <w:spacing w:val="-71"/>
        </w:rPr>
      </w:r>
      <w:r>
        <w:rPr/>
        <w:t>期解锁条件已满足，同意解锁</w:t>
      </w:r>
      <w:r>
        <w:rPr>
          <w:rFonts w:ascii="Times New Roman" w:hAnsi="Times New Roman" w:cs="Times New Roman" w:eastAsia="Times New Roman" w:hint="default"/>
        </w:rPr>
        <w:t>24</w:t>
      </w:r>
      <w:r>
        <w:rPr/>
        <w:t>名激励对象第二个解锁期限制性股票，并授权公司证券部办理相关解锁登记手续。</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rFonts w:ascii="Times New Roman" w:hAnsi="Times New Roman" w:cs="Times New Roman" w:eastAsia="Times New Roman" w:hint="default"/>
          <w:spacing w:val="-40"/>
        </w:rPr>
        <w:t> </w:t>
      </w:r>
      <w:r>
        <w:rPr>
          <w:spacing w:val="-2"/>
        </w:rPr>
        <w:t>月</w:t>
      </w:r>
      <w:r>
        <w:rPr>
          <w:rFonts w:ascii="Times New Roman" w:hAnsi="Times New Roman" w:cs="Times New Roman" w:eastAsia="Times New Roman" w:hint="default"/>
          <w:spacing w:val="-2"/>
        </w:rPr>
        <w:t>17</w:t>
      </w:r>
      <w:r>
        <w:rPr>
          <w:spacing w:val="-2"/>
        </w:rPr>
        <w:t>日，公司《股票期权与限制性股票激励计划》预留授予部分限制性股票第二个解锁期的解除限售手续已在中国证券登记</w:t>
      </w:r>
      <w:r>
        <w:rPr>
          <w:spacing w:val="-64"/>
        </w:rPr>
        <w:t> </w:t>
      </w:r>
      <w:r>
        <w:rPr>
          <w:spacing w:val="-64"/>
        </w:rPr>
      </w:r>
      <w:r>
        <w:rPr/>
        <w:t>结算有限责任公司深圳分公司办理完毕，本次解除限售的限制性股票数量为</w:t>
      </w:r>
      <w:r>
        <w:rPr>
          <w:rFonts w:ascii="Times New Roman" w:hAnsi="Times New Roman" w:cs="Times New Roman" w:eastAsia="Times New Roman" w:hint="default"/>
        </w:rPr>
        <w:t>220,050</w:t>
      </w:r>
      <w:r>
        <w:rPr/>
        <w:t>股，占公司总股本的比例为</w:t>
      </w:r>
      <w:r>
        <w:rPr>
          <w:rFonts w:ascii="Times New Roman" w:hAnsi="Times New Roman" w:cs="Times New Roman" w:eastAsia="Times New Roman" w:hint="default"/>
        </w:rPr>
        <w:t>0.091%</w:t>
      </w:r>
      <w:r>
        <w:rPr/>
        <w:t>，解</w:t>
      </w:r>
      <w:r>
        <w:rPr>
          <w:spacing w:val="-65"/>
        </w:rPr>
        <w:t> </w:t>
      </w:r>
      <w:r>
        <w:rPr/>
        <w:t>除限售的股权激励股份上市流通日为</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21</w:t>
      </w:r>
      <w:r>
        <w:rPr/>
        <w:t>日（星期一；上述股票期权注销手续，已于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5</w:t>
      </w:r>
      <w:r>
        <w:rPr/>
        <w:t>日办理完毕；上述 </w:t>
      </w:r>
      <w:r>
        <w:rPr>
          <w:spacing w:val="-1"/>
        </w:rPr>
        <w:t>限制性股票回购注销手续，已于</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10</w:t>
      </w:r>
      <w:r>
        <w:rPr>
          <w:spacing w:val="-1"/>
        </w:rPr>
        <w:t>月</w:t>
      </w:r>
      <w:r>
        <w:rPr>
          <w:rFonts w:ascii="Times New Roman" w:hAnsi="Times New Roman" w:cs="Times New Roman" w:eastAsia="Times New Roman" w:hint="default"/>
          <w:spacing w:val="-1"/>
        </w:rPr>
        <w:t>8</w:t>
      </w:r>
      <w:r>
        <w:rPr>
          <w:spacing w:val="-1"/>
        </w:rPr>
        <w:t>日办理完毕。具体内容详见公司在巨潮资讯网站（</w:t>
      </w:r>
      <w:hyperlink r:id="rId15">
        <w:r>
          <w:rPr>
            <w:rFonts w:ascii="Times New Roman" w:hAnsi="Times New Roman" w:cs="Times New Roman" w:eastAsia="Times New Roman" w:hint="default"/>
            <w:spacing w:val="-1"/>
          </w:rPr>
          <w:t>www.cninfo.com.cn</w:t>
        </w:r>
      </w:hyperlink>
      <w:r>
        <w:rPr>
          <w:spacing w:val="-1"/>
        </w:rPr>
        <w:t>）披露的</w:t>
      </w:r>
      <w:r>
        <w:rPr>
          <w:spacing w:val="-43"/>
        </w:rPr>
        <w:t> </w:t>
      </w:r>
      <w:r>
        <w:rPr>
          <w:spacing w:val="-2"/>
        </w:rPr>
        <w:t>公告（公告编号：</w:t>
      </w:r>
      <w:r>
        <w:rPr>
          <w:rFonts w:ascii="Times New Roman" w:hAnsi="Times New Roman" w:cs="Times New Roman" w:eastAsia="Times New Roman" w:hint="default"/>
          <w:spacing w:val="-2"/>
        </w:rPr>
        <w:t>2018-049</w:t>
      </w:r>
      <w:r>
        <w:rPr>
          <w:spacing w:val="-2"/>
        </w:rPr>
        <w:t>、</w:t>
      </w:r>
      <w:r>
        <w:rPr>
          <w:rFonts w:ascii="Times New Roman" w:hAnsi="Times New Roman" w:cs="Times New Roman" w:eastAsia="Times New Roman" w:hint="default"/>
          <w:spacing w:val="-2"/>
        </w:rPr>
        <w:t>2018-050</w:t>
      </w:r>
      <w:r>
        <w:rPr>
          <w:spacing w:val="-2"/>
        </w:rPr>
        <w:t>、</w:t>
      </w:r>
      <w:r>
        <w:rPr>
          <w:rFonts w:ascii="Times New Roman" w:hAnsi="Times New Roman" w:cs="Times New Roman" w:eastAsia="Times New Roman" w:hint="default"/>
          <w:spacing w:val="-2"/>
        </w:rPr>
        <w:t>2018-051</w:t>
      </w:r>
      <w:r>
        <w:rPr>
          <w:spacing w:val="-2"/>
        </w:rPr>
        <w:t>、</w:t>
      </w:r>
      <w:r>
        <w:rPr>
          <w:rFonts w:ascii="Times New Roman" w:hAnsi="Times New Roman" w:cs="Times New Roman" w:eastAsia="Times New Roman" w:hint="default"/>
          <w:spacing w:val="-2"/>
        </w:rPr>
        <w:t>2018-054</w:t>
      </w:r>
      <w:r>
        <w:rPr>
          <w:spacing w:val="-2"/>
        </w:rPr>
        <w:t>、</w:t>
      </w:r>
      <w:r>
        <w:rPr>
          <w:rFonts w:ascii="Times New Roman" w:hAnsi="Times New Roman" w:cs="Times New Roman" w:eastAsia="Times New Roman" w:hint="default"/>
          <w:spacing w:val="-2"/>
        </w:rPr>
        <w:t>2018-058</w:t>
      </w:r>
      <w:r>
        <w:rPr>
          <w:spacing w:val="-2"/>
        </w:rPr>
        <w:t>、</w:t>
      </w:r>
      <w:r>
        <w:rPr>
          <w:rFonts w:ascii="Times New Roman" w:hAnsi="Times New Roman" w:cs="Times New Roman" w:eastAsia="Times New Roman" w:hint="default"/>
          <w:spacing w:val="-2"/>
        </w:rPr>
        <w:t>2018-078</w:t>
      </w:r>
      <w:r>
        <w:rPr>
          <w:spacing w:val="-2"/>
        </w:rPr>
        <w:t>）。</w:t>
      </w:r>
    </w:p>
    <w:p>
      <w:pPr>
        <w:pStyle w:val="BodyText"/>
        <w:spacing w:line="302" w:lineRule="auto" w:before="52"/>
        <w:ind w:right="1125" w:firstLine="360"/>
        <w:jc w:val="both"/>
      </w:pPr>
      <w:r>
        <w:rPr>
          <w:rFonts w:ascii="Times New Roman" w:hAnsi="Times New Roman" w:cs="Times New Roman" w:eastAsia="Times New Roman" w:hint="default"/>
          <w:spacing w:val="-2"/>
        </w:rPr>
        <w:t>4</w:t>
      </w:r>
      <w:r>
        <w:rPr>
          <w:spacing w:val="-2"/>
        </w:rPr>
        <w:t>、</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7</w:t>
      </w:r>
      <w:r>
        <w:rPr>
          <w:spacing w:val="-2"/>
        </w:rPr>
        <w:t>月</w:t>
      </w:r>
      <w:r>
        <w:rPr>
          <w:rFonts w:ascii="Times New Roman" w:hAnsi="Times New Roman" w:cs="Times New Roman" w:eastAsia="Times New Roman" w:hint="default"/>
          <w:spacing w:val="-2"/>
        </w:rPr>
        <w:t>10</w:t>
      </w:r>
      <w:r>
        <w:rPr>
          <w:spacing w:val="-2"/>
        </w:rPr>
        <w:t>日，公司召开第六届董事会第十二次会议和第六届监事会第十次会议，审议通过了《关于调整股票期权</w:t>
      </w:r>
      <w:r>
        <w:rPr/>
        <w:t> </w:t>
      </w:r>
      <w:r>
        <w:rPr>
          <w:spacing w:val="-5"/>
        </w:rPr>
        <w:t>与限制性股票激励计划相关事项的议案》、《关于对股票期权与限制性股票激励计划部分限制性股票回购注销的议案》。鉴于</w:t>
      </w:r>
      <w:r>
        <w:rPr>
          <w:spacing w:val="-79"/>
        </w:rPr>
        <w:t> </w:t>
      </w:r>
      <w:r>
        <w:rPr>
          <w:spacing w:val="-79"/>
        </w:rPr>
      </w:r>
      <w:r>
        <w:rPr/>
        <w:t>公司已完成</w:t>
      </w:r>
      <w:r>
        <w:rPr>
          <w:rFonts w:ascii="Times New Roman" w:hAnsi="Times New Roman" w:cs="Times New Roman" w:eastAsia="Times New Roman" w:hint="default"/>
        </w:rPr>
        <w:t>2017</w:t>
      </w:r>
      <w:r>
        <w:rPr/>
        <w:t>年度权益分派及公司原激励对象张浩等</w:t>
      </w:r>
      <w:r>
        <w:rPr>
          <w:rFonts w:ascii="Times New Roman" w:hAnsi="Times New Roman" w:cs="Times New Roman" w:eastAsia="Times New Roman" w:hint="default"/>
        </w:rPr>
        <w:t>5</w:t>
      </w:r>
      <w:r>
        <w:rPr/>
        <w:t>人因已离职不符合激励条件，根据公司股权激励计划，对股票期权</w:t>
      </w:r>
      <w:r>
        <w:rPr>
          <w:spacing w:val="-86"/>
        </w:rPr>
        <w:t> </w:t>
      </w:r>
      <w:r>
        <w:rPr>
          <w:spacing w:val="-86"/>
        </w:rPr>
      </w:r>
      <w:r>
        <w:rPr>
          <w:spacing w:val="-1"/>
        </w:rPr>
        <w:t>和限制性股票激励计划的相应参数数量和价格进行调整，同时拟对相关激励对象已获授但尚未解锁的</w:t>
      </w:r>
      <w:r>
        <w:rPr>
          <w:rFonts w:ascii="Times New Roman" w:hAnsi="Times New Roman" w:cs="Times New Roman" w:eastAsia="Times New Roman" w:hint="default"/>
          <w:spacing w:val="-1"/>
        </w:rPr>
        <w:t>51,900</w:t>
      </w:r>
      <w:r>
        <w:rPr>
          <w:spacing w:val="-1"/>
        </w:rPr>
        <w:t>股（已考虑</w:t>
      </w:r>
      <w:r>
        <w:rPr>
          <w:rFonts w:ascii="Times New Roman" w:hAnsi="Times New Roman" w:cs="Times New Roman" w:eastAsia="Times New Roman" w:hint="default"/>
          <w:spacing w:val="-1"/>
        </w:rPr>
        <w:t>2017</w:t>
      </w:r>
      <w:r>
        <w:rPr>
          <w:rFonts w:ascii="Times New Roman" w:hAnsi="Times New Roman" w:cs="Times New Roman" w:eastAsia="Times New Roman" w:hint="default"/>
          <w:spacing w:val="-27"/>
        </w:rPr>
        <w:t> </w:t>
      </w:r>
      <w:r>
        <w:rPr>
          <w:rFonts w:ascii="Times New Roman" w:hAnsi="Times New Roman" w:cs="Times New Roman" w:eastAsia="Times New Roman" w:hint="default"/>
          <w:spacing w:val="-27"/>
        </w:rPr>
      </w:r>
      <w:r>
        <w:rPr>
          <w:spacing w:val="-2"/>
        </w:rPr>
        <w:t>年度权益分派的影响）限制性股票回购注销，其中首次授予部分</w:t>
      </w:r>
      <w:r>
        <w:rPr>
          <w:rFonts w:ascii="Times New Roman" w:hAnsi="Times New Roman" w:cs="Times New Roman" w:eastAsia="Times New Roman" w:hint="default"/>
          <w:spacing w:val="-2"/>
        </w:rPr>
        <w:t>46,500</w:t>
      </w:r>
      <w:r>
        <w:rPr>
          <w:spacing w:val="-2"/>
        </w:rPr>
        <w:t>股，预留授予部分</w:t>
      </w:r>
      <w:r>
        <w:rPr>
          <w:rFonts w:ascii="Times New Roman" w:hAnsi="Times New Roman" w:cs="Times New Roman" w:eastAsia="Times New Roman" w:hint="default"/>
          <w:spacing w:val="-2"/>
        </w:rPr>
        <w:t>5,400</w:t>
      </w:r>
      <w:r>
        <w:rPr>
          <w:spacing w:val="-2"/>
        </w:rPr>
        <w:t>股，上述限制性股票回购注销</w:t>
      </w:r>
      <w:r>
        <w:rPr>
          <w:spacing w:val="-58"/>
        </w:rPr>
        <w:t> </w:t>
      </w:r>
      <w:r>
        <w:rPr>
          <w:spacing w:val="-58"/>
        </w:rPr>
      </w:r>
      <w:r>
        <w:rPr>
          <w:spacing w:val="2"/>
        </w:rPr>
        <w:t>手续，已于</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10</w:t>
      </w:r>
      <w:r>
        <w:rPr>
          <w:spacing w:val="2"/>
        </w:rPr>
        <w:t>月</w:t>
      </w:r>
      <w:r>
        <w:rPr>
          <w:rFonts w:ascii="Times New Roman" w:hAnsi="Times New Roman" w:cs="Times New Roman" w:eastAsia="Times New Roman" w:hint="default"/>
          <w:spacing w:val="2"/>
        </w:rPr>
        <w:t>8</w:t>
      </w:r>
      <w:r>
        <w:rPr>
          <w:spacing w:val="2"/>
        </w:rPr>
        <w:t>日办理完毕。具体内容详见公司在巨潮资讯网站（</w:t>
      </w:r>
      <w:hyperlink r:id="rId15">
        <w:r>
          <w:rPr>
            <w:rFonts w:ascii="Times New Roman" w:hAnsi="Times New Roman" w:cs="Times New Roman" w:eastAsia="Times New Roman" w:hint="default"/>
            <w:spacing w:val="2"/>
          </w:rPr>
          <w:t>www.cninfo.com.cn</w:t>
        </w:r>
      </w:hyperlink>
      <w:r>
        <w:rPr>
          <w:spacing w:val="2"/>
        </w:rPr>
        <w:t>）披露的公告（公告编号：</w:t>
      </w:r>
      <w:r>
        <w:rPr/>
        <w:t> </w:t>
      </w:r>
      <w:r>
        <w:rPr>
          <w:rFonts w:ascii="Times New Roman" w:hAnsi="Times New Roman" w:cs="Times New Roman" w:eastAsia="Times New Roman" w:hint="default"/>
          <w:spacing w:val="-4"/>
        </w:rPr>
        <w:t>2018-062</w:t>
      </w:r>
      <w:r>
        <w:rPr>
          <w:spacing w:val="-4"/>
        </w:rPr>
        <w:t>、</w:t>
      </w:r>
      <w:r>
        <w:rPr>
          <w:rFonts w:ascii="Times New Roman" w:hAnsi="Times New Roman" w:cs="Times New Roman" w:eastAsia="Times New Roman" w:hint="default"/>
          <w:spacing w:val="-4"/>
        </w:rPr>
        <w:t>2018-063</w:t>
      </w:r>
      <w:r>
        <w:rPr>
          <w:spacing w:val="-4"/>
        </w:rPr>
        <w:t>、</w:t>
      </w:r>
      <w:r>
        <w:rPr>
          <w:rFonts w:ascii="Times New Roman" w:hAnsi="Times New Roman" w:cs="Times New Roman" w:eastAsia="Times New Roman" w:hint="default"/>
          <w:spacing w:val="-4"/>
        </w:rPr>
        <w:t>2018-078</w:t>
      </w:r>
      <w:r>
        <w:rPr>
          <w:spacing w:val="-4"/>
        </w:rPr>
        <w:t>）。</w:t>
      </w:r>
    </w:p>
    <w:p>
      <w:pPr>
        <w:pStyle w:val="BodyText"/>
        <w:spacing w:line="307" w:lineRule="auto" w:before="52"/>
        <w:ind w:right="1034" w:firstLine="360"/>
        <w:jc w:val="left"/>
      </w:pPr>
      <w:r>
        <w:rPr>
          <w:rFonts w:ascii="Times New Roman" w:hAnsi="Times New Roman" w:cs="Times New Roman" w:eastAsia="Times New Roman" w:hint="default"/>
          <w:spacing w:val="-2"/>
        </w:rPr>
        <w:t>5</w:t>
      </w:r>
      <w:r>
        <w:rPr>
          <w:spacing w:val="-2"/>
        </w:rPr>
        <w:t>、</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9</w:t>
      </w:r>
      <w:r>
        <w:rPr>
          <w:spacing w:val="-2"/>
        </w:rPr>
        <w:t>月</w:t>
      </w:r>
      <w:r>
        <w:rPr>
          <w:rFonts w:ascii="Times New Roman" w:hAnsi="Times New Roman" w:cs="Times New Roman" w:eastAsia="Times New Roman" w:hint="default"/>
          <w:spacing w:val="-2"/>
        </w:rPr>
        <w:t>14</w:t>
      </w:r>
      <w:r>
        <w:rPr>
          <w:spacing w:val="-2"/>
        </w:rPr>
        <w:t>日，公司股权激励计划股票期权第二个行权期自主行权事项已获深圳证券交易所审核通过，且公司已在</w:t>
      </w:r>
      <w:r>
        <w:rPr/>
        <w:t> </w:t>
      </w:r>
      <w:r>
        <w:rPr>
          <w:spacing w:val="-2"/>
        </w:rPr>
        <w:t>中国证券登记结算有限责任公司深圳分公司完成自主行权相关登记申报工作。公司股权激励计划首次授予期权第二个可行权</w:t>
      </w:r>
      <w:r>
        <w:rPr>
          <w:spacing w:val="-64"/>
        </w:rPr>
        <w:t> </w:t>
      </w:r>
      <w:r>
        <w:rPr>
          <w:spacing w:val="-64"/>
        </w:rPr>
      </w:r>
      <w:r>
        <w:rPr/>
        <w:t>期实际可行权人数为</w:t>
      </w:r>
      <w:r>
        <w:rPr>
          <w:rFonts w:ascii="Times New Roman" w:hAnsi="Times New Roman" w:cs="Times New Roman" w:eastAsia="Times New Roman" w:hint="default"/>
        </w:rPr>
        <w:t>155</w:t>
      </w:r>
      <w:r>
        <w:rPr/>
        <w:t>名，可行权股票期权共计</w:t>
      </w:r>
      <w:r>
        <w:rPr>
          <w:rFonts w:ascii="Times New Roman" w:hAnsi="Times New Roman" w:cs="Times New Roman" w:eastAsia="Times New Roman" w:hint="default"/>
        </w:rPr>
        <w:t>49.086</w:t>
      </w:r>
      <w:r>
        <w:rPr/>
        <w:t>万份。激励对象在第二个行权期可自主行权股票期权共</w:t>
      </w:r>
      <w:r>
        <w:rPr>
          <w:rFonts w:ascii="Times New Roman" w:hAnsi="Times New Roman" w:cs="Times New Roman" w:eastAsia="Times New Roman" w:hint="default"/>
        </w:rPr>
        <w:t>49.086</w:t>
      </w:r>
      <w:r>
        <w:rPr/>
        <w:t>万份， 实际行权期限为</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17</w:t>
      </w:r>
      <w:r>
        <w:rPr/>
        <w:t>日至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29</w:t>
      </w:r>
      <w:r>
        <w:rPr/>
        <w:t>日，本次可行权期权行权价格为</w:t>
      </w:r>
      <w:r>
        <w:rPr>
          <w:rFonts w:ascii="Times New Roman" w:hAnsi="Times New Roman" w:cs="Times New Roman" w:eastAsia="Times New Roman" w:hint="default"/>
        </w:rPr>
        <w:t>20.57</w:t>
      </w:r>
      <w:r>
        <w:rPr/>
        <w:t>元。具体内容详见公司在巨潮资讯网站</w:t>
      </w:r>
    </w:p>
    <w:p>
      <w:pPr>
        <w:pStyle w:val="BodyText"/>
        <w:spacing w:line="240" w:lineRule="auto" w:before="7"/>
        <w:ind w:right="0"/>
        <w:jc w:val="left"/>
      </w:pPr>
      <w:r>
        <w:rPr/>
        <w:t>（</w:t>
      </w:r>
      <w:hyperlink r:id="rId15">
        <w:r>
          <w:rPr>
            <w:rFonts w:ascii="Times New Roman" w:hAnsi="Times New Roman" w:cs="Times New Roman" w:eastAsia="Times New Roman" w:hint="default"/>
          </w:rPr>
          <w:t>www.cninfo.com.cn</w:t>
        </w:r>
      </w:hyperlink>
      <w:r>
        <w:rPr/>
        <w:t>）披露的公告（公告编号：</w:t>
      </w:r>
      <w:r>
        <w:rPr>
          <w:rFonts w:ascii="Times New Roman" w:hAnsi="Times New Roman" w:cs="Times New Roman" w:eastAsia="Times New Roman" w:hint="default"/>
        </w:rPr>
        <w:t>2018-077</w:t>
      </w:r>
      <w:r>
        <w:rPr/>
        <w:t>）</w:t>
      </w:r>
    </w:p>
    <w:p>
      <w:pPr>
        <w:pStyle w:val="BodyText"/>
        <w:spacing w:line="300" w:lineRule="auto" w:before="101"/>
        <w:ind w:right="1132" w:firstLine="360"/>
        <w:jc w:val="both"/>
      </w:pPr>
      <w:r>
        <w:rPr>
          <w:rFonts w:ascii="Times New Roman" w:hAnsi="Times New Roman" w:cs="Times New Roman" w:eastAsia="Times New Roman" w:hint="default"/>
        </w:rPr>
        <w:t>6</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11</w:t>
      </w:r>
      <w:r>
        <w:rPr/>
        <w:t>日，公司召开第六届董事会第十四次会议和第六届监事会第十二次会议，审议通过了《关于调整股票 </w:t>
      </w:r>
      <w:r>
        <w:rPr>
          <w:spacing w:val="-5"/>
        </w:rPr>
        <w:t>期权与限制性股票激励计划相关事项的议案》、《关于对股票期权与限制性股票激励计划部分激励股份回购注销的议案》。鉴</w:t>
      </w:r>
    </w:p>
    <w:p>
      <w:pPr>
        <w:spacing w:after="0" w:line="300" w:lineRule="auto"/>
        <w:jc w:val="both"/>
        <w:sectPr>
          <w:headerReference w:type="default" r:id="rId32"/>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00" w:lineRule="auto" w:before="44"/>
        <w:ind w:right="1130"/>
        <w:jc w:val="both"/>
      </w:pPr>
      <w:r>
        <w:rPr>
          <w:spacing w:val="-2"/>
        </w:rPr>
        <w:t>于公司原激励对象张洋等</w:t>
      </w:r>
      <w:r>
        <w:rPr>
          <w:rFonts w:ascii="Times New Roman" w:hAnsi="Times New Roman" w:cs="Times New Roman" w:eastAsia="Times New Roman" w:hint="default"/>
          <w:spacing w:val="-2"/>
        </w:rPr>
        <w:t>12</w:t>
      </w:r>
      <w:r>
        <w:rPr>
          <w:spacing w:val="-2"/>
        </w:rPr>
        <w:t>人因已离职不符合激励条件，根据公司股权激励计划，公司拟对相关激励对象已获授（含已获准</w:t>
      </w:r>
      <w:r>
        <w:rPr>
          <w:spacing w:val="-62"/>
        </w:rPr>
        <w:t> </w:t>
      </w:r>
      <w:r>
        <w:rPr>
          <w:spacing w:val="-62"/>
        </w:rPr>
      </w:r>
      <w:r>
        <w:rPr/>
        <w:t>行权）但尚未行权的</w:t>
      </w:r>
      <w:r>
        <w:rPr>
          <w:rFonts w:ascii="Times New Roman" w:hAnsi="Times New Roman" w:cs="Times New Roman" w:eastAsia="Times New Roman" w:hint="default"/>
        </w:rPr>
        <w:t>57,375</w:t>
      </w:r>
      <w:r>
        <w:rPr/>
        <w:t>份股票期权进行注销，对其已获授但尚未解锁的</w:t>
      </w:r>
      <w:r>
        <w:rPr>
          <w:rFonts w:ascii="Times New Roman" w:hAnsi="Times New Roman" w:cs="Times New Roman" w:eastAsia="Times New Roman" w:hint="default"/>
        </w:rPr>
        <w:t>18,752</w:t>
      </w:r>
      <w:r>
        <w:rPr/>
        <w:t>股限制性股票回购注销。具体内容详见公 司在巨潮资讯网站（</w:t>
      </w:r>
      <w:hyperlink r:id="rId15">
        <w:r>
          <w:rPr>
            <w:rFonts w:ascii="Times New Roman" w:hAnsi="Times New Roman" w:cs="Times New Roman" w:eastAsia="Times New Roman" w:hint="default"/>
          </w:rPr>
          <w:t>www.cninfo.com.cn</w:t>
        </w:r>
      </w:hyperlink>
      <w:r>
        <w:rPr/>
        <w:t>）披露的公告（公告编号：</w:t>
      </w:r>
      <w:r>
        <w:rPr>
          <w:rFonts w:ascii="Times New Roman" w:hAnsi="Times New Roman" w:cs="Times New Roman" w:eastAsia="Times New Roman" w:hint="default"/>
        </w:rPr>
        <w:t>2018-085</w:t>
      </w:r>
      <w:r>
        <w:rPr/>
        <w:t>、</w:t>
      </w:r>
      <w:r>
        <w:rPr>
          <w:rFonts w:ascii="Times New Roman" w:hAnsi="Times New Roman" w:cs="Times New Roman" w:eastAsia="Times New Roman" w:hint="default"/>
        </w:rPr>
        <w:t>2018-086</w:t>
      </w:r>
      <w:r>
        <w:rPr/>
        <w:t>）</w:t>
      </w:r>
    </w:p>
    <w:p>
      <w:pPr>
        <w:pStyle w:val="BodyText"/>
        <w:spacing w:line="302" w:lineRule="auto" w:before="51"/>
        <w:ind w:right="1033" w:firstLine="360"/>
        <w:jc w:val="left"/>
      </w:pPr>
      <w:r>
        <w:rPr>
          <w:rFonts w:ascii="Times New Roman" w:hAnsi="Times New Roman" w:cs="Times New Roman" w:eastAsia="Times New Roman" w:hint="default"/>
        </w:rPr>
        <w:t>7</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14</w:t>
      </w:r>
      <w:r>
        <w:rPr/>
        <w:t>日，公司分别召开了第六届董事会第十六次会议和第六届监事会第十四次会议，审议通过了《关于股 </w:t>
      </w:r>
      <w:r>
        <w:rPr>
          <w:spacing w:val="-4"/>
          <w:w w:val="99"/>
        </w:rPr>
        <w:t>票期权与制性股票激励计划首次授予部分第三次行权</w:t>
      </w:r>
      <w:r>
        <w:rPr>
          <w:rFonts w:ascii="Times New Roman" w:hAnsi="Times New Roman" w:cs="Times New Roman" w:eastAsia="Times New Roman" w:hint="default"/>
          <w:spacing w:val="-4"/>
          <w:w w:val="99"/>
        </w:rPr>
        <w:t>/</w:t>
      </w:r>
      <w:r>
        <w:rPr>
          <w:spacing w:val="-4"/>
          <w:w w:val="99"/>
        </w:rPr>
        <w:t>解锁期行权</w:t>
      </w:r>
      <w:r>
        <w:rPr>
          <w:rFonts w:ascii="Times New Roman" w:hAnsi="Times New Roman" w:cs="Times New Roman" w:eastAsia="Times New Roman" w:hint="default"/>
          <w:spacing w:val="-4"/>
          <w:w w:val="99"/>
        </w:rPr>
        <w:t>/</w:t>
      </w:r>
      <w:r>
        <w:rPr>
          <w:spacing w:val="-4"/>
          <w:w w:val="99"/>
        </w:rPr>
        <w:t>解锁条件成就的议案》、《关于注销公司股权激励计划授予</w:t>
      </w:r>
      <w:r>
        <w:rPr>
          <w:spacing w:val="-49"/>
          <w:w w:val="99"/>
        </w:rPr>
        <w:t> </w:t>
      </w:r>
      <w:r>
        <w:rPr>
          <w:spacing w:val="-49"/>
          <w:w w:val="99"/>
        </w:rPr>
      </w:r>
      <w:r>
        <w:rPr>
          <w:spacing w:val="-8"/>
        </w:rPr>
        <w:t>的股票期权第二个行权期未行权股票期权的议案》、《关于调整股票期权与限制性股票激励计划相关事项的议案》、《关于对股</w:t>
      </w:r>
      <w:r>
        <w:rPr>
          <w:spacing w:val="-84"/>
        </w:rPr>
        <w:t> </w:t>
      </w:r>
      <w:r>
        <w:rPr>
          <w:spacing w:val="-84"/>
        </w:rPr>
      </w:r>
      <w:r>
        <w:rPr>
          <w:spacing w:val="-2"/>
        </w:rPr>
        <w:t>票期权与限制性股票激励计划部分激励股份回购注销的议案》。鉴于公司原激励对象陈伟波等</w:t>
      </w:r>
      <w:r>
        <w:rPr>
          <w:rFonts w:ascii="Times New Roman" w:hAnsi="Times New Roman" w:cs="Times New Roman" w:eastAsia="Times New Roman" w:hint="default"/>
          <w:spacing w:val="-2"/>
        </w:rPr>
        <w:t>5</w:t>
      </w:r>
      <w:r>
        <w:rPr>
          <w:spacing w:val="-2"/>
        </w:rPr>
        <w:t>人因已离职不符合激励条件，</w:t>
      </w:r>
      <w:r>
        <w:rPr>
          <w:spacing w:val="-71"/>
        </w:rPr>
        <w:t> </w:t>
      </w:r>
      <w:r>
        <w:rPr/>
        <w:t>根据公司股权激励计划，公司拟对相关激励对象已获授（含已获准行权）但尚未行权的</w:t>
      </w:r>
      <w:r>
        <w:rPr>
          <w:rFonts w:ascii="Times New Roman" w:hAnsi="Times New Roman" w:cs="Times New Roman" w:eastAsia="Times New Roman" w:hint="default"/>
        </w:rPr>
        <w:t>18,000</w:t>
      </w:r>
      <w:r>
        <w:rPr/>
        <w:t>份股票期权进行注销，对其已 获授但尚未解锁的</w:t>
      </w:r>
      <w:r>
        <w:rPr>
          <w:rFonts w:ascii="Times New Roman" w:hAnsi="Times New Roman" w:cs="Times New Roman" w:eastAsia="Times New Roman" w:hint="default"/>
        </w:rPr>
        <w:t>39,000</w:t>
      </w:r>
      <w:r>
        <w:rPr/>
        <w:t>股限制性股票回购注销，其中首次授予部分</w:t>
      </w:r>
      <w:r>
        <w:rPr>
          <w:rFonts w:ascii="Times New Roman" w:hAnsi="Times New Roman" w:cs="Times New Roman" w:eastAsia="Times New Roman" w:hint="default"/>
        </w:rPr>
        <w:t>30,000</w:t>
      </w:r>
      <w:r>
        <w:rPr/>
        <w:t>股，预留授予部分</w:t>
      </w:r>
      <w:r>
        <w:rPr>
          <w:rFonts w:ascii="Times New Roman" w:hAnsi="Times New Roman" w:cs="Times New Roman" w:eastAsia="Times New Roman" w:hint="default"/>
        </w:rPr>
        <w:t>9,000</w:t>
      </w:r>
      <w:r>
        <w:rPr/>
        <w:t>股。同时对公司股权激励 计划授予的股票期权第二个行权期未行权股票期权进行注销。并同意对满足第三次行权</w:t>
      </w:r>
      <w:r>
        <w:rPr>
          <w:rFonts w:ascii="Times New Roman" w:hAnsi="Times New Roman" w:cs="Times New Roman" w:eastAsia="Times New Roman" w:hint="default"/>
        </w:rPr>
        <w:t>/</w:t>
      </w:r>
      <w:r>
        <w:rPr/>
        <w:t>解锁期行权</w:t>
      </w:r>
      <w:r>
        <w:rPr>
          <w:rFonts w:ascii="Times New Roman" w:hAnsi="Times New Roman" w:cs="Times New Roman" w:eastAsia="Times New Roman" w:hint="default"/>
        </w:rPr>
        <w:t>/</w:t>
      </w:r>
      <w:r>
        <w:rPr/>
        <w:t>解锁条件的激励对象按 照激励计划的相关规定办理行权</w:t>
      </w:r>
      <w:r>
        <w:rPr>
          <w:rFonts w:ascii="Times New Roman" w:hAnsi="Times New Roman" w:cs="Times New Roman" w:eastAsia="Times New Roman" w:hint="default"/>
        </w:rPr>
        <w:t>/</w:t>
      </w:r>
      <w:r>
        <w:rPr/>
        <w:t>解锁期行权</w:t>
      </w:r>
      <w:r>
        <w:rPr>
          <w:rFonts w:ascii="Times New Roman" w:hAnsi="Times New Roman" w:cs="Times New Roman" w:eastAsia="Times New Roman" w:hint="default"/>
        </w:rPr>
        <w:t>/</w:t>
      </w:r>
      <w:r>
        <w:rPr/>
        <w:t>解锁的相关事宜。</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28</w:t>
      </w:r>
      <w:r>
        <w:rPr/>
        <w:t>日，公司首次授予部分限制性股票第三个解锁 </w:t>
      </w:r>
      <w:r>
        <w:rPr>
          <w:spacing w:val="-2"/>
        </w:rPr>
        <w:t>期的解除限售手续已在中国证券登记结算有限责任公司深圳分公司办理完毕，本次解除限售的股份总数为</w:t>
      </w:r>
      <w:r>
        <w:rPr>
          <w:rFonts w:ascii="Times New Roman" w:hAnsi="Times New Roman" w:cs="Times New Roman" w:eastAsia="Times New Roman" w:hint="default"/>
          <w:spacing w:val="-2"/>
        </w:rPr>
        <w:t>2,949,014</w:t>
      </w:r>
      <w:r>
        <w:rPr>
          <w:spacing w:val="-2"/>
        </w:rPr>
        <w:t>股，占公</w:t>
      </w:r>
      <w:r>
        <w:rPr>
          <w:spacing w:val="-59"/>
        </w:rPr>
        <w:t> </w:t>
      </w:r>
      <w:r>
        <w:rPr>
          <w:spacing w:val="-59"/>
        </w:rPr>
      </w:r>
      <w:r>
        <w:rPr>
          <w:spacing w:val="-2"/>
        </w:rPr>
        <w:t>司总股本的比例为</w:t>
      </w:r>
      <w:r>
        <w:rPr>
          <w:rFonts w:ascii="Times New Roman" w:hAnsi="Times New Roman" w:cs="Times New Roman" w:eastAsia="Times New Roman" w:hint="default"/>
          <w:spacing w:val="-2"/>
        </w:rPr>
        <w:t>0.61%</w:t>
      </w:r>
      <w:r>
        <w:rPr>
          <w:spacing w:val="-2"/>
        </w:rPr>
        <w:t>。解除限售股份可上市流通的日期为</w:t>
      </w:r>
      <w:r>
        <w:rPr>
          <w:rFonts w:ascii="Times New Roman" w:hAnsi="Times New Roman" w:cs="Times New Roman" w:eastAsia="Times New Roman" w:hint="default"/>
          <w:spacing w:val="-2"/>
        </w:rPr>
        <w:t>2019</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4</w:t>
      </w:r>
      <w:r>
        <w:rPr>
          <w:spacing w:val="-2"/>
        </w:rPr>
        <w:t>日（星期五），本次解除限售涉及股东人数为</w:t>
      </w:r>
      <w:r>
        <w:rPr>
          <w:rFonts w:ascii="Times New Roman" w:hAnsi="Times New Roman" w:cs="Times New Roman" w:eastAsia="Times New Roman" w:hint="default"/>
          <w:spacing w:val="-2"/>
        </w:rPr>
        <w:t>304</w:t>
      </w:r>
      <w:r>
        <w:rPr>
          <w:spacing w:val="-2"/>
        </w:rPr>
        <w:t>人</w:t>
      </w:r>
      <w:r>
        <w:rPr>
          <w:spacing w:val="-72"/>
        </w:rPr>
        <w:t> </w:t>
      </w:r>
      <w:r>
        <w:rPr>
          <w:spacing w:val="-4"/>
        </w:rPr>
        <w:t>具体内容详见公司在巨潮资讯网站（</w:t>
      </w:r>
      <w:hyperlink r:id="rId15">
        <w:r>
          <w:rPr>
            <w:rFonts w:ascii="Times New Roman" w:hAnsi="Times New Roman" w:cs="Times New Roman" w:eastAsia="Times New Roman" w:hint="default"/>
            <w:spacing w:val="-4"/>
          </w:rPr>
          <w:t>www.cninfo.com.cn</w:t>
        </w:r>
      </w:hyperlink>
      <w:r>
        <w:rPr>
          <w:spacing w:val="-4"/>
        </w:rPr>
        <w:t>）披露的公告（公告编号：</w:t>
      </w:r>
      <w:r>
        <w:rPr>
          <w:rFonts w:ascii="Times New Roman" w:hAnsi="Times New Roman" w:cs="Times New Roman" w:eastAsia="Times New Roman" w:hint="default"/>
          <w:spacing w:val="-4"/>
        </w:rPr>
        <w:t>2018-101</w:t>
      </w:r>
      <w:r>
        <w:rPr>
          <w:spacing w:val="-4"/>
        </w:rPr>
        <w:t>、</w:t>
      </w:r>
      <w:r>
        <w:rPr>
          <w:rFonts w:ascii="Times New Roman" w:hAnsi="Times New Roman" w:cs="Times New Roman" w:eastAsia="Times New Roman" w:hint="default"/>
          <w:spacing w:val="-4"/>
        </w:rPr>
        <w:t>2018-102</w:t>
      </w:r>
      <w:r>
        <w:rPr>
          <w:spacing w:val="-4"/>
        </w:rPr>
        <w:t>、</w:t>
      </w:r>
      <w:r>
        <w:rPr>
          <w:rFonts w:ascii="Times New Roman" w:hAnsi="Times New Roman" w:cs="Times New Roman" w:eastAsia="Times New Roman" w:hint="default"/>
          <w:spacing w:val="-4"/>
        </w:rPr>
        <w:t>2018-103</w:t>
      </w:r>
      <w:r>
        <w:rPr>
          <w:spacing w:val="-4"/>
        </w:rPr>
        <w:t>、</w:t>
      </w:r>
      <w:r>
        <w:rPr>
          <w:rFonts w:ascii="Times New Roman" w:hAnsi="Times New Roman" w:cs="Times New Roman" w:eastAsia="Times New Roman" w:hint="default"/>
          <w:spacing w:val="-4"/>
        </w:rPr>
        <w:t>2018-104</w:t>
      </w:r>
      <w:r>
        <w:rPr>
          <w:spacing w:val="-4"/>
        </w:rPr>
        <w:t>、</w:t>
      </w:r>
      <w:r>
        <w:rPr>
          <w:spacing w:val="-37"/>
        </w:rPr>
        <w:t> </w:t>
      </w:r>
      <w:r>
        <w:rPr>
          <w:rFonts w:ascii="Times New Roman" w:hAnsi="Times New Roman" w:cs="Times New Roman" w:eastAsia="Times New Roman" w:hint="default"/>
          <w:spacing w:val="-10"/>
        </w:rPr>
        <w:t>2018-108</w:t>
      </w:r>
      <w:r>
        <w:rPr>
          <w:spacing w:val="-10"/>
        </w:rPr>
        <w:t>）。</w:t>
      </w:r>
    </w:p>
    <w:p>
      <w:pPr>
        <w:pStyle w:val="BodyText"/>
        <w:spacing w:line="240" w:lineRule="auto" w:before="52"/>
        <w:ind w:left="472" w:right="0"/>
        <w:jc w:val="left"/>
      </w:pPr>
      <w:r>
        <w:rPr/>
        <w:t>二、报告期内员工持股计划如下：</w:t>
      </w:r>
    </w:p>
    <w:p>
      <w:pPr>
        <w:pStyle w:val="BodyText"/>
        <w:spacing w:line="309" w:lineRule="auto" w:before="117"/>
        <w:ind w:right="1130" w:firstLine="360"/>
        <w:jc w:val="both"/>
      </w:pPr>
      <w:r>
        <w:rPr>
          <w:rFonts w:ascii="Times New Roman" w:hAnsi="Times New Roman" w:cs="Times New Roman" w:eastAsia="Times New Roman" w:hint="default"/>
          <w:spacing w:val="-2"/>
        </w:rPr>
        <w:t>1</w:t>
      </w:r>
      <w:r>
        <w:rPr>
          <w:spacing w:val="-2"/>
        </w:rPr>
        <w:t>、公司于</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9</w:t>
      </w:r>
      <w:r>
        <w:rPr>
          <w:spacing w:val="-2"/>
        </w:rPr>
        <w:t>月</w:t>
      </w:r>
      <w:r>
        <w:rPr>
          <w:rFonts w:ascii="Times New Roman" w:hAnsi="Times New Roman" w:cs="Times New Roman" w:eastAsia="Times New Roman" w:hint="default"/>
          <w:spacing w:val="-2"/>
        </w:rPr>
        <w:t>29</w:t>
      </w:r>
      <w:r>
        <w:rPr>
          <w:spacing w:val="-2"/>
        </w:rPr>
        <w:t>日召开第六届董事会第二次会议，审议通过了《关于公司回购股份专户向公司第一期员工持股计</w:t>
      </w:r>
      <w:r>
        <w:rPr/>
        <w:t> </w:t>
      </w:r>
      <w:r>
        <w:rPr>
          <w:spacing w:val="1"/>
        </w:rPr>
        <w:t>划专户非交易过户转让股票的议案》，公司董事会同意公司回购股票专户所持有的创业软件股票以本次回购股份成交均价</w:t>
      </w:r>
      <w:r>
        <w:rPr>
          <w:spacing w:val="-77"/>
        </w:rPr>
        <w:t> </w:t>
      </w:r>
      <w:r>
        <w:rPr>
          <w:spacing w:val="-77"/>
        </w:rPr>
      </w:r>
      <w:r>
        <w:rPr>
          <w:rFonts w:ascii="Times New Roman" w:hAnsi="Times New Roman" w:cs="Times New Roman" w:eastAsia="Times New Roman" w:hint="default"/>
        </w:rPr>
        <w:t>31.42</w:t>
      </w:r>
      <w:r>
        <w:rPr/>
        <w:t>元</w:t>
      </w:r>
      <w:r>
        <w:rPr>
          <w:rFonts w:ascii="Times New Roman" w:hAnsi="Times New Roman" w:cs="Times New Roman" w:eastAsia="Times New Roman" w:hint="default"/>
        </w:rPr>
        <w:t>/</w:t>
      </w:r>
      <w:r>
        <w:rPr/>
        <w:t>股的</w:t>
      </w:r>
      <w:r>
        <w:rPr>
          <w:rFonts w:ascii="Times New Roman" w:hAnsi="Times New Roman" w:cs="Times New Roman" w:eastAsia="Times New Roman" w:hint="default"/>
        </w:rPr>
        <w:t>80%</w:t>
      </w:r>
      <w:r>
        <w:rPr/>
        <w:t>之价格</w:t>
      </w:r>
      <w:r>
        <w:rPr>
          <w:rFonts w:ascii="Times New Roman" w:hAnsi="Times New Roman" w:cs="Times New Roman" w:eastAsia="Times New Roman" w:hint="default"/>
        </w:rPr>
        <w:t>25.14</w:t>
      </w:r>
      <w:r>
        <w:rPr/>
        <w:t>元</w:t>
      </w:r>
      <w:r>
        <w:rPr>
          <w:rFonts w:ascii="Times New Roman" w:hAnsi="Times New Roman" w:cs="Times New Roman" w:eastAsia="Times New Roman" w:hint="default"/>
        </w:rPr>
        <w:t>/</w:t>
      </w:r>
      <w:r>
        <w:rPr/>
        <w:t>股非交易过户至</w:t>
      </w:r>
      <w:r>
        <w:rPr>
          <w:rFonts w:ascii="Times New Roman" w:hAnsi="Times New Roman" w:cs="Times New Roman" w:eastAsia="Times New Roman" w:hint="default"/>
        </w:rPr>
        <w:t>“</w:t>
      </w:r>
      <w:r>
        <w:rPr/>
        <w:t>创业慧康科技股份有限公司</w:t>
      </w:r>
      <w:r>
        <w:rPr>
          <w:rFonts w:ascii="Times New Roman" w:hAnsi="Times New Roman" w:cs="Times New Roman" w:eastAsia="Times New Roman" w:hint="default"/>
        </w:rPr>
        <w:t>—</w:t>
      </w:r>
      <w:r>
        <w:rPr/>
        <w:t>第一期员工持股计划</w:t>
      </w:r>
      <w:r>
        <w:rPr>
          <w:rFonts w:ascii="Times New Roman" w:hAnsi="Times New Roman" w:cs="Times New Roman" w:eastAsia="Times New Roman" w:hint="default"/>
        </w:rPr>
        <w:t>”</w:t>
      </w:r>
      <w:r>
        <w:rPr/>
        <w:t>专户，过户股份共计</w:t>
      </w:r>
    </w:p>
    <w:p>
      <w:pPr>
        <w:pStyle w:val="BodyText"/>
        <w:spacing w:line="240" w:lineRule="auto" w:before="5"/>
        <w:ind w:right="0"/>
        <w:jc w:val="both"/>
      </w:pPr>
      <w:r>
        <w:rPr>
          <w:rFonts w:ascii="Times New Roman" w:hAnsi="Times New Roman" w:cs="Times New Roman" w:eastAsia="Times New Roman" w:hint="default"/>
        </w:rPr>
        <w:t>3,800,016</w:t>
      </w:r>
      <w:r>
        <w:rPr/>
        <w:t>股。</w:t>
      </w:r>
    </w:p>
    <w:p>
      <w:pPr>
        <w:pStyle w:val="BodyText"/>
        <w:spacing w:line="300" w:lineRule="auto" w:before="101"/>
        <w:ind w:right="1125" w:firstLine="360"/>
        <w:jc w:val="both"/>
      </w:pPr>
      <w:r>
        <w:rPr>
          <w:rFonts w:ascii="Times New Roman" w:hAnsi="Times New Roman" w:cs="Times New Roman" w:eastAsia="Times New Roman" w:hint="default"/>
          <w:spacing w:val="-4"/>
        </w:rPr>
        <w:t>2</w:t>
      </w:r>
      <w:r>
        <w:rPr>
          <w:spacing w:val="-4"/>
        </w:rPr>
        <w:t>、</w:t>
      </w:r>
      <w:r>
        <w:rPr>
          <w:rFonts w:ascii="Times New Roman" w:hAnsi="Times New Roman" w:cs="Times New Roman" w:eastAsia="Times New Roman" w:hint="default"/>
          <w:spacing w:val="-4"/>
        </w:rPr>
        <w:t>2018</w:t>
      </w:r>
      <w:r>
        <w:rPr>
          <w:spacing w:val="-4"/>
        </w:rPr>
        <w:t>年</w:t>
      </w:r>
      <w:r>
        <w:rPr>
          <w:rFonts w:ascii="Times New Roman" w:hAnsi="Times New Roman" w:cs="Times New Roman" w:eastAsia="Times New Roman" w:hint="default"/>
          <w:spacing w:val="-4"/>
        </w:rPr>
        <w:t>3</w:t>
      </w:r>
      <w:r>
        <w:rPr>
          <w:spacing w:val="-4"/>
        </w:rPr>
        <w:t>月</w:t>
      </w:r>
      <w:r>
        <w:rPr>
          <w:rFonts w:ascii="Times New Roman" w:hAnsi="Times New Roman" w:cs="Times New Roman" w:eastAsia="Times New Roman" w:hint="default"/>
          <w:spacing w:val="-4"/>
        </w:rPr>
        <w:t>2</w:t>
      </w:r>
      <w:r>
        <w:rPr>
          <w:spacing w:val="-4"/>
        </w:rPr>
        <w:t>日，公司收到中国证券登记结算有限责任公司深圳分公司下发的《证券过户登记确认书》，创业慧康科技</w:t>
      </w:r>
      <w:r>
        <w:rPr/>
        <w:t> 股份有限公司回购专用证券账户所持有的创业软件股票已于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w:t>
      </w:r>
      <w:r>
        <w:rPr/>
        <w:t>日非交易过户至</w:t>
      </w:r>
      <w:r>
        <w:rPr>
          <w:rFonts w:ascii="Times New Roman" w:hAnsi="Times New Roman" w:cs="Times New Roman" w:eastAsia="Times New Roman" w:hint="default"/>
        </w:rPr>
        <w:t>“</w:t>
      </w:r>
      <w:r>
        <w:rPr/>
        <w:t>创业软件股份有限公司</w:t>
      </w:r>
      <w:r>
        <w:rPr>
          <w:rFonts w:ascii="Times New Roman" w:hAnsi="Times New Roman" w:cs="Times New Roman" w:eastAsia="Times New Roman" w:hint="default"/>
        </w:rPr>
        <w:t>—</w:t>
      </w:r>
      <w:r>
        <w:rPr/>
        <w:t>第一期员</w:t>
      </w:r>
      <w:r>
        <w:rPr>
          <w:spacing w:val="-79"/>
        </w:rPr>
        <w:t> </w:t>
      </w:r>
      <w:r>
        <w:rPr/>
        <w:t>工持股计划</w:t>
      </w:r>
      <w:r>
        <w:rPr>
          <w:rFonts w:ascii="Times New Roman" w:hAnsi="Times New Roman" w:cs="Times New Roman" w:eastAsia="Times New Roman" w:hint="default"/>
        </w:rPr>
        <w:t>”</w:t>
      </w:r>
      <w:r>
        <w:rPr/>
        <w:t>专户，过户股份共计</w:t>
      </w:r>
      <w:r>
        <w:rPr>
          <w:rFonts w:ascii="Times New Roman" w:hAnsi="Times New Roman" w:cs="Times New Roman" w:eastAsia="Times New Roman" w:hint="default"/>
        </w:rPr>
        <w:t>3,800,016</w:t>
      </w:r>
      <w:r>
        <w:rPr/>
        <w:t>股。具体内容详见公司在巨潮资讯网站（</w:t>
      </w:r>
      <w:hyperlink r:id="rId15">
        <w:r>
          <w:rPr>
            <w:rFonts w:ascii="Times New Roman" w:hAnsi="Times New Roman" w:cs="Times New Roman" w:eastAsia="Times New Roman" w:hint="default"/>
          </w:rPr>
          <w:t>www.cninfo.com.cn</w:t>
        </w:r>
      </w:hyperlink>
      <w:r>
        <w:rPr/>
        <w:t>）披露的公告（公告 </w:t>
      </w:r>
      <w:r>
        <w:rPr>
          <w:spacing w:val="-8"/>
        </w:rPr>
        <w:t>编号：</w:t>
      </w:r>
      <w:r>
        <w:rPr>
          <w:rFonts w:ascii="Times New Roman" w:hAnsi="Times New Roman" w:cs="Times New Roman" w:eastAsia="Times New Roman" w:hint="default"/>
          <w:spacing w:val="-8"/>
        </w:rPr>
        <w:t>2018-037</w:t>
      </w:r>
      <w:r>
        <w:rPr>
          <w:spacing w:val="-8"/>
        </w:rPr>
        <w:t>）。</w:t>
      </w:r>
    </w:p>
    <w:p>
      <w:pPr>
        <w:pStyle w:val="BodyText"/>
        <w:spacing w:line="360" w:lineRule="auto" w:before="54"/>
        <w:ind w:left="472" w:right="2654"/>
        <w:jc w:val="left"/>
      </w:pPr>
      <w:r>
        <w:rPr/>
        <w:t>三、股权激励计划的调整对公司财务状况和经营业绩的影响 公司对股票期权与限制性股票激励计划的调整，不会对公司的财务状况和经营业绩产生重大影响。</w:t>
      </w:r>
    </w:p>
    <w:p>
      <w:pPr>
        <w:pStyle w:val="BodyText"/>
        <w:spacing w:line="240" w:lineRule="auto" w:before="25"/>
        <w:ind w:right="0"/>
        <w:jc w:val="both"/>
      </w:pPr>
      <w:r>
        <w:rPr/>
        <w:t>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号——上市公司从事软件与信息技术服务业务》的披露要求</w:t>
      </w:r>
    </w:p>
    <w:p>
      <w:pPr>
        <w:pStyle w:val="BodyText"/>
        <w:spacing w:line="240" w:lineRule="auto" w:before="103"/>
        <w:ind w:left="472" w:right="0"/>
        <w:jc w:val="left"/>
      </w:pPr>
      <w:r>
        <w:rPr/>
        <w:t>公司本期以权益结算的股份支付确认的费用总额为</w:t>
      </w:r>
      <w:r>
        <w:rPr>
          <w:spacing w:val="-47"/>
        </w:rPr>
        <w:t> </w:t>
      </w:r>
      <w:r>
        <w:rPr>
          <w:rFonts w:ascii="Times New Roman" w:hAnsi="Times New Roman" w:cs="Times New Roman" w:eastAsia="Times New Roman" w:hint="default"/>
        </w:rPr>
        <w:t>8,350,800.00</w:t>
      </w:r>
      <w:r>
        <w:rPr>
          <w:rFonts w:ascii="Times New Roman" w:hAnsi="Times New Roman" w:cs="Times New Roman" w:eastAsia="Times New Roman" w:hint="default"/>
          <w:spacing w:val="-3"/>
        </w:rPr>
        <w:t> </w:t>
      </w:r>
      <w:r>
        <w:rPr/>
        <w:t>元。</w:t>
      </w:r>
    </w:p>
    <w:p>
      <w:pPr>
        <w:spacing w:line="240" w:lineRule="auto" w:before="0"/>
        <w:rPr>
          <w:rFonts w:ascii="宋体" w:hAnsi="宋体" w:cs="宋体" w:eastAsia="宋体" w:hint="default"/>
          <w:sz w:val="24"/>
          <w:szCs w:val="24"/>
        </w:rPr>
      </w:pPr>
    </w:p>
    <w:p>
      <w:pPr>
        <w:pStyle w:val="Heading2"/>
        <w:spacing w:line="240" w:lineRule="auto"/>
        <w:ind w:right="0"/>
        <w:jc w:val="both"/>
        <w:rPr>
          <w:b w:val="0"/>
          <w:bCs w:val="0"/>
        </w:rPr>
      </w:pPr>
      <w:bookmarkStart w:name="十五、重大关联交易" w:id="89"/>
      <w:bookmarkEnd w:id="89"/>
      <w:r>
        <w:rPr>
          <w:b w:val="0"/>
          <w:bCs w:val="0"/>
        </w:rPr>
      </w:r>
      <w:r>
        <w:rPr/>
        <w:t>十五、重大关联交易</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both"/>
        <w:rPr>
          <w:b w:val="0"/>
          <w:bCs w:val="0"/>
        </w:rPr>
      </w:pPr>
      <w:bookmarkStart w:name="1、与日常经营相关的关联交易" w:id="90"/>
      <w:bookmarkEnd w:id="90"/>
      <w:r>
        <w:rPr>
          <w:b w:val="0"/>
          <w:bCs w:val="0"/>
        </w:rPr>
      </w:r>
      <w:r>
        <w:rPr>
          <w:rFonts w:ascii="Times New Roman" w:hAnsi="Times New Roman" w:cs="Times New Roman" w:eastAsia="Times New Roman" w:hint="default"/>
        </w:rPr>
        <w:t>1</w:t>
      </w:r>
      <w:r>
        <w:rPr/>
        <w:t>、与日常经营相关的关联交易</w:t>
      </w:r>
      <w:r>
        <w:rPr>
          <w:b w:val="0"/>
          <w:bCs w:val="0"/>
        </w:rPr>
      </w:r>
    </w:p>
    <w:p>
      <w:pPr>
        <w:spacing w:line="240" w:lineRule="auto" w:before="6"/>
        <w:rPr>
          <w:rFonts w:ascii="宋体" w:hAnsi="宋体" w:cs="宋体" w:eastAsia="宋体" w:hint="default"/>
          <w:b/>
          <w:bCs/>
          <w:sz w:val="26"/>
          <w:szCs w:val="26"/>
        </w:rPr>
      </w:pPr>
    </w:p>
    <w:p>
      <w:pPr>
        <w:pStyle w:val="BodyText"/>
        <w:spacing w:line="357" w:lineRule="auto"/>
        <w:ind w:right="6074" w:firstLine="91"/>
        <w:jc w:val="left"/>
      </w:pPr>
      <w:r>
        <w:rPr/>
        <w:t>□ 适用 √</w:t>
      </w:r>
      <w:r>
        <w:rPr>
          <w:spacing w:val="-1"/>
        </w:rPr>
        <w:t> </w:t>
      </w:r>
      <w:r>
        <w:rPr/>
        <w:t>不适用</w:t>
      </w:r>
      <w:r>
        <w:rPr/>
        <w:t> 公司报告期未发生与日常经营相关的关联交易。</w:t>
      </w:r>
    </w:p>
    <w:p>
      <w:pPr>
        <w:spacing w:line="240" w:lineRule="auto" w:before="3"/>
        <w:rPr>
          <w:rFonts w:ascii="宋体" w:hAnsi="宋体" w:cs="宋体" w:eastAsia="宋体" w:hint="default"/>
          <w:sz w:val="20"/>
          <w:szCs w:val="20"/>
        </w:rPr>
      </w:pPr>
    </w:p>
    <w:p>
      <w:pPr>
        <w:pStyle w:val="Heading3"/>
        <w:spacing w:line="240" w:lineRule="auto"/>
        <w:ind w:right="0"/>
        <w:jc w:val="both"/>
        <w:rPr>
          <w:b w:val="0"/>
          <w:bCs w:val="0"/>
        </w:rPr>
      </w:pPr>
      <w:bookmarkStart w:name="2、资产或股权收购、出售发生的关联交易" w:id="91"/>
      <w:bookmarkEnd w:id="91"/>
      <w:r>
        <w:rPr>
          <w:b w:val="0"/>
          <w:bCs w:val="0"/>
        </w:rPr>
      </w:r>
      <w:r>
        <w:rPr>
          <w:rFonts w:ascii="Times New Roman" w:hAnsi="Times New Roman" w:cs="Times New Roman" w:eastAsia="Times New Roman" w:hint="default"/>
        </w:rPr>
        <w:t>2</w:t>
      </w:r>
      <w:r>
        <w:rPr/>
        <w:t>、资产或股权收购、出售发生的关联交易</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6434" w:firstLine="91"/>
        <w:jc w:val="left"/>
      </w:pPr>
      <w:r>
        <w:rPr/>
        <w:t>□ 适用 √</w:t>
      </w:r>
      <w:r>
        <w:rPr>
          <w:spacing w:val="-1"/>
        </w:rPr>
        <w:t> </w:t>
      </w:r>
      <w:r>
        <w:rPr/>
        <w:t>不适用</w:t>
      </w:r>
      <w:r>
        <w:rPr/>
        <w:t> 公司报告期未发生资产或股权收购、出售的关联交易。</w:t>
      </w:r>
    </w:p>
    <w:p>
      <w:pPr>
        <w:spacing w:after="0" w:line="360" w:lineRule="auto"/>
        <w:jc w:val="left"/>
        <w:sectPr>
          <w:footerReference w:type="default" r:id="rId33"/>
          <w:pgSz w:w="11910" w:h="16840"/>
          <w:pgMar w:footer="1016" w:header="907" w:top="1100" w:bottom="1200" w:left="1020" w:right="0"/>
          <w:pgNumType w:start="60"/>
        </w:sectPr>
      </w:pPr>
    </w:p>
    <w:p>
      <w:pPr>
        <w:spacing w:line="240" w:lineRule="auto" w:before="10"/>
        <w:rPr>
          <w:rFonts w:ascii="宋体" w:hAnsi="宋体" w:cs="宋体" w:eastAsia="宋体" w:hint="default"/>
          <w:sz w:val="21"/>
          <w:szCs w:val="21"/>
        </w:rPr>
      </w:pPr>
    </w:p>
    <w:p>
      <w:pPr>
        <w:pStyle w:val="Heading3"/>
        <w:spacing w:line="240" w:lineRule="auto" w:before="34"/>
        <w:ind w:right="0"/>
        <w:jc w:val="left"/>
        <w:rPr>
          <w:b w:val="0"/>
          <w:bCs w:val="0"/>
        </w:rPr>
      </w:pPr>
      <w:bookmarkStart w:name="3、共同对外投资的关联交易" w:id="92"/>
      <w:bookmarkEnd w:id="92"/>
      <w:r>
        <w:rPr>
          <w:b w:val="0"/>
          <w:bCs w:val="0"/>
        </w:rPr>
      </w:r>
      <w:r>
        <w:rPr>
          <w:rFonts w:ascii="Times New Roman" w:hAnsi="Times New Roman" w:cs="Times New Roman" w:eastAsia="Times New Roman" w:hint="default"/>
        </w:rPr>
        <w:t>3</w:t>
      </w:r>
      <w:r>
        <w:rPr/>
        <w:t>、共同对外投资的关联交易</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7154" w:firstLine="91"/>
        <w:jc w:val="left"/>
      </w:pPr>
      <w:r>
        <w:rPr/>
        <w:t>□ 适用 √</w:t>
      </w:r>
      <w:r>
        <w:rPr>
          <w:spacing w:val="-1"/>
        </w:rPr>
        <w:t> </w:t>
      </w:r>
      <w:r>
        <w:rPr/>
        <w:t>不适用</w:t>
      </w:r>
      <w:r>
        <w:rPr/>
        <w:t> 公司报告期未发生共同对外投资的关联交易。</w:t>
      </w:r>
    </w:p>
    <w:p>
      <w:pPr>
        <w:spacing w:line="240" w:lineRule="auto" w:before="12"/>
        <w:rPr>
          <w:rFonts w:ascii="宋体" w:hAnsi="宋体" w:cs="宋体" w:eastAsia="宋体" w:hint="default"/>
          <w:sz w:val="19"/>
          <w:szCs w:val="19"/>
        </w:rPr>
      </w:pPr>
    </w:p>
    <w:p>
      <w:pPr>
        <w:pStyle w:val="Heading3"/>
        <w:spacing w:line="240" w:lineRule="auto"/>
        <w:ind w:right="0"/>
        <w:jc w:val="left"/>
        <w:rPr>
          <w:b w:val="0"/>
          <w:bCs w:val="0"/>
        </w:rPr>
      </w:pPr>
      <w:bookmarkStart w:name="4、关联债权债务往来" w:id="93"/>
      <w:bookmarkEnd w:id="93"/>
      <w:r>
        <w:rPr>
          <w:b w:val="0"/>
          <w:bCs w:val="0"/>
        </w:rPr>
      </w:r>
      <w:r>
        <w:rPr>
          <w:rFonts w:ascii="Times New Roman" w:hAnsi="Times New Roman" w:cs="Times New Roman" w:eastAsia="Times New Roman" w:hint="default"/>
        </w:rPr>
        <w:t>4</w:t>
      </w:r>
      <w:r>
        <w:rPr/>
        <w:t>、关联债权债务往来</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7694" w:firstLine="91"/>
        <w:jc w:val="left"/>
      </w:pPr>
      <w:r>
        <w:rPr/>
        <w:t>□ 适用 √</w:t>
      </w:r>
      <w:r>
        <w:rPr>
          <w:spacing w:val="-1"/>
        </w:rPr>
        <w:t> </w:t>
      </w:r>
      <w:r>
        <w:rPr/>
        <w:t>不适用</w:t>
      </w:r>
      <w:r>
        <w:rPr/>
        <w:t> 公司报告期不存在关联债权债务往来。</w:t>
      </w:r>
    </w:p>
    <w:p>
      <w:pPr>
        <w:spacing w:line="240" w:lineRule="auto" w:before="12"/>
        <w:rPr>
          <w:rFonts w:ascii="宋体" w:hAnsi="宋体" w:cs="宋体" w:eastAsia="宋体" w:hint="default"/>
          <w:sz w:val="19"/>
          <w:szCs w:val="19"/>
        </w:rPr>
      </w:pPr>
    </w:p>
    <w:p>
      <w:pPr>
        <w:pStyle w:val="Heading3"/>
        <w:spacing w:line="240" w:lineRule="auto"/>
        <w:ind w:right="0"/>
        <w:jc w:val="left"/>
        <w:rPr>
          <w:b w:val="0"/>
          <w:bCs w:val="0"/>
        </w:rPr>
      </w:pPr>
      <w:bookmarkStart w:name="5、其他重大关联交易" w:id="94"/>
      <w:bookmarkEnd w:id="94"/>
      <w:r>
        <w:rPr>
          <w:b w:val="0"/>
          <w:bCs w:val="0"/>
        </w:rPr>
      </w:r>
      <w:r>
        <w:rPr>
          <w:rFonts w:ascii="Times New Roman" w:hAnsi="Times New Roman" w:cs="Times New Roman" w:eastAsia="Times New Roman" w:hint="default"/>
        </w:rPr>
        <w:t>5</w:t>
      </w:r>
      <w:r>
        <w:rPr/>
        <w:t>、其他重大关联交易</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8054" w:firstLine="91"/>
        <w:jc w:val="left"/>
      </w:pPr>
      <w:r>
        <w:rPr/>
        <w:t>□ 适用 √</w:t>
      </w:r>
      <w:r>
        <w:rPr>
          <w:spacing w:val="-1"/>
        </w:rPr>
        <w:t> </w:t>
      </w:r>
      <w:r>
        <w:rPr/>
        <w:t>不适用</w:t>
      </w:r>
      <w:r>
        <w:rPr/>
        <w:t> 公司报告期无其他重大关联交易。</w:t>
      </w:r>
    </w:p>
    <w:p>
      <w:pPr>
        <w:spacing w:line="240" w:lineRule="auto" w:before="2"/>
        <w:rPr>
          <w:rFonts w:ascii="宋体" w:hAnsi="宋体" w:cs="宋体" w:eastAsia="宋体" w:hint="default"/>
          <w:sz w:val="18"/>
          <w:szCs w:val="18"/>
        </w:rPr>
      </w:pPr>
    </w:p>
    <w:p>
      <w:pPr>
        <w:pStyle w:val="Heading2"/>
        <w:spacing w:line="240" w:lineRule="auto"/>
        <w:ind w:right="0"/>
        <w:jc w:val="left"/>
        <w:rPr>
          <w:b w:val="0"/>
          <w:bCs w:val="0"/>
        </w:rPr>
      </w:pPr>
      <w:bookmarkStart w:name="十六、重大合同及其履行情况" w:id="95"/>
      <w:bookmarkEnd w:id="95"/>
      <w:r>
        <w:rPr>
          <w:b w:val="0"/>
          <w:bCs w:val="0"/>
        </w:rPr>
      </w:r>
      <w:r>
        <w:rPr/>
        <w:t>十六、重大合同及其履行情况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托管、承包、租赁事项情况" w:id="96"/>
      <w:bookmarkEnd w:id="96"/>
      <w:r>
        <w:rPr>
          <w:b w:val="0"/>
          <w:bCs w:val="0"/>
        </w:rPr>
      </w:r>
      <w:r>
        <w:rPr>
          <w:rFonts w:ascii="Times New Roman" w:hAnsi="Times New Roman" w:cs="Times New Roman" w:eastAsia="Times New Roman" w:hint="default"/>
        </w:rPr>
        <w:t>1</w:t>
      </w:r>
      <w:r>
        <w:rPr/>
        <w:t>、托管、承包、租赁事项情况</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托管情况" w:id="97"/>
      <w:bookmarkEnd w:id="97"/>
      <w:r>
        <w:rPr>
          <w:b w:val="0"/>
          <w:bCs w:val="0"/>
        </w:rPr>
      </w:r>
      <w:r>
        <w:rPr/>
        <w:t>（</w:t>
      </w:r>
      <w:r>
        <w:rPr>
          <w:rFonts w:ascii="Times New Roman" w:hAnsi="Times New Roman" w:cs="Times New Roman" w:eastAsia="Times New Roman" w:hint="default"/>
        </w:rPr>
        <w:t>1</w:t>
      </w:r>
      <w:r>
        <w:rPr/>
        <w:t>）托管情况</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8414" w:firstLine="91"/>
        <w:jc w:val="left"/>
      </w:pPr>
      <w:r>
        <w:rPr/>
        <w:t>□ 适用 √</w:t>
      </w:r>
      <w:r>
        <w:rPr>
          <w:spacing w:val="-1"/>
        </w:rPr>
        <w:t> </w:t>
      </w:r>
      <w:r>
        <w:rPr/>
        <w:t>不适用</w:t>
      </w:r>
      <w:r>
        <w:rPr/>
        <w:t> 公司报告期不存在托管情况。</w:t>
      </w:r>
    </w:p>
    <w:p>
      <w:pPr>
        <w:spacing w:line="240" w:lineRule="auto" w:before="4"/>
        <w:rPr>
          <w:rFonts w:ascii="宋体" w:hAnsi="宋体" w:cs="宋体" w:eastAsia="宋体" w:hint="default"/>
          <w:sz w:val="20"/>
          <w:szCs w:val="20"/>
        </w:rPr>
      </w:pPr>
    </w:p>
    <w:p>
      <w:pPr>
        <w:pStyle w:val="Heading3"/>
        <w:spacing w:line="240" w:lineRule="auto"/>
        <w:ind w:right="0"/>
        <w:jc w:val="left"/>
        <w:rPr>
          <w:b w:val="0"/>
          <w:bCs w:val="0"/>
        </w:rPr>
      </w:pPr>
      <w:bookmarkStart w:name="（2）承包情况" w:id="98"/>
      <w:bookmarkEnd w:id="98"/>
      <w:r>
        <w:rPr>
          <w:b w:val="0"/>
          <w:bCs w:val="0"/>
        </w:rPr>
      </w:r>
      <w:r>
        <w:rPr/>
        <w:t>（</w:t>
      </w:r>
      <w:r>
        <w:rPr>
          <w:rFonts w:ascii="Times New Roman" w:hAnsi="Times New Roman" w:cs="Times New Roman" w:eastAsia="Times New Roman" w:hint="default"/>
        </w:rPr>
        <w:t>2</w:t>
      </w:r>
      <w:r>
        <w:rPr/>
        <w:t>）承包情况</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8414" w:firstLine="91"/>
        <w:jc w:val="left"/>
      </w:pPr>
      <w:r>
        <w:rPr/>
        <w:t>□ 适用 √</w:t>
      </w:r>
      <w:r>
        <w:rPr>
          <w:spacing w:val="-1"/>
        </w:rPr>
        <w:t> </w:t>
      </w:r>
      <w:r>
        <w:rPr/>
        <w:t>不适用</w:t>
      </w:r>
      <w:r>
        <w:rPr/>
        <w:t> 公司报告期不存在承包情况。</w:t>
      </w:r>
    </w:p>
    <w:p>
      <w:pPr>
        <w:spacing w:line="240" w:lineRule="auto" w:before="12"/>
        <w:rPr>
          <w:rFonts w:ascii="宋体" w:hAnsi="宋体" w:cs="宋体" w:eastAsia="宋体" w:hint="default"/>
          <w:sz w:val="19"/>
          <w:szCs w:val="19"/>
        </w:rPr>
      </w:pPr>
    </w:p>
    <w:p>
      <w:pPr>
        <w:pStyle w:val="Heading3"/>
        <w:spacing w:line="240" w:lineRule="auto"/>
        <w:ind w:right="0"/>
        <w:jc w:val="left"/>
        <w:rPr>
          <w:b w:val="0"/>
          <w:bCs w:val="0"/>
        </w:rPr>
      </w:pPr>
      <w:bookmarkStart w:name="（3）租赁情况" w:id="99"/>
      <w:bookmarkEnd w:id="99"/>
      <w:r>
        <w:rPr>
          <w:b w:val="0"/>
          <w:bCs w:val="0"/>
        </w:rPr>
      </w:r>
      <w:r>
        <w:rPr/>
        <w:t>（</w:t>
      </w:r>
      <w:r>
        <w:rPr>
          <w:rFonts w:ascii="Times New Roman" w:hAnsi="Times New Roman" w:cs="Times New Roman" w:eastAsia="Times New Roman" w:hint="default"/>
        </w:rPr>
        <w:t>3</w:t>
      </w:r>
      <w:r>
        <w:rPr/>
        <w:t>）租赁情况</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8414" w:firstLine="91"/>
        <w:jc w:val="left"/>
      </w:pPr>
      <w:r>
        <w:rPr/>
        <w:t>□ 适用 √</w:t>
      </w:r>
      <w:r>
        <w:rPr>
          <w:spacing w:val="-1"/>
        </w:rPr>
        <w:t> </w:t>
      </w:r>
      <w:r>
        <w:rPr/>
        <w:t>不适用</w:t>
      </w:r>
      <w:r>
        <w:rPr/>
        <w:t> 公司报告期不存在租赁情况。</w:t>
      </w:r>
    </w:p>
    <w:p>
      <w:pPr>
        <w:spacing w:line="240" w:lineRule="auto" w:before="12"/>
        <w:rPr>
          <w:rFonts w:ascii="宋体" w:hAnsi="宋体" w:cs="宋体" w:eastAsia="宋体" w:hint="default"/>
          <w:sz w:val="19"/>
          <w:szCs w:val="19"/>
        </w:rPr>
      </w:pPr>
    </w:p>
    <w:p>
      <w:pPr>
        <w:pStyle w:val="Heading3"/>
        <w:spacing w:line="240" w:lineRule="auto"/>
        <w:ind w:right="0"/>
        <w:jc w:val="left"/>
        <w:rPr>
          <w:b w:val="0"/>
          <w:bCs w:val="0"/>
        </w:rPr>
      </w:pPr>
      <w:bookmarkStart w:name="2、重大担保" w:id="100"/>
      <w:bookmarkEnd w:id="100"/>
      <w:r>
        <w:rPr>
          <w:b w:val="0"/>
          <w:bCs w:val="0"/>
        </w:rPr>
      </w:r>
      <w:r>
        <w:rPr>
          <w:rFonts w:ascii="Times New Roman" w:hAnsi="Times New Roman" w:cs="Times New Roman" w:eastAsia="Times New Roman" w:hint="default"/>
        </w:rPr>
        <w:t>2</w:t>
      </w:r>
      <w:r>
        <w:rPr/>
        <w:t>、重大担保</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7694" w:firstLine="91"/>
        <w:jc w:val="left"/>
      </w:pPr>
      <w:r>
        <w:rPr/>
        <w:t>□ 适用 √</w:t>
      </w:r>
      <w:r>
        <w:rPr>
          <w:spacing w:val="-1"/>
        </w:rPr>
        <w:t> </w:t>
      </w:r>
      <w:r>
        <w:rPr/>
        <w:t>不适用</w:t>
      </w:r>
      <w:r>
        <w:rPr/>
        <w:t> 公司报告期不存在担保情况。</w:t>
      </w:r>
    </w:p>
    <w:p>
      <w:pPr>
        <w:spacing w:line="240" w:lineRule="auto" w:before="12"/>
        <w:rPr>
          <w:rFonts w:ascii="宋体" w:hAnsi="宋体" w:cs="宋体" w:eastAsia="宋体" w:hint="default"/>
          <w:sz w:val="19"/>
          <w:szCs w:val="19"/>
        </w:rPr>
      </w:pPr>
    </w:p>
    <w:p>
      <w:pPr>
        <w:pStyle w:val="Heading3"/>
        <w:spacing w:line="240" w:lineRule="auto"/>
        <w:ind w:right="0"/>
        <w:jc w:val="left"/>
        <w:rPr>
          <w:b w:val="0"/>
          <w:bCs w:val="0"/>
        </w:rPr>
      </w:pPr>
      <w:bookmarkStart w:name="3、委托他人进行现金资产管理情况" w:id="101"/>
      <w:bookmarkEnd w:id="101"/>
      <w:r>
        <w:rPr>
          <w:b w:val="0"/>
          <w:bCs w:val="0"/>
        </w:rPr>
      </w:r>
      <w:r>
        <w:rPr>
          <w:rFonts w:ascii="Times New Roman" w:hAnsi="Times New Roman" w:cs="Times New Roman" w:eastAsia="Times New Roman" w:hint="default"/>
        </w:rPr>
        <w:t>3</w:t>
      </w:r>
      <w:r>
        <w:rPr/>
        <w:t>、委托他人进行现金资产管理情况</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委托理财情况" w:id="102"/>
      <w:bookmarkEnd w:id="102"/>
      <w:r>
        <w:rPr>
          <w:b w:val="0"/>
          <w:bCs w:val="0"/>
        </w:rPr>
      </w:r>
      <w:r>
        <w:rPr/>
        <w:t>（</w:t>
      </w:r>
      <w:r>
        <w:rPr>
          <w:rFonts w:ascii="Times New Roman" w:hAnsi="Times New Roman" w:cs="Times New Roman" w:eastAsia="Times New Roman" w:hint="default"/>
        </w:rPr>
        <w:t>1</w:t>
      </w:r>
      <w:r>
        <w:rPr/>
        <w:t>）委托理财情况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w:t>
      </w:r>
      <w:r>
        <w:rPr>
          <w:spacing w:val="-1"/>
        </w:rPr>
        <w:t> </w:t>
      </w:r>
      <w:r>
        <w:rPr/>
        <w:t>□不适用</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right="0"/>
        <w:jc w:val="left"/>
      </w:pPr>
      <w:r>
        <w:rPr/>
        <w:t>报告期内委托理财概况</w:t>
      </w:r>
    </w:p>
    <w:p>
      <w:pPr>
        <w:pStyle w:val="BodyText"/>
        <w:spacing w:line="240" w:lineRule="auto" w:before="115"/>
        <w:ind w:left="0" w:right="1132"/>
        <w:jc w:val="right"/>
      </w:pPr>
      <w:r>
        <w:rPr/>
        <w:t>单位：万元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868"/>
        <w:gridCol w:w="1962"/>
        <w:gridCol w:w="1981"/>
        <w:gridCol w:w="1909"/>
        <w:gridCol w:w="1847"/>
      </w:tblGrid>
      <w:tr>
        <w:trPr>
          <w:trHeight w:val="402" w:hRule="exact"/>
        </w:trPr>
        <w:tc>
          <w:tcPr>
            <w:tcW w:w="18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9" w:right="0"/>
              <w:jc w:val="left"/>
              <w:rPr>
                <w:rFonts w:ascii="宋体" w:hAnsi="宋体" w:cs="宋体" w:eastAsia="宋体" w:hint="default"/>
                <w:sz w:val="18"/>
                <w:szCs w:val="18"/>
              </w:rPr>
            </w:pPr>
            <w:r>
              <w:rPr>
                <w:rFonts w:ascii="宋体" w:hAnsi="宋体" w:cs="宋体" w:eastAsia="宋体" w:hint="default"/>
                <w:sz w:val="18"/>
                <w:szCs w:val="18"/>
              </w:rPr>
              <w:t>具体类型</w:t>
            </w:r>
          </w:p>
        </w:tc>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委托理财的资金来源</w:t>
            </w:r>
          </w:p>
        </w:tc>
        <w:tc>
          <w:tcPr>
            <w:tcW w:w="19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54" w:right="0"/>
              <w:jc w:val="left"/>
              <w:rPr>
                <w:rFonts w:ascii="宋体" w:hAnsi="宋体" w:cs="宋体" w:eastAsia="宋体" w:hint="default"/>
                <w:sz w:val="18"/>
                <w:szCs w:val="18"/>
              </w:rPr>
            </w:pPr>
            <w:r>
              <w:rPr>
                <w:rFonts w:ascii="宋体" w:hAnsi="宋体" w:cs="宋体" w:eastAsia="宋体" w:hint="default"/>
                <w:sz w:val="18"/>
                <w:szCs w:val="18"/>
              </w:rPr>
              <w:t>委托理财发生额</w:t>
            </w:r>
          </w:p>
        </w:tc>
        <w:tc>
          <w:tcPr>
            <w:tcW w:w="19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9" w:right="0"/>
              <w:jc w:val="left"/>
              <w:rPr>
                <w:rFonts w:ascii="宋体" w:hAnsi="宋体" w:cs="宋体" w:eastAsia="宋体" w:hint="default"/>
                <w:sz w:val="18"/>
                <w:szCs w:val="18"/>
              </w:rPr>
            </w:pPr>
            <w:r>
              <w:rPr>
                <w:rFonts w:ascii="宋体" w:hAnsi="宋体" w:cs="宋体" w:eastAsia="宋体" w:hint="default"/>
                <w:sz w:val="18"/>
                <w:szCs w:val="18"/>
              </w:rPr>
              <w:t>未到期余额</w:t>
            </w:r>
          </w:p>
        </w:tc>
        <w:tc>
          <w:tcPr>
            <w:tcW w:w="18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98" w:right="0"/>
              <w:jc w:val="left"/>
              <w:rPr>
                <w:rFonts w:ascii="宋体" w:hAnsi="宋体" w:cs="宋体" w:eastAsia="宋体" w:hint="default"/>
                <w:sz w:val="18"/>
                <w:szCs w:val="18"/>
              </w:rPr>
            </w:pPr>
            <w:r>
              <w:rPr>
                <w:rFonts w:ascii="宋体" w:hAnsi="宋体" w:cs="宋体" w:eastAsia="宋体" w:hint="default"/>
                <w:sz w:val="18"/>
                <w:szCs w:val="18"/>
              </w:rPr>
              <w:t>逾期未收回的金额</w:t>
            </w:r>
          </w:p>
        </w:tc>
      </w:tr>
      <w:tr>
        <w:trPr>
          <w:trHeight w:val="402" w:hRule="exact"/>
        </w:trPr>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自有资金</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z w:val="18"/>
              </w:rPr>
              <w:t>8,000</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0</w:t>
            </w:r>
          </w:p>
        </w:tc>
        <w:tc>
          <w:tcPr>
            <w:tcW w:w="1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8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8,000</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w:t>
            </w:r>
          </w:p>
        </w:tc>
        <w:tc>
          <w:tcPr>
            <w:tcW w:w="18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r>
    </w:tbl>
    <w:p>
      <w:pPr>
        <w:pStyle w:val="BodyText"/>
        <w:spacing w:line="240" w:lineRule="auto" w:before="50"/>
        <w:ind w:right="0"/>
        <w:jc w:val="both"/>
      </w:pPr>
      <w:r>
        <w:rPr/>
        <w:t>单项金额重大或安全性较低、流动性较差、不保本的高风险委托理财具体情况</w:t>
      </w:r>
    </w:p>
    <w:p>
      <w:pPr>
        <w:pStyle w:val="BodyText"/>
        <w:spacing w:line="360" w:lineRule="auto" w:before="117"/>
        <w:ind w:right="5714" w:firstLine="91"/>
        <w:jc w:val="left"/>
      </w:pPr>
      <w:r>
        <w:rPr/>
        <w:t>□ 适用 √</w:t>
      </w:r>
      <w:r>
        <w:rPr>
          <w:spacing w:val="-1"/>
        </w:rPr>
        <w:t> </w:t>
      </w:r>
      <w:r>
        <w:rPr/>
        <w:t>不适用</w:t>
      </w:r>
      <w:r>
        <w:rPr/>
        <w:t> 委托理财出现预期无法收回本金或存在其他可能导致减值的情形</w:t>
      </w:r>
    </w:p>
    <w:p>
      <w:pPr>
        <w:pStyle w:val="BodyText"/>
        <w:spacing w:line="240" w:lineRule="auto" w:before="25"/>
        <w:ind w:left="204" w:right="0"/>
        <w:jc w:val="both"/>
      </w:pPr>
      <w:r>
        <w:rPr/>
        <w:t>□ 适用  √</w:t>
      </w:r>
      <w:r>
        <w:rPr>
          <w:spacing w:val="-1"/>
        </w:rPr>
        <w:t> </w:t>
      </w:r>
      <w:r>
        <w:rPr/>
        <w:t>不适用</w:t>
      </w:r>
    </w:p>
    <w:p>
      <w:pPr>
        <w:spacing w:line="240" w:lineRule="auto" w:before="0"/>
        <w:rPr>
          <w:rFonts w:ascii="宋体" w:hAnsi="宋体" w:cs="宋体" w:eastAsia="宋体" w:hint="default"/>
          <w:sz w:val="18"/>
          <w:szCs w:val="18"/>
        </w:rPr>
      </w:pPr>
    </w:p>
    <w:p>
      <w:pPr>
        <w:pStyle w:val="Heading3"/>
        <w:spacing w:line="240" w:lineRule="auto" w:before="118"/>
        <w:ind w:right="0"/>
        <w:jc w:val="both"/>
        <w:rPr>
          <w:b w:val="0"/>
          <w:bCs w:val="0"/>
        </w:rPr>
      </w:pPr>
      <w:bookmarkStart w:name="（2）委托贷款情况" w:id="103"/>
      <w:bookmarkEnd w:id="103"/>
      <w:r>
        <w:rPr>
          <w:b w:val="0"/>
          <w:bCs w:val="0"/>
        </w:rPr>
      </w:r>
      <w:r>
        <w:rPr/>
        <w:t>（</w:t>
      </w:r>
      <w:r>
        <w:rPr>
          <w:rFonts w:ascii="Times New Roman" w:hAnsi="Times New Roman" w:cs="Times New Roman" w:eastAsia="Times New Roman" w:hint="default"/>
        </w:rPr>
        <w:t>2</w:t>
      </w:r>
      <w:r>
        <w:rPr/>
        <w:t>）委托贷款情况</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8414" w:firstLine="91"/>
        <w:jc w:val="left"/>
      </w:pPr>
      <w:r>
        <w:rPr/>
        <w:t>□ 适用 √</w:t>
      </w:r>
      <w:r>
        <w:rPr>
          <w:spacing w:val="-1"/>
        </w:rPr>
        <w:t> </w:t>
      </w:r>
      <w:r>
        <w:rPr/>
        <w:t>不适用</w:t>
      </w:r>
      <w:r>
        <w:rPr/>
        <w:t> 公司报告期不存在委托贷款。</w:t>
      </w:r>
    </w:p>
    <w:p>
      <w:pPr>
        <w:spacing w:line="240" w:lineRule="auto" w:before="3"/>
        <w:rPr>
          <w:rFonts w:ascii="宋体" w:hAnsi="宋体" w:cs="宋体" w:eastAsia="宋体" w:hint="default"/>
          <w:sz w:val="20"/>
          <w:szCs w:val="20"/>
        </w:rPr>
      </w:pPr>
    </w:p>
    <w:p>
      <w:pPr>
        <w:pStyle w:val="Heading3"/>
        <w:spacing w:line="240" w:lineRule="auto"/>
        <w:ind w:right="0"/>
        <w:jc w:val="both"/>
        <w:rPr>
          <w:b w:val="0"/>
          <w:bCs w:val="0"/>
        </w:rPr>
      </w:pPr>
      <w:bookmarkStart w:name="4、其他重大合同" w:id="104"/>
      <w:bookmarkEnd w:id="104"/>
      <w:r>
        <w:rPr>
          <w:b w:val="0"/>
          <w:bCs w:val="0"/>
        </w:rPr>
      </w:r>
      <w:r>
        <w:rPr>
          <w:rFonts w:ascii="Times New Roman" w:hAnsi="Times New Roman" w:cs="Times New Roman" w:eastAsia="Times New Roman" w:hint="default"/>
        </w:rPr>
        <w:t>4</w:t>
      </w:r>
      <w:r>
        <w:rPr/>
        <w:t>、其他重大合同</w:t>
      </w:r>
      <w:r>
        <w:rPr>
          <w:b w:val="0"/>
          <w:bCs w:val="0"/>
        </w:rPr>
      </w:r>
    </w:p>
    <w:p>
      <w:pPr>
        <w:spacing w:line="240" w:lineRule="auto" w:before="6"/>
        <w:rPr>
          <w:rFonts w:ascii="宋体" w:hAnsi="宋体" w:cs="宋体" w:eastAsia="宋体" w:hint="default"/>
          <w:b/>
          <w:bCs/>
          <w:sz w:val="26"/>
          <w:szCs w:val="26"/>
        </w:rPr>
      </w:pPr>
    </w:p>
    <w:p>
      <w:pPr>
        <w:pStyle w:val="BodyText"/>
        <w:spacing w:line="357" w:lineRule="auto"/>
        <w:ind w:right="8054" w:firstLine="91"/>
        <w:jc w:val="left"/>
      </w:pPr>
      <w:r>
        <w:rPr/>
        <w:t>□ 适用 √</w:t>
      </w:r>
      <w:r>
        <w:rPr>
          <w:spacing w:val="-1"/>
        </w:rPr>
        <w:t> </w:t>
      </w:r>
      <w:r>
        <w:rPr/>
        <w:t>不适用</w:t>
      </w:r>
      <w:r>
        <w:rPr/>
        <w:t> 公司报告期不存在其他重大合同。</w:t>
      </w:r>
    </w:p>
    <w:p>
      <w:pPr>
        <w:spacing w:line="240" w:lineRule="auto" w:before="7"/>
        <w:rPr>
          <w:rFonts w:ascii="宋体" w:hAnsi="宋体" w:cs="宋体" w:eastAsia="宋体" w:hint="default"/>
          <w:sz w:val="18"/>
          <w:szCs w:val="18"/>
        </w:rPr>
      </w:pPr>
    </w:p>
    <w:p>
      <w:pPr>
        <w:pStyle w:val="Heading2"/>
        <w:spacing w:line="240" w:lineRule="auto"/>
        <w:ind w:right="0"/>
        <w:jc w:val="both"/>
        <w:rPr>
          <w:b w:val="0"/>
          <w:bCs w:val="0"/>
        </w:rPr>
      </w:pPr>
      <w:bookmarkStart w:name="十七、社会责任情况" w:id="105"/>
      <w:bookmarkEnd w:id="105"/>
      <w:r>
        <w:rPr>
          <w:b w:val="0"/>
          <w:bCs w:val="0"/>
        </w:rPr>
      </w:r>
      <w:r>
        <w:rPr/>
        <w:t>十七、社会责任情况</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both"/>
        <w:rPr>
          <w:b w:val="0"/>
          <w:bCs w:val="0"/>
        </w:rPr>
      </w:pPr>
      <w:bookmarkStart w:name="1、履行社会责任情况" w:id="106"/>
      <w:bookmarkEnd w:id="106"/>
      <w:r>
        <w:rPr>
          <w:b w:val="0"/>
          <w:bCs w:val="0"/>
        </w:rPr>
      </w:r>
      <w:r>
        <w:rPr>
          <w:rFonts w:ascii="Times New Roman" w:hAnsi="Times New Roman" w:cs="Times New Roman" w:eastAsia="Times New Roman" w:hint="default"/>
        </w:rPr>
        <w:t>1</w:t>
      </w:r>
      <w:r>
        <w:rPr/>
        <w:t>、履行社会责任情况</w:t>
      </w:r>
      <w:r>
        <w:rPr>
          <w:b w:val="0"/>
          <w:bCs w:val="0"/>
        </w:rPr>
      </w:r>
    </w:p>
    <w:p>
      <w:pPr>
        <w:spacing w:line="240" w:lineRule="auto" w:before="9"/>
        <w:rPr>
          <w:rFonts w:ascii="宋体" w:hAnsi="宋体" w:cs="宋体" w:eastAsia="宋体" w:hint="default"/>
          <w:b/>
          <w:bCs/>
          <w:sz w:val="26"/>
          <w:szCs w:val="26"/>
        </w:rPr>
      </w:pPr>
    </w:p>
    <w:p>
      <w:pPr>
        <w:pStyle w:val="BodyText"/>
        <w:spacing w:line="316" w:lineRule="auto"/>
        <w:ind w:left="472" w:right="0"/>
        <w:jc w:val="left"/>
      </w:pPr>
      <w:r>
        <w:rPr/>
        <w:t>（一）股东及债权人权益保护 </w:t>
      </w:r>
      <w:r>
        <w:rPr>
          <w:spacing w:val="-9"/>
        </w:rPr>
        <w:t>公司严格按照《公司法》、《证券法》、《股票上市规则》等法律法规、部门规章、规范性文件和公司章程的规定，依法召</w:t>
      </w:r>
    </w:p>
    <w:p>
      <w:pPr>
        <w:pStyle w:val="BodyText"/>
        <w:spacing w:line="316" w:lineRule="auto" w:before="19"/>
        <w:ind w:right="1132"/>
        <w:jc w:val="both"/>
      </w:pPr>
      <w:r>
        <w:rPr>
          <w:spacing w:val="-2"/>
        </w:rPr>
        <w:t>开股东大会，积极主动采用网络投票等方式扩大股东参与股东大会的比例。报告期内，公司不断完善法人治理结构，保障股</w:t>
      </w:r>
      <w:r>
        <w:rPr>
          <w:spacing w:val="-66"/>
        </w:rPr>
        <w:t> </w:t>
      </w:r>
      <w:r>
        <w:rPr>
          <w:spacing w:val="-66"/>
        </w:rPr>
      </w:r>
      <w:r>
        <w:rPr>
          <w:spacing w:val="-2"/>
        </w:rPr>
        <w:t>东知情权、参与权及分红权的实现，积极实施现金分红政策，确保股东投资回报；不断完善内控体系及治理结构，严格履行</w:t>
      </w:r>
      <w:r>
        <w:rPr>
          <w:spacing w:val="-65"/>
        </w:rPr>
        <w:t> </w:t>
      </w:r>
      <w:r>
        <w:rPr>
          <w:spacing w:val="-65"/>
        </w:rPr>
      </w:r>
      <w:r>
        <w:rPr>
          <w:spacing w:val="-2"/>
        </w:rPr>
        <w:t>信息披露义务，真实、准确、完整、及时、公平地向所有股东披露信息；通过网上业绩说明会、投资者电话、传真、电子邮</w:t>
      </w:r>
      <w:r>
        <w:rPr>
          <w:spacing w:val="-68"/>
        </w:rPr>
        <w:t> </w:t>
      </w:r>
      <w:r>
        <w:rPr>
          <w:spacing w:val="-68"/>
        </w:rPr>
      </w:r>
      <w:r>
        <w:rPr>
          <w:spacing w:val="-2"/>
        </w:rPr>
        <w:t>箱和投资者关系互动平台、接待投资者现场调研等多种方式与投资者进行沟通交流，建立良好的互动平台，提高公司的透明</w:t>
      </w:r>
      <w:r>
        <w:rPr>
          <w:spacing w:val="-65"/>
        </w:rPr>
        <w:t> </w:t>
      </w:r>
      <w:r>
        <w:rPr>
          <w:spacing w:val="-65"/>
        </w:rPr>
      </w:r>
      <w:r>
        <w:rPr>
          <w:spacing w:val="-2"/>
        </w:rPr>
        <w:t>度和诚信度。同时，公司的财务政策稳健，资产、资金安全，在维护股东利益的同时兼顾债权人的利益。报告期内，公司无</w:t>
      </w:r>
      <w:r>
        <w:rPr>
          <w:spacing w:val="-64"/>
        </w:rPr>
        <w:t> </w:t>
      </w:r>
      <w:r>
        <w:rPr>
          <w:spacing w:val="-64"/>
        </w:rPr>
      </w:r>
      <w:r>
        <w:rPr>
          <w:spacing w:val="-2"/>
        </w:rPr>
        <w:t>大股东及关联方占用公司资金情形，亦不存在将资金直接或间接地提供给大股东及关联方使用的各种情形，公司无任何形式</w:t>
      </w:r>
      <w:r>
        <w:rPr>
          <w:spacing w:val="-64"/>
        </w:rPr>
        <w:t> </w:t>
      </w:r>
      <w:r>
        <w:rPr>
          <w:spacing w:val="-64"/>
        </w:rPr>
      </w:r>
      <w:r>
        <w:rPr/>
        <w:t>的对外担保事项。</w:t>
      </w:r>
    </w:p>
    <w:p>
      <w:pPr>
        <w:pStyle w:val="BodyText"/>
        <w:spacing w:line="316" w:lineRule="auto" w:before="19"/>
        <w:ind w:left="472" w:right="0"/>
        <w:jc w:val="left"/>
      </w:pPr>
      <w:r>
        <w:rPr/>
        <w:t>（二）职工权益保护 </w:t>
      </w:r>
      <w:r>
        <w:rPr>
          <w:spacing w:val="-2"/>
        </w:rPr>
        <w:t>公司始终坚持“以人为本”的核心价值观，尊重员工人格，关注员工健康、安全和满意度，保障员工合法权益，致力于</w:t>
      </w:r>
    </w:p>
    <w:p>
      <w:pPr>
        <w:pStyle w:val="BodyText"/>
        <w:spacing w:line="316" w:lineRule="auto" w:before="19"/>
        <w:ind w:right="1132"/>
        <w:jc w:val="both"/>
      </w:pPr>
      <w:r>
        <w:rPr>
          <w:spacing w:val="-2"/>
        </w:rPr>
        <w:t>培育员工的认同感和归属感，实现员工与企业共同成长。为员工提供健康、安全的工作环境；尊重和保护员工权益，严格贯</w:t>
      </w:r>
      <w:r>
        <w:rPr>
          <w:spacing w:val="-65"/>
        </w:rPr>
        <w:t> </w:t>
      </w:r>
      <w:r>
        <w:rPr>
          <w:spacing w:val="-65"/>
        </w:rPr>
      </w:r>
      <w:r>
        <w:rPr>
          <w:spacing w:val="-2"/>
        </w:rPr>
        <w:t>彻执行《劳动合同法》《社会保险法》等各项法律法规；不断完善具有吸引力和竞争性的福利体系；改善员工生产环境，定</w:t>
      </w:r>
      <w:r>
        <w:rPr>
          <w:spacing w:val="-71"/>
        </w:rPr>
        <w:t> </w:t>
      </w:r>
      <w:r>
        <w:rPr>
          <w:spacing w:val="-71"/>
        </w:rPr>
      </w:r>
      <w:r>
        <w:rPr/>
        <w:t>期发放劳保用品和节日礼品；持续优化员工关怀体系，努力为员工提供更好的工作环境及更多的人文关怀。</w:t>
      </w:r>
    </w:p>
    <w:p>
      <w:pPr>
        <w:spacing w:after="0" w:line="316" w:lineRule="auto"/>
        <w:jc w:val="both"/>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0"/>
        <w:jc w:val="left"/>
        <w:rPr>
          <w:b w:val="0"/>
          <w:bCs w:val="0"/>
        </w:rPr>
      </w:pPr>
      <w:bookmarkStart w:name="2、履行精准扶贫社会责任情况" w:id="107"/>
      <w:bookmarkEnd w:id="107"/>
      <w:r>
        <w:rPr>
          <w:b w:val="0"/>
          <w:bCs w:val="0"/>
        </w:rPr>
      </w:r>
      <w:r>
        <w:rPr>
          <w:rFonts w:ascii="Times New Roman" w:hAnsi="Times New Roman" w:cs="Times New Roman" w:eastAsia="Times New Roman" w:hint="default"/>
        </w:rPr>
        <w:t>2</w:t>
      </w:r>
      <w:r>
        <w:rPr/>
        <w:t>、履行精准扶贫社会责任情况</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精准扶贫规划" w:id="108"/>
      <w:bookmarkEnd w:id="108"/>
      <w:r>
        <w:rPr>
          <w:b w:val="0"/>
          <w:bCs w:val="0"/>
        </w:rPr>
      </w:r>
      <w:r>
        <w:rPr/>
        <w:t>（</w:t>
      </w:r>
      <w:r>
        <w:rPr>
          <w:rFonts w:ascii="Times New Roman" w:hAnsi="Times New Roman" w:cs="Times New Roman" w:eastAsia="Times New Roman" w:hint="default"/>
        </w:rPr>
        <w:t>1</w:t>
      </w:r>
      <w:r>
        <w:rPr/>
        <w:t>）精准扶贫规划</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472" w:right="0"/>
        <w:jc w:val="left"/>
      </w:pPr>
      <w:r>
        <w:rPr/>
        <w:t>公司报告年度暂未开展精准扶贫工作，也暂无后续精准扶贫计划。</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2）年度精准扶贫概要" w:id="109"/>
      <w:bookmarkEnd w:id="109"/>
      <w:r>
        <w:rPr>
          <w:b w:val="0"/>
          <w:bCs w:val="0"/>
        </w:rPr>
      </w:r>
      <w:r>
        <w:rPr/>
        <w:t>（</w:t>
      </w:r>
      <w:r>
        <w:rPr>
          <w:rFonts w:ascii="Times New Roman" w:hAnsi="Times New Roman" w:cs="Times New Roman" w:eastAsia="Times New Roman" w:hint="default"/>
        </w:rPr>
        <w:t>2</w:t>
      </w:r>
      <w:r>
        <w:rPr/>
        <w:t>）年度精准扶贫概要</w:t>
      </w:r>
      <w:r>
        <w:rPr>
          <w:b w:val="0"/>
          <w:bCs w:val="0"/>
        </w:rPr>
      </w:r>
    </w:p>
    <w:p>
      <w:pPr>
        <w:spacing w:line="240" w:lineRule="auto" w:before="6"/>
        <w:rPr>
          <w:rFonts w:ascii="宋体" w:hAnsi="宋体" w:cs="宋体" w:eastAsia="宋体" w:hint="default"/>
          <w:b/>
          <w:bCs/>
          <w:sz w:val="26"/>
          <w:szCs w:val="26"/>
        </w:rPr>
      </w:pPr>
    </w:p>
    <w:p>
      <w:pPr>
        <w:pStyle w:val="BodyText"/>
        <w:spacing w:line="309" w:lineRule="auto"/>
        <w:ind w:right="1132" w:firstLine="360"/>
        <w:jc w:val="both"/>
      </w:pPr>
      <w:r>
        <w:rPr>
          <w:spacing w:val="-2"/>
        </w:rPr>
        <w:t>公司一直专注于医疗卫生行业的信息化建设业务，主要业务分为医疗卫生信息化应用软件和基于信息技术的系统集成业</w:t>
      </w:r>
      <w:r>
        <w:rPr/>
        <w:t> </w:t>
      </w:r>
      <w:r>
        <w:rPr>
          <w:spacing w:val="-2"/>
        </w:rPr>
        <w:t>务，随着公司完成对博泰服务的资源整合，公司在金融自助设备和医疗产业的技术运维服务领域实现进一步拓展，</w:t>
      </w:r>
      <w:r>
        <w:rPr>
          <w:rFonts w:ascii="Times New Roman" w:hAnsi="Times New Roman" w:cs="Times New Roman" w:eastAsia="Times New Roman" w:hint="default"/>
          <w:spacing w:val="-2"/>
        </w:rPr>
        <w:t>IT</w:t>
      </w:r>
      <w:r>
        <w:rPr>
          <w:spacing w:val="-2"/>
        </w:rPr>
        <w:t>运维服</w:t>
      </w:r>
      <w:r>
        <w:rPr>
          <w:spacing w:val="-53"/>
        </w:rPr>
        <w:t> </w:t>
      </w:r>
      <w:r>
        <w:rPr/>
        <w:t>务已经成为公司业务的重要组成部分，故不存在污染环境的情形。</w:t>
      </w:r>
    </w:p>
    <w:p>
      <w:pPr>
        <w:spacing w:line="240" w:lineRule="auto" w:before="11"/>
        <w:rPr>
          <w:rFonts w:ascii="宋体" w:hAnsi="宋体" w:cs="宋体" w:eastAsia="宋体" w:hint="default"/>
          <w:sz w:val="22"/>
          <w:szCs w:val="22"/>
        </w:rPr>
      </w:pPr>
    </w:p>
    <w:p>
      <w:pPr>
        <w:pStyle w:val="Heading3"/>
        <w:spacing w:line="240" w:lineRule="auto"/>
        <w:ind w:right="0"/>
        <w:jc w:val="left"/>
        <w:rPr>
          <w:b w:val="0"/>
          <w:bCs w:val="0"/>
        </w:rPr>
      </w:pPr>
      <w:bookmarkStart w:name="（3）精准扶贫成效" w:id="110"/>
      <w:bookmarkEnd w:id="110"/>
      <w:r>
        <w:rPr>
          <w:b w:val="0"/>
          <w:bCs w:val="0"/>
        </w:rPr>
      </w:r>
      <w:r>
        <w:rPr/>
        <w:t>（</w:t>
      </w:r>
      <w:r>
        <w:rPr>
          <w:rFonts w:ascii="Times New Roman" w:hAnsi="Times New Roman" w:cs="Times New Roman" w:eastAsia="Times New Roman" w:hint="default"/>
        </w:rPr>
        <w:t>3</w:t>
      </w:r>
      <w:r>
        <w:rPr/>
        <w:t>）精准扶贫成效</w:t>
      </w:r>
      <w:r>
        <w:rPr>
          <w:b w:val="0"/>
          <w:bCs w:val="0"/>
        </w:rPr>
      </w:r>
    </w:p>
    <w:p>
      <w:pPr>
        <w:spacing w:line="240" w:lineRule="auto" w:before="11"/>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624"/>
        <w:gridCol w:w="1553"/>
        <w:gridCol w:w="4391"/>
      </w:tblGrid>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指标</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计量单位</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数量</w:t>
            </w:r>
            <w:r>
              <w:rPr>
                <w:rFonts w:ascii="Times New Roman" w:hAnsi="Times New Roman" w:cs="Times New Roman" w:eastAsia="Times New Roman" w:hint="default"/>
                <w:sz w:val="18"/>
                <w:szCs w:val="18"/>
              </w:rPr>
              <w:t>/</w:t>
            </w:r>
            <w:r>
              <w:rPr>
                <w:rFonts w:ascii="宋体" w:hAnsi="宋体" w:cs="宋体" w:eastAsia="宋体" w:hint="default"/>
                <w:sz w:val="18"/>
                <w:szCs w:val="18"/>
              </w:rPr>
              <w:t>开展情况</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一、总体情况</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二、分项投入</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产业发展脱贫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转移就业脱贫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易地搬迁脱贫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教育扶贫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健康扶贫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生态保护扶贫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兜底保障</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社会扶贫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其他项目</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三、所获奖项（内容、级别）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bl>
    <w:p>
      <w:pPr>
        <w:spacing w:line="240" w:lineRule="auto" w:before="4"/>
        <w:rPr>
          <w:rFonts w:ascii="宋体" w:hAnsi="宋体" w:cs="宋体" w:eastAsia="宋体" w:hint="default"/>
          <w:b/>
          <w:bCs/>
          <w:sz w:val="19"/>
          <w:szCs w:val="19"/>
        </w:rPr>
      </w:pPr>
    </w:p>
    <w:p>
      <w:pPr>
        <w:pStyle w:val="Heading3"/>
        <w:spacing w:line="240" w:lineRule="auto" w:before="34"/>
        <w:ind w:right="0"/>
        <w:jc w:val="left"/>
        <w:rPr>
          <w:b w:val="0"/>
          <w:bCs w:val="0"/>
        </w:rPr>
      </w:pPr>
      <w:bookmarkStart w:name="（4）后续精准扶贫计划" w:id="111"/>
      <w:bookmarkEnd w:id="111"/>
      <w:r>
        <w:rPr>
          <w:b w:val="0"/>
          <w:bCs w:val="0"/>
        </w:rPr>
      </w:r>
      <w:r>
        <w:rPr/>
        <w:t>（</w:t>
      </w:r>
      <w:r>
        <w:rPr>
          <w:rFonts w:ascii="Times New Roman" w:hAnsi="Times New Roman" w:cs="Times New Roman" w:eastAsia="Times New Roman" w:hint="default"/>
        </w:rPr>
        <w:t>4</w:t>
      </w:r>
      <w:r>
        <w:rPr/>
        <w:t>）后续精准扶贫计划</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3、环境保护相关的情况" w:id="112"/>
      <w:bookmarkEnd w:id="112"/>
      <w:r>
        <w:rPr>
          <w:b w:val="0"/>
          <w:bCs w:val="0"/>
        </w:rPr>
      </w:r>
      <w:r>
        <w:rPr>
          <w:rFonts w:ascii="Times New Roman" w:hAnsi="Times New Roman" w:cs="Times New Roman" w:eastAsia="Times New Roman" w:hint="default"/>
        </w:rPr>
        <w:t>3</w:t>
      </w:r>
      <w:r>
        <w:rPr/>
        <w:t>、环境保护相关的情况</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5714"/>
        <w:jc w:val="left"/>
      </w:pPr>
      <w:r>
        <w:rPr/>
        <w:t>上市公司及其子公司是否属于环境保护部门公布的重点排污单位 否</w:t>
      </w:r>
    </w:p>
    <w:p>
      <w:pPr>
        <w:pStyle w:val="BodyText"/>
        <w:spacing w:line="240" w:lineRule="auto" w:before="27"/>
        <w:ind w:right="0"/>
        <w:jc w:val="left"/>
      </w:pPr>
      <w:r>
        <w:rPr/>
        <w:t>不适用。</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bookmarkStart w:name="十八、其他重大事项的说明" w:id="113"/>
      <w:bookmarkEnd w:id="113"/>
      <w:r>
        <w:rPr>
          <w:b w:val="0"/>
          <w:bCs w:val="0"/>
        </w:rPr>
      </w:r>
      <w:r>
        <w:rPr/>
        <w:t>十八、其他重大事项的说明</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7154" w:firstLine="91"/>
        <w:jc w:val="left"/>
      </w:pPr>
      <w:r>
        <w:rPr/>
        <w:t>□ 适用 √</w:t>
      </w:r>
      <w:r>
        <w:rPr>
          <w:spacing w:val="-1"/>
        </w:rPr>
        <w:t> </w:t>
      </w:r>
      <w:r>
        <w:rPr/>
        <w:t>不适用</w:t>
      </w:r>
      <w:r>
        <w:rPr/>
        <w:t> 公司报告期不存在需要说明的其他重大事项。</w:t>
      </w:r>
    </w:p>
    <w:p>
      <w:pPr>
        <w:spacing w:after="0" w:line="360" w:lineRule="auto"/>
        <w:jc w:val="left"/>
        <w:sectPr>
          <w:pgSz w:w="11910" w:h="16840"/>
          <w:pgMar w:header="907" w:footer="1016" w:top="1100" w:bottom="1200" w:left="1020" w:right="0"/>
        </w:sectPr>
      </w:pPr>
    </w:p>
    <w:p>
      <w:pPr>
        <w:spacing w:line="240" w:lineRule="auto" w:before="9"/>
        <w:rPr>
          <w:rFonts w:ascii="宋体" w:hAnsi="宋体" w:cs="宋体" w:eastAsia="宋体" w:hint="default"/>
          <w:sz w:val="20"/>
          <w:szCs w:val="20"/>
        </w:rPr>
      </w:pPr>
    </w:p>
    <w:p>
      <w:pPr>
        <w:pStyle w:val="Heading2"/>
        <w:spacing w:line="240" w:lineRule="auto" w:before="26"/>
        <w:ind w:right="0"/>
        <w:jc w:val="left"/>
        <w:rPr>
          <w:b w:val="0"/>
          <w:bCs w:val="0"/>
        </w:rPr>
      </w:pPr>
      <w:bookmarkStart w:name="十九、公司子公司重大事项" w:id="114"/>
      <w:bookmarkEnd w:id="114"/>
      <w:r>
        <w:rPr>
          <w:b w:val="0"/>
          <w:bCs w:val="0"/>
        </w:rPr>
      </w:r>
      <w:r>
        <w:rPr/>
        <w:t>十九、公司子公司重大事项</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204" w:right="0"/>
        <w:jc w:val="left"/>
      </w:pPr>
      <w:r>
        <w:rPr/>
        <w:t>□ 适用  √</w:t>
      </w:r>
      <w:r>
        <w:rPr>
          <w:spacing w:val="-1"/>
        </w:rPr>
        <w:t> </w:t>
      </w:r>
      <w:r>
        <w:rPr/>
        <w:t>不适用</w:t>
      </w:r>
    </w:p>
    <w:p>
      <w:pPr>
        <w:spacing w:after="0" w:line="240" w:lineRule="auto"/>
        <w:jc w:val="left"/>
        <w:sectPr>
          <w:headerReference w:type="default" r:id="rId34"/>
          <w:pgSz w:w="11910" w:h="16840"/>
          <w:pgMar w:header="907" w:footer="1016"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left="3007" w:right="0"/>
        <w:jc w:val="left"/>
        <w:rPr>
          <w:b w:val="0"/>
          <w:bCs w:val="0"/>
        </w:rPr>
      </w:pPr>
      <w:bookmarkStart w:name="第六节股份变动及股东情况" w:id="115"/>
      <w:bookmarkEnd w:id="115"/>
      <w:r>
        <w:rPr>
          <w:b w:val="0"/>
          <w:bCs w:val="0"/>
        </w:rPr>
      </w:r>
      <w:bookmarkStart w:name="_bookmark4" w:id="116"/>
      <w:bookmarkEnd w:id="116"/>
      <w:r>
        <w:rPr>
          <w:b w:val="0"/>
          <w:bCs w:val="0"/>
        </w:rPr>
      </w:r>
      <w:r>
        <w:rPr/>
        <w:t>第六节股份变动及股东情况</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pStyle w:val="Heading2"/>
        <w:spacing w:line="240" w:lineRule="auto" w:before="26"/>
        <w:ind w:right="0"/>
        <w:jc w:val="left"/>
        <w:rPr>
          <w:b w:val="0"/>
          <w:bCs w:val="0"/>
        </w:rPr>
      </w:pPr>
      <w:bookmarkStart w:name="一、股份变动情况" w:id="117"/>
      <w:bookmarkEnd w:id="117"/>
      <w:r>
        <w:rPr>
          <w:b w:val="0"/>
          <w:bCs w:val="0"/>
        </w:rPr>
      </w:r>
      <w:r>
        <w:rPr/>
        <w:t>一、股份变动情况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股份变动情况" w:id="118"/>
      <w:bookmarkEnd w:id="118"/>
      <w:r>
        <w:rPr>
          <w:b w:val="0"/>
          <w:bCs w:val="0"/>
        </w:rPr>
      </w:r>
      <w:r>
        <w:rPr>
          <w:rFonts w:ascii="Times New Roman" w:hAnsi="Times New Roman" w:cs="Times New Roman" w:eastAsia="Times New Roman" w:hint="default"/>
        </w:rPr>
        <w:t>1</w:t>
      </w:r>
      <w:r>
        <w:rPr/>
        <w:t>、股份变动情况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单位：股</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227"/>
        <w:gridCol w:w="823"/>
        <w:gridCol w:w="823"/>
        <w:gridCol w:w="823"/>
        <w:gridCol w:w="822"/>
        <w:gridCol w:w="822"/>
        <w:gridCol w:w="822"/>
        <w:gridCol w:w="822"/>
        <w:gridCol w:w="794"/>
        <w:gridCol w:w="794"/>
      </w:tblGrid>
      <w:tr>
        <w:trPr>
          <w:trHeight w:val="402" w:hRule="exact"/>
        </w:trPr>
        <w:tc>
          <w:tcPr>
            <w:tcW w:w="2227" w:type="dxa"/>
            <w:vMerge w:val="restart"/>
            <w:tcBorders>
              <w:top w:val="single" w:sz="4" w:space="0" w:color="000000"/>
              <w:left w:val="single" w:sz="4" w:space="0" w:color="000000"/>
              <w:right w:val="single" w:sz="4" w:space="0" w:color="000000"/>
            </w:tcBorders>
            <w:shd w:val="clear" w:color="auto" w:fill="D2D2D2"/>
          </w:tcPr>
          <w:p>
            <w:pPr/>
          </w:p>
        </w:tc>
        <w:tc>
          <w:tcPr>
            <w:tcW w:w="164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68"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111"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60"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5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38"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714" w:hRule="exact"/>
        </w:trPr>
        <w:tc>
          <w:tcPr>
            <w:tcW w:w="2227" w:type="dxa"/>
            <w:vMerge/>
            <w:tcBorders>
              <w:left w:val="single" w:sz="4" w:space="0" w:color="000000"/>
              <w:bottom w:val="single" w:sz="4" w:space="0" w:color="000000"/>
              <w:right w:val="single" w:sz="4" w:space="0" w:color="000000"/>
            </w:tcBorders>
            <w:shd w:val="clear" w:color="auto" w:fill="D2D2D2"/>
          </w:tcPr>
          <w:p>
            <w:pPr/>
          </w:p>
        </w:tc>
        <w:tc>
          <w:tcPr>
            <w:tcW w:w="8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26"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8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8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316" w:right="135" w:hanging="180"/>
              <w:jc w:val="left"/>
              <w:rPr>
                <w:rFonts w:ascii="宋体" w:hAnsi="宋体" w:cs="宋体" w:eastAsia="宋体" w:hint="default"/>
                <w:sz w:val="18"/>
                <w:szCs w:val="18"/>
              </w:rPr>
            </w:pPr>
            <w:r>
              <w:rPr>
                <w:rFonts w:ascii="宋体" w:hAnsi="宋体" w:cs="宋体" w:eastAsia="宋体" w:hint="default"/>
                <w:sz w:val="18"/>
                <w:szCs w:val="18"/>
              </w:rPr>
              <w:t>发行新 股</w:t>
            </w:r>
          </w:p>
        </w:tc>
        <w:tc>
          <w:tcPr>
            <w:tcW w:w="8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8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226" w:right="135" w:hanging="92"/>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8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26"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714" w:hRule="exact"/>
        </w:trPr>
        <w:tc>
          <w:tcPr>
            <w:tcW w:w="22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0" w:right="0"/>
              <w:jc w:val="left"/>
              <w:rPr>
                <w:rFonts w:ascii="Times New Roman" w:hAnsi="Times New Roman" w:cs="Times New Roman" w:eastAsia="Times New Roman" w:hint="default"/>
                <w:sz w:val="18"/>
                <w:szCs w:val="18"/>
              </w:rPr>
            </w:pPr>
            <w:r>
              <w:rPr>
                <w:rFonts w:ascii="Times New Roman"/>
                <w:sz w:val="18"/>
              </w:rPr>
              <w:t>113,898</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,881</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2" w:right="0"/>
              <w:jc w:val="center"/>
              <w:rPr>
                <w:rFonts w:ascii="Times New Roman" w:hAnsi="Times New Roman" w:cs="Times New Roman" w:eastAsia="Times New Roman" w:hint="default"/>
                <w:sz w:val="18"/>
                <w:szCs w:val="18"/>
              </w:rPr>
            </w:pPr>
            <w:r>
              <w:rPr>
                <w:rFonts w:ascii="Times New Roman"/>
                <w:sz w:val="18"/>
              </w:rPr>
              <w:t>46.88%</w:t>
            </w:r>
          </w:p>
        </w:tc>
        <w:tc>
          <w:tcPr>
            <w:tcW w:w="823"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8" w:right="0"/>
              <w:jc w:val="left"/>
              <w:rPr>
                <w:rFonts w:ascii="Times New Roman" w:hAnsi="Times New Roman" w:cs="Times New Roman" w:eastAsia="Times New Roman" w:hint="default"/>
                <w:sz w:val="18"/>
                <w:szCs w:val="18"/>
              </w:rPr>
            </w:pPr>
            <w:r>
              <w:rPr>
                <w:rFonts w:ascii="Times New Roman"/>
                <w:sz w:val="18"/>
              </w:rPr>
              <w:t>76,352,</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007</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0" w:right="0"/>
              <w:jc w:val="left"/>
              <w:rPr>
                <w:rFonts w:ascii="Times New Roman" w:hAnsi="Times New Roman" w:cs="Times New Roman" w:eastAsia="Times New Roman" w:hint="default"/>
                <w:sz w:val="18"/>
                <w:szCs w:val="18"/>
              </w:rPr>
            </w:pPr>
            <w:r>
              <w:rPr>
                <w:rFonts w:ascii="Times New Roman"/>
                <w:sz w:val="18"/>
              </w:rPr>
              <w:t>-48,778,</w:t>
            </w:r>
          </w:p>
          <w:p>
            <w:pPr>
              <w:pStyle w:val="TableParagraph"/>
              <w:spacing w:line="240" w:lineRule="auto" w:before="105"/>
              <w:ind w:left="438" w:right="0"/>
              <w:jc w:val="left"/>
              <w:rPr>
                <w:rFonts w:ascii="Times New Roman" w:hAnsi="Times New Roman" w:cs="Times New Roman" w:eastAsia="Times New Roman" w:hint="default"/>
                <w:sz w:val="18"/>
                <w:szCs w:val="18"/>
              </w:rPr>
            </w:pPr>
            <w:r>
              <w:rPr>
                <w:rFonts w:ascii="Times New Roman"/>
                <w:sz w:val="18"/>
              </w:rPr>
              <w:t>326</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8" w:right="0"/>
              <w:jc w:val="left"/>
              <w:rPr>
                <w:rFonts w:ascii="Times New Roman" w:hAnsi="Times New Roman" w:cs="Times New Roman" w:eastAsia="Times New Roman" w:hint="default"/>
                <w:sz w:val="18"/>
                <w:szCs w:val="18"/>
              </w:rPr>
            </w:pPr>
            <w:r>
              <w:rPr>
                <w:rFonts w:ascii="Times New Roman"/>
                <w:sz w:val="18"/>
              </w:rPr>
              <w:t>27,573,</w:t>
            </w:r>
          </w:p>
          <w:p>
            <w:pPr>
              <w:pStyle w:val="TableParagraph"/>
              <w:spacing w:line="240" w:lineRule="auto" w:before="105"/>
              <w:ind w:left="440" w:right="0"/>
              <w:jc w:val="left"/>
              <w:rPr>
                <w:rFonts w:ascii="Times New Roman" w:hAnsi="Times New Roman" w:cs="Times New Roman" w:eastAsia="Times New Roman" w:hint="default"/>
                <w:sz w:val="18"/>
                <w:szCs w:val="18"/>
              </w:rPr>
            </w:pPr>
            <w:r>
              <w:rPr>
                <w:rFonts w:ascii="Times New Roman"/>
                <w:sz w:val="18"/>
              </w:rPr>
              <w:t>681</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6" w:right="0"/>
              <w:jc w:val="left"/>
              <w:rPr>
                <w:rFonts w:ascii="Times New Roman" w:hAnsi="Times New Roman" w:cs="Times New Roman" w:eastAsia="Times New Roman" w:hint="default"/>
                <w:sz w:val="18"/>
                <w:szCs w:val="18"/>
              </w:rPr>
            </w:pPr>
            <w:r>
              <w:rPr>
                <w:rFonts w:ascii="Times New Roman"/>
                <w:sz w:val="18"/>
              </w:rPr>
              <w:t>141,47</w:t>
            </w:r>
          </w:p>
          <w:p>
            <w:pPr>
              <w:pStyle w:val="TableParagraph"/>
              <w:spacing w:line="240" w:lineRule="auto" w:before="105"/>
              <w:ind w:left="275" w:right="0"/>
              <w:jc w:val="left"/>
              <w:rPr>
                <w:rFonts w:ascii="Times New Roman" w:hAnsi="Times New Roman" w:cs="Times New Roman" w:eastAsia="Times New Roman" w:hint="default"/>
                <w:sz w:val="18"/>
                <w:szCs w:val="18"/>
              </w:rPr>
            </w:pPr>
            <w:r>
              <w:rPr>
                <w:rFonts w:ascii="Times New Roman"/>
                <w:sz w:val="18"/>
              </w:rPr>
              <w:t>2,562</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5" w:right="0"/>
              <w:jc w:val="center"/>
              <w:rPr>
                <w:rFonts w:ascii="Times New Roman" w:hAnsi="Times New Roman" w:cs="Times New Roman" w:eastAsia="Times New Roman" w:hint="default"/>
                <w:sz w:val="18"/>
                <w:szCs w:val="18"/>
              </w:rPr>
            </w:pPr>
            <w:r>
              <w:rPr>
                <w:rFonts w:ascii="Times New Roman"/>
                <w:sz w:val="18"/>
              </w:rPr>
              <w:t>29.14%</w:t>
            </w:r>
          </w:p>
        </w:tc>
      </w:tr>
      <w:tr>
        <w:trPr>
          <w:trHeight w:val="714" w:hRule="exact"/>
        </w:trPr>
        <w:tc>
          <w:tcPr>
            <w:tcW w:w="22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30" w:right="0"/>
              <w:jc w:val="left"/>
              <w:rPr>
                <w:rFonts w:ascii="Times New Roman" w:hAnsi="Times New Roman" w:cs="Times New Roman" w:eastAsia="Times New Roman" w:hint="default"/>
                <w:sz w:val="18"/>
                <w:szCs w:val="18"/>
              </w:rPr>
            </w:pPr>
            <w:r>
              <w:rPr>
                <w:rFonts w:ascii="Times New Roman"/>
                <w:sz w:val="18"/>
              </w:rPr>
              <w:t>113,898</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,881</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2" w:right="0"/>
              <w:jc w:val="center"/>
              <w:rPr>
                <w:rFonts w:ascii="Times New Roman" w:hAnsi="Times New Roman" w:cs="Times New Roman" w:eastAsia="Times New Roman" w:hint="default"/>
                <w:sz w:val="18"/>
                <w:szCs w:val="18"/>
              </w:rPr>
            </w:pPr>
            <w:r>
              <w:rPr>
                <w:rFonts w:ascii="Times New Roman"/>
                <w:sz w:val="18"/>
              </w:rPr>
              <w:t>46.88%</w:t>
            </w:r>
          </w:p>
        </w:tc>
        <w:tc>
          <w:tcPr>
            <w:tcW w:w="823"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8" w:right="0"/>
              <w:jc w:val="left"/>
              <w:rPr>
                <w:rFonts w:ascii="Times New Roman" w:hAnsi="Times New Roman" w:cs="Times New Roman" w:eastAsia="Times New Roman" w:hint="default"/>
                <w:sz w:val="18"/>
                <w:szCs w:val="18"/>
              </w:rPr>
            </w:pPr>
            <w:r>
              <w:rPr>
                <w:rFonts w:ascii="Times New Roman"/>
                <w:sz w:val="18"/>
              </w:rPr>
              <w:t>76,352,</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007</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10" w:right="0"/>
              <w:jc w:val="left"/>
              <w:rPr>
                <w:rFonts w:ascii="Times New Roman" w:hAnsi="Times New Roman" w:cs="Times New Roman" w:eastAsia="Times New Roman" w:hint="default"/>
                <w:sz w:val="18"/>
                <w:szCs w:val="18"/>
              </w:rPr>
            </w:pPr>
            <w:r>
              <w:rPr>
                <w:rFonts w:ascii="Times New Roman"/>
                <w:sz w:val="18"/>
              </w:rPr>
              <w:t>-48,778,</w:t>
            </w:r>
          </w:p>
          <w:p>
            <w:pPr>
              <w:pStyle w:val="TableParagraph"/>
              <w:spacing w:line="240" w:lineRule="auto" w:before="105"/>
              <w:ind w:left="438" w:right="0"/>
              <w:jc w:val="left"/>
              <w:rPr>
                <w:rFonts w:ascii="Times New Roman" w:hAnsi="Times New Roman" w:cs="Times New Roman" w:eastAsia="Times New Roman" w:hint="default"/>
                <w:sz w:val="18"/>
                <w:szCs w:val="18"/>
              </w:rPr>
            </w:pPr>
            <w:r>
              <w:rPr>
                <w:rFonts w:ascii="Times New Roman"/>
                <w:sz w:val="18"/>
              </w:rPr>
              <w:t>326</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8" w:right="0"/>
              <w:jc w:val="left"/>
              <w:rPr>
                <w:rFonts w:ascii="Times New Roman" w:hAnsi="Times New Roman" w:cs="Times New Roman" w:eastAsia="Times New Roman" w:hint="default"/>
                <w:sz w:val="18"/>
                <w:szCs w:val="18"/>
              </w:rPr>
            </w:pPr>
            <w:r>
              <w:rPr>
                <w:rFonts w:ascii="Times New Roman"/>
                <w:sz w:val="18"/>
              </w:rPr>
              <w:t>27,573,</w:t>
            </w:r>
          </w:p>
          <w:p>
            <w:pPr>
              <w:pStyle w:val="TableParagraph"/>
              <w:spacing w:line="240" w:lineRule="auto" w:before="105"/>
              <w:ind w:left="440" w:right="0"/>
              <w:jc w:val="left"/>
              <w:rPr>
                <w:rFonts w:ascii="Times New Roman" w:hAnsi="Times New Roman" w:cs="Times New Roman" w:eastAsia="Times New Roman" w:hint="default"/>
                <w:sz w:val="18"/>
                <w:szCs w:val="18"/>
              </w:rPr>
            </w:pPr>
            <w:r>
              <w:rPr>
                <w:rFonts w:ascii="Times New Roman"/>
                <w:sz w:val="18"/>
              </w:rPr>
              <w:t>681</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86" w:right="0"/>
              <w:jc w:val="left"/>
              <w:rPr>
                <w:rFonts w:ascii="Times New Roman" w:hAnsi="Times New Roman" w:cs="Times New Roman" w:eastAsia="Times New Roman" w:hint="default"/>
                <w:sz w:val="18"/>
                <w:szCs w:val="18"/>
              </w:rPr>
            </w:pPr>
            <w:r>
              <w:rPr>
                <w:rFonts w:ascii="Times New Roman"/>
                <w:sz w:val="18"/>
              </w:rPr>
              <w:t>141,47</w:t>
            </w:r>
          </w:p>
          <w:p>
            <w:pPr>
              <w:pStyle w:val="TableParagraph"/>
              <w:spacing w:line="240" w:lineRule="auto" w:before="105"/>
              <w:ind w:left="275" w:right="0"/>
              <w:jc w:val="left"/>
              <w:rPr>
                <w:rFonts w:ascii="Times New Roman" w:hAnsi="Times New Roman" w:cs="Times New Roman" w:eastAsia="Times New Roman" w:hint="default"/>
                <w:sz w:val="18"/>
                <w:szCs w:val="18"/>
              </w:rPr>
            </w:pPr>
            <w:r>
              <w:rPr>
                <w:rFonts w:ascii="Times New Roman"/>
                <w:sz w:val="18"/>
              </w:rPr>
              <w:t>2,562</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5" w:right="0"/>
              <w:jc w:val="center"/>
              <w:rPr>
                <w:rFonts w:ascii="Times New Roman" w:hAnsi="Times New Roman" w:cs="Times New Roman" w:eastAsia="Times New Roman" w:hint="default"/>
                <w:sz w:val="18"/>
                <w:szCs w:val="18"/>
              </w:rPr>
            </w:pPr>
            <w:r>
              <w:rPr>
                <w:rFonts w:ascii="Times New Roman"/>
                <w:sz w:val="18"/>
              </w:rPr>
              <w:t>29.14%</w:t>
            </w:r>
          </w:p>
        </w:tc>
      </w:tr>
      <w:tr>
        <w:trPr>
          <w:trHeight w:val="714" w:hRule="exact"/>
        </w:trPr>
        <w:tc>
          <w:tcPr>
            <w:tcW w:w="22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9" w:right="0"/>
              <w:jc w:val="left"/>
              <w:rPr>
                <w:rFonts w:ascii="Times New Roman" w:hAnsi="Times New Roman" w:cs="Times New Roman" w:eastAsia="Times New Roman" w:hint="default"/>
                <w:sz w:val="18"/>
                <w:szCs w:val="18"/>
              </w:rPr>
            </w:pPr>
            <w:r>
              <w:rPr>
                <w:rFonts w:ascii="Times New Roman"/>
                <w:sz w:val="18"/>
              </w:rPr>
              <w:t>55,372,</w:t>
            </w:r>
          </w:p>
          <w:p>
            <w:pPr>
              <w:pStyle w:val="TableParagraph"/>
              <w:spacing w:line="240" w:lineRule="auto" w:before="105"/>
              <w:ind w:left="440" w:right="0"/>
              <w:jc w:val="left"/>
              <w:rPr>
                <w:rFonts w:ascii="Times New Roman" w:hAnsi="Times New Roman" w:cs="Times New Roman" w:eastAsia="Times New Roman" w:hint="default"/>
                <w:sz w:val="18"/>
                <w:szCs w:val="18"/>
              </w:rPr>
            </w:pPr>
            <w:r>
              <w:rPr>
                <w:rFonts w:ascii="Times New Roman"/>
                <w:sz w:val="18"/>
              </w:rPr>
              <w:t>999</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2" w:right="0"/>
              <w:jc w:val="center"/>
              <w:rPr>
                <w:rFonts w:ascii="Times New Roman" w:hAnsi="Times New Roman" w:cs="Times New Roman" w:eastAsia="Times New Roman" w:hint="default"/>
                <w:sz w:val="18"/>
                <w:szCs w:val="18"/>
              </w:rPr>
            </w:pPr>
            <w:r>
              <w:rPr>
                <w:rFonts w:ascii="Times New Roman"/>
                <w:sz w:val="18"/>
              </w:rPr>
              <w:t>22.79%</w:t>
            </w:r>
          </w:p>
        </w:tc>
        <w:tc>
          <w:tcPr>
            <w:tcW w:w="823"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8" w:right="0"/>
              <w:jc w:val="left"/>
              <w:rPr>
                <w:rFonts w:ascii="Times New Roman" w:hAnsi="Times New Roman" w:cs="Times New Roman" w:eastAsia="Times New Roman" w:hint="default"/>
                <w:sz w:val="18"/>
                <w:szCs w:val="18"/>
              </w:rPr>
            </w:pPr>
            <w:r>
              <w:rPr>
                <w:rFonts w:ascii="Times New Roman"/>
                <w:sz w:val="18"/>
              </w:rPr>
              <w:t>29,440,</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438</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0" w:right="0"/>
              <w:jc w:val="left"/>
              <w:rPr>
                <w:rFonts w:ascii="Times New Roman" w:hAnsi="Times New Roman" w:cs="Times New Roman" w:eastAsia="Times New Roman" w:hint="default"/>
                <w:sz w:val="18"/>
                <w:szCs w:val="18"/>
              </w:rPr>
            </w:pPr>
            <w:r>
              <w:rPr>
                <w:rFonts w:ascii="Times New Roman"/>
                <w:sz w:val="18"/>
              </w:rPr>
              <w:t>-37,016,</w:t>
            </w:r>
          </w:p>
          <w:p>
            <w:pPr>
              <w:pStyle w:val="TableParagraph"/>
              <w:spacing w:line="240" w:lineRule="auto" w:before="105"/>
              <w:ind w:left="438" w:right="0"/>
              <w:jc w:val="left"/>
              <w:rPr>
                <w:rFonts w:ascii="Times New Roman" w:hAnsi="Times New Roman" w:cs="Times New Roman" w:eastAsia="Times New Roman" w:hint="default"/>
                <w:sz w:val="18"/>
                <w:szCs w:val="18"/>
              </w:rPr>
            </w:pPr>
            <w:r>
              <w:rPr>
                <w:rFonts w:ascii="Times New Roman"/>
                <w:sz w:val="18"/>
              </w:rPr>
              <w:t>637</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1" w:right="0"/>
              <w:jc w:val="left"/>
              <w:rPr>
                <w:rFonts w:ascii="Times New Roman" w:hAnsi="Times New Roman" w:cs="Times New Roman" w:eastAsia="Times New Roman" w:hint="default"/>
                <w:sz w:val="18"/>
                <w:szCs w:val="18"/>
              </w:rPr>
            </w:pPr>
            <w:r>
              <w:rPr>
                <w:rFonts w:ascii="Times New Roman"/>
                <w:sz w:val="18"/>
              </w:rPr>
              <w:t>-7,576,1</w:t>
            </w:r>
          </w:p>
          <w:p>
            <w:pPr>
              <w:pStyle w:val="TableParagraph"/>
              <w:spacing w:line="240" w:lineRule="auto" w:before="105"/>
              <w:ind w:left="528" w:right="0"/>
              <w:jc w:val="left"/>
              <w:rPr>
                <w:rFonts w:ascii="Times New Roman" w:hAnsi="Times New Roman" w:cs="Times New Roman" w:eastAsia="Times New Roman" w:hint="default"/>
                <w:sz w:val="18"/>
                <w:szCs w:val="18"/>
              </w:rPr>
            </w:pPr>
            <w:r>
              <w:rPr>
                <w:rFonts w:ascii="Times New Roman"/>
                <w:sz w:val="18"/>
              </w:rPr>
              <w:t>99</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 w:right="0"/>
              <w:jc w:val="left"/>
              <w:rPr>
                <w:rFonts w:ascii="Times New Roman" w:hAnsi="Times New Roman" w:cs="Times New Roman" w:eastAsia="Times New Roman" w:hint="default"/>
                <w:sz w:val="18"/>
                <w:szCs w:val="18"/>
              </w:rPr>
            </w:pPr>
            <w:r>
              <w:rPr>
                <w:rFonts w:ascii="Times New Roman"/>
                <w:sz w:val="18"/>
              </w:rPr>
              <w:t>47,796,</w:t>
            </w:r>
          </w:p>
          <w:p>
            <w:pPr>
              <w:pStyle w:val="TableParagraph"/>
              <w:spacing w:line="240" w:lineRule="auto" w:before="105"/>
              <w:ind w:left="410" w:right="0"/>
              <w:jc w:val="left"/>
              <w:rPr>
                <w:rFonts w:ascii="Times New Roman" w:hAnsi="Times New Roman" w:cs="Times New Roman" w:eastAsia="Times New Roman" w:hint="default"/>
                <w:sz w:val="18"/>
                <w:szCs w:val="18"/>
              </w:rPr>
            </w:pPr>
            <w:r>
              <w:rPr>
                <w:rFonts w:ascii="Times New Roman"/>
                <w:sz w:val="18"/>
              </w:rPr>
              <w:t>800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4" w:right="0"/>
              <w:jc w:val="center"/>
              <w:rPr>
                <w:rFonts w:ascii="Times New Roman" w:hAnsi="Times New Roman" w:cs="Times New Roman" w:eastAsia="Times New Roman" w:hint="default"/>
                <w:sz w:val="18"/>
                <w:szCs w:val="18"/>
              </w:rPr>
            </w:pPr>
            <w:r>
              <w:rPr>
                <w:rFonts w:ascii="Times New Roman"/>
                <w:sz w:val="18"/>
              </w:rPr>
              <w:t>9.85%</w:t>
            </w:r>
          </w:p>
        </w:tc>
      </w:tr>
      <w:tr>
        <w:trPr>
          <w:trHeight w:val="714" w:hRule="exact"/>
        </w:trPr>
        <w:tc>
          <w:tcPr>
            <w:tcW w:w="22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642"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9" w:right="0"/>
              <w:jc w:val="left"/>
              <w:rPr>
                <w:rFonts w:ascii="Times New Roman" w:hAnsi="Times New Roman" w:cs="Times New Roman" w:eastAsia="Times New Roman" w:hint="default"/>
                <w:sz w:val="18"/>
                <w:szCs w:val="18"/>
              </w:rPr>
            </w:pPr>
            <w:r>
              <w:rPr>
                <w:rFonts w:ascii="Times New Roman"/>
                <w:sz w:val="18"/>
              </w:rPr>
              <w:t>58,525,</w:t>
            </w:r>
          </w:p>
          <w:p>
            <w:pPr>
              <w:pStyle w:val="TableParagraph"/>
              <w:spacing w:line="240" w:lineRule="auto" w:before="105"/>
              <w:ind w:left="440" w:right="0"/>
              <w:jc w:val="left"/>
              <w:rPr>
                <w:rFonts w:ascii="Times New Roman" w:hAnsi="Times New Roman" w:cs="Times New Roman" w:eastAsia="Times New Roman" w:hint="default"/>
                <w:sz w:val="18"/>
                <w:szCs w:val="18"/>
              </w:rPr>
            </w:pPr>
            <w:r>
              <w:rPr>
                <w:rFonts w:ascii="Times New Roman"/>
                <w:sz w:val="18"/>
              </w:rPr>
              <w:t>882</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2" w:right="0"/>
              <w:jc w:val="center"/>
              <w:rPr>
                <w:rFonts w:ascii="Times New Roman" w:hAnsi="Times New Roman" w:cs="Times New Roman" w:eastAsia="Times New Roman" w:hint="default"/>
                <w:sz w:val="18"/>
                <w:szCs w:val="18"/>
              </w:rPr>
            </w:pPr>
            <w:r>
              <w:rPr>
                <w:rFonts w:ascii="Times New Roman"/>
                <w:sz w:val="18"/>
              </w:rPr>
              <w:t>24.09%</w:t>
            </w:r>
          </w:p>
        </w:tc>
        <w:tc>
          <w:tcPr>
            <w:tcW w:w="823"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5" w:right="0"/>
              <w:jc w:val="left"/>
              <w:rPr>
                <w:rFonts w:ascii="Times New Roman" w:hAnsi="Times New Roman" w:cs="Times New Roman" w:eastAsia="Times New Roman" w:hint="default"/>
                <w:sz w:val="18"/>
                <w:szCs w:val="18"/>
              </w:rPr>
            </w:pPr>
            <w:r>
              <w:rPr>
                <w:rFonts w:ascii="Times New Roman"/>
                <w:sz w:val="18"/>
              </w:rPr>
              <w:t>46,911,</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569</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17" w:right="0"/>
              <w:jc w:val="left"/>
              <w:rPr>
                <w:rFonts w:ascii="Times New Roman" w:hAnsi="Times New Roman" w:cs="Times New Roman" w:eastAsia="Times New Roman" w:hint="default"/>
                <w:sz w:val="18"/>
                <w:szCs w:val="18"/>
              </w:rPr>
            </w:pPr>
            <w:r>
              <w:rPr>
                <w:rFonts w:ascii="Times New Roman"/>
                <w:sz w:val="18"/>
              </w:rPr>
              <w:t>-11,761,</w:t>
            </w:r>
          </w:p>
          <w:p>
            <w:pPr>
              <w:pStyle w:val="TableParagraph"/>
              <w:spacing w:line="240" w:lineRule="auto" w:before="105"/>
              <w:ind w:left="438" w:right="0"/>
              <w:jc w:val="left"/>
              <w:rPr>
                <w:rFonts w:ascii="Times New Roman" w:hAnsi="Times New Roman" w:cs="Times New Roman" w:eastAsia="Times New Roman" w:hint="default"/>
                <w:sz w:val="18"/>
                <w:szCs w:val="18"/>
              </w:rPr>
            </w:pPr>
            <w:r>
              <w:rPr>
                <w:rFonts w:ascii="Times New Roman"/>
                <w:sz w:val="18"/>
              </w:rPr>
              <w:t>689</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8" w:right="0"/>
              <w:jc w:val="left"/>
              <w:rPr>
                <w:rFonts w:ascii="Times New Roman" w:hAnsi="Times New Roman" w:cs="Times New Roman" w:eastAsia="Times New Roman" w:hint="default"/>
                <w:sz w:val="18"/>
                <w:szCs w:val="18"/>
              </w:rPr>
            </w:pPr>
            <w:r>
              <w:rPr>
                <w:rFonts w:ascii="Times New Roman"/>
                <w:sz w:val="18"/>
              </w:rPr>
              <w:t>35,149,</w:t>
            </w:r>
          </w:p>
          <w:p>
            <w:pPr>
              <w:pStyle w:val="TableParagraph"/>
              <w:spacing w:line="240" w:lineRule="auto" w:before="105"/>
              <w:ind w:left="440" w:right="0"/>
              <w:jc w:val="left"/>
              <w:rPr>
                <w:rFonts w:ascii="Times New Roman" w:hAnsi="Times New Roman" w:cs="Times New Roman" w:eastAsia="Times New Roman" w:hint="default"/>
                <w:sz w:val="18"/>
                <w:szCs w:val="18"/>
              </w:rPr>
            </w:pPr>
            <w:r>
              <w:rPr>
                <w:rFonts w:ascii="Times New Roman"/>
                <w:sz w:val="18"/>
              </w:rPr>
              <w:t>880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1" w:right="0"/>
              <w:jc w:val="left"/>
              <w:rPr>
                <w:rFonts w:ascii="Times New Roman" w:hAnsi="Times New Roman" w:cs="Times New Roman" w:eastAsia="Times New Roman" w:hint="default"/>
                <w:sz w:val="18"/>
                <w:szCs w:val="18"/>
              </w:rPr>
            </w:pPr>
            <w:r>
              <w:rPr>
                <w:rFonts w:ascii="Times New Roman"/>
                <w:sz w:val="18"/>
              </w:rPr>
              <w:t>93,675,</w:t>
            </w:r>
          </w:p>
          <w:p>
            <w:pPr>
              <w:pStyle w:val="TableParagraph"/>
              <w:spacing w:line="240" w:lineRule="auto" w:before="105"/>
              <w:ind w:left="410" w:right="0"/>
              <w:jc w:val="left"/>
              <w:rPr>
                <w:rFonts w:ascii="Times New Roman" w:hAnsi="Times New Roman" w:cs="Times New Roman" w:eastAsia="Times New Roman" w:hint="default"/>
                <w:sz w:val="18"/>
                <w:szCs w:val="18"/>
              </w:rPr>
            </w:pPr>
            <w:r>
              <w:rPr>
                <w:rFonts w:ascii="Times New Roman"/>
                <w:sz w:val="18"/>
              </w:rPr>
              <w:t>762</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5" w:right="0"/>
              <w:jc w:val="center"/>
              <w:rPr>
                <w:rFonts w:ascii="Times New Roman" w:hAnsi="Times New Roman" w:cs="Times New Roman" w:eastAsia="Times New Roman" w:hint="default"/>
                <w:sz w:val="18"/>
                <w:szCs w:val="18"/>
              </w:rPr>
            </w:pPr>
            <w:r>
              <w:rPr>
                <w:rFonts w:ascii="Times New Roman"/>
                <w:sz w:val="18"/>
              </w:rPr>
              <w:t>19.29%</w:t>
            </w:r>
          </w:p>
        </w:tc>
      </w:tr>
      <w:tr>
        <w:trPr>
          <w:trHeight w:val="714" w:hRule="exact"/>
        </w:trPr>
        <w:tc>
          <w:tcPr>
            <w:tcW w:w="22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6" w:right="0"/>
              <w:jc w:val="left"/>
              <w:rPr>
                <w:rFonts w:ascii="Times New Roman" w:hAnsi="Times New Roman" w:cs="Times New Roman" w:eastAsia="Times New Roman" w:hint="default"/>
                <w:sz w:val="18"/>
                <w:szCs w:val="18"/>
              </w:rPr>
            </w:pPr>
            <w:r>
              <w:rPr>
                <w:rFonts w:ascii="Times New Roman"/>
                <w:sz w:val="18"/>
              </w:rPr>
              <w:t>129,050</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,382</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2" w:right="0"/>
              <w:jc w:val="center"/>
              <w:rPr>
                <w:rFonts w:ascii="Times New Roman" w:hAnsi="Times New Roman" w:cs="Times New Roman" w:eastAsia="Times New Roman" w:hint="default"/>
                <w:sz w:val="18"/>
                <w:szCs w:val="18"/>
              </w:rPr>
            </w:pPr>
            <w:r>
              <w:rPr>
                <w:rFonts w:ascii="Times New Roman"/>
                <w:sz w:val="18"/>
              </w:rPr>
              <w:t>53.12%</w:t>
            </w:r>
          </w:p>
        </w:tc>
        <w:tc>
          <w:tcPr>
            <w:tcW w:w="823"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166,449</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,880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0" w:right="0"/>
              <w:jc w:val="left"/>
              <w:rPr>
                <w:rFonts w:ascii="Times New Roman" w:hAnsi="Times New Roman" w:cs="Times New Roman" w:eastAsia="Times New Roman" w:hint="default"/>
                <w:sz w:val="18"/>
                <w:szCs w:val="18"/>
              </w:rPr>
            </w:pPr>
            <w:r>
              <w:rPr>
                <w:rFonts w:ascii="Times New Roman"/>
                <w:sz w:val="18"/>
              </w:rPr>
              <w:t>48,483,</w:t>
            </w:r>
          </w:p>
          <w:p>
            <w:pPr>
              <w:pStyle w:val="TableParagraph"/>
              <w:spacing w:line="240" w:lineRule="auto" w:before="105"/>
              <w:ind w:left="438" w:right="0"/>
              <w:jc w:val="left"/>
              <w:rPr>
                <w:rFonts w:ascii="Times New Roman" w:hAnsi="Times New Roman" w:cs="Times New Roman" w:eastAsia="Times New Roman" w:hint="default"/>
                <w:sz w:val="18"/>
                <w:szCs w:val="18"/>
              </w:rPr>
            </w:pPr>
            <w:r>
              <w:rPr>
                <w:rFonts w:ascii="Times New Roman"/>
                <w:sz w:val="18"/>
              </w:rPr>
              <w:t>574</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214,933</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,454</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6" w:right="0"/>
              <w:jc w:val="left"/>
              <w:rPr>
                <w:rFonts w:ascii="Times New Roman" w:hAnsi="Times New Roman" w:cs="Times New Roman" w:eastAsia="Times New Roman" w:hint="default"/>
                <w:sz w:val="18"/>
                <w:szCs w:val="18"/>
              </w:rPr>
            </w:pPr>
            <w:r>
              <w:rPr>
                <w:rFonts w:ascii="Times New Roman"/>
                <w:sz w:val="18"/>
              </w:rPr>
              <w:t>343,98</w:t>
            </w:r>
          </w:p>
          <w:p>
            <w:pPr>
              <w:pStyle w:val="TableParagraph"/>
              <w:spacing w:line="240" w:lineRule="auto" w:before="105"/>
              <w:ind w:left="275" w:right="0"/>
              <w:jc w:val="left"/>
              <w:rPr>
                <w:rFonts w:ascii="Times New Roman" w:hAnsi="Times New Roman" w:cs="Times New Roman" w:eastAsia="Times New Roman" w:hint="default"/>
                <w:sz w:val="18"/>
                <w:szCs w:val="18"/>
              </w:rPr>
            </w:pPr>
            <w:r>
              <w:rPr>
                <w:rFonts w:ascii="Times New Roman"/>
                <w:sz w:val="18"/>
              </w:rPr>
              <w:t>3,836</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5" w:right="0"/>
              <w:jc w:val="center"/>
              <w:rPr>
                <w:rFonts w:ascii="Times New Roman" w:hAnsi="Times New Roman" w:cs="Times New Roman" w:eastAsia="Times New Roman" w:hint="default"/>
                <w:sz w:val="18"/>
                <w:szCs w:val="18"/>
              </w:rPr>
            </w:pPr>
            <w:r>
              <w:rPr>
                <w:rFonts w:ascii="Times New Roman"/>
                <w:sz w:val="18"/>
              </w:rPr>
              <w:t>70.86%</w:t>
            </w:r>
          </w:p>
        </w:tc>
      </w:tr>
      <w:tr>
        <w:trPr>
          <w:trHeight w:val="714" w:hRule="exact"/>
        </w:trPr>
        <w:tc>
          <w:tcPr>
            <w:tcW w:w="22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6" w:right="0"/>
              <w:jc w:val="left"/>
              <w:rPr>
                <w:rFonts w:ascii="Times New Roman" w:hAnsi="Times New Roman" w:cs="Times New Roman" w:eastAsia="Times New Roman" w:hint="default"/>
                <w:sz w:val="18"/>
                <w:szCs w:val="18"/>
              </w:rPr>
            </w:pPr>
            <w:r>
              <w:rPr>
                <w:rFonts w:ascii="Times New Roman"/>
                <w:sz w:val="18"/>
              </w:rPr>
              <w:t>129,050</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,382</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2" w:right="0"/>
              <w:jc w:val="center"/>
              <w:rPr>
                <w:rFonts w:ascii="Times New Roman" w:hAnsi="Times New Roman" w:cs="Times New Roman" w:eastAsia="Times New Roman" w:hint="default"/>
                <w:sz w:val="18"/>
                <w:szCs w:val="18"/>
              </w:rPr>
            </w:pPr>
            <w:r>
              <w:rPr>
                <w:rFonts w:ascii="Times New Roman"/>
                <w:sz w:val="18"/>
              </w:rPr>
              <w:t>53.12%</w:t>
            </w:r>
          </w:p>
        </w:tc>
        <w:tc>
          <w:tcPr>
            <w:tcW w:w="823"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3" w:right="0"/>
              <w:jc w:val="left"/>
              <w:rPr>
                <w:rFonts w:ascii="Times New Roman" w:hAnsi="Times New Roman" w:cs="Times New Roman" w:eastAsia="Times New Roman" w:hint="default"/>
                <w:sz w:val="18"/>
                <w:szCs w:val="18"/>
              </w:rPr>
            </w:pPr>
            <w:r>
              <w:rPr>
                <w:rFonts w:ascii="Times New Roman"/>
                <w:sz w:val="18"/>
              </w:rPr>
              <w:t>166,449</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,880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0" w:right="0"/>
              <w:jc w:val="left"/>
              <w:rPr>
                <w:rFonts w:ascii="Times New Roman" w:hAnsi="Times New Roman" w:cs="Times New Roman" w:eastAsia="Times New Roman" w:hint="default"/>
                <w:sz w:val="18"/>
                <w:szCs w:val="18"/>
              </w:rPr>
            </w:pPr>
            <w:r>
              <w:rPr>
                <w:rFonts w:ascii="Times New Roman"/>
                <w:sz w:val="18"/>
              </w:rPr>
              <w:t>48,483,</w:t>
            </w:r>
          </w:p>
          <w:p>
            <w:pPr>
              <w:pStyle w:val="TableParagraph"/>
              <w:spacing w:line="240" w:lineRule="auto" w:before="105"/>
              <w:ind w:left="438" w:right="0"/>
              <w:jc w:val="left"/>
              <w:rPr>
                <w:rFonts w:ascii="Times New Roman" w:hAnsi="Times New Roman" w:cs="Times New Roman" w:eastAsia="Times New Roman" w:hint="default"/>
                <w:sz w:val="18"/>
                <w:szCs w:val="18"/>
              </w:rPr>
            </w:pPr>
            <w:r>
              <w:rPr>
                <w:rFonts w:ascii="Times New Roman"/>
                <w:sz w:val="18"/>
              </w:rPr>
              <w:t>574</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3" w:right="0"/>
              <w:jc w:val="left"/>
              <w:rPr>
                <w:rFonts w:ascii="Times New Roman" w:hAnsi="Times New Roman" w:cs="Times New Roman" w:eastAsia="Times New Roman" w:hint="default"/>
                <w:sz w:val="18"/>
                <w:szCs w:val="18"/>
              </w:rPr>
            </w:pPr>
            <w:r>
              <w:rPr>
                <w:rFonts w:ascii="Times New Roman"/>
                <w:sz w:val="18"/>
              </w:rPr>
              <w:t>214,933</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,454</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86" w:right="0"/>
              <w:jc w:val="left"/>
              <w:rPr>
                <w:rFonts w:ascii="Times New Roman" w:hAnsi="Times New Roman" w:cs="Times New Roman" w:eastAsia="Times New Roman" w:hint="default"/>
                <w:sz w:val="18"/>
                <w:szCs w:val="18"/>
              </w:rPr>
            </w:pPr>
            <w:r>
              <w:rPr>
                <w:rFonts w:ascii="Times New Roman"/>
                <w:sz w:val="18"/>
              </w:rPr>
              <w:t>343,98</w:t>
            </w:r>
          </w:p>
          <w:p>
            <w:pPr>
              <w:pStyle w:val="TableParagraph"/>
              <w:spacing w:line="240" w:lineRule="auto" w:before="105"/>
              <w:ind w:left="275" w:right="0"/>
              <w:jc w:val="left"/>
              <w:rPr>
                <w:rFonts w:ascii="Times New Roman" w:hAnsi="Times New Roman" w:cs="Times New Roman" w:eastAsia="Times New Roman" w:hint="default"/>
                <w:sz w:val="18"/>
                <w:szCs w:val="18"/>
              </w:rPr>
            </w:pPr>
            <w:r>
              <w:rPr>
                <w:rFonts w:ascii="Times New Roman"/>
                <w:sz w:val="18"/>
              </w:rPr>
              <w:t>3,836</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5" w:right="0"/>
              <w:jc w:val="center"/>
              <w:rPr>
                <w:rFonts w:ascii="Times New Roman" w:hAnsi="Times New Roman" w:cs="Times New Roman" w:eastAsia="Times New Roman" w:hint="default"/>
                <w:sz w:val="18"/>
                <w:szCs w:val="18"/>
              </w:rPr>
            </w:pPr>
            <w:r>
              <w:rPr>
                <w:rFonts w:ascii="Times New Roman"/>
                <w:sz w:val="18"/>
              </w:rPr>
              <w:t>70.86%</w:t>
            </w:r>
          </w:p>
        </w:tc>
      </w:tr>
      <w:tr>
        <w:trPr>
          <w:trHeight w:val="714" w:hRule="exact"/>
        </w:trPr>
        <w:tc>
          <w:tcPr>
            <w:tcW w:w="22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6" w:right="0"/>
              <w:jc w:val="left"/>
              <w:rPr>
                <w:rFonts w:ascii="Times New Roman" w:hAnsi="Times New Roman" w:cs="Times New Roman" w:eastAsia="Times New Roman" w:hint="default"/>
                <w:sz w:val="18"/>
                <w:szCs w:val="18"/>
              </w:rPr>
            </w:pPr>
            <w:r>
              <w:rPr>
                <w:rFonts w:ascii="Times New Roman"/>
                <w:sz w:val="18"/>
              </w:rPr>
              <w:t>242,949</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,263</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3"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242,801</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,887</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-294,75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 w:right="0"/>
              <w:jc w:val="left"/>
              <w:rPr>
                <w:rFonts w:ascii="Times New Roman" w:hAnsi="Times New Roman" w:cs="Times New Roman" w:eastAsia="Times New Roman" w:hint="default"/>
                <w:sz w:val="18"/>
                <w:szCs w:val="18"/>
              </w:rPr>
            </w:pPr>
            <w:r>
              <w:rPr>
                <w:rFonts w:ascii="Times New Roman"/>
                <w:sz w:val="18"/>
              </w:rPr>
              <w:t>242,507</w:t>
            </w:r>
          </w:p>
          <w:p>
            <w:pPr>
              <w:pStyle w:val="TableParagraph"/>
              <w:spacing w:line="240" w:lineRule="auto" w:before="105"/>
              <w:ind w:left="394" w:right="0"/>
              <w:jc w:val="left"/>
              <w:rPr>
                <w:rFonts w:ascii="Times New Roman" w:hAnsi="Times New Roman" w:cs="Times New Roman" w:eastAsia="Times New Roman" w:hint="default"/>
                <w:sz w:val="18"/>
                <w:szCs w:val="18"/>
              </w:rPr>
            </w:pPr>
            <w:r>
              <w:rPr>
                <w:rFonts w:ascii="Times New Roman"/>
                <w:sz w:val="18"/>
              </w:rPr>
              <w:t>,135</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6" w:right="0"/>
              <w:jc w:val="left"/>
              <w:rPr>
                <w:rFonts w:ascii="Times New Roman" w:hAnsi="Times New Roman" w:cs="Times New Roman" w:eastAsia="Times New Roman" w:hint="default"/>
                <w:sz w:val="18"/>
                <w:szCs w:val="18"/>
              </w:rPr>
            </w:pPr>
            <w:r>
              <w:rPr>
                <w:rFonts w:ascii="Times New Roman"/>
                <w:sz w:val="18"/>
              </w:rPr>
              <w:t>485,45</w:t>
            </w:r>
          </w:p>
          <w:p>
            <w:pPr>
              <w:pStyle w:val="TableParagraph"/>
              <w:spacing w:line="240" w:lineRule="auto" w:before="105"/>
              <w:ind w:left="275" w:right="0"/>
              <w:jc w:val="left"/>
              <w:rPr>
                <w:rFonts w:ascii="Times New Roman" w:hAnsi="Times New Roman" w:cs="Times New Roman" w:eastAsia="Times New Roman" w:hint="default"/>
                <w:sz w:val="18"/>
                <w:szCs w:val="18"/>
              </w:rPr>
            </w:pPr>
            <w:r>
              <w:rPr>
                <w:rFonts w:ascii="Times New Roman"/>
                <w:sz w:val="18"/>
              </w:rPr>
              <w:t>6,398</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pStyle w:val="BodyText"/>
        <w:spacing w:line="240" w:lineRule="auto" w:before="50"/>
        <w:ind w:right="0"/>
        <w:jc w:val="left"/>
      </w:pPr>
      <w:r>
        <w:rPr/>
        <w:t>股份变动的原因</w:t>
      </w:r>
    </w:p>
    <w:p>
      <w:pPr>
        <w:pStyle w:val="BodyText"/>
        <w:spacing w:line="360" w:lineRule="auto" w:before="117"/>
        <w:ind w:left="472" w:right="7874" w:hanging="360"/>
        <w:jc w:val="left"/>
      </w:pPr>
      <w:r>
        <w:rPr/>
        <w:t>√ 适用</w:t>
      </w:r>
      <w:r>
        <w:rPr>
          <w:spacing w:val="-1"/>
        </w:rPr>
        <w:t> </w:t>
      </w:r>
      <w:r>
        <w:rPr/>
        <w:t>□不适用</w:t>
      </w:r>
      <w:r>
        <w:rPr/>
        <w:t> 一、股权激励股份回购注销情况</w:t>
      </w:r>
    </w:p>
    <w:p>
      <w:pPr>
        <w:pStyle w:val="BodyText"/>
        <w:spacing w:line="236" w:lineRule="exact"/>
        <w:ind w:left="472" w:right="0"/>
        <w:jc w:val="left"/>
      </w:pPr>
      <w:r>
        <w:rPr>
          <w:rFonts w:ascii="Times New Roman" w:hAnsi="Times New Roman" w:cs="Times New Roman" w:eastAsia="Times New Roman" w:hint="default"/>
          <w:spacing w:val="1"/>
        </w:rPr>
        <w:t>1</w:t>
      </w:r>
      <w:r>
        <w:rPr>
          <w:spacing w:val="-17"/>
        </w:rPr>
        <w:t>、</w:t>
      </w:r>
      <w:r>
        <w:rPr/>
        <w:t>根据公</w:t>
      </w:r>
      <w:r>
        <w:rPr>
          <w:spacing w:val="-17"/>
        </w:rPr>
        <w:t>司</w:t>
      </w:r>
      <w:r>
        <w:rPr/>
        <w:t>《股票期权与限制性股票激励计</w:t>
      </w:r>
      <w:r>
        <w:rPr>
          <w:spacing w:val="-15"/>
        </w:rPr>
        <w:t>划</w:t>
      </w:r>
      <w:r>
        <w:rPr/>
        <w:t>（草案修订稿</w:t>
      </w:r>
      <w:r>
        <w:rPr>
          <w:spacing w:val="-92"/>
        </w:rPr>
        <w:t>）</w:t>
      </w:r>
      <w:r>
        <w:rPr>
          <w:spacing w:val="-15"/>
        </w:rPr>
        <w:t>》</w:t>
      </w:r>
      <w:r>
        <w:rPr/>
        <w:t>的规定及公司</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5</w:t>
      </w:r>
      <w:r>
        <w:rPr/>
        <w:t>年第三次临时股东大会的授</w:t>
      </w:r>
      <w:r>
        <w:rPr>
          <w:spacing w:val="-1"/>
        </w:rPr>
        <w:t>权</w:t>
      </w:r>
      <w:r>
        <w:rPr>
          <w:spacing w:val="-17"/>
        </w:rPr>
        <w:t>，</w:t>
      </w:r>
      <w:r>
        <w:rPr/>
        <w:t>公司</w:t>
      </w:r>
    </w:p>
    <w:p>
      <w:pPr>
        <w:pStyle w:val="BodyText"/>
        <w:spacing w:line="307" w:lineRule="auto" w:before="63"/>
        <w:ind w:right="1024"/>
        <w:jc w:val="left"/>
      </w:pPr>
      <w:r>
        <w:rPr>
          <w:spacing w:val="-4"/>
        </w:rPr>
        <w:t>第五届董事会第二十七次会议、第五届董事会第三十次会议、第五届董事会第三十四次会议、第五届董事会第三十六次会议、</w:t>
      </w:r>
      <w:r>
        <w:rPr>
          <w:spacing w:val="-40"/>
        </w:rPr>
        <w:t> </w:t>
      </w:r>
      <w:r>
        <w:rPr>
          <w:spacing w:val="-40"/>
        </w:rPr>
      </w:r>
      <w:r>
        <w:rPr>
          <w:spacing w:val="-2"/>
        </w:rPr>
        <w:t>第五届董事会第三十七次会议分别审议通过了《关于对股票期权与限制性股票激励计划部分激励股份回购注销的议案》（具</w:t>
      </w:r>
      <w:r>
        <w:rPr>
          <w:spacing w:val="-65"/>
        </w:rPr>
        <w:t> </w:t>
      </w:r>
      <w:r>
        <w:rPr>
          <w:spacing w:val="-65"/>
        </w:rPr>
      </w:r>
      <w:r>
        <w:rPr>
          <w:spacing w:val="-6"/>
          <w:w w:val="99"/>
        </w:rPr>
        <w:t>体详见刊登在巨潮资讯网（</w:t>
      </w:r>
      <w:r>
        <w:rPr>
          <w:rFonts w:ascii="Times New Roman" w:hAnsi="Times New Roman" w:cs="Times New Roman" w:eastAsia="Times New Roman" w:hint="default"/>
          <w:spacing w:val="-6"/>
          <w:w w:val="99"/>
        </w:rPr>
        <w:t>www.cninfo.com.cn)</w:t>
      </w:r>
      <w:r>
        <w:rPr>
          <w:spacing w:val="-6"/>
          <w:w w:val="99"/>
        </w:rPr>
        <w:t>的相关公告，公告编号：</w:t>
      </w:r>
      <w:r>
        <w:rPr>
          <w:rFonts w:ascii="Times New Roman" w:hAnsi="Times New Roman" w:cs="Times New Roman" w:eastAsia="Times New Roman" w:hint="default"/>
          <w:spacing w:val="-6"/>
          <w:w w:val="99"/>
        </w:rPr>
        <w:t>2016-116</w:t>
      </w:r>
      <w:r>
        <w:rPr>
          <w:spacing w:val="-6"/>
          <w:w w:val="99"/>
        </w:rPr>
        <w:t>，</w:t>
      </w:r>
      <w:r>
        <w:rPr>
          <w:rFonts w:ascii="Times New Roman" w:hAnsi="Times New Roman" w:cs="Times New Roman" w:eastAsia="Times New Roman" w:hint="default"/>
          <w:spacing w:val="-6"/>
          <w:w w:val="99"/>
        </w:rPr>
        <w:t>2017-015</w:t>
      </w:r>
      <w:r>
        <w:rPr>
          <w:spacing w:val="-6"/>
          <w:w w:val="99"/>
        </w:rPr>
        <w:t>，</w:t>
      </w:r>
      <w:r>
        <w:rPr>
          <w:rFonts w:ascii="Times New Roman" w:hAnsi="Times New Roman" w:cs="Times New Roman" w:eastAsia="Times New Roman" w:hint="default"/>
          <w:spacing w:val="-6"/>
          <w:w w:val="99"/>
        </w:rPr>
        <w:t>2017-051</w:t>
      </w:r>
      <w:r>
        <w:rPr>
          <w:spacing w:val="-6"/>
          <w:w w:val="99"/>
        </w:rPr>
        <w:t>，</w:t>
      </w:r>
      <w:r>
        <w:rPr>
          <w:rFonts w:ascii="Times New Roman" w:hAnsi="Times New Roman" w:cs="Times New Roman" w:eastAsia="Times New Roman" w:hint="default"/>
          <w:spacing w:val="-6"/>
          <w:w w:val="99"/>
        </w:rPr>
        <w:t>2017-071</w:t>
      </w:r>
      <w:r>
        <w:rPr>
          <w:spacing w:val="-6"/>
          <w:w w:val="99"/>
        </w:rPr>
        <w:t>，</w:t>
      </w:r>
      <w:r>
        <w:rPr>
          <w:rFonts w:ascii="Times New Roman" w:hAnsi="Times New Roman" w:cs="Times New Roman" w:eastAsia="Times New Roman" w:hint="default"/>
          <w:spacing w:val="-6"/>
          <w:w w:val="99"/>
        </w:rPr>
        <w:t>2017-081</w:t>
      </w:r>
      <w:r>
        <w:rPr>
          <w:spacing w:val="-6"/>
          <w:w w:val="99"/>
        </w:rPr>
        <w:t>），</w:t>
      </w:r>
      <w:r>
        <w:rPr>
          <w:spacing w:val="-47"/>
          <w:w w:val="99"/>
        </w:rPr>
        <w:t> </w:t>
      </w:r>
      <w:r>
        <w:rPr>
          <w:spacing w:val="-47"/>
          <w:w w:val="99"/>
        </w:rPr>
      </w:r>
      <w:r>
        <w:rPr/>
        <w:t>上述限制性股票已在中国证券登记结算有限责任公司深圳分公司完成注销回购手续，公司本次回购注销股票数量为</w:t>
      </w:r>
      <w:r>
        <w:rPr>
          <w:rFonts w:ascii="Times New Roman" w:hAnsi="Times New Roman" w:cs="Times New Roman" w:eastAsia="Times New Roman" w:hint="default"/>
        </w:rPr>
        <w:t>147,376</w:t>
      </w:r>
      <w:r>
        <w:rPr>
          <w:rFonts w:ascii="Times New Roman" w:hAnsi="Times New Roman" w:cs="Times New Roman" w:eastAsia="Times New Roman" w:hint="default"/>
          <w:spacing w:val="-3"/>
        </w:rPr>
        <w:t> </w:t>
      </w:r>
      <w:r>
        <w:rPr>
          <w:rFonts w:ascii="Times New Roman" w:hAnsi="Times New Roman" w:cs="Times New Roman" w:eastAsia="Times New Roman" w:hint="default"/>
          <w:spacing w:val="-3"/>
        </w:rPr>
      </w:r>
      <w:r>
        <w:rPr>
          <w:spacing w:val="4"/>
        </w:rPr>
        <w:t>股，占回购前公司总股本的</w:t>
      </w:r>
      <w:r>
        <w:rPr>
          <w:rFonts w:ascii="Times New Roman" w:hAnsi="Times New Roman" w:cs="Times New Roman" w:eastAsia="Times New Roman" w:hint="default"/>
          <w:spacing w:val="4"/>
        </w:rPr>
        <w:t>0.0607</w:t>
      </w:r>
      <w:r>
        <w:rPr>
          <w:spacing w:val="4"/>
        </w:rPr>
        <w:t>，具体内容详见公司在巨潮资讯网站（</w:t>
      </w:r>
      <w:hyperlink r:id="rId15">
        <w:r>
          <w:rPr>
            <w:rFonts w:ascii="Times New Roman" w:hAnsi="Times New Roman" w:cs="Times New Roman" w:eastAsia="Times New Roman" w:hint="default"/>
            <w:spacing w:val="4"/>
          </w:rPr>
          <w:t>www.cninfo.com.cn</w:t>
        </w:r>
      </w:hyperlink>
      <w:r>
        <w:rPr>
          <w:spacing w:val="4"/>
        </w:rPr>
        <w:t>）披露的公告（公告编号：</w:t>
      </w:r>
      <w:r>
        <w:rPr>
          <w:spacing w:val="-64"/>
        </w:rPr>
        <w:t> </w:t>
      </w:r>
      <w:r>
        <w:rPr>
          <w:spacing w:val="-64"/>
        </w:rPr>
      </w:r>
      <w:r>
        <w:rPr>
          <w:rFonts w:ascii="Times New Roman" w:hAnsi="Times New Roman" w:cs="Times New Roman" w:eastAsia="Times New Roman" w:hint="default"/>
          <w:spacing w:val="-10"/>
        </w:rPr>
        <w:t>2018-006</w:t>
      </w:r>
      <w:r>
        <w:rPr>
          <w:spacing w:val="-10"/>
        </w:rPr>
        <w:t>）。</w:t>
      </w:r>
    </w:p>
    <w:p>
      <w:pPr>
        <w:pStyle w:val="BodyText"/>
        <w:spacing w:line="266" w:lineRule="exact"/>
        <w:ind w:right="0" w:firstLine="300"/>
        <w:jc w:val="left"/>
      </w:pPr>
      <w:r>
        <w:rPr>
          <w:rFonts w:ascii="Times New Roman" w:hAnsi="Times New Roman" w:cs="Times New Roman" w:eastAsia="Times New Roman" w:hint="default"/>
          <w:spacing w:val="1"/>
        </w:rPr>
        <w:t>2</w:t>
      </w:r>
      <w:r>
        <w:rPr>
          <w:spacing w:val="-13"/>
          <w:w w:val="99"/>
          <w:sz w:val="21"/>
          <w:szCs w:val="21"/>
        </w:rPr>
        <w:t>、</w:t>
      </w:r>
      <w:r>
        <w:rPr/>
        <w:t>根据公</w:t>
      </w:r>
      <w:r>
        <w:rPr>
          <w:spacing w:val="-10"/>
        </w:rPr>
        <w:t>司</w:t>
      </w:r>
      <w:r>
        <w:rPr/>
        <w:t>《股票期权与限制性股票激励计</w:t>
      </w:r>
      <w:r>
        <w:rPr>
          <w:spacing w:val="-8"/>
        </w:rPr>
        <w:t>划</w:t>
      </w:r>
      <w:r>
        <w:rPr/>
        <w:t>（草案修订稿</w:t>
      </w:r>
      <w:r>
        <w:rPr>
          <w:spacing w:val="-92"/>
        </w:rPr>
        <w:t>）</w:t>
      </w:r>
      <w:r>
        <w:rPr>
          <w:spacing w:val="-10"/>
        </w:rPr>
        <w:t>》</w:t>
      </w:r>
      <w:r>
        <w:rPr/>
        <w:t>的规定及公司</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5</w:t>
      </w:r>
      <w:r>
        <w:rPr/>
        <w:t>年第三次临时股东大会的授</w:t>
      </w:r>
      <w:r>
        <w:rPr>
          <w:spacing w:val="2"/>
        </w:rPr>
        <w:t>权</w:t>
      </w:r>
      <w:r>
        <w:rPr>
          <w:spacing w:val="-10"/>
        </w:rPr>
        <w:t>，</w:t>
      </w:r>
      <w:r>
        <w:rPr/>
        <w:t>公司</w:t>
      </w:r>
    </w:p>
    <w:p>
      <w:pPr>
        <w:pStyle w:val="BodyText"/>
        <w:spacing w:line="316" w:lineRule="auto" w:before="53"/>
        <w:ind w:right="1120"/>
        <w:jc w:val="left"/>
      </w:pPr>
      <w:r>
        <w:rPr>
          <w:spacing w:val="-2"/>
        </w:rPr>
        <w:t>第六届董事会第三次会议、第六届董事会第九次会议、第六届董事会第十一次会议、第六届董事会第十二次会议分别审议通</w:t>
      </w:r>
      <w:r>
        <w:rPr>
          <w:spacing w:val="-63"/>
        </w:rPr>
        <w:t> </w:t>
      </w:r>
      <w:r>
        <w:rPr>
          <w:spacing w:val="-63"/>
        </w:rPr>
      </w:r>
      <w:r>
        <w:rPr/>
        <w:t>过</w:t>
      </w:r>
      <w:r>
        <w:rPr>
          <w:spacing w:val="-64"/>
        </w:rPr>
        <w:t> </w:t>
      </w:r>
      <w:r>
        <w:rPr/>
        <w:t>了</w:t>
      </w:r>
      <w:r>
        <w:rPr>
          <w:spacing w:val="-62"/>
        </w:rPr>
        <w:t> </w:t>
      </w:r>
      <w:r>
        <w:rPr/>
        <w:t>《</w:t>
      </w:r>
      <w:r>
        <w:rPr>
          <w:spacing w:val="-64"/>
        </w:rPr>
        <w:t> </w:t>
      </w:r>
      <w:r>
        <w:rPr/>
        <w:t>关</w:t>
      </w:r>
      <w:r>
        <w:rPr>
          <w:spacing w:val="-62"/>
        </w:rPr>
        <w:t> </w:t>
      </w:r>
      <w:r>
        <w:rPr/>
        <w:t>于</w:t>
      </w:r>
      <w:r>
        <w:rPr>
          <w:spacing w:val="-64"/>
        </w:rPr>
        <w:t> </w:t>
      </w:r>
      <w:r>
        <w:rPr/>
        <w:t>对</w:t>
      </w:r>
      <w:r>
        <w:rPr>
          <w:spacing w:val="-62"/>
        </w:rPr>
        <w:t> </w:t>
      </w:r>
      <w:r>
        <w:rPr/>
        <w:t>股</w:t>
      </w:r>
      <w:r>
        <w:rPr>
          <w:spacing w:val="-64"/>
        </w:rPr>
        <w:t> </w:t>
      </w:r>
      <w:r>
        <w:rPr/>
        <w:t>票</w:t>
      </w:r>
      <w:r>
        <w:rPr>
          <w:spacing w:val="-62"/>
        </w:rPr>
        <w:t> </w:t>
      </w:r>
      <w:r>
        <w:rPr/>
        <w:t>期</w:t>
      </w:r>
      <w:r>
        <w:rPr>
          <w:spacing w:val="-64"/>
        </w:rPr>
        <w:t> </w:t>
      </w:r>
      <w:r>
        <w:rPr/>
        <w:t>权</w:t>
      </w:r>
      <w:r>
        <w:rPr>
          <w:spacing w:val="-62"/>
        </w:rPr>
        <w:t> </w:t>
      </w:r>
      <w:r>
        <w:rPr/>
        <w:t>与</w:t>
      </w:r>
      <w:r>
        <w:rPr>
          <w:spacing w:val="-64"/>
        </w:rPr>
        <w:t> </w:t>
      </w:r>
      <w:r>
        <w:rPr/>
        <w:t>限</w:t>
      </w:r>
      <w:r>
        <w:rPr>
          <w:spacing w:val="-62"/>
        </w:rPr>
        <w:t> </w:t>
      </w:r>
      <w:r>
        <w:rPr/>
        <w:t>制</w:t>
      </w:r>
      <w:r>
        <w:rPr>
          <w:spacing w:val="-64"/>
        </w:rPr>
        <w:t> </w:t>
      </w:r>
      <w:r>
        <w:rPr/>
        <w:t>性</w:t>
      </w:r>
      <w:r>
        <w:rPr>
          <w:spacing w:val="-62"/>
        </w:rPr>
        <w:t> </w:t>
      </w:r>
      <w:r>
        <w:rPr/>
        <w:t>股</w:t>
      </w:r>
      <w:r>
        <w:rPr>
          <w:spacing w:val="-64"/>
        </w:rPr>
        <w:t> </w:t>
      </w:r>
      <w:r>
        <w:rPr/>
        <w:t>票</w:t>
      </w:r>
      <w:r>
        <w:rPr>
          <w:spacing w:val="-62"/>
        </w:rPr>
        <w:t> </w:t>
      </w:r>
      <w:r>
        <w:rPr/>
        <w:t>激</w:t>
      </w:r>
      <w:r>
        <w:rPr>
          <w:spacing w:val="-64"/>
        </w:rPr>
        <w:t> </w:t>
      </w:r>
      <w:r>
        <w:rPr/>
        <w:t>励</w:t>
      </w:r>
      <w:r>
        <w:rPr>
          <w:spacing w:val="-62"/>
        </w:rPr>
        <w:t> </w:t>
      </w:r>
      <w:r>
        <w:rPr/>
        <w:t>计</w:t>
      </w:r>
      <w:r>
        <w:rPr>
          <w:spacing w:val="-64"/>
        </w:rPr>
        <w:t> </w:t>
      </w:r>
      <w:r>
        <w:rPr/>
        <w:t>划</w:t>
      </w:r>
      <w:r>
        <w:rPr>
          <w:spacing w:val="-62"/>
        </w:rPr>
        <w:t> </w:t>
      </w:r>
      <w:r>
        <w:rPr/>
        <w:t>部</w:t>
      </w:r>
      <w:r>
        <w:rPr>
          <w:spacing w:val="-64"/>
        </w:rPr>
        <w:t> </w:t>
      </w:r>
      <w:r>
        <w:rPr/>
        <w:t>分</w:t>
      </w:r>
      <w:r>
        <w:rPr>
          <w:spacing w:val="-62"/>
        </w:rPr>
        <w:t> </w:t>
      </w:r>
      <w:r>
        <w:rPr/>
        <w:t>激</w:t>
      </w:r>
      <w:r>
        <w:rPr>
          <w:spacing w:val="-64"/>
        </w:rPr>
        <w:t> </w:t>
      </w:r>
      <w:r>
        <w:rPr/>
        <w:t>励</w:t>
      </w:r>
      <w:r>
        <w:rPr>
          <w:spacing w:val="-62"/>
        </w:rPr>
        <w:t> </w:t>
      </w:r>
      <w:r>
        <w:rPr/>
        <w:t>股</w:t>
      </w:r>
      <w:r>
        <w:rPr>
          <w:spacing w:val="-64"/>
        </w:rPr>
        <w:t> </w:t>
      </w:r>
      <w:r>
        <w:rPr/>
        <w:t>份</w:t>
      </w:r>
      <w:r>
        <w:rPr>
          <w:spacing w:val="-62"/>
        </w:rPr>
        <w:t> </w:t>
      </w:r>
      <w:r>
        <w:rPr/>
        <w:t>回</w:t>
      </w:r>
      <w:r>
        <w:rPr>
          <w:spacing w:val="-64"/>
        </w:rPr>
        <w:t> </w:t>
      </w:r>
      <w:r>
        <w:rPr/>
        <w:t>购</w:t>
      </w:r>
      <w:r>
        <w:rPr>
          <w:spacing w:val="-62"/>
        </w:rPr>
        <w:t> </w:t>
      </w:r>
      <w:r>
        <w:rPr/>
        <w:t>注</w:t>
      </w:r>
      <w:r>
        <w:rPr>
          <w:spacing w:val="-64"/>
        </w:rPr>
        <w:t> </w:t>
      </w:r>
      <w:r>
        <w:rPr/>
        <w:t>销</w:t>
      </w:r>
      <w:r>
        <w:rPr>
          <w:spacing w:val="-62"/>
        </w:rPr>
        <w:t> </w:t>
      </w:r>
      <w:r>
        <w:rPr/>
        <w:t>的</w:t>
      </w:r>
      <w:r>
        <w:rPr>
          <w:spacing w:val="-64"/>
        </w:rPr>
        <w:t> </w:t>
      </w:r>
      <w:r>
        <w:rPr/>
        <w:t>议</w:t>
      </w:r>
      <w:r>
        <w:rPr>
          <w:spacing w:val="-62"/>
        </w:rPr>
        <w:t> </w:t>
      </w:r>
      <w:r>
        <w:rPr/>
        <w:t>案</w:t>
      </w:r>
      <w:r>
        <w:rPr>
          <w:spacing w:val="-64"/>
        </w:rPr>
        <w:t> </w:t>
      </w:r>
      <w:r>
        <w:rPr>
          <w:spacing w:val="-32"/>
        </w:rPr>
        <w:t>》（</w:t>
      </w:r>
      <w:r>
        <w:rPr>
          <w:spacing w:val="-64"/>
        </w:rPr>
        <w:t> </w:t>
      </w:r>
      <w:r>
        <w:rPr/>
        <w:t>具</w:t>
      </w:r>
      <w:r>
        <w:rPr>
          <w:spacing w:val="-62"/>
        </w:rPr>
        <w:t> </w:t>
      </w:r>
      <w:r>
        <w:rPr/>
        <w:t>体</w:t>
      </w:r>
      <w:r>
        <w:rPr>
          <w:spacing w:val="-64"/>
        </w:rPr>
        <w:t> </w:t>
      </w:r>
      <w:r>
        <w:rPr/>
        <w:t>详</w:t>
      </w:r>
      <w:r>
        <w:rPr>
          <w:spacing w:val="-62"/>
        </w:rPr>
        <w:t> </w:t>
      </w:r>
      <w:r>
        <w:rPr/>
        <w:t>见</w:t>
      </w:r>
      <w:r>
        <w:rPr>
          <w:spacing w:val="-64"/>
        </w:rPr>
        <w:t> </w:t>
      </w:r>
      <w:r>
        <w:rPr/>
        <w:t>刊</w:t>
      </w:r>
      <w:r>
        <w:rPr>
          <w:spacing w:val="-62"/>
        </w:rPr>
        <w:t> </w:t>
      </w:r>
      <w:r>
        <w:rPr/>
        <w:t>登</w:t>
      </w:r>
      <w:r>
        <w:rPr>
          <w:spacing w:val="-64"/>
        </w:rPr>
        <w:t> </w:t>
      </w:r>
      <w:r>
        <w:rPr/>
        <w:t>在</w:t>
      </w:r>
      <w:r>
        <w:rPr>
          <w:spacing w:val="-62"/>
        </w:rPr>
        <w:t> </w:t>
      </w:r>
      <w:r>
        <w:rPr/>
        <w:t>巨</w:t>
      </w:r>
      <w:r>
        <w:rPr>
          <w:spacing w:val="-64"/>
        </w:rPr>
        <w:t> </w:t>
      </w:r>
      <w:r>
        <w:rPr/>
        <w:t>潮</w:t>
      </w:r>
      <w:r>
        <w:rPr>
          <w:spacing w:val="-62"/>
        </w:rPr>
        <w:t> </w:t>
      </w:r>
      <w:r>
        <w:rPr/>
        <w:t>资</w:t>
      </w:r>
      <w:r>
        <w:rPr>
          <w:spacing w:val="-64"/>
        </w:rPr>
        <w:t> </w:t>
      </w:r>
      <w:r>
        <w:rPr/>
        <w:t>讯</w:t>
      </w:r>
      <w:r>
        <w:rPr>
          <w:spacing w:val="-62"/>
        </w:rPr>
        <w:t> </w:t>
      </w:r>
      <w:r>
        <w:rPr/>
        <w:t>网</w:t>
      </w:r>
    </w:p>
    <w:p>
      <w:pPr>
        <w:pStyle w:val="BodyText"/>
        <w:spacing w:line="300" w:lineRule="auto" w:before="19"/>
        <w:ind w:right="0"/>
        <w:jc w:val="left"/>
      </w:pPr>
      <w:r>
        <w:rPr>
          <w:spacing w:val="-2"/>
          <w:w w:val="99"/>
        </w:rPr>
        <w:t>（</w:t>
      </w:r>
      <w:r>
        <w:rPr>
          <w:rFonts w:ascii="Times New Roman" w:hAnsi="Times New Roman" w:cs="Times New Roman" w:eastAsia="Times New Roman" w:hint="default"/>
          <w:spacing w:val="-2"/>
          <w:w w:val="99"/>
        </w:rPr>
        <w:t>www.cninfo.com.cn)</w:t>
      </w:r>
      <w:r>
        <w:rPr>
          <w:spacing w:val="-2"/>
          <w:w w:val="99"/>
        </w:rPr>
        <w:t>的相关公告，公告编号：</w:t>
      </w:r>
      <w:r>
        <w:rPr>
          <w:rFonts w:ascii="Times New Roman" w:hAnsi="Times New Roman" w:cs="Times New Roman" w:eastAsia="Times New Roman" w:hint="default"/>
          <w:spacing w:val="-2"/>
          <w:w w:val="99"/>
        </w:rPr>
        <w:t>2017-107</w:t>
      </w:r>
      <w:r>
        <w:rPr>
          <w:spacing w:val="-2"/>
          <w:w w:val="99"/>
        </w:rPr>
        <w:t>、</w:t>
      </w:r>
      <w:r>
        <w:rPr>
          <w:rFonts w:ascii="Times New Roman" w:hAnsi="Times New Roman" w:cs="Times New Roman" w:eastAsia="Times New Roman" w:hint="default"/>
          <w:spacing w:val="-2"/>
          <w:w w:val="99"/>
        </w:rPr>
        <w:t>2018-039</w:t>
      </w:r>
      <w:r>
        <w:rPr>
          <w:spacing w:val="-2"/>
          <w:w w:val="99"/>
        </w:rPr>
        <w:t>、</w:t>
      </w:r>
      <w:r>
        <w:rPr>
          <w:rFonts w:ascii="Times New Roman" w:hAnsi="Times New Roman" w:cs="Times New Roman" w:eastAsia="Times New Roman" w:hint="default"/>
          <w:spacing w:val="-2"/>
          <w:w w:val="99"/>
        </w:rPr>
        <w:t>2018-047</w:t>
      </w:r>
      <w:r>
        <w:rPr>
          <w:spacing w:val="-2"/>
          <w:w w:val="99"/>
        </w:rPr>
        <w:t>、</w:t>
      </w:r>
      <w:r>
        <w:rPr>
          <w:rFonts w:ascii="Times New Roman" w:hAnsi="Times New Roman" w:cs="Times New Roman" w:eastAsia="Times New Roman" w:hint="default"/>
          <w:spacing w:val="-2"/>
          <w:w w:val="99"/>
        </w:rPr>
        <w:t>2018-061</w:t>
      </w:r>
      <w:r>
        <w:rPr>
          <w:spacing w:val="-2"/>
          <w:w w:val="99"/>
        </w:rPr>
        <w:t>、</w:t>
      </w:r>
      <w:r>
        <w:rPr>
          <w:rFonts w:ascii="Times New Roman" w:hAnsi="Times New Roman" w:cs="Times New Roman" w:eastAsia="Times New Roman" w:hint="default"/>
          <w:spacing w:val="-2"/>
          <w:w w:val="99"/>
        </w:rPr>
        <w:t>2018-062</w:t>
      </w:r>
      <w:r>
        <w:rPr>
          <w:spacing w:val="-2"/>
          <w:w w:val="99"/>
        </w:rPr>
        <w:t>、</w:t>
      </w:r>
      <w:r>
        <w:rPr>
          <w:rFonts w:ascii="Times New Roman" w:hAnsi="Times New Roman" w:cs="Times New Roman" w:eastAsia="Times New Roman" w:hint="default"/>
          <w:spacing w:val="-2"/>
          <w:w w:val="99"/>
        </w:rPr>
        <w:t>2018-063</w:t>
      </w:r>
      <w:r>
        <w:rPr>
          <w:spacing w:val="-2"/>
          <w:w w:val="99"/>
        </w:rPr>
        <w:t>），截至</w:t>
      </w:r>
      <w:r>
        <w:rPr>
          <w:rFonts w:ascii="Times New Roman" w:hAnsi="Times New Roman" w:cs="Times New Roman" w:eastAsia="Times New Roman" w:hint="default"/>
          <w:spacing w:val="-2"/>
          <w:w w:val="99"/>
        </w:rPr>
        <w:t>2018</w:t>
      </w:r>
      <w:r>
        <w:rPr>
          <w:rFonts w:ascii="Times New Roman" w:hAnsi="Times New Roman" w:cs="Times New Roman" w:eastAsia="Times New Roman" w:hint="default"/>
        </w:rPr>
        <w:t> </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8</w:t>
      </w:r>
      <w:r>
        <w:rPr/>
        <w:t>日，上述限制性股票已在中国证券登记结算有限责任公司深圳分公司完成注销回购手续，公司本次回购注销的股票</w:t>
      </w:r>
    </w:p>
    <w:p>
      <w:pPr>
        <w:spacing w:after="0" w:line="30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00" w:lineRule="auto" w:before="44"/>
        <w:ind w:right="1123"/>
        <w:jc w:val="left"/>
      </w:pPr>
      <w:r>
        <w:rPr>
          <w:spacing w:val="-4"/>
        </w:rPr>
        <w:t>数量为</w:t>
      </w:r>
      <w:r>
        <w:rPr>
          <w:rFonts w:ascii="Times New Roman" w:hAnsi="Times New Roman" w:cs="Times New Roman" w:eastAsia="Times New Roman" w:hint="default"/>
          <w:spacing w:val="-4"/>
        </w:rPr>
        <w:t>147,376</w:t>
      </w:r>
      <w:r>
        <w:rPr>
          <w:spacing w:val="-4"/>
        </w:rPr>
        <w:t>股，占回购前公司总股本的</w:t>
      </w:r>
      <w:r>
        <w:rPr>
          <w:rFonts w:ascii="Times New Roman" w:hAnsi="Times New Roman" w:cs="Times New Roman" w:eastAsia="Times New Roman" w:hint="default"/>
          <w:spacing w:val="-4"/>
        </w:rPr>
        <w:t>0.0303%</w:t>
      </w:r>
      <w:r>
        <w:rPr>
          <w:spacing w:val="-4"/>
        </w:rPr>
        <w:t>，具体内容详见公司在巨潮资讯网站（</w:t>
      </w:r>
      <w:hyperlink r:id="rId15">
        <w:r>
          <w:rPr>
            <w:rFonts w:ascii="Times New Roman" w:hAnsi="Times New Roman" w:cs="Times New Roman" w:eastAsia="Times New Roman" w:hint="default"/>
            <w:spacing w:val="-4"/>
          </w:rPr>
          <w:t>www.cninfo.com.cn</w:t>
        </w:r>
      </w:hyperlink>
      <w:r>
        <w:rPr>
          <w:spacing w:val="-4"/>
        </w:rPr>
        <w:t>）披露的公告（公</w:t>
      </w:r>
      <w:r>
        <w:rPr>
          <w:spacing w:val="-71"/>
        </w:rPr>
        <w:t> </w:t>
      </w:r>
      <w:r>
        <w:rPr>
          <w:spacing w:val="-71"/>
        </w:rPr>
      </w:r>
      <w:r>
        <w:rPr>
          <w:spacing w:val="-7"/>
        </w:rPr>
        <w:t>告编号：</w:t>
      </w:r>
      <w:r>
        <w:rPr>
          <w:rFonts w:ascii="Times New Roman" w:hAnsi="Times New Roman" w:cs="Times New Roman" w:eastAsia="Times New Roman" w:hint="default"/>
          <w:spacing w:val="-7"/>
        </w:rPr>
        <w:t>2018-078</w:t>
      </w:r>
      <w:r>
        <w:rPr>
          <w:spacing w:val="-7"/>
        </w:rPr>
        <w:t>）。</w:t>
      </w:r>
    </w:p>
    <w:p>
      <w:pPr>
        <w:pStyle w:val="BodyText"/>
        <w:spacing w:line="240" w:lineRule="auto" w:before="13"/>
        <w:ind w:left="472" w:right="0"/>
        <w:jc w:val="left"/>
      </w:pPr>
      <w:r>
        <w:rPr/>
        <w:t>二、限售股解禁情况</w:t>
      </w:r>
    </w:p>
    <w:p>
      <w:pPr>
        <w:pStyle w:val="BodyText"/>
        <w:spacing w:line="300" w:lineRule="auto" w:before="76"/>
        <w:ind w:right="1130" w:firstLine="360"/>
        <w:jc w:val="both"/>
      </w:pPr>
      <w:r>
        <w:rPr>
          <w:rFonts w:ascii="Times New Roman" w:hAnsi="Times New Roman" w:cs="Times New Roman" w:eastAsia="Times New Roman" w:hint="default"/>
          <w:spacing w:val="-4"/>
        </w:rPr>
        <w:t>1</w:t>
      </w:r>
      <w:r>
        <w:rPr>
          <w:spacing w:val="-4"/>
        </w:rPr>
        <w:t>、</w:t>
      </w:r>
      <w:r>
        <w:rPr>
          <w:rFonts w:ascii="Times New Roman" w:hAnsi="Times New Roman" w:cs="Times New Roman" w:eastAsia="Times New Roman" w:hint="default"/>
          <w:spacing w:val="-4"/>
        </w:rPr>
        <w:t>2018</w:t>
      </w:r>
      <w:r>
        <w:rPr>
          <w:spacing w:val="-4"/>
        </w:rPr>
        <w:t>年</w:t>
      </w:r>
      <w:r>
        <w:rPr>
          <w:rFonts w:ascii="Times New Roman" w:hAnsi="Times New Roman" w:cs="Times New Roman" w:eastAsia="Times New Roman" w:hint="default"/>
          <w:spacing w:val="-4"/>
        </w:rPr>
        <w:t>3</w:t>
      </w:r>
      <w:r>
        <w:rPr>
          <w:spacing w:val="-4"/>
        </w:rPr>
        <w:t>月</w:t>
      </w:r>
      <w:r>
        <w:rPr>
          <w:rFonts w:ascii="Times New Roman" w:hAnsi="Times New Roman" w:cs="Times New Roman" w:eastAsia="Times New Roman" w:hint="default"/>
          <w:spacing w:val="-4"/>
        </w:rPr>
        <w:t>3</w:t>
      </w:r>
      <w:r>
        <w:rPr>
          <w:spacing w:val="-4"/>
        </w:rPr>
        <w:t>日，公司在中国证监会指定披露媒体巨潮资讯网上刊登《关于限售股份上市流通提示性公告》，本次申请</w:t>
      </w:r>
      <w:r>
        <w:rPr/>
        <w:t> </w:t>
      </w:r>
      <w:r>
        <w:rPr>
          <w:spacing w:val="-1"/>
        </w:rPr>
        <w:t>解除股份限售的股东为杭州铜粟投资管理有限公司，解除限售股份数量为</w:t>
      </w:r>
      <w:r>
        <w:rPr>
          <w:rFonts w:ascii="Times New Roman" w:hAnsi="Times New Roman" w:cs="Times New Roman" w:eastAsia="Times New Roman" w:hint="default"/>
          <w:spacing w:val="-1"/>
        </w:rPr>
        <w:t>432,561</w:t>
      </w:r>
      <w:r>
        <w:rPr>
          <w:spacing w:val="-1"/>
        </w:rPr>
        <w:t>股，占公司股本总额的</w:t>
      </w:r>
      <w:r>
        <w:rPr>
          <w:rFonts w:ascii="Times New Roman" w:hAnsi="Times New Roman" w:cs="Times New Roman" w:eastAsia="Times New Roman" w:hint="default"/>
          <w:spacing w:val="-1"/>
        </w:rPr>
        <w:t>0.1782%</w:t>
      </w:r>
      <w:r>
        <w:rPr>
          <w:spacing w:val="-1"/>
        </w:rPr>
        <w:t>，其中实际</w:t>
      </w:r>
      <w:r>
        <w:rPr>
          <w:spacing w:val="-88"/>
        </w:rPr>
        <w:t> </w:t>
      </w:r>
      <w:r>
        <w:rPr>
          <w:spacing w:val="-88"/>
        </w:rPr>
      </w:r>
      <w:r>
        <w:rPr>
          <w:spacing w:val="-1"/>
        </w:rPr>
        <w:t>可上市流通股份为</w:t>
      </w:r>
      <w:r>
        <w:rPr>
          <w:rFonts w:ascii="Times New Roman" w:hAnsi="Times New Roman" w:cs="Times New Roman" w:eastAsia="Times New Roman" w:hint="default"/>
          <w:spacing w:val="-1"/>
        </w:rPr>
        <w:t>432,561</w:t>
      </w:r>
      <w:r>
        <w:rPr>
          <w:spacing w:val="-1"/>
        </w:rPr>
        <w:t>股，占公司股本总额的</w:t>
      </w:r>
      <w:r>
        <w:rPr>
          <w:rFonts w:ascii="Times New Roman" w:hAnsi="Times New Roman" w:cs="Times New Roman" w:eastAsia="Times New Roman" w:hint="default"/>
          <w:spacing w:val="-1"/>
        </w:rPr>
        <w:t>0.1782%</w:t>
      </w:r>
      <w:r>
        <w:rPr>
          <w:spacing w:val="-1"/>
        </w:rPr>
        <w:t>，上市流通日期为</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3</w:t>
      </w:r>
      <w:r>
        <w:rPr>
          <w:spacing w:val="-1"/>
        </w:rPr>
        <w:t>月</w:t>
      </w:r>
      <w:r>
        <w:rPr>
          <w:rFonts w:ascii="Times New Roman" w:hAnsi="Times New Roman" w:cs="Times New Roman" w:eastAsia="Times New Roman" w:hint="default"/>
          <w:spacing w:val="-1"/>
        </w:rPr>
        <w:t>7</w:t>
      </w:r>
      <w:r>
        <w:rPr>
          <w:spacing w:val="-1"/>
        </w:rPr>
        <w:t>日（星期三）。具体内容详见公司在</w:t>
      </w:r>
      <w:r>
        <w:rPr/>
        <w:t> </w:t>
      </w:r>
      <w:r>
        <w:rPr>
          <w:spacing w:val="-3"/>
          <w:w w:val="99"/>
        </w:rPr>
        <w:t>巨潮资讯网站（</w:t>
      </w:r>
      <w:hyperlink r:id="rId15">
        <w:r>
          <w:rPr>
            <w:rFonts w:ascii="Times New Roman" w:hAnsi="Times New Roman" w:cs="Times New Roman" w:eastAsia="Times New Roman" w:hint="default"/>
            <w:spacing w:val="-3"/>
            <w:w w:val="99"/>
          </w:rPr>
          <w:t>www.cninfo.com.cn</w:t>
        </w:r>
      </w:hyperlink>
      <w:r>
        <w:rPr>
          <w:spacing w:val="-3"/>
          <w:w w:val="99"/>
        </w:rPr>
        <w:t>）披露的公告（公告编号：</w:t>
      </w:r>
      <w:r>
        <w:rPr>
          <w:rFonts w:ascii="Times New Roman" w:hAnsi="Times New Roman" w:cs="Times New Roman" w:eastAsia="Times New Roman" w:hint="default"/>
          <w:spacing w:val="-3"/>
          <w:w w:val="99"/>
        </w:rPr>
        <w:t>2018-036</w:t>
      </w:r>
      <w:r>
        <w:rPr>
          <w:spacing w:val="-3"/>
          <w:w w:val="99"/>
        </w:rPr>
        <w:t>）。</w:t>
      </w:r>
    </w:p>
    <w:p>
      <w:pPr>
        <w:pStyle w:val="BodyText"/>
        <w:spacing w:line="300" w:lineRule="auto" w:before="13"/>
        <w:ind w:right="1130" w:firstLine="360"/>
        <w:jc w:val="both"/>
      </w:pPr>
      <w:r>
        <w:rPr>
          <w:rFonts w:ascii="Times New Roman" w:hAnsi="Times New Roman" w:cs="Times New Roman" w:eastAsia="Times New Roman" w:hint="default"/>
          <w:spacing w:val="-2"/>
        </w:rPr>
        <w:t>2</w:t>
      </w:r>
      <w:r>
        <w:rPr>
          <w:spacing w:val="-2"/>
        </w:rPr>
        <w:t>、</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17</w:t>
      </w:r>
      <w:r>
        <w:rPr>
          <w:spacing w:val="-2"/>
        </w:rPr>
        <w:t>日，公司在中国证监会指定披露媒体巨潮资讯网上刊登《关于股票期权与限制性股票激励计划预留授予</w:t>
      </w:r>
      <w:r>
        <w:rPr/>
        <w:t> </w:t>
      </w:r>
      <w:r>
        <w:rPr>
          <w:spacing w:val="3"/>
        </w:rPr>
        <w:t>部分限制性股票第二个解锁期解除限售的公告》，本次解除限售的限制性股票数量为</w:t>
      </w:r>
      <w:r>
        <w:rPr>
          <w:rFonts w:ascii="Times New Roman" w:hAnsi="Times New Roman" w:cs="Times New Roman" w:eastAsia="Times New Roman" w:hint="default"/>
          <w:spacing w:val="3"/>
        </w:rPr>
        <w:t>220,050</w:t>
      </w:r>
      <w:r>
        <w:rPr>
          <w:spacing w:val="3"/>
        </w:rPr>
        <w:t>股，占公司总股本的比例为</w:t>
      </w:r>
      <w:r>
        <w:rPr>
          <w:spacing w:val="-45"/>
        </w:rPr>
        <w:t> </w:t>
      </w:r>
      <w:r>
        <w:rPr>
          <w:spacing w:val="-45"/>
        </w:rPr>
      </w:r>
      <w:r>
        <w:rPr>
          <w:rFonts w:ascii="Times New Roman" w:hAnsi="Times New Roman" w:cs="Times New Roman" w:eastAsia="Times New Roman" w:hint="default"/>
          <w:spacing w:val="-1"/>
        </w:rPr>
        <w:t>0.091%</w:t>
      </w:r>
      <w:r>
        <w:rPr>
          <w:spacing w:val="-1"/>
        </w:rPr>
        <w:t>，解除限售的股权激励股份上市流通日为</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5</w:t>
      </w:r>
      <w:r>
        <w:rPr>
          <w:spacing w:val="-1"/>
        </w:rPr>
        <w:t>月</w:t>
      </w:r>
      <w:r>
        <w:rPr>
          <w:rFonts w:ascii="Times New Roman" w:hAnsi="Times New Roman" w:cs="Times New Roman" w:eastAsia="Times New Roman" w:hint="default"/>
          <w:spacing w:val="-1"/>
        </w:rPr>
        <w:t>21</w:t>
      </w:r>
      <w:r>
        <w:rPr>
          <w:spacing w:val="-1"/>
        </w:rPr>
        <w:t>日（星期一），涉及股东人数：</w:t>
      </w:r>
      <w:r>
        <w:rPr>
          <w:rFonts w:ascii="Times New Roman" w:hAnsi="Times New Roman" w:cs="Times New Roman" w:eastAsia="Times New Roman" w:hint="default"/>
          <w:spacing w:val="-1"/>
        </w:rPr>
        <w:t>24</w:t>
      </w:r>
      <w:r>
        <w:rPr>
          <w:spacing w:val="-1"/>
        </w:rPr>
        <w:t>人。具体内容详见公司在巨</w:t>
      </w:r>
      <w:r>
        <w:rPr>
          <w:spacing w:val="-53"/>
        </w:rPr>
        <w:t> </w:t>
      </w:r>
      <w:r>
        <w:rPr>
          <w:spacing w:val="-53"/>
        </w:rPr>
      </w:r>
      <w:r>
        <w:rPr>
          <w:spacing w:val="-3"/>
          <w:w w:val="99"/>
        </w:rPr>
        <w:t>潮资讯网站（</w:t>
      </w:r>
      <w:hyperlink r:id="rId15">
        <w:r>
          <w:rPr>
            <w:rFonts w:ascii="Times New Roman" w:hAnsi="Times New Roman" w:cs="Times New Roman" w:eastAsia="Times New Roman" w:hint="default"/>
            <w:spacing w:val="-3"/>
            <w:w w:val="99"/>
          </w:rPr>
          <w:t>www.cninfo.com.cn</w:t>
        </w:r>
      </w:hyperlink>
      <w:r>
        <w:rPr>
          <w:spacing w:val="-3"/>
          <w:w w:val="99"/>
        </w:rPr>
        <w:t>）披露的公告（公告编号：</w:t>
      </w:r>
      <w:r>
        <w:rPr>
          <w:rFonts w:ascii="Times New Roman" w:hAnsi="Times New Roman" w:cs="Times New Roman" w:eastAsia="Times New Roman" w:hint="default"/>
          <w:spacing w:val="-3"/>
          <w:w w:val="99"/>
        </w:rPr>
        <w:t>2018-054</w:t>
      </w:r>
      <w:r>
        <w:rPr>
          <w:spacing w:val="-3"/>
          <w:w w:val="99"/>
        </w:rPr>
        <w:t>）。</w:t>
      </w:r>
    </w:p>
    <w:p>
      <w:pPr>
        <w:pStyle w:val="BodyText"/>
        <w:spacing w:line="300" w:lineRule="auto" w:before="13"/>
        <w:ind w:right="1130" w:firstLine="360"/>
        <w:jc w:val="both"/>
      </w:pPr>
      <w:r>
        <w:rPr>
          <w:rFonts w:ascii="Times New Roman" w:hAnsi="Times New Roman" w:cs="Times New Roman" w:eastAsia="Times New Roman" w:hint="default"/>
          <w:spacing w:val="-2"/>
        </w:rPr>
        <w:t>3</w:t>
      </w:r>
      <w:r>
        <w:rPr>
          <w:spacing w:val="-2"/>
        </w:rPr>
        <w:t>、</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17</w:t>
      </w:r>
      <w:r>
        <w:rPr>
          <w:spacing w:val="-2"/>
        </w:rPr>
        <w:t>日，公司在中国证监会指定披露媒体巨潮资讯网上刊登《首次公开发行前已发行股份上市流通提示性公</w:t>
      </w:r>
      <w:r>
        <w:rPr/>
        <w:t> </w:t>
      </w:r>
      <w:r>
        <w:rPr>
          <w:spacing w:val="-1"/>
        </w:rPr>
        <w:t>告》，本次解除限售股份数量为</w:t>
      </w:r>
      <w:r>
        <w:rPr>
          <w:rFonts w:ascii="Times New Roman" w:hAnsi="Times New Roman" w:cs="Times New Roman" w:eastAsia="Times New Roman" w:hint="default"/>
          <w:spacing w:val="-1"/>
        </w:rPr>
        <w:t>69,087,414</w:t>
      </w:r>
      <w:r>
        <w:rPr>
          <w:spacing w:val="-1"/>
        </w:rPr>
        <w:t>股，占公司总股本的</w:t>
      </w:r>
      <w:r>
        <w:rPr>
          <w:rFonts w:ascii="Times New Roman" w:hAnsi="Times New Roman" w:cs="Times New Roman" w:eastAsia="Times New Roman" w:hint="default"/>
          <w:spacing w:val="-1"/>
        </w:rPr>
        <w:t>28.45%</w:t>
      </w:r>
      <w:r>
        <w:rPr>
          <w:spacing w:val="-1"/>
        </w:rPr>
        <w:t>，自本公告日起至</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8</w:t>
      </w:r>
      <w:r>
        <w:rPr>
          <w:spacing w:val="-1"/>
        </w:rPr>
        <w:t>月</w:t>
      </w:r>
      <w:r>
        <w:rPr>
          <w:rFonts w:ascii="Times New Roman" w:hAnsi="Times New Roman" w:cs="Times New Roman" w:eastAsia="Times New Roman" w:hint="default"/>
          <w:spacing w:val="-1"/>
        </w:rPr>
        <w:t>6</w:t>
      </w:r>
      <w:r>
        <w:rPr>
          <w:spacing w:val="-1"/>
        </w:rPr>
        <w:t>日止，本次申请解除股</w:t>
      </w:r>
      <w:r>
        <w:rPr>
          <w:spacing w:val="-52"/>
        </w:rPr>
        <w:t> </w:t>
      </w:r>
      <w:r>
        <w:rPr>
          <w:spacing w:val="-52"/>
        </w:rPr>
      </w:r>
      <w:r>
        <w:rPr>
          <w:spacing w:val="-2"/>
        </w:rPr>
        <w:t>份限售后实际可上市流通数量为</w:t>
      </w:r>
      <w:r>
        <w:rPr>
          <w:rFonts w:ascii="Times New Roman" w:hAnsi="Times New Roman" w:cs="Times New Roman" w:eastAsia="Times New Roman" w:hint="default"/>
          <w:spacing w:val="-2"/>
        </w:rPr>
        <w:t>0</w:t>
      </w:r>
      <w:r>
        <w:rPr>
          <w:spacing w:val="-2"/>
        </w:rPr>
        <w:t>股；自</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8</w:t>
      </w:r>
      <w:r>
        <w:rPr>
          <w:spacing w:val="-2"/>
        </w:rPr>
        <w:t>月</w:t>
      </w:r>
      <w:r>
        <w:rPr>
          <w:rFonts w:ascii="Times New Roman" w:hAnsi="Times New Roman" w:cs="Times New Roman" w:eastAsia="Times New Roman" w:hint="default"/>
          <w:spacing w:val="-2"/>
        </w:rPr>
        <w:t>7</w:t>
      </w:r>
      <w:r>
        <w:rPr>
          <w:spacing w:val="-2"/>
        </w:rPr>
        <w:t>日起至</w:t>
      </w:r>
      <w:r>
        <w:rPr>
          <w:rFonts w:ascii="Times New Roman" w:hAnsi="Times New Roman" w:cs="Times New Roman" w:eastAsia="Times New Roman" w:hint="default"/>
          <w:spacing w:val="-2"/>
        </w:rPr>
        <w:t>2020</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13</w:t>
      </w:r>
      <w:r>
        <w:rPr>
          <w:spacing w:val="-2"/>
        </w:rPr>
        <w:t>日止，本次申请解除股份限售的首次公开发行前持有</w:t>
      </w:r>
      <w:r>
        <w:rPr>
          <w:spacing w:val="-57"/>
        </w:rPr>
        <w:t> </w:t>
      </w:r>
      <w:r>
        <w:rPr>
          <w:spacing w:val="-57"/>
        </w:rPr>
      </w:r>
      <w:r>
        <w:rPr>
          <w:spacing w:val="-3"/>
        </w:rPr>
        <w:t>的股份实际可上市流通数量不超过</w:t>
      </w:r>
      <w:r>
        <w:rPr>
          <w:rFonts w:ascii="Times New Roman" w:hAnsi="Times New Roman" w:cs="Times New Roman" w:eastAsia="Times New Roman" w:hint="default"/>
          <w:spacing w:val="-3"/>
        </w:rPr>
        <w:t>6,908,741</w:t>
      </w:r>
      <w:r>
        <w:rPr>
          <w:spacing w:val="-3"/>
        </w:rPr>
        <w:t>股，解除的限售股份可上市流通日为</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5</w:t>
      </w:r>
      <w:r>
        <w:rPr>
          <w:spacing w:val="-3"/>
        </w:rPr>
        <w:t>月</w:t>
      </w:r>
      <w:r>
        <w:rPr>
          <w:rFonts w:ascii="Times New Roman" w:hAnsi="Times New Roman" w:cs="Times New Roman" w:eastAsia="Times New Roman" w:hint="default"/>
          <w:spacing w:val="-3"/>
        </w:rPr>
        <w:t>21</w:t>
      </w:r>
      <w:r>
        <w:rPr>
          <w:spacing w:val="-3"/>
        </w:rPr>
        <w:t>日（星期一）。具体内容详见公</w:t>
      </w:r>
      <w:r>
        <w:rPr>
          <w:spacing w:val="-83"/>
        </w:rPr>
        <w:t> </w:t>
      </w:r>
      <w:r>
        <w:rPr>
          <w:spacing w:val="-83"/>
        </w:rPr>
      </w:r>
      <w:r>
        <w:rPr>
          <w:spacing w:val="-3"/>
          <w:w w:val="99"/>
        </w:rPr>
        <w:t>司在巨潮资讯网站（</w:t>
      </w:r>
      <w:hyperlink r:id="rId15">
        <w:r>
          <w:rPr>
            <w:rFonts w:ascii="Times New Roman" w:hAnsi="Times New Roman" w:cs="Times New Roman" w:eastAsia="Times New Roman" w:hint="default"/>
            <w:spacing w:val="-3"/>
            <w:w w:val="99"/>
          </w:rPr>
          <w:t>www.cninfo.com.cn</w:t>
        </w:r>
      </w:hyperlink>
      <w:r>
        <w:rPr>
          <w:spacing w:val="-3"/>
          <w:w w:val="99"/>
        </w:rPr>
        <w:t>）披露的公告（公告编号：</w:t>
      </w:r>
      <w:r>
        <w:rPr>
          <w:rFonts w:ascii="Times New Roman" w:hAnsi="Times New Roman" w:cs="Times New Roman" w:eastAsia="Times New Roman" w:hint="default"/>
          <w:spacing w:val="-3"/>
          <w:w w:val="99"/>
        </w:rPr>
        <w:t>2018-055</w:t>
      </w:r>
      <w:r>
        <w:rPr>
          <w:spacing w:val="-3"/>
          <w:w w:val="99"/>
        </w:rPr>
        <w:t>）。</w:t>
      </w:r>
    </w:p>
    <w:p>
      <w:pPr>
        <w:pStyle w:val="BodyText"/>
        <w:spacing w:line="300" w:lineRule="auto" w:before="13"/>
        <w:ind w:right="1039" w:firstLine="360"/>
        <w:jc w:val="left"/>
      </w:pPr>
      <w:r>
        <w:rPr>
          <w:rFonts w:ascii="Times New Roman" w:hAnsi="Times New Roman" w:cs="Times New Roman" w:eastAsia="Times New Roman" w:hint="default"/>
          <w:spacing w:val="-4"/>
        </w:rPr>
        <w:t>4</w:t>
      </w:r>
      <w:r>
        <w:rPr>
          <w:spacing w:val="-4"/>
        </w:rPr>
        <w:t>、</w:t>
      </w:r>
      <w:r>
        <w:rPr>
          <w:rFonts w:ascii="Times New Roman" w:hAnsi="Times New Roman" w:cs="Times New Roman" w:eastAsia="Times New Roman" w:hint="default"/>
          <w:spacing w:val="-4"/>
        </w:rPr>
        <w:t>2018</w:t>
      </w:r>
      <w:r>
        <w:rPr>
          <w:spacing w:val="-4"/>
        </w:rPr>
        <w:t>年</w:t>
      </w:r>
      <w:r>
        <w:rPr>
          <w:rFonts w:ascii="Times New Roman" w:hAnsi="Times New Roman" w:cs="Times New Roman" w:eastAsia="Times New Roman" w:hint="default"/>
          <w:spacing w:val="-4"/>
        </w:rPr>
        <w:t>11</w:t>
      </w:r>
      <w:r>
        <w:rPr>
          <w:spacing w:val="-4"/>
        </w:rPr>
        <w:t>月</w:t>
      </w:r>
      <w:r>
        <w:rPr>
          <w:rFonts w:ascii="Times New Roman" w:hAnsi="Times New Roman" w:cs="Times New Roman" w:eastAsia="Times New Roman" w:hint="default"/>
          <w:spacing w:val="-4"/>
        </w:rPr>
        <w:t>14</w:t>
      </w:r>
      <w:r>
        <w:rPr>
          <w:spacing w:val="-4"/>
        </w:rPr>
        <w:t>日，公司在中国证监会指定披露媒体巨潮资讯网上刊登《关于限售股份上市流通提示性公告》，本次解</w:t>
      </w:r>
      <w:r>
        <w:rPr/>
        <w:t> </w:t>
      </w:r>
      <w:r>
        <w:rPr>
          <w:spacing w:val="-3"/>
        </w:rPr>
        <w:t>除限售股份数量</w:t>
      </w:r>
      <w:r>
        <w:rPr>
          <w:rFonts w:ascii="Times New Roman" w:hAnsi="Times New Roman" w:cs="Times New Roman" w:eastAsia="Times New Roman" w:hint="default"/>
          <w:spacing w:val="-3"/>
        </w:rPr>
        <w:t>11,084,076</w:t>
      </w:r>
      <w:r>
        <w:rPr>
          <w:spacing w:val="-3"/>
        </w:rPr>
        <w:t>股，占公司股本总额的</w:t>
      </w:r>
      <w:r>
        <w:rPr>
          <w:rFonts w:ascii="Times New Roman" w:hAnsi="Times New Roman" w:cs="Times New Roman" w:eastAsia="Times New Roman" w:hint="default"/>
          <w:spacing w:val="-3"/>
        </w:rPr>
        <w:t>2.2832%</w:t>
      </w:r>
      <w:r>
        <w:rPr>
          <w:spacing w:val="-3"/>
        </w:rPr>
        <w:t>；实际可上市流通股份为</w:t>
      </w:r>
      <w:r>
        <w:rPr>
          <w:rFonts w:ascii="Times New Roman" w:hAnsi="Times New Roman" w:cs="Times New Roman" w:eastAsia="Times New Roman" w:hint="default"/>
          <w:spacing w:val="-3"/>
        </w:rPr>
        <w:t>11,084,076</w:t>
      </w:r>
      <w:r>
        <w:rPr>
          <w:spacing w:val="-3"/>
        </w:rPr>
        <w:t>股，占公司股本总额的</w:t>
      </w:r>
      <w:r>
        <w:rPr>
          <w:rFonts w:ascii="Times New Roman" w:hAnsi="Times New Roman" w:cs="Times New Roman" w:eastAsia="Times New Roman" w:hint="default"/>
          <w:spacing w:val="-3"/>
        </w:rPr>
        <w:t>2.2832%</w:t>
      </w:r>
      <w:r>
        <w:rPr>
          <w:spacing w:val="-3"/>
        </w:rPr>
        <w:t>。</w:t>
      </w:r>
      <w:r>
        <w:rPr>
          <w:spacing w:val="-88"/>
        </w:rPr>
        <w:t> </w:t>
      </w:r>
      <w:r>
        <w:rPr>
          <w:spacing w:val="-2"/>
          <w:w w:val="99"/>
        </w:rPr>
        <w:t>本次解除限售股份的上市流通日期为</w:t>
      </w:r>
      <w:r>
        <w:rPr>
          <w:rFonts w:ascii="Times New Roman" w:hAnsi="Times New Roman" w:cs="Times New Roman" w:eastAsia="Times New Roman" w:hint="default"/>
          <w:spacing w:val="-2"/>
          <w:w w:val="99"/>
        </w:rPr>
        <w:t>2018</w:t>
      </w:r>
      <w:r>
        <w:rPr>
          <w:spacing w:val="-2"/>
          <w:w w:val="99"/>
        </w:rPr>
        <w:t>年</w:t>
      </w:r>
      <w:r>
        <w:rPr>
          <w:rFonts w:ascii="Times New Roman" w:hAnsi="Times New Roman" w:cs="Times New Roman" w:eastAsia="Times New Roman" w:hint="default"/>
          <w:spacing w:val="-2"/>
          <w:w w:val="99"/>
        </w:rPr>
        <w:t>11</w:t>
      </w:r>
      <w:r>
        <w:rPr>
          <w:spacing w:val="-2"/>
          <w:w w:val="99"/>
        </w:rPr>
        <w:t>月</w:t>
      </w:r>
      <w:r>
        <w:rPr>
          <w:rFonts w:ascii="Times New Roman" w:hAnsi="Times New Roman" w:cs="Times New Roman" w:eastAsia="Times New Roman" w:hint="default"/>
          <w:spacing w:val="-2"/>
          <w:w w:val="99"/>
        </w:rPr>
        <w:t>16</w:t>
      </w:r>
      <w:r>
        <w:rPr>
          <w:spacing w:val="-2"/>
          <w:w w:val="99"/>
        </w:rPr>
        <w:t>日（星期五）。具体内容详见公司在巨潮资讯网站（</w:t>
      </w:r>
      <w:hyperlink r:id="rId15">
        <w:r>
          <w:rPr>
            <w:rFonts w:ascii="Times New Roman" w:hAnsi="Times New Roman" w:cs="Times New Roman" w:eastAsia="Times New Roman" w:hint="default"/>
            <w:spacing w:val="-2"/>
            <w:w w:val="99"/>
          </w:rPr>
          <w:t>www.cninfo.com.cn</w:t>
        </w:r>
      </w:hyperlink>
      <w:r>
        <w:rPr>
          <w:spacing w:val="-2"/>
          <w:w w:val="99"/>
        </w:rPr>
        <w:t>）</w:t>
      </w:r>
      <w:r>
        <w:rPr>
          <w:spacing w:val="-66"/>
          <w:w w:val="99"/>
        </w:rPr>
        <w:t> </w:t>
      </w:r>
      <w:r>
        <w:rPr>
          <w:spacing w:val="-5"/>
        </w:rPr>
        <w:t>披露的公告（公告编号：</w:t>
      </w:r>
      <w:r>
        <w:rPr>
          <w:rFonts w:ascii="Times New Roman" w:hAnsi="Times New Roman" w:cs="Times New Roman" w:eastAsia="Times New Roman" w:hint="default"/>
          <w:spacing w:val="-5"/>
        </w:rPr>
        <w:t>2018-094</w:t>
      </w:r>
      <w:r>
        <w:rPr>
          <w:spacing w:val="-5"/>
        </w:rPr>
        <w:t>）。</w:t>
      </w:r>
    </w:p>
    <w:p>
      <w:pPr>
        <w:pStyle w:val="BodyText"/>
        <w:spacing w:line="240" w:lineRule="auto" w:before="13"/>
        <w:ind w:left="472" w:right="0"/>
        <w:jc w:val="left"/>
      </w:pPr>
      <w:r>
        <w:rPr/>
        <w:t>三、公司权益分派情况</w:t>
      </w:r>
    </w:p>
    <w:p>
      <w:pPr>
        <w:pStyle w:val="BodyText"/>
        <w:spacing w:line="300" w:lineRule="auto" w:before="76"/>
        <w:ind w:right="1034" w:firstLine="360"/>
        <w:jc w:val="left"/>
      </w:pPr>
      <w:r>
        <w:rPr>
          <w:rFonts w:ascii="Times New Roman" w:hAnsi="Times New Roman" w:cs="Times New Roman" w:eastAsia="Times New Roman" w:hint="default"/>
          <w:spacing w:val="-4"/>
        </w:rPr>
        <w:t>2018</w:t>
      </w:r>
      <w:r>
        <w:rPr>
          <w:spacing w:val="-4"/>
        </w:rPr>
        <w:t>年</w:t>
      </w:r>
      <w:r>
        <w:rPr>
          <w:rFonts w:ascii="Times New Roman" w:hAnsi="Times New Roman" w:cs="Times New Roman" w:eastAsia="Times New Roman" w:hint="default"/>
          <w:spacing w:val="-4"/>
        </w:rPr>
        <w:t>5</w:t>
      </w:r>
      <w:r>
        <w:rPr>
          <w:spacing w:val="-4"/>
        </w:rPr>
        <w:t>月</w:t>
      </w:r>
      <w:r>
        <w:rPr>
          <w:rFonts w:ascii="Times New Roman" w:hAnsi="Times New Roman" w:cs="Times New Roman" w:eastAsia="Times New Roman" w:hint="default"/>
          <w:spacing w:val="-4"/>
        </w:rPr>
        <w:t>22</w:t>
      </w:r>
      <w:r>
        <w:rPr>
          <w:spacing w:val="-4"/>
        </w:rPr>
        <w:t>日，公司在中国证监会指定披露媒体巨潮资讯网上刊登《</w:t>
      </w:r>
      <w:r>
        <w:rPr>
          <w:rFonts w:ascii="Times New Roman" w:hAnsi="Times New Roman" w:cs="Times New Roman" w:eastAsia="Times New Roman" w:hint="default"/>
          <w:spacing w:val="-4"/>
        </w:rPr>
        <w:t>2017</w:t>
      </w:r>
      <w:r>
        <w:rPr>
          <w:spacing w:val="-4"/>
        </w:rPr>
        <w:t>年年度权益分派实施公告》，本次权益分派股</w:t>
      </w:r>
      <w:r>
        <w:rPr/>
        <w:t> </w:t>
      </w:r>
      <w:r>
        <w:rPr>
          <w:spacing w:val="-2"/>
        </w:rPr>
        <w:t>权登记日为：</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28</w:t>
      </w:r>
      <w:r>
        <w:rPr>
          <w:spacing w:val="-2"/>
        </w:rPr>
        <w:t>日，除权除息日为：</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29</w:t>
      </w:r>
      <w:r>
        <w:rPr>
          <w:spacing w:val="-2"/>
        </w:rPr>
        <w:t>日。</w:t>
      </w:r>
      <w:r>
        <w:rPr>
          <w:rFonts w:ascii="Times New Roman" w:hAnsi="Times New Roman" w:cs="Times New Roman" w:eastAsia="Times New Roman" w:hint="default"/>
          <w:spacing w:val="-2"/>
        </w:rPr>
        <w:t>2017</w:t>
      </w:r>
      <w:r>
        <w:rPr>
          <w:spacing w:val="-2"/>
        </w:rPr>
        <w:t>年年度权益分派方案为：以公司现有总股本</w:t>
      </w:r>
      <w:r>
        <w:rPr>
          <w:rFonts w:ascii="Times New Roman" w:hAnsi="Times New Roman" w:cs="Times New Roman" w:eastAsia="Times New Roman" w:hint="default"/>
          <w:spacing w:val="-2"/>
        </w:rPr>
        <w:t>242,801,887</w:t>
      </w:r>
      <w:r>
        <w:rPr>
          <w:rFonts w:ascii="Times New Roman" w:hAnsi="Times New Roman" w:cs="Times New Roman" w:eastAsia="Times New Roman" w:hint="default"/>
          <w:spacing w:val="-1"/>
        </w:rPr>
        <w:t> </w:t>
      </w:r>
      <w:r>
        <w:rPr>
          <w:rFonts w:ascii="Times New Roman" w:hAnsi="Times New Roman" w:cs="Times New Roman" w:eastAsia="Times New Roman" w:hint="default"/>
          <w:spacing w:val="-1"/>
        </w:rPr>
      </w:r>
      <w:r>
        <w:rPr>
          <w:spacing w:val="-2"/>
        </w:rPr>
        <w:t>股为基数，向全体股东每</w:t>
      </w:r>
      <w:r>
        <w:rPr>
          <w:rFonts w:ascii="Times New Roman" w:hAnsi="Times New Roman" w:cs="Times New Roman" w:eastAsia="Times New Roman" w:hint="default"/>
          <w:spacing w:val="-2"/>
        </w:rPr>
        <w:t>10</w:t>
      </w:r>
      <w:r>
        <w:rPr>
          <w:spacing w:val="-2"/>
        </w:rPr>
        <w:t>股派</w:t>
      </w:r>
      <w:r>
        <w:rPr>
          <w:rFonts w:ascii="Times New Roman" w:hAnsi="Times New Roman" w:cs="Times New Roman" w:eastAsia="Times New Roman" w:hint="default"/>
          <w:spacing w:val="-2"/>
        </w:rPr>
        <w:t>1.000000</w:t>
      </w:r>
      <w:r>
        <w:rPr>
          <w:spacing w:val="-2"/>
        </w:rPr>
        <w:t>元人民币现金（含税），同时以资本公积金向全体股东每</w:t>
      </w:r>
      <w:r>
        <w:rPr>
          <w:rFonts w:ascii="Times New Roman" w:hAnsi="Times New Roman" w:cs="Times New Roman" w:eastAsia="Times New Roman" w:hint="default"/>
          <w:spacing w:val="-2"/>
        </w:rPr>
        <w:t>10</w:t>
      </w:r>
      <w:r>
        <w:rPr>
          <w:spacing w:val="-2"/>
        </w:rPr>
        <w:t>股转增</w:t>
      </w:r>
      <w:r>
        <w:rPr>
          <w:rFonts w:ascii="Times New Roman" w:hAnsi="Times New Roman" w:cs="Times New Roman" w:eastAsia="Times New Roman" w:hint="default"/>
          <w:spacing w:val="-2"/>
        </w:rPr>
        <w:t>10.000000</w:t>
      </w:r>
      <w:r>
        <w:rPr>
          <w:spacing w:val="-2"/>
        </w:rPr>
        <w:t>股，分</w:t>
      </w:r>
      <w:r>
        <w:rPr>
          <w:spacing w:val="-54"/>
        </w:rPr>
        <w:t> </w:t>
      </w:r>
      <w:r>
        <w:rPr>
          <w:spacing w:val="-3"/>
        </w:rPr>
        <w:t>红前公司总股本为</w:t>
      </w:r>
      <w:r>
        <w:rPr>
          <w:rFonts w:ascii="Times New Roman" w:hAnsi="Times New Roman" w:cs="Times New Roman" w:eastAsia="Times New Roman" w:hint="default"/>
          <w:spacing w:val="-3"/>
        </w:rPr>
        <w:t>242,801,887</w:t>
      </w:r>
      <w:r>
        <w:rPr>
          <w:spacing w:val="-3"/>
        </w:rPr>
        <w:t>股，分红后总股本增至</w:t>
      </w:r>
      <w:r>
        <w:rPr>
          <w:rFonts w:ascii="Times New Roman" w:hAnsi="Times New Roman" w:cs="Times New Roman" w:eastAsia="Times New Roman" w:hint="default"/>
          <w:spacing w:val="-3"/>
        </w:rPr>
        <w:t>485,603,774</w:t>
      </w:r>
      <w:r>
        <w:rPr>
          <w:spacing w:val="-3"/>
        </w:rPr>
        <w:t>股。具体内容详见公司在巨潮资讯网站（</w:t>
      </w:r>
      <w:hyperlink r:id="rId15">
        <w:r>
          <w:rPr>
            <w:rFonts w:ascii="Times New Roman" w:hAnsi="Times New Roman" w:cs="Times New Roman" w:eastAsia="Times New Roman" w:hint="default"/>
            <w:spacing w:val="-3"/>
          </w:rPr>
          <w:t>www.cninfo.com.cn</w:t>
        </w:r>
      </w:hyperlink>
      <w:r>
        <w:rPr>
          <w:spacing w:val="-3"/>
        </w:rPr>
        <w:t>）</w:t>
      </w:r>
      <w:r>
        <w:rPr>
          <w:spacing w:val="-73"/>
        </w:rPr>
        <w:t> </w:t>
      </w:r>
      <w:r>
        <w:rPr>
          <w:spacing w:val="-5"/>
        </w:rPr>
        <w:t>披露的公告（公告编号：</w:t>
      </w:r>
      <w:r>
        <w:rPr>
          <w:rFonts w:ascii="Times New Roman" w:hAnsi="Times New Roman" w:cs="Times New Roman" w:eastAsia="Times New Roman" w:hint="default"/>
          <w:spacing w:val="-5"/>
        </w:rPr>
        <w:t>2018-057</w:t>
      </w:r>
      <w:r>
        <w:rPr>
          <w:spacing w:val="-5"/>
        </w:rPr>
        <w:t>）。</w:t>
      </w:r>
    </w:p>
    <w:p>
      <w:pPr>
        <w:pStyle w:val="BodyText"/>
        <w:spacing w:line="240" w:lineRule="auto" w:before="51"/>
        <w:ind w:right="0"/>
        <w:jc w:val="left"/>
      </w:pPr>
      <w:r>
        <w:rPr/>
        <w:t>股份变动的批准情况</w:t>
      </w:r>
    </w:p>
    <w:p>
      <w:pPr>
        <w:pStyle w:val="BodyText"/>
        <w:spacing w:line="360" w:lineRule="auto" w:before="117"/>
        <w:ind w:left="472" w:right="7514" w:hanging="360"/>
        <w:jc w:val="left"/>
      </w:pPr>
      <w:r>
        <w:rPr/>
        <w:t>√ 适用</w:t>
      </w:r>
      <w:r>
        <w:rPr>
          <w:spacing w:val="-1"/>
        </w:rPr>
        <w:t> </w:t>
      </w:r>
      <w:r>
        <w:rPr/>
        <w:t>□不适用</w:t>
      </w:r>
      <w:r>
        <w:rPr/>
        <w:t> 一、股权激励股份回购注销批准情况</w:t>
      </w:r>
    </w:p>
    <w:p>
      <w:pPr>
        <w:pStyle w:val="BodyText"/>
        <w:spacing w:line="236" w:lineRule="exact"/>
        <w:ind w:left="472" w:right="0"/>
        <w:jc w:val="left"/>
      </w:pPr>
      <w:r>
        <w:rPr>
          <w:rFonts w:ascii="Times New Roman" w:hAnsi="Times New Roman" w:cs="Times New Roman" w:eastAsia="Times New Roman" w:hint="default"/>
          <w:spacing w:val="1"/>
        </w:rPr>
        <w:t>1</w:t>
      </w:r>
      <w:r>
        <w:rPr>
          <w:spacing w:val="-17"/>
        </w:rPr>
        <w:t>、</w:t>
      </w:r>
      <w:r>
        <w:rPr/>
        <w:t>根据公</w:t>
      </w:r>
      <w:r>
        <w:rPr>
          <w:spacing w:val="-17"/>
        </w:rPr>
        <w:t>司</w:t>
      </w:r>
      <w:r>
        <w:rPr/>
        <w:t>《股票期权与限制性股票激励计</w:t>
      </w:r>
      <w:r>
        <w:rPr>
          <w:spacing w:val="-15"/>
        </w:rPr>
        <w:t>划</w:t>
      </w:r>
      <w:r>
        <w:rPr/>
        <w:t>（草案修订稿</w:t>
      </w:r>
      <w:r>
        <w:rPr>
          <w:spacing w:val="-92"/>
        </w:rPr>
        <w:t>）</w:t>
      </w:r>
      <w:r>
        <w:rPr>
          <w:spacing w:val="-15"/>
        </w:rPr>
        <w:t>》</w:t>
      </w:r>
      <w:r>
        <w:rPr/>
        <w:t>的规定及公司</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5</w:t>
      </w:r>
      <w:r>
        <w:rPr/>
        <w:t>年第三次临时股东大会的授</w:t>
      </w:r>
      <w:r>
        <w:rPr>
          <w:spacing w:val="-1"/>
        </w:rPr>
        <w:t>权</w:t>
      </w:r>
      <w:r>
        <w:rPr>
          <w:spacing w:val="-17"/>
        </w:rPr>
        <w:t>，</w:t>
      </w:r>
      <w:r>
        <w:rPr/>
        <w:t>公司</w:t>
      </w:r>
    </w:p>
    <w:p>
      <w:pPr>
        <w:pStyle w:val="BodyText"/>
        <w:spacing w:line="304" w:lineRule="auto" w:before="63"/>
        <w:ind w:right="1024"/>
        <w:jc w:val="left"/>
      </w:pPr>
      <w:r>
        <w:rPr>
          <w:spacing w:val="-4"/>
        </w:rPr>
        <w:t>第五届董事会第二十七次会议、第五届董事会第三十次会议、第五届董事会第三十四次会议、第五届董事会第三十六次会议、</w:t>
      </w:r>
      <w:r>
        <w:rPr>
          <w:spacing w:val="-40"/>
        </w:rPr>
        <w:t> </w:t>
      </w:r>
      <w:r>
        <w:rPr>
          <w:spacing w:val="-40"/>
        </w:rPr>
      </w:r>
      <w:r>
        <w:rPr>
          <w:spacing w:val="-2"/>
        </w:rPr>
        <w:t>第五届董事会第三十七次会议分别审议通过了《关于对股票期权与限制性股票激励计划部分激励股份回购注销的议案》（具</w:t>
      </w:r>
      <w:r>
        <w:rPr>
          <w:spacing w:val="-65"/>
        </w:rPr>
        <w:t> </w:t>
      </w:r>
      <w:r>
        <w:rPr>
          <w:spacing w:val="-65"/>
        </w:rPr>
      </w:r>
      <w:r>
        <w:rPr>
          <w:spacing w:val="-6"/>
          <w:w w:val="99"/>
        </w:rPr>
        <w:t>体详见刊登在巨潮资讯网（</w:t>
      </w:r>
      <w:r>
        <w:rPr>
          <w:rFonts w:ascii="Times New Roman" w:hAnsi="Times New Roman" w:cs="Times New Roman" w:eastAsia="Times New Roman" w:hint="default"/>
          <w:spacing w:val="-6"/>
          <w:w w:val="99"/>
        </w:rPr>
        <w:t>www.cninfo.com.cn)</w:t>
      </w:r>
      <w:r>
        <w:rPr>
          <w:spacing w:val="-6"/>
          <w:w w:val="99"/>
        </w:rPr>
        <w:t>的相关公告，公告编号：</w:t>
      </w:r>
      <w:r>
        <w:rPr>
          <w:rFonts w:ascii="Times New Roman" w:hAnsi="Times New Roman" w:cs="Times New Roman" w:eastAsia="Times New Roman" w:hint="default"/>
          <w:spacing w:val="-6"/>
          <w:w w:val="99"/>
        </w:rPr>
        <w:t>2016-116</w:t>
      </w:r>
      <w:r>
        <w:rPr>
          <w:spacing w:val="-6"/>
          <w:w w:val="99"/>
        </w:rPr>
        <w:t>，</w:t>
      </w:r>
      <w:r>
        <w:rPr>
          <w:rFonts w:ascii="Times New Roman" w:hAnsi="Times New Roman" w:cs="Times New Roman" w:eastAsia="Times New Roman" w:hint="default"/>
          <w:spacing w:val="-6"/>
          <w:w w:val="99"/>
        </w:rPr>
        <w:t>2017-015</w:t>
      </w:r>
      <w:r>
        <w:rPr>
          <w:spacing w:val="-6"/>
          <w:w w:val="99"/>
        </w:rPr>
        <w:t>，</w:t>
      </w:r>
      <w:r>
        <w:rPr>
          <w:rFonts w:ascii="Times New Roman" w:hAnsi="Times New Roman" w:cs="Times New Roman" w:eastAsia="Times New Roman" w:hint="default"/>
          <w:spacing w:val="-6"/>
          <w:w w:val="99"/>
        </w:rPr>
        <w:t>2017-051</w:t>
      </w:r>
      <w:r>
        <w:rPr>
          <w:spacing w:val="-6"/>
          <w:w w:val="99"/>
        </w:rPr>
        <w:t>，</w:t>
      </w:r>
      <w:r>
        <w:rPr>
          <w:rFonts w:ascii="Times New Roman" w:hAnsi="Times New Roman" w:cs="Times New Roman" w:eastAsia="Times New Roman" w:hint="default"/>
          <w:spacing w:val="-6"/>
          <w:w w:val="99"/>
        </w:rPr>
        <w:t>2017-071</w:t>
      </w:r>
      <w:r>
        <w:rPr>
          <w:spacing w:val="-6"/>
          <w:w w:val="99"/>
        </w:rPr>
        <w:t>，</w:t>
      </w:r>
      <w:r>
        <w:rPr>
          <w:rFonts w:ascii="Times New Roman" w:hAnsi="Times New Roman" w:cs="Times New Roman" w:eastAsia="Times New Roman" w:hint="default"/>
          <w:spacing w:val="-6"/>
          <w:w w:val="99"/>
        </w:rPr>
        <w:t>2017-081</w:t>
      </w:r>
      <w:r>
        <w:rPr>
          <w:spacing w:val="-6"/>
          <w:w w:val="99"/>
        </w:rPr>
        <w:t>）。</w:t>
      </w:r>
      <w:r>
        <w:rPr>
          <w:spacing w:val="-47"/>
          <w:w w:val="99"/>
        </w:rPr>
        <w:t> </w:t>
      </w:r>
      <w:r>
        <w:rPr>
          <w:spacing w:val="-47"/>
          <w:w w:val="99"/>
        </w:rPr>
      </w:r>
      <w:r>
        <w:rPr>
          <w:rFonts w:ascii="Times New Roman" w:hAnsi="Times New Roman" w:cs="Times New Roman" w:eastAsia="Times New Roman" w:hint="default"/>
          <w:spacing w:val="-2"/>
          <w:w w:val="99"/>
        </w:rPr>
        <w:t>2018</w:t>
      </w:r>
      <w:r>
        <w:rPr>
          <w:spacing w:val="-2"/>
          <w:w w:val="99"/>
        </w:rPr>
        <w:t>年</w:t>
      </w:r>
      <w:r>
        <w:rPr>
          <w:rFonts w:ascii="Times New Roman" w:hAnsi="Times New Roman" w:cs="Times New Roman" w:eastAsia="Times New Roman" w:hint="default"/>
          <w:spacing w:val="-2"/>
          <w:w w:val="99"/>
        </w:rPr>
        <w:t>1</w:t>
      </w:r>
      <w:r>
        <w:rPr>
          <w:spacing w:val="-2"/>
          <w:w w:val="99"/>
        </w:rPr>
        <w:t>月</w:t>
      </w:r>
      <w:r>
        <w:rPr>
          <w:rFonts w:ascii="Times New Roman" w:hAnsi="Times New Roman" w:cs="Times New Roman" w:eastAsia="Times New Roman" w:hint="default"/>
          <w:spacing w:val="-2"/>
          <w:w w:val="99"/>
        </w:rPr>
        <w:t>8</w:t>
      </w:r>
      <w:r>
        <w:rPr>
          <w:spacing w:val="-2"/>
          <w:w w:val="99"/>
        </w:rPr>
        <w:t>日，公司第六届董事会第五次会议审议通过了《关于变更公司注册资本并修改</w:t>
      </w:r>
      <w:r>
        <w:rPr>
          <w:rFonts w:ascii="Times New Roman" w:hAnsi="Times New Roman" w:cs="Times New Roman" w:eastAsia="Times New Roman" w:hint="default"/>
          <w:spacing w:val="-2"/>
          <w:w w:val="99"/>
        </w:rPr>
        <w:t>&lt;</w:t>
      </w:r>
      <w:r>
        <w:rPr>
          <w:spacing w:val="-2"/>
          <w:w w:val="99"/>
        </w:rPr>
        <w:t>公司章程</w:t>
      </w:r>
      <w:r>
        <w:rPr>
          <w:rFonts w:ascii="Times New Roman" w:hAnsi="Times New Roman" w:cs="Times New Roman" w:eastAsia="Times New Roman" w:hint="default"/>
          <w:spacing w:val="-2"/>
          <w:w w:val="99"/>
        </w:rPr>
        <w:t>&gt;</w:t>
      </w:r>
      <w:r>
        <w:rPr>
          <w:spacing w:val="-2"/>
          <w:w w:val="99"/>
        </w:rPr>
        <w:t>的议案》，同意公司回</w:t>
      </w:r>
      <w:r>
        <w:rPr>
          <w:spacing w:val="-79"/>
          <w:w w:val="99"/>
        </w:rPr>
        <w:t> </w:t>
      </w:r>
      <w:r>
        <w:rPr>
          <w:spacing w:val="-79"/>
          <w:w w:val="99"/>
        </w:rPr>
      </w:r>
      <w:r>
        <w:rPr>
          <w:spacing w:val="7"/>
        </w:rPr>
        <w:t>购相关人员所持已获授但尚未解锁的限制性股票共计</w:t>
      </w:r>
      <w:r>
        <w:rPr>
          <w:rFonts w:ascii="Times New Roman" w:hAnsi="Times New Roman" w:cs="Times New Roman" w:eastAsia="Times New Roman" w:hint="default"/>
          <w:spacing w:val="7"/>
        </w:rPr>
        <w:t>147,376</w:t>
      </w:r>
      <w:r>
        <w:rPr>
          <w:spacing w:val="7"/>
        </w:rPr>
        <w:t>股，并同意在上述股份回购注销完成后减少公司注册资本</w:t>
      </w:r>
      <w:r>
        <w:rPr>
          <w:spacing w:val="-86"/>
        </w:rPr>
        <w:t> </w:t>
      </w:r>
      <w:r>
        <w:rPr>
          <w:spacing w:val="-86"/>
        </w:rPr>
      </w:r>
      <w:r>
        <w:rPr>
          <w:rFonts w:ascii="Times New Roman" w:hAnsi="Times New Roman" w:cs="Times New Roman" w:eastAsia="Times New Roman" w:hint="default"/>
          <w:spacing w:val="-2"/>
          <w:w w:val="99"/>
        </w:rPr>
        <w:t>147,376</w:t>
      </w:r>
      <w:r>
        <w:rPr>
          <w:spacing w:val="-2"/>
          <w:w w:val="99"/>
        </w:rPr>
        <w:t>元，具体内容详见公司在巨潮资讯网站（</w:t>
      </w:r>
      <w:hyperlink r:id="rId15">
        <w:r>
          <w:rPr>
            <w:rFonts w:ascii="Times New Roman" w:hAnsi="Times New Roman" w:cs="Times New Roman" w:eastAsia="Times New Roman" w:hint="default"/>
            <w:spacing w:val="-2"/>
            <w:w w:val="99"/>
          </w:rPr>
          <w:t>www.cninfo.com.cn</w:t>
        </w:r>
      </w:hyperlink>
      <w:r>
        <w:rPr>
          <w:spacing w:val="-2"/>
          <w:w w:val="99"/>
        </w:rPr>
        <w:t>）披露的公告（公告编号：</w:t>
      </w:r>
      <w:r>
        <w:rPr>
          <w:rFonts w:ascii="Times New Roman" w:hAnsi="Times New Roman" w:cs="Times New Roman" w:eastAsia="Times New Roman" w:hint="default"/>
          <w:spacing w:val="-2"/>
          <w:w w:val="99"/>
        </w:rPr>
        <w:t>2018-001</w:t>
      </w:r>
      <w:r>
        <w:rPr>
          <w:spacing w:val="-2"/>
          <w:w w:val="99"/>
        </w:rPr>
        <w:t>）。</w:t>
      </w:r>
      <w:r>
        <w:rPr>
          <w:rFonts w:ascii="Times New Roman" w:hAnsi="Times New Roman" w:cs="Times New Roman" w:eastAsia="Times New Roman" w:hint="default"/>
          <w:spacing w:val="-2"/>
          <w:w w:val="99"/>
        </w:rPr>
        <w:t>2018</w:t>
      </w:r>
      <w:r>
        <w:rPr>
          <w:spacing w:val="-2"/>
          <w:w w:val="99"/>
        </w:rPr>
        <w:t>年</w:t>
      </w:r>
      <w:r>
        <w:rPr>
          <w:rFonts w:ascii="Times New Roman" w:hAnsi="Times New Roman" w:cs="Times New Roman" w:eastAsia="Times New Roman" w:hint="default"/>
          <w:spacing w:val="-2"/>
          <w:w w:val="99"/>
        </w:rPr>
        <w:t>1</w:t>
      </w:r>
      <w:r>
        <w:rPr>
          <w:spacing w:val="-2"/>
          <w:w w:val="99"/>
        </w:rPr>
        <w:t>月</w:t>
      </w:r>
      <w:r>
        <w:rPr>
          <w:rFonts w:ascii="Times New Roman" w:hAnsi="Times New Roman" w:cs="Times New Roman" w:eastAsia="Times New Roman" w:hint="default"/>
          <w:spacing w:val="-2"/>
          <w:w w:val="99"/>
        </w:rPr>
        <w:t>24</w:t>
      </w:r>
      <w:r>
        <w:rPr>
          <w:spacing w:val="-2"/>
          <w:w w:val="99"/>
        </w:rPr>
        <w:t>日，</w:t>
      </w:r>
      <w:r>
        <w:rPr>
          <w:spacing w:val="-72"/>
          <w:w w:val="99"/>
        </w:rPr>
        <w:t> </w:t>
      </w:r>
      <w:r>
        <w:rPr>
          <w:spacing w:val="-2"/>
          <w:w w:val="99"/>
        </w:rPr>
        <w:t>公司</w:t>
      </w:r>
      <w:r>
        <w:rPr>
          <w:rFonts w:ascii="Times New Roman" w:hAnsi="Times New Roman" w:cs="Times New Roman" w:eastAsia="Times New Roman" w:hint="default"/>
          <w:spacing w:val="-2"/>
          <w:w w:val="99"/>
        </w:rPr>
        <w:t>2018</w:t>
      </w:r>
      <w:r>
        <w:rPr>
          <w:spacing w:val="-2"/>
          <w:w w:val="99"/>
        </w:rPr>
        <w:t>年第一次临时股东大会审议通过《关于变更公司注册资本并修改</w:t>
      </w:r>
      <w:r>
        <w:rPr>
          <w:rFonts w:ascii="Times New Roman" w:hAnsi="Times New Roman" w:cs="Times New Roman" w:eastAsia="Times New Roman" w:hint="default"/>
          <w:spacing w:val="-2"/>
          <w:w w:val="99"/>
        </w:rPr>
        <w:t>&lt;</w:t>
      </w:r>
      <w:r>
        <w:rPr>
          <w:spacing w:val="-2"/>
          <w:w w:val="99"/>
        </w:rPr>
        <w:t>公司章程</w:t>
      </w:r>
      <w:r>
        <w:rPr>
          <w:rFonts w:ascii="Times New Roman" w:hAnsi="Times New Roman" w:cs="Times New Roman" w:eastAsia="Times New Roman" w:hint="default"/>
          <w:spacing w:val="-2"/>
          <w:w w:val="99"/>
        </w:rPr>
        <w:t>&gt;</w:t>
      </w:r>
      <w:r>
        <w:rPr>
          <w:spacing w:val="-2"/>
          <w:w w:val="99"/>
        </w:rPr>
        <w:t>的议案》，具体内容详见公司在巨潮资</w:t>
      </w:r>
      <w:r>
        <w:rPr>
          <w:spacing w:val="-83"/>
          <w:w w:val="99"/>
        </w:rPr>
        <w:t> </w:t>
      </w:r>
      <w:r>
        <w:rPr>
          <w:spacing w:val="-83"/>
          <w:w w:val="99"/>
        </w:rPr>
      </w:r>
      <w:r>
        <w:rPr>
          <w:spacing w:val="-3"/>
          <w:w w:val="99"/>
        </w:rPr>
        <w:t>讯网站（</w:t>
      </w:r>
      <w:hyperlink r:id="rId15">
        <w:r>
          <w:rPr>
            <w:rFonts w:ascii="Times New Roman" w:hAnsi="Times New Roman" w:cs="Times New Roman" w:eastAsia="Times New Roman" w:hint="default"/>
            <w:spacing w:val="-3"/>
            <w:w w:val="99"/>
          </w:rPr>
          <w:t>www.cninfo.com.cn</w:t>
        </w:r>
      </w:hyperlink>
      <w:r>
        <w:rPr>
          <w:spacing w:val="-3"/>
          <w:w w:val="99"/>
        </w:rPr>
        <w:t>）披露的公告（公告编号：</w:t>
      </w:r>
      <w:r>
        <w:rPr>
          <w:rFonts w:ascii="Times New Roman" w:hAnsi="Times New Roman" w:cs="Times New Roman" w:eastAsia="Times New Roman" w:hint="default"/>
          <w:spacing w:val="-3"/>
          <w:w w:val="99"/>
        </w:rPr>
        <w:t>2018-009</w:t>
      </w:r>
      <w:r>
        <w:rPr>
          <w:spacing w:val="-3"/>
          <w:w w:val="99"/>
        </w:rPr>
        <w:t>）。</w:t>
      </w:r>
    </w:p>
    <w:p>
      <w:pPr>
        <w:pStyle w:val="BodyText"/>
        <w:spacing w:line="309" w:lineRule="auto" w:before="9"/>
        <w:ind w:right="1130" w:firstLine="360"/>
        <w:jc w:val="both"/>
      </w:pPr>
      <w:r>
        <w:rPr>
          <w:rFonts w:ascii="Times New Roman" w:hAnsi="Times New Roman" w:cs="Times New Roman" w:eastAsia="Times New Roman" w:hint="default"/>
          <w:spacing w:val="-4"/>
        </w:rPr>
        <w:t>2</w:t>
      </w:r>
      <w:r>
        <w:rPr>
          <w:spacing w:val="-4"/>
        </w:rPr>
        <w:t>、根据公司《股票期权与限制性股票激励计划（草案修订稿）》的规定及公司</w:t>
      </w:r>
      <w:r>
        <w:rPr>
          <w:rFonts w:ascii="Times New Roman" w:hAnsi="Times New Roman" w:cs="Times New Roman" w:eastAsia="Times New Roman" w:hint="default"/>
          <w:spacing w:val="-4"/>
        </w:rPr>
        <w:t>2015</w:t>
      </w:r>
      <w:r>
        <w:rPr>
          <w:spacing w:val="-4"/>
        </w:rPr>
        <w:t>年第三次临时股东大会的授权，公司</w:t>
      </w:r>
      <w:r>
        <w:rPr/>
        <w:t> </w:t>
      </w:r>
      <w:r>
        <w:rPr>
          <w:spacing w:val="-2"/>
        </w:rPr>
        <w:t>第六届董事会第三次会议、第六届董事会第九次会议、第六届董事会第十一次会议、第六届董事会第十二次会议分别审议通</w:t>
      </w:r>
      <w:r>
        <w:rPr>
          <w:spacing w:val="-63"/>
        </w:rPr>
        <w:t> </w:t>
      </w:r>
      <w:r>
        <w:rPr>
          <w:spacing w:val="-63"/>
        </w:rPr>
      </w:r>
      <w:r>
        <w:rPr/>
        <w:t>过</w:t>
      </w:r>
      <w:r>
        <w:rPr>
          <w:spacing w:val="-64"/>
        </w:rPr>
        <w:t> </w:t>
      </w:r>
      <w:r>
        <w:rPr/>
        <w:t>了</w:t>
      </w:r>
      <w:r>
        <w:rPr>
          <w:spacing w:val="-62"/>
        </w:rPr>
        <w:t> </w:t>
      </w:r>
      <w:r>
        <w:rPr/>
        <w:t>《</w:t>
      </w:r>
      <w:r>
        <w:rPr>
          <w:spacing w:val="-64"/>
        </w:rPr>
        <w:t> </w:t>
      </w:r>
      <w:r>
        <w:rPr/>
        <w:t>关</w:t>
      </w:r>
      <w:r>
        <w:rPr>
          <w:spacing w:val="-62"/>
        </w:rPr>
        <w:t> </w:t>
      </w:r>
      <w:r>
        <w:rPr/>
        <w:t>于</w:t>
      </w:r>
      <w:r>
        <w:rPr>
          <w:spacing w:val="-64"/>
        </w:rPr>
        <w:t> </w:t>
      </w:r>
      <w:r>
        <w:rPr/>
        <w:t>对</w:t>
      </w:r>
      <w:r>
        <w:rPr>
          <w:spacing w:val="-62"/>
        </w:rPr>
        <w:t> </w:t>
      </w:r>
      <w:r>
        <w:rPr/>
        <w:t>股</w:t>
      </w:r>
      <w:r>
        <w:rPr>
          <w:spacing w:val="-64"/>
        </w:rPr>
        <w:t> </w:t>
      </w:r>
      <w:r>
        <w:rPr/>
        <w:t>票</w:t>
      </w:r>
      <w:r>
        <w:rPr>
          <w:spacing w:val="-62"/>
        </w:rPr>
        <w:t> </w:t>
      </w:r>
      <w:r>
        <w:rPr/>
        <w:t>期</w:t>
      </w:r>
      <w:r>
        <w:rPr>
          <w:spacing w:val="-64"/>
        </w:rPr>
        <w:t> </w:t>
      </w:r>
      <w:r>
        <w:rPr/>
        <w:t>权</w:t>
      </w:r>
      <w:r>
        <w:rPr>
          <w:spacing w:val="-62"/>
        </w:rPr>
        <w:t> </w:t>
      </w:r>
      <w:r>
        <w:rPr/>
        <w:t>与</w:t>
      </w:r>
      <w:r>
        <w:rPr>
          <w:spacing w:val="-64"/>
        </w:rPr>
        <w:t> </w:t>
      </w:r>
      <w:r>
        <w:rPr/>
        <w:t>限</w:t>
      </w:r>
      <w:r>
        <w:rPr>
          <w:spacing w:val="-62"/>
        </w:rPr>
        <w:t> </w:t>
      </w:r>
      <w:r>
        <w:rPr/>
        <w:t>制</w:t>
      </w:r>
      <w:r>
        <w:rPr>
          <w:spacing w:val="-64"/>
        </w:rPr>
        <w:t> </w:t>
      </w:r>
      <w:r>
        <w:rPr/>
        <w:t>性</w:t>
      </w:r>
      <w:r>
        <w:rPr>
          <w:spacing w:val="-62"/>
        </w:rPr>
        <w:t> </w:t>
      </w:r>
      <w:r>
        <w:rPr/>
        <w:t>股</w:t>
      </w:r>
      <w:r>
        <w:rPr>
          <w:spacing w:val="-64"/>
        </w:rPr>
        <w:t> </w:t>
      </w:r>
      <w:r>
        <w:rPr/>
        <w:t>票</w:t>
      </w:r>
      <w:r>
        <w:rPr>
          <w:spacing w:val="-62"/>
        </w:rPr>
        <w:t> </w:t>
      </w:r>
      <w:r>
        <w:rPr/>
        <w:t>激</w:t>
      </w:r>
      <w:r>
        <w:rPr>
          <w:spacing w:val="-64"/>
        </w:rPr>
        <w:t> </w:t>
      </w:r>
      <w:r>
        <w:rPr/>
        <w:t>励</w:t>
      </w:r>
      <w:r>
        <w:rPr>
          <w:spacing w:val="-62"/>
        </w:rPr>
        <w:t> </w:t>
      </w:r>
      <w:r>
        <w:rPr/>
        <w:t>计</w:t>
      </w:r>
      <w:r>
        <w:rPr>
          <w:spacing w:val="-64"/>
        </w:rPr>
        <w:t> </w:t>
      </w:r>
      <w:r>
        <w:rPr/>
        <w:t>划</w:t>
      </w:r>
      <w:r>
        <w:rPr>
          <w:spacing w:val="-62"/>
        </w:rPr>
        <w:t> </w:t>
      </w:r>
      <w:r>
        <w:rPr/>
        <w:t>部</w:t>
      </w:r>
      <w:r>
        <w:rPr>
          <w:spacing w:val="-64"/>
        </w:rPr>
        <w:t> </w:t>
      </w:r>
      <w:r>
        <w:rPr/>
        <w:t>分</w:t>
      </w:r>
      <w:r>
        <w:rPr>
          <w:spacing w:val="-62"/>
        </w:rPr>
        <w:t> </w:t>
      </w:r>
      <w:r>
        <w:rPr/>
        <w:t>激</w:t>
      </w:r>
      <w:r>
        <w:rPr>
          <w:spacing w:val="-64"/>
        </w:rPr>
        <w:t> </w:t>
      </w:r>
      <w:r>
        <w:rPr/>
        <w:t>励</w:t>
      </w:r>
      <w:r>
        <w:rPr>
          <w:spacing w:val="-62"/>
        </w:rPr>
        <w:t> </w:t>
      </w:r>
      <w:r>
        <w:rPr/>
        <w:t>股</w:t>
      </w:r>
      <w:r>
        <w:rPr>
          <w:spacing w:val="-64"/>
        </w:rPr>
        <w:t> </w:t>
      </w:r>
      <w:r>
        <w:rPr/>
        <w:t>份</w:t>
      </w:r>
      <w:r>
        <w:rPr>
          <w:spacing w:val="-62"/>
        </w:rPr>
        <w:t> </w:t>
      </w:r>
      <w:r>
        <w:rPr/>
        <w:t>回</w:t>
      </w:r>
      <w:r>
        <w:rPr>
          <w:spacing w:val="-64"/>
        </w:rPr>
        <w:t> </w:t>
      </w:r>
      <w:r>
        <w:rPr/>
        <w:t>购</w:t>
      </w:r>
      <w:r>
        <w:rPr>
          <w:spacing w:val="-62"/>
        </w:rPr>
        <w:t> </w:t>
      </w:r>
      <w:r>
        <w:rPr/>
        <w:t>注</w:t>
      </w:r>
      <w:r>
        <w:rPr>
          <w:spacing w:val="-64"/>
        </w:rPr>
        <w:t> </w:t>
      </w:r>
      <w:r>
        <w:rPr/>
        <w:t>销</w:t>
      </w:r>
      <w:r>
        <w:rPr>
          <w:spacing w:val="-62"/>
        </w:rPr>
        <w:t> </w:t>
      </w:r>
      <w:r>
        <w:rPr/>
        <w:t>的</w:t>
      </w:r>
      <w:r>
        <w:rPr>
          <w:spacing w:val="-64"/>
        </w:rPr>
        <w:t> </w:t>
      </w:r>
      <w:r>
        <w:rPr/>
        <w:t>议</w:t>
      </w:r>
      <w:r>
        <w:rPr>
          <w:spacing w:val="-62"/>
        </w:rPr>
        <w:t> </w:t>
      </w:r>
      <w:r>
        <w:rPr/>
        <w:t>案</w:t>
      </w:r>
      <w:r>
        <w:rPr>
          <w:spacing w:val="-64"/>
        </w:rPr>
        <w:t> </w:t>
      </w:r>
      <w:r>
        <w:rPr>
          <w:spacing w:val="-32"/>
        </w:rPr>
        <w:t>》（</w:t>
      </w:r>
      <w:r>
        <w:rPr>
          <w:spacing w:val="-64"/>
        </w:rPr>
        <w:t> </w:t>
      </w:r>
      <w:r>
        <w:rPr/>
        <w:t>具</w:t>
      </w:r>
      <w:r>
        <w:rPr>
          <w:spacing w:val="-62"/>
        </w:rPr>
        <w:t> </w:t>
      </w:r>
      <w:r>
        <w:rPr/>
        <w:t>体</w:t>
      </w:r>
      <w:r>
        <w:rPr>
          <w:spacing w:val="-64"/>
        </w:rPr>
        <w:t> </w:t>
      </w:r>
      <w:r>
        <w:rPr/>
        <w:t>详</w:t>
      </w:r>
      <w:r>
        <w:rPr>
          <w:spacing w:val="-62"/>
        </w:rPr>
        <w:t> </w:t>
      </w:r>
      <w:r>
        <w:rPr/>
        <w:t>见</w:t>
      </w:r>
      <w:r>
        <w:rPr>
          <w:spacing w:val="-64"/>
        </w:rPr>
        <w:t> </w:t>
      </w:r>
      <w:r>
        <w:rPr/>
        <w:t>刊</w:t>
      </w:r>
      <w:r>
        <w:rPr>
          <w:spacing w:val="-62"/>
        </w:rPr>
        <w:t> </w:t>
      </w:r>
      <w:r>
        <w:rPr/>
        <w:t>登</w:t>
      </w:r>
      <w:r>
        <w:rPr>
          <w:spacing w:val="-64"/>
        </w:rPr>
        <w:t> </w:t>
      </w:r>
      <w:r>
        <w:rPr/>
        <w:t>在</w:t>
      </w:r>
      <w:r>
        <w:rPr>
          <w:spacing w:val="-62"/>
        </w:rPr>
        <w:t> </w:t>
      </w:r>
      <w:r>
        <w:rPr/>
        <w:t>巨</w:t>
      </w:r>
      <w:r>
        <w:rPr>
          <w:spacing w:val="-64"/>
        </w:rPr>
        <w:t> </w:t>
      </w:r>
      <w:r>
        <w:rPr/>
        <w:t>潮</w:t>
      </w:r>
      <w:r>
        <w:rPr>
          <w:spacing w:val="-62"/>
        </w:rPr>
        <w:t> </w:t>
      </w:r>
      <w:r>
        <w:rPr/>
        <w:t>资</w:t>
      </w:r>
      <w:r>
        <w:rPr>
          <w:spacing w:val="-64"/>
        </w:rPr>
        <w:t> </w:t>
      </w:r>
      <w:r>
        <w:rPr/>
        <w:t>讯</w:t>
      </w:r>
      <w:r>
        <w:rPr>
          <w:spacing w:val="-62"/>
        </w:rPr>
        <w:t> </w:t>
      </w:r>
      <w:r>
        <w:rPr/>
        <w:t>网</w:t>
      </w:r>
    </w:p>
    <w:p>
      <w:pPr>
        <w:pStyle w:val="BodyText"/>
        <w:spacing w:line="300" w:lineRule="auto" w:before="24"/>
        <w:ind w:right="1041"/>
        <w:jc w:val="both"/>
      </w:pPr>
      <w:r>
        <w:rPr>
          <w:spacing w:val="2"/>
        </w:rPr>
        <w:t>（</w:t>
      </w:r>
      <w:r>
        <w:rPr>
          <w:rFonts w:ascii="Times New Roman" w:hAnsi="Times New Roman" w:cs="Times New Roman" w:eastAsia="Times New Roman" w:hint="default"/>
          <w:spacing w:val="-1"/>
          <w:w w:val="99"/>
        </w:rPr>
        <w:t>ww</w:t>
      </w:r>
      <w:r>
        <w:rPr>
          <w:rFonts w:ascii="Times New Roman" w:hAnsi="Times New Roman" w:cs="Times New Roman" w:eastAsia="Times New Roman" w:hint="default"/>
          <w:spacing w:val="-8"/>
          <w:w w:val="99"/>
        </w:rPr>
        <w:t>w</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1"/>
          <w:w w:val="99"/>
        </w:rPr>
        <w:t>c</w:t>
      </w:r>
      <w:r>
        <w:rPr>
          <w:rFonts w:ascii="Times New Roman" w:hAnsi="Times New Roman" w:cs="Times New Roman" w:eastAsia="Times New Roman" w:hint="default"/>
          <w:spacing w:val="1"/>
        </w:rPr>
        <w:t>n</w:t>
      </w:r>
      <w:r>
        <w:rPr>
          <w:rFonts w:ascii="Times New Roman" w:hAnsi="Times New Roman" w:cs="Times New Roman" w:eastAsia="Times New Roman" w:hint="default"/>
          <w:spacing w:val="-2"/>
          <w:w w:val="99"/>
        </w:rPr>
        <w:t>i</w:t>
      </w:r>
      <w:r>
        <w:rPr>
          <w:rFonts w:ascii="Times New Roman" w:hAnsi="Times New Roman" w:cs="Times New Roman" w:eastAsia="Times New Roman" w:hint="default"/>
          <w:spacing w:val="1"/>
        </w:rPr>
        <w:t>n</w:t>
      </w:r>
      <w:r>
        <w:rPr>
          <w:rFonts w:ascii="Times New Roman" w:hAnsi="Times New Roman" w:cs="Times New Roman" w:eastAsia="Times New Roman" w:hint="default"/>
          <w:spacing w:val="-3"/>
        </w:rPr>
        <w:t>f</w:t>
      </w:r>
      <w:r>
        <w:rPr>
          <w:rFonts w:ascii="Times New Roman" w:hAnsi="Times New Roman" w:cs="Times New Roman" w:eastAsia="Times New Roman" w:hint="default"/>
          <w:spacing w:val="1"/>
        </w:rPr>
        <w:t>o</w:t>
      </w:r>
      <w:r>
        <w:rPr>
          <w:rFonts w:ascii="Times New Roman" w:hAnsi="Times New Roman" w:cs="Times New Roman" w:eastAsia="Times New Roman" w:hint="default"/>
        </w:rPr>
        <w:t>.</w:t>
      </w:r>
      <w:r>
        <w:rPr>
          <w:rFonts w:ascii="Times New Roman" w:hAnsi="Times New Roman" w:cs="Times New Roman" w:eastAsia="Times New Roman" w:hint="default"/>
          <w:spacing w:val="-1"/>
          <w:w w:val="99"/>
        </w:rPr>
        <w:t>c</w:t>
      </w:r>
      <w:r>
        <w:rPr>
          <w:rFonts w:ascii="Times New Roman" w:hAnsi="Times New Roman" w:cs="Times New Roman" w:eastAsia="Times New Roman" w:hint="default"/>
          <w:spacing w:val="1"/>
        </w:rPr>
        <w:t>o</w:t>
      </w:r>
      <w:r>
        <w:rPr>
          <w:rFonts w:ascii="Times New Roman" w:hAnsi="Times New Roman" w:cs="Times New Roman" w:eastAsia="Times New Roman" w:hint="default"/>
          <w:spacing w:val="-4"/>
          <w:w w:val="99"/>
        </w:rPr>
        <w:t>m</w:t>
      </w:r>
      <w:r>
        <w:rPr>
          <w:rFonts w:ascii="Times New Roman" w:hAnsi="Times New Roman" w:cs="Times New Roman" w:eastAsia="Times New Roman" w:hint="default"/>
        </w:rPr>
        <w:t>.</w:t>
      </w:r>
      <w:r>
        <w:rPr>
          <w:rFonts w:ascii="Times New Roman" w:hAnsi="Times New Roman" w:cs="Times New Roman" w:eastAsia="Times New Roman" w:hint="default"/>
          <w:spacing w:val="-1"/>
          <w:w w:val="99"/>
        </w:rPr>
        <w:t>c</w:t>
      </w:r>
      <w:r>
        <w:rPr>
          <w:rFonts w:ascii="Times New Roman" w:hAnsi="Times New Roman" w:cs="Times New Roman" w:eastAsia="Times New Roman" w:hint="default"/>
          <w:spacing w:val="1"/>
        </w:rPr>
        <w:t>n</w:t>
      </w:r>
      <w:r>
        <w:rPr>
          <w:rFonts w:ascii="Times New Roman" w:hAnsi="Times New Roman" w:cs="Times New Roman" w:eastAsia="Times New Roman" w:hint="default"/>
          <w:spacing w:val="2"/>
        </w:rPr>
        <w:t>)</w:t>
      </w:r>
      <w:r>
        <w:rPr>
          <w:spacing w:val="2"/>
        </w:rPr>
        <w:t>的</w:t>
      </w:r>
      <w:r>
        <w:rPr/>
        <w:t>相</w:t>
      </w:r>
      <w:r>
        <w:rPr>
          <w:spacing w:val="2"/>
        </w:rPr>
        <w:t>关</w:t>
      </w:r>
      <w:r>
        <w:rPr/>
        <w:t>公</w:t>
      </w:r>
      <w:r>
        <w:rPr>
          <w:spacing w:val="2"/>
        </w:rPr>
        <w:t>告</w:t>
      </w:r>
      <w:r>
        <w:rPr/>
        <w:t>，</w:t>
      </w:r>
      <w:r>
        <w:rPr>
          <w:spacing w:val="2"/>
        </w:rPr>
        <w:t>公告</w:t>
      </w:r>
      <w:r>
        <w:rPr/>
        <w:t>编</w:t>
      </w:r>
      <w:r>
        <w:rPr>
          <w:spacing w:val="2"/>
        </w:rPr>
        <w:t>号</w:t>
      </w:r>
      <w:r>
        <w:rPr/>
        <w:t>：</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7</w:t>
      </w:r>
      <w:r>
        <w:rPr>
          <w:rFonts w:ascii="Times New Roman" w:hAnsi="Times New Roman" w:cs="Times New Roman" w:eastAsia="Times New Roman" w:hint="default"/>
        </w:rPr>
        <w:t>-</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7</w:t>
      </w:r>
      <w:r>
        <w:rPr>
          <w:spacing w:val="2"/>
        </w:rPr>
        <w:t>、</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8</w:t>
      </w:r>
      <w:r>
        <w:rPr>
          <w:rFonts w:ascii="Times New Roman" w:hAnsi="Times New Roman" w:cs="Times New Roman" w:eastAsia="Times New Roman" w:hint="default"/>
        </w:rPr>
        <w:t>-</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3</w:t>
      </w:r>
      <w:r>
        <w:rPr>
          <w:rFonts w:ascii="Times New Roman" w:hAnsi="Times New Roman" w:cs="Times New Roman" w:eastAsia="Times New Roman" w:hint="default"/>
          <w:spacing w:val="1"/>
        </w:rPr>
        <w:t>9</w:t>
      </w:r>
      <w:r>
        <w:rPr/>
        <w:t>、</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8</w:t>
      </w:r>
      <w:r>
        <w:rPr>
          <w:rFonts w:ascii="Times New Roman" w:hAnsi="Times New Roman" w:cs="Times New Roman" w:eastAsia="Times New Roman" w:hint="default"/>
        </w:rPr>
        <w:t>-</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4</w:t>
      </w:r>
      <w:r>
        <w:rPr>
          <w:rFonts w:ascii="Times New Roman" w:hAnsi="Times New Roman" w:cs="Times New Roman" w:eastAsia="Times New Roman" w:hint="default"/>
          <w:spacing w:val="1"/>
        </w:rPr>
        <w:t>7</w:t>
      </w:r>
      <w:r>
        <w:rPr>
          <w:spacing w:val="2"/>
        </w:rPr>
        <w:t>、</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8</w:t>
      </w:r>
      <w:r>
        <w:rPr>
          <w:rFonts w:ascii="Times New Roman" w:hAnsi="Times New Roman" w:cs="Times New Roman" w:eastAsia="Times New Roman" w:hint="default"/>
        </w:rPr>
        <w:t>-</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6</w:t>
      </w:r>
      <w:r>
        <w:rPr>
          <w:rFonts w:ascii="Times New Roman" w:hAnsi="Times New Roman" w:cs="Times New Roman" w:eastAsia="Times New Roman" w:hint="default"/>
          <w:spacing w:val="1"/>
        </w:rPr>
        <w:t>1</w:t>
      </w:r>
      <w:r>
        <w:rPr>
          <w:spacing w:val="2"/>
        </w:rPr>
        <w:t>、</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8</w:t>
      </w:r>
      <w:r>
        <w:rPr>
          <w:rFonts w:ascii="Times New Roman" w:hAnsi="Times New Roman" w:cs="Times New Roman" w:eastAsia="Times New Roman" w:hint="default"/>
        </w:rPr>
        <w:t>-</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62</w:t>
      </w:r>
      <w:r>
        <w:rPr>
          <w:spacing w:val="2"/>
        </w:rPr>
        <w:t>、</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8</w:t>
      </w:r>
      <w:r>
        <w:rPr>
          <w:rFonts w:ascii="Times New Roman" w:hAnsi="Times New Roman" w:cs="Times New Roman" w:eastAsia="Times New Roman" w:hint="default"/>
        </w:rPr>
        <w:t>-</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6</w:t>
      </w:r>
      <w:r>
        <w:rPr>
          <w:rFonts w:ascii="Times New Roman" w:hAnsi="Times New Roman" w:cs="Times New Roman" w:eastAsia="Times New Roman" w:hint="default"/>
          <w:spacing w:val="1"/>
        </w:rPr>
        <w:t>3</w:t>
      </w:r>
      <w:r>
        <w:rPr>
          <w:spacing w:val="-89"/>
        </w:rPr>
        <w:t>）</w:t>
      </w:r>
      <w:r>
        <w:rPr>
          <w:spacing w:val="2"/>
        </w:rPr>
        <w:t>。</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8</w:t>
      </w:r>
      <w:r>
        <w:rPr>
          <w:spacing w:val="2"/>
        </w:rPr>
        <w:t>年</w:t>
      </w:r>
      <w:r>
        <w:rPr>
          <w:rFonts w:ascii="Times New Roman" w:hAnsi="Times New Roman" w:cs="Times New Roman" w:eastAsia="Times New Roman" w:hint="default"/>
        </w:rPr>
        <w:t>7 </w:t>
      </w:r>
      <w:r>
        <w:rPr/>
        <w:t>月</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0</w:t>
      </w:r>
      <w:r>
        <w:rPr/>
        <w:t>日</w:t>
      </w:r>
      <w:r>
        <w:rPr>
          <w:spacing w:val="-5"/>
        </w:rPr>
        <w:t>，</w:t>
      </w:r>
      <w:r>
        <w:rPr/>
        <w:t>公司第六届董事会第十二次会议审议</w:t>
      </w:r>
      <w:r>
        <w:rPr>
          <w:spacing w:val="2"/>
        </w:rPr>
        <w:t>通</w:t>
      </w:r>
      <w:r>
        <w:rPr/>
        <w:t>过</w:t>
      </w:r>
      <w:r>
        <w:rPr>
          <w:spacing w:val="-5"/>
        </w:rPr>
        <w:t>了</w:t>
      </w:r>
      <w:r>
        <w:rPr/>
        <w:t>《关于变更公司注册资本并修改</w:t>
      </w:r>
      <w:r>
        <w:rPr>
          <w:rFonts w:ascii="Times New Roman" w:hAnsi="Times New Roman" w:cs="Times New Roman" w:eastAsia="Times New Roman" w:hint="default"/>
          <w:spacing w:val="1"/>
          <w:w w:val="99"/>
        </w:rPr>
        <w:t>&lt;</w:t>
      </w:r>
      <w:r>
        <w:rPr/>
        <w:t>公司章程</w:t>
      </w:r>
      <w:r>
        <w:rPr>
          <w:rFonts w:ascii="Times New Roman" w:hAnsi="Times New Roman" w:cs="Times New Roman" w:eastAsia="Times New Roman" w:hint="default"/>
          <w:spacing w:val="-1"/>
          <w:w w:val="99"/>
        </w:rPr>
        <w:t>&gt;</w:t>
      </w:r>
      <w:r>
        <w:rPr/>
        <w:t>的议案</w:t>
      </w:r>
      <w:r>
        <w:rPr>
          <w:spacing w:val="-89"/>
        </w:rPr>
        <w:t>》</w:t>
      </w:r>
      <w:r>
        <w:rPr>
          <w:spacing w:val="-5"/>
        </w:rPr>
        <w:t>，</w:t>
      </w:r>
      <w:r>
        <w:rPr/>
        <w:t>同意公司回购相</w:t>
      </w:r>
      <w:r>
        <w:rPr/>
        <w:t> 关人员所持已获授但尚未解锁的限制性股票共计</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4</w:t>
      </w:r>
      <w:r>
        <w:rPr>
          <w:rFonts w:ascii="Times New Roman" w:hAnsi="Times New Roman" w:cs="Times New Roman" w:eastAsia="Times New Roman" w:hint="default"/>
          <w:spacing w:val="1"/>
        </w:rPr>
        <w:t>7</w:t>
      </w:r>
      <w:r>
        <w:rPr>
          <w:rFonts w:ascii="Times New Roman" w:hAnsi="Times New Roman" w:cs="Times New Roman" w:eastAsia="Times New Roman" w:hint="default"/>
        </w:rPr>
        <w:t>,</w:t>
      </w:r>
      <w:r>
        <w:rPr>
          <w:rFonts w:ascii="Times New Roman" w:hAnsi="Times New Roman" w:cs="Times New Roman" w:eastAsia="Times New Roman" w:hint="default"/>
          <w:spacing w:val="-2"/>
        </w:rPr>
        <w:t>3</w:t>
      </w:r>
      <w:r>
        <w:rPr>
          <w:rFonts w:ascii="Times New Roman" w:hAnsi="Times New Roman" w:cs="Times New Roman" w:eastAsia="Times New Roman" w:hint="default"/>
          <w:spacing w:val="1"/>
        </w:rPr>
        <w:t>7</w:t>
      </w:r>
      <w:r>
        <w:rPr>
          <w:rFonts w:ascii="Times New Roman" w:hAnsi="Times New Roman" w:cs="Times New Roman" w:eastAsia="Times New Roman" w:hint="default"/>
          <w:spacing w:val="-2"/>
        </w:rPr>
        <w:t>6</w:t>
      </w:r>
      <w:r>
        <w:rPr/>
        <w:t>股</w:t>
      </w:r>
      <w:r>
        <w:rPr>
          <w:spacing w:val="-82"/>
        </w:rPr>
        <w:t>，</w:t>
      </w:r>
      <w:r>
        <w:rPr/>
        <w:t>并同意在上述股份回购注销完成后减少公司注册资本</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4</w:t>
      </w:r>
      <w:r>
        <w:rPr>
          <w:rFonts w:ascii="Times New Roman" w:hAnsi="Times New Roman" w:cs="Times New Roman" w:eastAsia="Times New Roman" w:hint="default"/>
          <w:spacing w:val="1"/>
        </w:rPr>
        <w:t>7</w:t>
      </w:r>
      <w:r>
        <w:rPr>
          <w:rFonts w:ascii="Times New Roman" w:hAnsi="Times New Roman" w:cs="Times New Roman" w:eastAsia="Times New Roman" w:hint="default"/>
        </w:rPr>
        <w:t>,</w:t>
      </w:r>
      <w:r>
        <w:rPr>
          <w:rFonts w:ascii="Times New Roman" w:hAnsi="Times New Roman" w:cs="Times New Roman" w:eastAsia="Times New Roman" w:hint="default"/>
          <w:spacing w:val="-2"/>
        </w:rPr>
        <w:t>3</w:t>
      </w:r>
      <w:r>
        <w:rPr>
          <w:rFonts w:ascii="Times New Roman" w:hAnsi="Times New Roman" w:cs="Times New Roman" w:eastAsia="Times New Roman" w:hint="default"/>
          <w:spacing w:val="1"/>
        </w:rPr>
        <w:t>7</w:t>
      </w:r>
      <w:r>
        <w:rPr>
          <w:rFonts w:ascii="Times New Roman" w:hAnsi="Times New Roman" w:cs="Times New Roman" w:eastAsia="Times New Roman" w:hint="default"/>
          <w:spacing w:val="-2"/>
        </w:rPr>
        <w:t>6</w:t>
      </w:r>
      <w:r>
        <w:rPr/>
        <w:t>元，</w:t>
      </w:r>
    </w:p>
    <w:p>
      <w:pPr>
        <w:spacing w:after="0" w:line="300" w:lineRule="auto"/>
        <w:jc w:val="both"/>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00" w:lineRule="auto" w:before="44"/>
        <w:ind w:right="1124"/>
        <w:jc w:val="both"/>
      </w:pPr>
      <w:r>
        <w:rPr>
          <w:spacing w:val="2"/>
        </w:rPr>
        <w:t>具体</w:t>
      </w:r>
      <w:r>
        <w:rPr>
          <w:spacing w:val="4"/>
        </w:rPr>
        <w:t>内</w:t>
      </w:r>
      <w:r>
        <w:rPr>
          <w:spacing w:val="2"/>
        </w:rPr>
        <w:t>容详见</w:t>
      </w:r>
      <w:r>
        <w:rPr>
          <w:spacing w:val="4"/>
        </w:rPr>
        <w:t>公</w:t>
      </w:r>
      <w:r>
        <w:rPr>
          <w:spacing w:val="2"/>
        </w:rPr>
        <w:t>司在巨</w:t>
      </w:r>
      <w:r>
        <w:rPr>
          <w:spacing w:val="4"/>
        </w:rPr>
        <w:t>潮</w:t>
      </w:r>
      <w:r>
        <w:rPr>
          <w:spacing w:val="2"/>
        </w:rPr>
        <w:t>资讯网</w:t>
      </w:r>
      <w:r>
        <w:rPr>
          <w:spacing w:val="4"/>
        </w:rPr>
        <w:t>站</w:t>
      </w:r>
      <w:r>
        <w:rPr>
          <w:spacing w:val="2"/>
        </w:rPr>
        <w:t>（</w:t>
      </w:r>
      <w:hyperlink r:id="rId15">
        <w:r>
          <w:rPr>
            <w:rFonts w:ascii="Times New Roman" w:hAnsi="Times New Roman" w:cs="Times New Roman" w:eastAsia="Times New Roman" w:hint="default"/>
            <w:spacing w:val="-1"/>
            <w:w w:val="99"/>
          </w:rPr>
          <w:t>ww</w:t>
        </w:r>
        <w:r>
          <w:rPr>
            <w:rFonts w:ascii="Times New Roman" w:hAnsi="Times New Roman" w:cs="Times New Roman" w:eastAsia="Times New Roman" w:hint="default"/>
            <w:spacing w:val="-8"/>
            <w:w w:val="99"/>
          </w:rPr>
          <w:t>w</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1"/>
            <w:w w:val="99"/>
          </w:rPr>
          <w:t>c</w:t>
        </w:r>
        <w:r>
          <w:rPr>
            <w:rFonts w:ascii="Times New Roman" w:hAnsi="Times New Roman" w:cs="Times New Roman" w:eastAsia="Times New Roman" w:hint="default"/>
            <w:spacing w:val="1"/>
          </w:rPr>
          <w:t>n</w:t>
        </w:r>
        <w:r>
          <w:rPr>
            <w:rFonts w:ascii="Times New Roman" w:hAnsi="Times New Roman" w:cs="Times New Roman" w:eastAsia="Times New Roman" w:hint="default"/>
            <w:spacing w:val="-2"/>
            <w:w w:val="99"/>
          </w:rPr>
          <w:t>i</w:t>
        </w:r>
        <w:r>
          <w:rPr>
            <w:rFonts w:ascii="Times New Roman" w:hAnsi="Times New Roman" w:cs="Times New Roman" w:eastAsia="Times New Roman" w:hint="default"/>
            <w:spacing w:val="1"/>
          </w:rPr>
          <w:t>n</w:t>
        </w:r>
        <w:r>
          <w:rPr>
            <w:rFonts w:ascii="Times New Roman" w:hAnsi="Times New Roman" w:cs="Times New Roman" w:eastAsia="Times New Roman" w:hint="default"/>
            <w:spacing w:val="-3"/>
          </w:rPr>
          <w:t>f</w:t>
        </w:r>
        <w:r>
          <w:rPr>
            <w:rFonts w:ascii="Times New Roman" w:hAnsi="Times New Roman" w:cs="Times New Roman" w:eastAsia="Times New Roman" w:hint="default"/>
            <w:spacing w:val="1"/>
          </w:rPr>
          <w:t>o</w:t>
        </w:r>
        <w:r>
          <w:rPr>
            <w:rFonts w:ascii="Times New Roman" w:hAnsi="Times New Roman" w:cs="Times New Roman" w:eastAsia="Times New Roman" w:hint="default"/>
          </w:rPr>
          <w:t>.</w:t>
        </w:r>
        <w:r>
          <w:rPr>
            <w:rFonts w:ascii="Times New Roman" w:hAnsi="Times New Roman" w:cs="Times New Roman" w:eastAsia="Times New Roman" w:hint="default"/>
            <w:spacing w:val="-1"/>
            <w:w w:val="99"/>
          </w:rPr>
          <w:t>c</w:t>
        </w:r>
        <w:r>
          <w:rPr>
            <w:rFonts w:ascii="Times New Roman" w:hAnsi="Times New Roman" w:cs="Times New Roman" w:eastAsia="Times New Roman" w:hint="default"/>
            <w:spacing w:val="1"/>
          </w:rPr>
          <w:t>o</w:t>
        </w:r>
        <w:r>
          <w:rPr>
            <w:rFonts w:ascii="Times New Roman" w:hAnsi="Times New Roman" w:cs="Times New Roman" w:eastAsia="Times New Roman" w:hint="default"/>
            <w:spacing w:val="-4"/>
            <w:w w:val="99"/>
          </w:rPr>
          <w:t>m</w:t>
        </w:r>
        <w:r>
          <w:rPr>
            <w:rFonts w:ascii="Times New Roman" w:hAnsi="Times New Roman" w:cs="Times New Roman" w:eastAsia="Times New Roman" w:hint="default"/>
          </w:rPr>
          <w:t>.</w:t>
        </w:r>
        <w:r>
          <w:rPr>
            <w:rFonts w:ascii="Times New Roman" w:hAnsi="Times New Roman" w:cs="Times New Roman" w:eastAsia="Times New Roman" w:hint="default"/>
            <w:spacing w:val="-1"/>
            <w:w w:val="99"/>
          </w:rPr>
          <w:t>c</w:t>
        </w:r>
        <w:r>
          <w:rPr>
            <w:rFonts w:ascii="Times New Roman" w:hAnsi="Times New Roman" w:cs="Times New Roman" w:eastAsia="Times New Roman" w:hint="default"/>
            <w:spacing w:val="6"/>
          </w:rPr>
          <w:t>n</w:t>
        </w:r>
      </w:hyperlink>
      <w:r>
        <w:rPr>
          <w:spacing w:val="2"/>
        </w:rPr>
        <w:t>）披</w:t>
      </w:r>
      <w:r>
        <w:rPr>
          <w:spacing w:val="4"/>
        </w:rPr>
        <w:t>露</w:t>
      </w:r>
      <w:r>
        <w:rPr>
          <w:spacing w:val="2"/>
        </w:rPr>
        <w:t>的公告</w:t>
      </w:r>
      <w:r>
        <w:rPr>
          <w:spacing w:val="4"/>
        </w:rPr>
        <w:t>（</w:t>
      </w:r>
      <w:r>
        <w:rPr>
          <w:spacing w:val="2"/>
        </w:rPr>
        <w:t>公告编</w:t>
      </w:r>
      <w:r>
        <w:rPr>
          <w:spacing w:val="4"/>
        </w:rPr>
        <w:t>号</w:t>
      </w:r>
      <w:r>
        <w:rPr>
          <w:spacing w:val="2"/>
        </w:rPr>
        <w:t>：</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8</w:t>
      </w:r>
      <w:r>
        <w:rPr>
          <w:rFonts w:ascii="Times New Roman" w:hAnsi="Times New Roman" w:cs="Times New Roman" w:eastAsia="Times New Roman" w:hint="default"/>
        </w:rPr>
        <w:t>-</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6</w:t>
      </w:r>
      <w:r>
        <w:rPr>
          <w:rFonts w:ascii="Times New Roman" w:hAnsi="Times New Roman" w:cs="Times New Roman" w:eastAsia="Times New Roman" w:hint="default"/>
          <w:spacing w:val="1"/>
        </w:rPr>
        <w:t>1</w:t>
      </w:r>
      <w:r>
        <w:rPr>
          <w:spacing w:val="-87"/>
        </w:rPr>
        <w:t>）</w:t>
      </w:r>
      <w:r>
        <w:rPr>
          <w:spacing w:val="2"/>
        </w:rPr>
        <w:t>。</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3"/>
        </w:rPr>
        <w:t>8</w:t>
      </w:r>
      <w:r>
        <w:rPr>
          <w:spacing w:val="2"/>
        </w:rPr>
        <w:t>年</w:t>
      </w:r>
      <w:r>
        <w:rPr>
          <w:rFonts w:ascii="Times New Roman" w:hAnsi="Times New Roman" w:cs="Times New Roman" w:eastAsia="Times New Roman" w:hint="default"/>
          <w:spacing w:val="3"/>
        </w:rPr>
        <w:t>7</w:t>
      </w:r>
      <w:r>
        <w:rPr>
          <w:spacing w:val="2"/>
        </w:rPr>
        <w:t>月</w:t>
      </w:r>
      <w:r>
        <w:rPr>
          <w:rFonts w:ascii="Times New Roman" w:hAnsi="Times New Roman" w:cs="Times New Roman" w:eastAsia="Times New Roman" w:hint="default"/>
          <w:spacing w:val="1"/>
        </w:rPr>
        <w:t>26</w:t>
      </w:r>
      <w:r>
        <w:rPr>
          <w:spacing w:val="2"/>
        </w:rPr>
        <w:t>日，</w:t>
      </w:r>
      <w:r>
        <w:rPr>
          <w:spacing w:val="4"/>
        </w:rPr>
        <w:t>公</w:t>
      </w:r>
      <w:r>
        <w:rPr>
          <w:spacing w:val="2"/>
        </w:rPr>
        <w:t>司</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8</w:t>
      </w:r>
      <w:r>
        <w:rPr>
          <w:rFonts w:ascii="Times New Roman" w:hAnsi="Times New Roman" w:cs="Times New Roman" w:eastAsia="Times New Roman" w:hint="default"/>
        </w:rPr>
        <w:t> </w:t>
      </w:r>
      <w:r>
        <w:rPr/>
        <w:t>年第二次临时股东大会审议通</w:t>
      </w:r>
      <w:r>
        <w:rPr>
          <w:spacing w:val="-5"/>
        </w:rPr>
        <w:t>过</w:t>
      </w:r>
      <w:r>
        <w:rPr/>
        <w:t>《关于变更公司注册资本并修改</w:t>
      </w:r>
      <w:r>
        <w:rPr>
          <w:rFonts w:ascii="Times New Roman" w:hAnsi="Times New Roman" w:cs="Times New Roman" w:eastAsia="Times New Roman" w:hint="default"/>
          <w:spacing w:val="-1"/>
          <w:w w:val="99"/>
        </w:rPr>
        <w:t>&lt;</w:t>
      </w:r>
      <w:r>
        <w:rPr/>
        <w:t>公司章程</w:t>
      </w:r>
      <w:r>
        <w:rPr>
          <w:rFonts w:ascii="Times New Roman" w:hAnsi="Times New Roman" w:cs="Times New Roman" w:eastAsia="Times New Roman" w:hint="default"/>
          <w:spacing w:val="-1"/>
          <w:w w:val="99"/>
        </w:rPr>
        <w:t>&gt;</w:t>
      </w:r>
      <w:r>
        <w:rPr/>
        <w:t>的议案</w:t>
      </w:r>
      <w:r>
        <w:rPr>
          <w:spacing w:val="-89"/>
        </w:rPr>
        <w:t>》</w:t>
      </w:r>
      <w:r>
        <w:rPr>
          <w:spacing w:val="-8"/>
        </w:rPr>
        <w:t>，</w:t>
      </w:r>
      <w:r>
        <w:rPr/>
        <w:t>具体内容详见公司刊登在中国证监会</w:t>
      </w:r>
      <w:r>
        <w:rPr/>
        <w:t> 指定信息披露网站巨潮资讯网（</w:t>
      </w:r>
      <w:hyperlink r:id="rId15">
        <w:r>
          <w:rPr>
            <w:rFonts w:ascii="Times New Roman" w:hAnsi="Times New Roman" w:cs="Times New Roman" w:eastAsia="Times New Roman" w:hint="default"/>
            <w:spacing w:val="-1"/>
            <w:w w:val="99"/>
          </w:rPr>
          <w:t>ww</w:t>
        </w:r>
        <w:r>
          <w:rPr>
            <w:rFonts w:ascii="Times New Roman" w:hAnsi="Times New Roman" w:cs="Times New Roman" w:eastAsia="Times New Roman" w:hint="default"/>
            <w:spacing w:val="-8"/>
            <w:w w:val="99"/>
          </w:rPr>
          <w:t>w</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1"/>
            <w:w w:val="99"/>
          </w:rPr>
          <w:t>c</w:t>
        </w:r>
        <w:r>
          <w:rPr>
            <w:rFonts w:ascii="Times New Roman" w:hAnsi="Times New Roman" w:cs="Times New Roman" w:eastAsia="Times New Roman" w:hint="default"/>
            <w:spacing w:val="1"/>
          </w:rPr>
          <w:t>n</w:t>
        </w:r>
        <w:r>
          <w:rPr>
            <w:rFonts w:ascii="Times New Roman" w:hAnsi="Times New Roman" w:cs="Times New Roman" w:eastAsia="Times New Roman" w:hint="default"/>
            <w:spacing w:val="-2"/>
            <w:w w:val="99"/>
          </w:rPr>
          <w:t>i</w:t>
        </w:r>
        <w:r>
          <w:rPr>
            <w:rFonts w:ascii="Times New Roman" w:hAnsi="Times New Roman" w:cs="Times New Roman" w:eastAsia="Times New Roman" w:hint="default"/>
            <w:spacing w:val="1"/>
          </w:rPr>
          <w:t>n</w:t>
        </w:r>
        <w:r>
          <w:rPr>
            <w:rFonts w:ascii="Times New Roman" w:hAnsi="Times New Roman" w:cs="Times New Roman" w:eastAsia="Times New Roman" w:hint="default"/>
            <w:spacing w:val="-3"/>
          </w:rPr>
          <w:t>f</w:t>
        </w:r>
        <w:r>
          <w:rPr>
            <w:rFonts w:ascii="Times New Roman" w:hAnsi="Times New Roman" w:cs="Times New Roman" w:eastAsia="Times New Roman" w:hint="default"/>
            <w:spacing w:val="1"/>
          </w:rPr>
          <w:t>o</w:t>
        </w:r>
        <w:r>
          <w:rPr>
            <w:rFonts w:ascii="Times New Roman" w:hAnsi="Times New Roman" w:cs="Times New Roman" w:eastAsia="Times New Roman" w:hint="default"/>
          </w:rPr>
          <w:t>.</w:t>
        </w:r>
        <w:r>
          <w:rPr>
            <w:rFonts w:ascii="Times New Roman" w:hAnsi="Times New Roman" w:cs="Times New Roman" w:eastAsia="Times New Roman" w:hint="default"/>
            <w:spacing w:val="-1"/>
            <w:w w:val="99"/>
          </w:rPr>
          <w:t>c</w:t>
        </w:r>
        <w:r>
          <w:rPr>
            <w:rFonts w:ascii="Times New Roman" w:hAnsi="Times New Roman" w:cs="Times New Roman" w:eastAsia="Times New Roman" w:hint="default"/>
            <w:spacing w:val="1"/>
          </w:rPr>
          <w:t>o</w:t>
        </w:r>
        <w:r>
          <w:rPr>
            <w:rFonts w:ascii="Times New Roman" w:hAnsi="Times New Roman" w:cs="Times New Roman" w:eastAsia="Times New Roman" w:hint="default"/>
            <w:spacing w:val="-4"/>
            <w:w w:val="99"/>
          </w:rPr>
          <w:t>m</w:t>
        </w:r>
        <w:r>
          <w:rPr>
            <w:rFonts w:ascii="Times New Roman" w:hAnsi="Times New Roman" w:cs="Times New Roman" w:eastAsia="Times New Roman" w:hint="default"/>
          </w:rPr>
          <w:t>.</w:t>
        </w:r>
        <w:r>
          <w:rPr>
            <w:rFonts w:ascii="Times New Roman" w:hAnsi="Times New Roman" w:cs="Times New Roman" w:eastAsia="Times New Roman" w:hint="default"/>
            <w:spacing w:val="-1"/>
            <w:w w:val="99"/>
          </w:rPr>
          <w:t>c</w:t>
        </w:r>
        <w:r>
          <w:rPr>
            <w:rFonts w:ascii="Times New Roman" w:hAnsi="Times New Roman" w:cs="Times New Roman" w:eastAsia="Times New Roman" w:hint="default"/>
            <w:spacing w:val="1"/>
          </w:rPr>
          <w:t>n</w:t>
        </w:r>
      </w:hyperlink>
      <w:r>
        <w:rPr/>
        <w:t>）上的相关公告（公告编号：</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8</w:t>
      </w:r>
      <w:r>
        <w:rPr>
          <w:rFonts w:ascii="Times New Roman" w:hAnsi="Times New Roman" w:cs="Times New Roman" w:eastAsia="Times New Roman" w:hint="default"/>
        </w:rPr>
        <w:t>-</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6</w:t>
      </w:r>
      <w:r>
        <w:rPr>
          <w:rFonts w:ascii="Times New Roman" w:hAnsi="Times New Roman" w:cs="Times New Roman" w:eastAsia="Times New Roman" w:hint="default"/>
          <w:spacing w:val="1"/>
        </w:rPr>
        <w:t>7</w:t>
      </w:r>
      <w:r>
        <w:rPr>
          <w:spacing w:val="-92"/>
        </w:rPr>
        <w:t>）</w:t>
      </w:r>
      <w:r>
        <w:rPr/>
        <w:t>。</w:t>
      </w:r>
    </w:p>
    <w:p>
      <w:pPr>
        <w:pStyle w:val="BodyText"/>
        <w:spacing w:line="240" w:lineRule="auto" w:before="13"/>
        <w:ind w:left="472" w:right="0"/>
        <w:jc w:val="left"/>
      </w:pPr>
      <w:r>
        <w:rPr/>
        <w:t>二、限售股解禁批准情况</w:t>
      </w:r>
    </w:p>
    <w:p>
      <w:pPr>
        <w:pStyle w:val="BodyText"/>
        <w:spacing w:line="300" w:lineRule="auto" w:before="76"/>
        <w:ind w:right="1130" w:firstLine="360"/>
        <w:jc w:val="both"/>
      </w:pPr>
      <w:r>
        <w:rPr>
          <w:rFonts w:ascii="Times New Roman" w:hAnsi="Times New Roman" w:cs="Times New Roman" w:eastAsia="Times New Roman" w:hint="default"/>
          <w:spacing w:val="-4"/>
        </w:rPr>
        <w:t>1</w:t>
      </w:r>
      <w:r>
        <w:rPr>
          <w:spacing w:val="-4"/>
        </w:rPr>
        <w:t>、根据杭州铜粟投资管理有限公司出具的《关于股份锁定承诺》：“自股份上市之日起</w:t>
      </w:r>
      <w:r>
        <w:rPr>
          <w:rFonts w:ascii="Times New Roman" w:hAnsi="Times New Roman" w:cs="Times New Roman" w:eastAsia="Times New Roman" w:hint="default"/>
          <w:spacing w:val="-4"/>
        </w:rPr>
        <w:t>12</w:t>
      </w:r>
      <w:r>
        <w:rPr>
          <w:spacing w:val="-4"/>
        </w:rPr>
        <w:t>个月届满，且依据《利润补偿</w:t>
      </w:r>
      <w:r>
        <w:rPr/>
        <w:t> </w:t>
      </w:r>
      <w:r>
        <w:rPr>
          <w:spacing w:val="-2"/>
        </w:rPr>
        <w:t>协议》达到</w:t>
      </w:r>
      <w:r>
        <w:rPr>
          <w:rFonts w:ascii="Times New Roman" w:hAnsi="Times New Roman" w:cs="Times New Roman" w:eastAsia="Times New Roman" w:hint="default"/>
          <w:spacing w:val="-2"/>
        </w:rPr>
        <w:t>2016</w:t>
      </w:r>
      <w:r>
        <w:rPr>
          <w:spacing w:val="-2"/>
        </w:rPr>
        <w:t>年度利润承诺，在具备证券期货从业资格的审计机构出具相应年度博泰服务利润承诺实现情况的《年度专项</w:t>
      </w:r>
      <w:r>
        <w:rPr>
          <w:spacing w:val="-61"/>
        </w:rPr>
        <w:t> </w:t>
      </w:r>
      <w:r>
        <w:rPr>
          <w:spacing w:val="-61"/>
        </w:rPr>
      </w:r>
      <w:r>
        <w:rPr>
          <w:spacing w:val="-1"/>
        </w:rPr>
        <w:t>审核报告》后</w:t>
      </w:r>
      <w:r>
        <w:rPr>
          <w:rFonts w:ascii="Times New Roman" w:hAnsi="Times New Roman" w:cs="Times New Roman" w:eastAsia="Times New Roman" w:hint="default"/>
          <w:spacing w:val="-1"/>
        </w:rPr>
        <w:t>30</w:t>
      </w:r>
      <w:r>
        <w:rPr>
          <w:spacing w:val="-1"/>
        </w:rPr>
        <w:t>个工作日起，可转让或交易不超过其于本次发行中取得的上市公司股份数量的</w:t>
      </w:r>
      <w:r>
        <w:rPr>
          <w:rFonts w:ascii="Times New Roman" w:hAnsi="Times New Roman" w:cs="Times New Roman" w:eastAsia="Times New Roman" w:hint="default"/>
          <w:spacing w:val="-1"/>
        </w:rPr>
        <w:t>20%</w:t>
      </w:r>
      <w:r>
        <w:rPr>
          <w:spacing w:val="-1"/>
        </w:rPr>
        <w:t>”的约定，本次铜粟投资</w:t>
      </w:r>
      <w:r>
        <w:rPr/>
        <w:t> 可申请解除限售股份并上市流通的数量为</w:t>
      </w:r>
      <w:r>
        <w:rPr>
          <w:rFonts w:ascii="Times New Roman" w:hAnsi="Times New Roman" w:cs="Times New Roman" w:eastAsia="Times New Roman" w:hint="default"/>
        </w:rPr>
        <w:t>432,561</w:t>
      </w:r>
      <w:r>
        <w:rPr/>
        <w:t>股，占公司股本总额的</w:t>
      </w:r>
      <w:r>
        <w:rPr>
          <w:rFonts w:ascii="Times New Roman" w:hAnsi="Times New Roman" w:cs="Times New Roman" w:eastAsia="Times New Roman" w:hint="default"/>
        </w:rPr>
        <w:t>0.1782%,</w:t>
      </w:r>
      <w:r>
        <w:rPr/>
        <w:t>本次解除限售股份的上市流通日期为</w:t>
      </w:r>
      <w:r>
        <w:rPr>
          <w:rFonts w:ascii="Times New Roman" w:hAnsi="Times New Roman" w:cs="Times New Roman" w:eastAsia="Times New Roman" w:hint="default"/>
        </w:rPr>
        <w:t>2018</w:t>
      </w:r>
      <w:r>
        <w:rPr>
          <w:rFonts w:ascii="Times New Roman" w:hAnsi="Times New Roman" w:cs="Times New Roman" w:eastAsia="Times New Roman" w:hint="default"/>
          <w:spacing w:val="16"/>
        </w:rPr>
        <w:t> </w:t>
      </w:r>
      <w:r>
        <w:rPr>
          <w:rFonts w:ascii="Times New Roman" w:hAnsi="Times New Roman" w:cs="Times New Roman" w:eastAsia="Times New Roman" w:hint="default"/>
          <w:spacing w:val="16"/>
        </w:rPr>
      </w:r>
      <w:r>
        <w:rPr>
          <w:spacing w:val="-2"/>
          <w:w w:val="99"/>
        </w:rPr>
        <w:t>年</w:t>
      </w:r>
      <w:r>
        <w:rPr>
          <w:rFonts w:ascii="Times New Roman" w:hAnsi="Times New Roman" w:cs="Times New Roman" w:eastAsia="Times New Roman" w:hint="default"/>
          <w:spacing w:val="-2"/>
          <w:w w:val="99"/>
        </w:rPr>
        <w:t>3</w:t>
      </w:r>
      <w:r>
        <w:rPr>
          <w:spacing w:val="-2"/>
          <w:w w:val="99"/>
        </w:rPr>
        <w:t>月</w:t>
      </w:r>
      <w:r>
        <w:rPr>
          <w:rFonts w:ascii="Times New Roman" w:hAnsi="Times New Roman" w:cs="Times New Roman" w:eastAsia="Times New Roman" w:hint="default"/>
          <w:spacing w:val="-2"/>
          <w:w w:val="99"/>
        </w:rPr>
        <w:t>7</w:t>
      </w:r>
      <w:r>
        <w:rPr>
          <w:spacing w:val="-2"/>
          <w:w w:val="99"/>
        </w:rPr>
        <w:t>日（星期三</w:t>
      </w:r>
      <w:r>
        <w:rPr>
          <w:rFonts w:ascii="Times New Roman" w:hAnsi="Times New Roman" w:cs="Times New Roman" w:eastAsia="Times New Roman" w:hint="default"/>
          <w:spacing w:val="-2"/>
          <w:w w:val="99"/>
        </w:rPr>
        <w:t>)</w:t>
      </w:r>
      <w:r>
        <w:rPr>
          <w:spacing w:val="-2"/>
          <w:w w:val="99"/>
        </w:rPr>
        <w:t>。具体内容详见公司在巨潮资讯网站（</w:t>
      </w:r>
      <w:hyperlink r:id="rId15">
        <w:r>
          <w:rPr>
            <w:rFonts w:ascii="Times New Roman" w:hAnsi="Times New Roman" w:cs="Times New Roman" w:eastAsia="Times New Roman" w:hint="default"/>
            <w:spacing w:val="-2"/>
            <w:w w:val="99"/>
          </w:rPr>
          <w:t>www.cninfo.com.cn</w:t>
        </w:r>
      </w:hyperlink>
      <w:r>
        <w:rPr>
          <w:spacing w:val="-2"/>
          <w:w w:val="99"/>
        </w:rPr>
        <w:t>）披露的公告（公告编号：</w:t>
      </w:r>
      <w:r>
        <w:rPr>
          <w:rFonts w:ascii="Times New Roman" w:hAnsi="Times New Roman" w:cs="Times New Roman" w:eastAsia="Times New Roman" w:hint="default"/>
          <w:spacing w:val="-2"/>
          <w:w w:val="99"/>
        </w:rPr>
        <w:t>2018-036</w:t>
      </w:r>
      <w:r>
        <w:rPr>
          <w:spacing w:val="-2"/>
          <w:w w:val="99"/>
        </w:rPr>
        <w:t>）。</w:t>
      </w:r>
    </w:p>
    <w:p>
      <w:pPr>
        <w:pStyle w:val="BodyText"/>
        <w:spacing w:line="304" w:lineRule="auto" w:before="13"/>
        <w:ind w:right="1034" w:firstLine="360"/>
        <w:jc w:val="left"/>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w:t>
      </w:r>
      <w:r>
        <w:rPr/>
        <w:t>日，公司召开第六届董事会第十一次会议和第六届监事会第九次会议，审议通过了《关于调整股票期权 </w:t>
      </w:r>
      <w:r>
        <w:rPr>
          <w:spacing w:val="-5"/>
        </w:rPr>
        <w:t>与限制性股票激励计划相关事项的议案》、《关于对股票期权与限制性股票激励计划部分股票期权注销的议案》及《关于股票</w:t>
      </w:r>
      <w:r>
        <w:rPr>
          <w:spacing w:val="-76"/>
        </w:rPr>
        <w:t> </w:t>
      </w:r>
      <w:r>
        <w:rPr>
          <w:spacing w:val="-76"/>
        </w:rPr>
      </w:r>
      <w:r>
        <w:rPr>
          <w:spacing w:val="-2"/>
        </w:rPr>
        <w:t>期权与限制性股票激励计划预留授予部分限制性股票第二个解锁期解锁条件成就的议案》。鉴于公司首次授予部分的激励对</w:t>
      </w:r>
      <w:r>
        <w:rPr>
          <w:spacing w:val="-67"/>
        </w:rPr>
        <w:t> </w:t>
      </w:r>
      <w:r>
        <w:rPr>
          <w:spacing w:val="-67"/>
        </w:rPr>
      </w:r>
      <w:r>
        <w:rPr>
          <w:spacing w:val="-2"/>
        </w:rPr>
        <w:t>象黄鸳鸳等</w:t>
      </w:r>
      <w:r>
        <w:rPr>
          <w:rFonts w:ascii="Times New Roman" w:hAnsi="Times New Roman" w:cs="Times New Roman" w:eastAsia="Times New Roman" w:hint="default"/>
          <w:spacing w:val="-2"/>
        </w:rPr>
        <w:t>5</w:t>
      </w:r>
      <w:r>
        <w:rPr>
          <w:spacing w:val="-2"/>
        </w:rPr>
        <w:t>人、预留授予部分的激励对象方云楼</w:t>
      </w:r>
      <w:r>
        <w:rPr>
          <w:rFonts w:ascii="Times New Roman" w:hAnsi="Times New Roman" w:cs="Times New Roman" w:eastAsia="Times New Roman" w:hint="default"/>
          <w:spacing w:val="-2"/>
        </w:rPr>
        <w:t>1</w:t>
      </w:r>
      <w:r>
        <w:rPr>
          <w:spacing w:val="-2"/>
        </w:rPr>
        <w:t>人，因已离职不符合激励条件，根据公司股权激励计划，公司拟对相关激</w:t>
      </w:r>
      <w:r>
        <w:rPr>
          <w:spacing w:val="-63"/>
        </w:rPr>
        <w:t> </w:t>
      </w:r>
      <w:r>
        <w:rPr>
          <w:spacing w:val="-63"/>
        </w:rPr>
      </w:r>
      <w:r>
        <w:rPr/>
        <w:t>励对象已获授（含已获准行权）但尚未行权的</w:t>
      </w:r>
      <w:r>
        <w:rPr>
          <w:rFonts w:ascii="Times New Roman" w:hAnsi="Times New Roman" w:cs="Times New Roman" w:eastAsia="Times New Roman" w:hint="default"/>
        </w:rPr>
        <w:t>13,500</w:t>
      </w:r>
      <w:r>
        <w:rPr/>
        <w:t>份股票期权进行注销，对其已获授但尚未解锁的</w:t>
      </w:r>
      <w:r>
        <w:rPr>
          <w:rFonts w:ascii="Times New Roman" w:hAnsi="Times New Roman" w:cs="Times New Roman" w:eastAsia="Times New Roman" w:hint="default"/>
        </w:rPr>
        <w:t>11,400</w:t>
      </w:r>
      <w:r>
        <w:rPr/>
        <w:t>股限制性股票回 </w:t>
      </w:r>
      <w:r>
        <w:rPr>
          <w:spacing w:val="-2"/>
        </w:rPr>
        <w:t>购注销，其中首次授予部分</w:t>
      </w:r>
      <w:r>
        <w:rPr>
          <w:rFonts w:ascii="Times New Roman" w:hAnsi="Times New Roman" w:cs="Times New Roman" w:eastAsia="Times New Roman" w:hint="default"/>
          <w:spacing w:val="-2"/>
        </w:rPr>
        <w:t>6,000</w:t>
      </w:r>
      <w:r>
        <w:rPr>
          <w:spacing w:val="-2"/>
        </w:rPr>
        <w:t>股，预留授予部分</w:t>
      </w:r>
      <w:r>
        <w:rPr>
          <w:rFonts w:ascii="Times New Roman" w:hAnsi="Times New Roman" w:cs="Times New Roman" w:eastAsia="Times New Roman" w:hint="default"/>
          <w:spacing w:val="-2"/>
        </w:rPr>
        <w:t>5,400</w:t>
      </w:r>
      <w:r>
        <w:rPr>
          <w:spacing w:val="-2"/>
        </w:rPr>
        <w:t>股。董事会认为，除</w:t>
      </w:r>
      <w:r>
        <w:rPr>
          <w:rFonts w:ascii="Times New Roman" w:hAnsi="Times New Roman" w:cs="Times New Roman" w:eastAsia="Times New Roman" w:hint="default"/>
          <w:spacing w:val="-2"/>
        </w:rPr>
        <w:t>1</w:t>
      </w:r>
      <w:r>
        <w:rPr>
          <w:spacing w:val="-2"/>
        </w:rPr>
        <w:t>名激励对象因已离职不符合激励条件外，公司</w:t>
      </w:r>
      <w:r>
        <w:rPr>
          <w:spacing w:val="-57"/>
        </w:rPr>
        <w:t> </w:t>
      </w:r>
      <w:r>
        <w:rPr>
          <w:spacing w:val="-57"/>
        </w:rPr>
      </w:r>
      <w:r>
        <w:rPr>
          <w:spacing w:val="-2"/>
        </w:rPr>
        <w:t>本次激励计划预留授予部分限制性股票第二个解锁期解锁条件已满足，同意解锁</w:t>
      </w:r>
      <w:r>
        <w:rPr>
          <w:rFonts w:ascii="Times New Roman" w:hAnsi="Times New Roman" w:cs="Times New Roman" w:eastAsia="Times New Roman" w:hint="default"/>
          <w:spacing w:val="-2"/>
        </w:rPr>
        <w:t>24</w:t>
      </w:r>
      <w:r>
        <w:rPr>
          <w:spacing w:val="-2"/>
        </w:rPr>
        <w:t>名激励对象第二个解锁期限制性股票，并</w:t>
      </w:r>
      <w:r>
        <w:rPr>
          <w:spacing w:val="-63"/>
        </w:rPr>
        <w:t> </w:t>
      </w:r>
      <w:r>
        <w:rPr>
          <w:spacing w:val="-63"/>
        </w:rPr>
      </w:r>
      <w:r>
        <w:rPr>
          <w:spacing w:val="-1"/>
        </w:rPr>
        <w:t>授权公司证券部办理相关解锁登记手续。具体内容详见公司在巨潮资讯网站（</w:t>
      </w:r>
      <w:hyperlink r:id="rId15">
        <w:r>
          <w:rPr>
            <w:rFonts w:ascii="Times New Roman" w:hAnsi="Times New Roman" w:cs="Times New Roman" w:eastAsia="Times New Roman" w:hint="default"/>
            <w:spacing w:val="-1"/>
          </w:rPr>
          <w:t>www.cninfo.com.cn</w:t>
        </w:r>
      </w:hyperlink>
      <w:r>
        <w:rPr>
          <w:spacing w:val="-1"/>
        </w:rPr>
        <w:t>）披露的公告（公告编号：</w:t>
      </w:r>
      <w:r>
        <w:rPr>
          <w:spacing w:val="-45"/>
        </w:rPr>
        <w:t> </w:t>
      </w:r>
      <w:r>
        <w:rPr>
          <w:spacing w:val="-45"/>
        </w:rPr>
      </w:r>
      <w:r>
        <w:rPr>
          <w:rFonts w:ascii="Times New Roman" w:hAnsi="Times New Roman" w:cs="Times New Roman" w:eastAsia="Times New Roman" w:hint="default"/>
          <w:spacing w:val="-4"/>
        </w:rPr>
        <w:t>2018-047</w:t>
      </w:r>
      <w:r>
        <w:rPr>
          <w:spacing w:val="-4"/>
        </w:rPr>
        <w:t>、</w:t>
      </w:r>
      <w:r>
        <w:rPr>
          <w:rFonts w:ascii="Times New Roman" w:hAnsi="Times New Roman" w:cs="Times New Roman" w:eastAsia="Times New Roman" w:hint="default"/>
          <w:spacing w:val="-4"/>
        </w:rPr>
        <w:t>2018-048</w:t>
      </w:r>
      <w:r>
        <w:rPr>
          <w:spacing w:val="-4"/>
        </w:rPr>
        <w:t>、</w:t>
      </w:r>
      <w:r>
        <w:rPr>
          <w:rFonts w:ascii="Times New Roman" w:hAnsi="Times New Roman" w:cs="Times New Roman" w:eastAsia="Times New Roman" w:hint="default"/>
          <w:spacing w:val="-4"/>
        </w:rPr>
        <w:t>2018-054</w:t>
      </w:r>
      <w:r>
        <w:rPr>
          <w:spacing w:val="-4"/>
        </w:rPr>
        <w:t>）。</w:t>
      </w:r>
    </w:p>
    <w:p>
      <w:pPr>
        <w:pStyle w:val="BodyText"/>
        <w:spacing w:line="302" w:lineRule="auto" w:before="9"/>
        <w:ind w:right="1128" w:firstLine="360"/>
        <w:jc w:val="both"/>
      </w:pPr>
      <w:r>
        <w:rPr>
          <w:rFonts w:ascii="Times New Roman" w:hAnsi="Times New Roman" w:cs="Times New Roman" w:eastAsia="Times New Roman" w:hint="default"/>
        </w:rPr>
        <w:t>3</w:t>
      </w:r>
      <w:r>
        <w:rPr/>
        <w:t>、根据葛航、阜康投资在公司《首次公开发行股票并在创业板上市招股说明书》和《首次公开发行股票并在创业板上 </w:t>
      </w:r>
      <w:r>
        <w:rPr>
          <w:spacing w:val="-2"/>
        </w:rPr>
        <w:t>市公告书》中的承诺：“自公司股票上市之日起</w:t>
      </w:r>
      <w:r>
        <w:rPr>
          <w:rFonts w:ascii="Times New Roman" w:hAnsi="Times New Roman" w:cs="Times New Roman" w:eastAsia="Times New Roman" w:hint="default"/>
          <w:spacing w:val="-2"/>
        </w:rPr>
        <w:t>36</w:t>
      </w:r>
      <w:r>
        <w:rPr>
          <w:spacing w:val="-2"/>
        </w:rPr>
        <w:t>个月内，不转让或者委托他人管理本人直接或间接持有的公司公开发行股</w:t>
      </w:r>
      <w:r>
        <w:rPr>
          <w:spacing w:val="-65"/>
        </w:rPr>
        <w:t> </w:t>
      </w:r>
      <w:r>
        <w:rPr>
          <w:spacing w:val="-65"/>
        </w:rPr>
      </w:r>
      <w:r>
        <w:rPr/>
        <w:t>票前已发行的股份，也不由公司回购上述股份。公司上市后</w:t>
      </w:r>
      <w:r>
        <w:rPr>
          <w:rFonts w:ascii="Times New Roman" w:hAnsi="Times New Roman" w:cs="Times New Roman" w:eastAsia="Times New Roman" w:hint="default"/>
        </w:rPr>
        <w:t>6</w:t>
      </w:r>
      <w:r>
        <w:rPr/>
        <w:t>个月内如公司股票价格连续</w:t>
      </w:r>
      <w:r>
        <w:rPr>
          <w:rFonts w:ascii="Times New Roman" w:hAnsi="Times New Roman" w:cs="Times New Roman" w:eastAsia="Times New Roman" w:hint="default"/>
        </w:rPr>
        <w:t>20</w:t>
      </w:r>
      <w:r>
        <w:rPr/>
        <w:t>个交易日的收盘价（如因派息、</w:t>
      </w:r>
      <w:r>
        <w:rPr>
          <w:spacing w:val="-85"/>
        </w:rPr>
        <w:t> </w:t>
      </w:r>
      <w:r>
        <w:rPr>
          <w:spacing w:val="-85"/>
        </w:rPr>
      </w:r>
      <w:r>
        <w:rPr>
          <w:spacing w:val="-2"/>
        </w:rPr>
        <w:t>送股、资本公积金转增股本、增发新股等原因除权、除息的，则须按照深圳证券交易所的有关规定进行调整，下同）均低于</w:t>
      </w:r>
      <w:r>
        <w:rPr>
          <w:spacing w:val="-63"/>
        </w:rPr>
        <w:t> </w:t>
      </w:r>
      <w:r>
        <w:rPr>
          <w:spacing w:val="-63"/>
        </w:rPr>
      </w:r>
      <w:r>
        <w:rPr>
          <w:spacing w:val="-2"/>
        </w:rPr>
        <w:t>发行价，或者上市后</w:t>
      </w:r>
      <w:r>
        <w:rPr>
          <w:rFonts w:ascii="Times New Roman" w:hAnsi="Times New Roman" w:cs="Times New Roman" w:eastAsia="Times New Roman" w:hint="default"/>
          <w:spacing w:val="-2"/>
        </w:rPr>
        <w:t>6</w:t>
      </w:r>
      <w:r>
        <w:rPr>
          <w:spacing w:val="-2"/>
        </w:rPr>
        <w:t>个月期末收盘价低于发行价，本人所持公司的股票的锁定期限自动延长</w:t>
      </w:r>
      <w:r>
        <w:rPr>
          <w:rFonts w:ascii="Times New Roman" w:hAnsi="Times New Roman" w:cs="Times New Roman" w:eastAsia="Times New Roman" w:hint="default"/>
          <w:spacing w:val="-2"/>
        </w:rPr>
        <w:t>6</w:t>
      </w:r>
      <w:r>
        <w:rPr>
          <w:spacing w:val="-2"/>
        </w:rPr>
        <w:t>个月。”本次葛航、阜康投资</w:t>
      </w:r>
      <w:r>
        <w:rPr>
          <w:spacing w:val="-67"/>
        </w:rPr>
        <w:t> </w:t>
      </w:r>
      <w:r>
        <w:rPr>
          <w:spacing w:val="-67"/>
        </w:rPr>
      </w:r>
      <w:r>
        <w:rPr/>
        <w:t>共可申请解除限售股份数量为</w:t>
      </w:r>
      <w:r>
        <w:rPr>
          <w:rFonts w:ascii="Times New Roman" w:hAnsi="Times New Roman" w:cs="Times New Roman" w:eastAsia="Times New Roman" w:hint="default"/>
        </w:rPr>
        <w:t>69,087,414</w:t>
      </w:r>
      <w:r>
        <w:rPr/>
        <w:t>股，占公司总股本的</w:t>
      </w:r>
      <w:r>
        <w:rPr>
          <w:rFonts w:ascii="Times New Roman" w:hAnsi="Times New Roman" w:cs="Times New Roman" w:eastAsia="Times New Roman" w:hint="default"/>
        </w:rPr>
        <w:t>28.45%</w:t>
      </w:r>
      <w:r>
        <w:rPr/>
        <w:t>，实际可上市流通的数量为</w:t>
      </w:r>
      <w:r>
        <w:rPr>
          <w:rFonts w:ascii="Times New Roman" w:hAnsi="Times New Roman" w:cs="Times New Roman" w:eastAsia="Times New Roman" w:hint="default"/>
        </w:rPr>
        <w:t>0</w:t>
      </w:r>
      <w:r>
        <w:rPr/>
        <w:t>股，解除限售股份计划上</w:t>
      </w:r>
      <w:r>
        <w:rPr>
          <w:spacing w:val="-28"/>
        </w:rPr>
        <w:t> </w:t>
      </w:r>
      <w:r>
        <w:rPr>
          <w:spacing w:val="-28"/>
        </w:rPr>
      </w:r>
      <w:r>
        <w:rPr>
          <w:spacing w:val="-1"/>
          <w:w w:val="99"/>
        </w:rPr>
        <w:t>市流通日为</w:t>
      </w:r>
      <w:r>
        <w:rPr>
          <w:rFonts w:ascii="Times New Roman" w:hAnsi="Times New Roman" w:cs="Times New Roman" w:eastAsia="Times New Roman" w:hint="default"/>
          <w:spacing w:val="-1"/>
          <w:w w:val="99"/>
        </w:rPr>
        <w:t>2018</w:t>
      </w:r>
      <w:r>
        <w:rPr>
          <w:spacing w:val="-1"/>
          <w:w w:val="99"/>
        </w:rPr>
        <w:t>年</w:t>
      </w:r>
      <w:r>
        <w:rPr>
          <w:rFonts w:ascii="Times New Roman" w:hAnsi="Times New Roman" w:cs="Times New Roman" w:eastAsia="Times New Roman" w:hint="default"/>
          <w:spacing w:val="-1"/>
          <w:w w:val="99"/>
        </w:rPr>
        <w:t>5</w:t>
      </w:r>
      <w:r>
        <w:rPr>
          <w:spacing w:val="-1"/>
          <w:w w:val="99"/>
        </w:rPr>
        <w:t>月</w:t>
      </w:r>
      <w:r>
        <w:rPr>
          <w:rFonts w:ascii="Times New Roman" w:hAnsi="Times New Roman" w:cs="Times New Roman" w:eastAsia="Times New Roman" w:hint="default"/>
          <w:spacing w:val="-1"/>
          <w:w w:val="99"/>
        </w:rPr>
        <w:t>21</w:t>
      </w:r>
      <w:r>
        <w:rPr>
          <w:spacing w:val="-1"/>
          <w:w w:val="99"/>
        </w:rPr>
        <w:t>日（星期一）。具体内容详见公司在巨潮资讯网站（</w:t>
      </w:r>
      <w:hyperlink r:id="rId15">
        <w:r>
          <w:rPr>
            <w:rFonts w:ascii="Times New Roman" w:hAnsi="Times New Roman" w:cs="Times New Roman" w:eastAsia="Times New Roman" w:hint="default"/>
            <w:spacing w:val="-1"/>
            <w:w w:val="99"/>
          </w:rPr>
          <w:t>www.cninfo.com.cn</w:t>
        </w:r>
      </w:hyperlink>
      <w:r>
        <w:rPr>
          <w:spacing w:val="-1"/>
          <w:w w:val="99"/>
        </w:rPr>
        <w:t>）披露的公告（公告编号：</w:t>
      </w:r>
      <w:r>
        <w:rPr>
          <w:spacing w:val="-59"/>
          <w:w w:val="99"/>
        </w:rPr>
        <w:t> </w:t>
      </w:r>
      <w:r>
        <w:rPr>
          <w:spacing w:val="-59"/>
          <w:w w:val="99"/>
        </w:rPr>
      </w:r>
      <w:r>
        <w:rPr>
          <w:rFonts w:ascii="Times New Roman" w:hAnsi="Times New Roman" w:cs="Times New Roman" w:eastAsia="Times New Roman" w:hint="default"/>
          <w:spacing w:val="-10"/>
        </w:rPr>
        <w:t>2018-055</w:t>
      </w:r>
      <w:r>
        <w:rPr>
          <w:spacing w:val="-10"/>
        </w:rPr>
        <w:t>）。</w:t>
      </w:r>
    </w:p>
    <w:p>
      <w:pPr>
        <w:pStyle w:val="BodyText"/>
        <w:spacing w:line="300" w:lineRule="auto" w:before="11"/>
        <w:ind w:right="1130" w:firstLine="360"/>
        <w:jc w:val="both"/>
      </w:pPr>
      <w:r>
        <w:rPr>
          <w:rFonts w:ascii="Times New Roman" w:hAnsi="Times New Roman" w:cs="Times New Roman" w:eastAsia="Times New Roman" w:hint="default"/>
          <w:spacing w:val="-4"/>
        </w:rPr>
        <w:t>4</w:t>
      </w:r>
      <w:r>
        <w:rPr>
          <w:spacing w:val="-4"/>
        </w:rPr>
        <w:t>、根据鑫粟科技出具的《关于股份锁定承诺》：“自股份上市之日起</w:t>
      </w:r>
      <w:r>
        <w:rPr>
          <w:rFonts w:ascii="Times New Roman" w:hAnsi="Times New Roman" w:cs="Times New Roman" w:eastAsia="Times New Roman" w:hint="default"/>
          <w:spacing w:val="-4"/>
        </w:rPr>
        <w:t>12</w:t>
      </w:r>
      <w:r>
        <w:rPr>
          <w:spacing w:val="-4"/>
        </w:rPr>
        <w:t>个月届满，且依据《利润补偿协议》达到</w:t>
      </w:r>
      <w:r>
        <w:rPr>
          <w:rFonts w:ascii="Times New Roman" w:hAnsi="Times New Roman" w:cs="Times New Roman" w:eastAsia="Times New Roman" w:hint="default"/>
          <w:spacing w:val="-4"/>
        </w:rPr>
        <w:t>2016</w:t>
      </w:r>
      <w:r>
        <w:rPr>
          <w:spacing w:val="-4"/>
        </w:rPr>
        <w:t>年</w:t>
      </w:r>
      <w:r>
        <w:rPr/>
        <w:t> 度利润承诺，在具备证券期货从业资格的审计机构出具相应年度博泰服务利润承诺实现情况的《年度专项审核报告》后</w:t>
      </w:r>
      <w:r>
        <w:rPr>
          <w:rFonts w:ascii="Times New Roman" w:hAnsi="Times New Roman" w:cs="Times New Roman" w:eastAsia="Times New Roman" w:hint="default"/>
        </w:rPr>
        <w:t>30</w:t>
      </w:r>
      <w:r>
        <w:rPr>
          <w:rFonts w:ascii="Times New Roman" w:hAnsi="Times New Roman" w:cs="Times New Roman" w:eastAsia="Times New Roman" w:hint="default"/>
          <w:spacing w:val="37"/>
        </w:rPr>
        <w:t> </w:t>
      </w:r>
      <w:r>
        <w:rPr>
          <w:rFonts w:ascii="Times New Roman" w:hAnsi="Times New Roman" w:cs="Times New Roman" w:eastAsia="Times New Roman" w:hint="default"/>
          <w:spacing w:val="37"/>
        </w:rPr>
      </w:r>
      <w:r>
        <w:rPr>
          <w:spacing w:val="-1"/>
        </w:rPr>
        <w:t>个工作日起，可转让或交易不超过其于本次发行中取得的上市公司股份数量的</w:t>
      </w:r>
      <w:r>
        <w:rPr>
          <w:rFonts w:ascii="Times New Roman" w:hAnsi="Times New Roman" w:cs="Times New Roman" w:eastAsia="Times New Roman" w:hint="default"/>
          <w:spacing w:val="-1"/>
        </w:rPr>
        <w:t>20%</w:t>
      </w:r>
      <w:r>
        <w:rPr>
          <w:spacing w:val="-1"/>
        </w:rPr>
        <w:t>”的约定，本次鑫粟科技可申请解除限售</w:t>
      </w:r>
      <w:r>
        <w:rPr>
          <w:spacing w:val="-87"/>
        </w:rPr>
        <w:t> </w:t>
      </w:r>
      <w:r>
        <w:rPr>
          <w:spacing w:val="-87"/>
        </w:rPr>
      </w:r>
      <w:r>
        <w:rPr>
          <w:spacing w:val="-5"/>
        </w:rPr>
        <w:t>股份并上市流通的数量为</w:t>
      </w:r>
      <w:r>
        <w:rPr>
          <w:rFonts w:ascii="Times New Roman" w:hAnsi="Times New Roman" w:cs="Times New Roman" w:eastAsia="Times New Roman" w:hint="default"/>
          <w:spacing w:val="-5"/>
        </w:rPr>
        <w:t>11,084,076</w:t>
      </w:r>
      <w:r>
        <w:rPr>
          <w:spacing w:val="-5"/>
        </w:rPr>
        <w:t>股，占公司股本总额的</w:t>
      </w:r>
      <w:r>
        <w:rPr>
          <w:rFonts w:ascii="Times New Roman" w:hAnsi="Times New Roman" w:cs="Times New Roman" w:eastAsia="Times New Roman" w:hint="default"/>
          <w:spacing w:val="-5"/>
        </w:rPr>
        <w:t>2.2832%</w:t>
      </w:r>
      <w:r>
        <w:rPr>
          <w:spacing w:val="-5"/>
        </w:rPr>
        <w:t>。本次解除限售股份的上市流通日期为</w:t>
      </w:r>
      <w:r>
        <w:rPr>
          <w:rFonts w:ascii="Times New Roman" w:hAnsi="Times New Roman" w:cs="Times New Roman" w:eastAsia="Times New Roman" w:hint="default"/>
          <w:spacing w:val="-5"/>
        </w:rPr>
        <w:t>2018</w:t>
      </w:r>
      <w:r>
        <w:rPr>
          <w:spacing w:val="-5"/>
        </w:rPr>
        <w:t>年</w:t>
      </w:r>
      <w:r>
        <w:rPr>
          <w:rFonts w:ascii="Times New Roman" w:hAnsi="Times New Roman" w:cs="Times New Roman" w:eastAsia="Times New Roman" w:hint="default"/>
          <w:spacing w:val="-5"/>
        </w:rPr>
        <w:t>11</w:t>
      </w:r>
      <w:r>
        <w:rPr>
          <w:spacing w:val="-5"/>
        </w:rPr>
        <w:t>月</w:t>
      </w:r>
      <w:r>
        <w:rPr>
          <w:rFonts w:ascii="Times New Roman" w:hAnsi="Times New Roman" w:cs="Times New Roman" w:eastAsia="Times New Roman" w:hint="default"/>
          <w:spacing w:val="-5"/>
        </w:rPr>
        <w:t>16</w:t>
      </w:r>
      <w:r>
        <w:rPr>
          <w:spacing w:val="-5"/>
        </w:rPr>
        <w:t>日（星</w:t>
      </w:r>
      <w:r>
        <w:rPr>
          <w:spacing w:val="-38"/>
        </w:rPr>
        <w:t> </w:t>
      </w:r>
      <w:r>
        <w:rPr>
          <w:spacing w:val="-38"/>
        </w:rPr>
      </w:r>
      <w:r>
        <w:rPr>
          <w:spacing w:val="-4"/>
          <w:w w:val="99"/>
        </w:rPr>
        <w:t>期五）。具体内容详见公司在巨潮资讯网站（</w:t>
      </w:r>
      <w:hyperlink r:id="rId15">
        <w:r>
          <w:rPr>
            <w:rFonts w:ascii="Times New Roman" w:hAnsi="Times New Roman" w:cs="Times New Roman" w:eastAsia="Times New Roman" w:hint="default"/>
            <w:spacing w:val="-4"/>
            <w:w w:val="99"/>
          </w:rPr>
          <w:t>www.cninfo.com.cn</w:t>
        </w:r>
      </w:hyperlink>
      <w:r>
        <w:rPr>
          <w:spacing w:val="-4"/>
          <w:w w:val="99"/>
        </w:rPr>
        <w:t>）披露的公告（公告编号：</w:t>
      </w:r>
      <w:r>
        <w:rPr>
          <w:rFonts w:ascii="Times New Roman" w:hAnsi="Times New Roman" w:cs="Times New Roman" w:eastAsia="Times New Roman" w:hint="default"/>
          <w:spacing w:val="-4"/>
          <w:w w:val="99"/>
        </w:rPr>
        <w:t>2018-094</w:t>
      </w:r>
      <w:r>
        <w:rPr>
          <w:spacing w:val="-4"/>
          <w:w w:val="99"/>
        </w:rPr>
        <w:t>）。</w:t>
      </w:r>
    </w:p>
    <w:p>
      <w:pPr>
        <w:pStyle w:val="BodyText"/>
        <w:spacing w:line="240" w:lineRule="auto" w:before="13"/>
        <w:ind w:left="472" w:right="0"/>
        <w:jc w:val="left"/>
      </w:pPr>
      <w:r>
        <w:rPr/>
        <w:t>三、公司权益分派批准情况</w:t>
      </w:r>
    </w:p>
    <w:p>
      <w:pPr>
        <w:pStyle w:val="BodyText"/>
        <w:spacing w:line="240" w:lineRule="auto" w:before="76"/>
        <w:ind w:left="472" w:right="0"/>
        <w:jc w:val="left"/>
        <w:rPr>
          <w:rFonts w:ascii="Times New Roman" w:hAnsi="Times New Roman" w:cs="Times New Roman" w:eastAsia="Times New Roman" w:hint="default"/>
        </w:rPr>
      </w:pP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8</w:t>
      </w:r>
      <w:r>
        <w:rPr/>
        <w:t>年</w:t>
      </w:r>
      <w:r>
        <w:rPr>
          <w:rFonts w:ascii="Times New Roman" w:hAnsi="Times New Roman" w:cs="Times New Roman" w:eastAsia="Times New Roman" w:hint="default"/>
          <w:spacing w:val="1"/>
        </w:rPr>
        <w:t>2</w:t>
      </w:r>
      <w:r>
        <w:rPr/>
        <w:t>月</w:t>
      </w:r>
      <w:r>
        <w:rPr>
          <w:rFonts w:ascii="Times New Roman" w:hAnsi="Times New Roman" w:cs="Times New Roman" w:eastAsia="Times New Roman" w:hint="default"/>
          <w:spacing w:val="-2"/>
        </w:rPr>
        <w:t>5</w:t>
      </w:r>
      <w:r>
        <w:rPr/>
        <w:t>日</w:t>
      </w:r>
      <w:r>
        <w:rPr>
          <w:spacing w:val="-20"/>
        </w:rPr>
        <w:t>，</w:t>
      </w:r>
      <w:r>
        <w:rPr/>
        <w:t>公司召开第六届董事会第七次会议</w:t>
      </w:r>
      <w:r>
        <w:rPr>
          <w:spacing w:val="-22"/>
        </w:rPr>
        <w:t>，</w:t>
      </w:r>
      <w:r>
        <w:rPr/>
        <w:t>审议通过</w:t>
      </w:r>
      <w:r>
        <w:rPr>
          <w:spacing w:val="-20"/>
        </w:rPr>
        <w:t>了</w:t>
      </w:r>
      <w:r>
        <w:rPr/>
        <w:t>《关于</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7</w:t>
      </w:r>
      <w:r>
        <w:rPr/>
        <w:t>年年度利润分配预案的议案</w:t>
      </w:r>
      <w:r>
        <w:rPr>
          <w:spacing w:val="-89"/>
        </w:rPr>
        <w:t>》</w:t>
      </w:r>
      <w:r>
        <w:rPr>
          <w:spacing w:val="-22"/>
        </w:rPr>
        <w:t>；</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8</w:t>
      </w:r>
      <w:r>
        <w:rPr/>
        <w:t>年</w:t>
      </w:r>
      <w:r>
        <w:rPr>
          <w:rFonts w:ascii="Times New Roman" w:hAnsi="Times New Roman" w:cs="Times New Roman" w:eastAsia="Times New Roman" w:hint="default"/>
          <w:spacing w:val="1"/>
        </w:rPr>
        <w:t>4</w:t>
      </w:r>
      <w:r>
        <w:rPr/>
        <w:t>月</w:t>
      </w:r>
      <w:r>
        <w:rPr>
          <w:rFonts w:ascii="Times New Roman" w:hAnsi="Times New Roman" w:cs="Times New Roman" w:eastAsia="Times New Roman" w:hint="default"/>
          <w:spacing w:val="1"/>
        </w:rPr>
        <w:t>2</w:t>
      </w:r>
      <w:r>
        <w:rPr>
          <w:rFonts w:ascii="Times New Roman" w:hAnsi="Times New Roman" w:cs="Times New Roman" w:eastAsia="Times New Roman" w:hint="default"/>
        </w:rPr>
        <w:t>3</w:t>
      </w:r>
    </w:p>
    <w:p>
      <w:pPr>
        <w:pStyle w:val="BodyText"/>
        <w:spacing w:line="240" w:lineRule="auto" w:before="63"/>
        <w:ind w:right="0"/>
        <w:jc w:val="both"/>
      </w:pPr>
      <w:r>
        <w:rPr>
          <w:spacing w:val="4"/>
        </w:rPr>
        <w:t>日</w:t>
      </w:r>
      <w:r>
        <w:rPr>
          <w:spacing w:val="2"/>
        </w:rPr>
        <w:t>，</w:t>
      </w:r>
      <w:r>
        <w:rPr>
          <w:spacing w:val="4"/>
        </w:rPr>
        <w:t>公</w:t>
      </w:r>
      <w:r>
        <w:rPr>
          <w:spacing w:val="2"/>
        </w:rPr>
        <w:t>司</w:t>
      </w:r>
      <w:r>
        <w:rPr>
          <w:spacing w:val="4"/>
        </w:rPr>
        <w:t>召开</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17</w:t>
      </w:r>
      <w:r>
        <w:rPr>
          <w:spacing w:val="4"/>
        </w:rPr>
        <w:t>年</w:t>
      </w:r>
      <w:r>
        <w:rPr>
          <w:spacing w:val="2"/>
        </w:rPr>
        <w:t>年</w:t>
      </w:r>
      <w:r>
        <w:rPr>
          <w:spacing w:val="4"/>
        </w:rPr>
        <w:t>度</w:t>
      </w:r>
      <w:r>
        <w:rPr>
          <w:spacing w:val="2"/>
        </w:rPr>
        <w:t>股</w:t>
      </w:r>
      <w:r>
        <w:rPr>
          <w:spacing w:val="4"/>
        </w:rPr>
        <w:t>东</w:t>
      </w:r>
      <w:r>
        <w:rPr>
          <w:spacing w:val="2"/>
        </w:rPr>
        <w:t>大</w:t>
      </w:r>
      <w:r>
        <w:rPr>
          <w:spacing w:val="4"/>
        </w:rPr>
        <w:t>会审</w:t>
      </w:r>
      <w:r>
        <w:rPr>
          <w:spacing w:val="2"/>
        </w:rPr>
        <w:t>议</w:t>
      </w:r>
      <w:r>
        <w:rPr>
          <w:spacing w:val="4"/>
        </w:rPr>
        <w:t>通</w:t>
      </w:r>
      <w:r>
        <w:rPr>
          <w:spacing w:val="2"/>
        </w:rPr>
        <w:t>过</w:t>
      </w:r>
      <w:r>
        <w:rPr>
          <w:spacing w:val="4"/>
        </w:rPr>
        <w:t>《</w:t>
      </w:r>
      <w:r>
        <w:rPr>
          <w:spacing w:val="2"/>
        </w:rPr>
        <w:t>关</w:t>
      </w:r>
      <w:r>
        <w:rPr>
          <w:spacing w:val="4"/>
        </w:rPr>
        <w:t>于</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3"/>
        </w:rPr>
        <w:t>7</w:t>
      </w:r>
      <w:r>
        <w:rPr>
          <w:spacing w:val="4"/>
        </w:rPr>
        <w:t>年</w:t>
      </w:r>
      <w:r>
        <w:rPr>
          <w:spacing w:val="2"/>
        </w:rPr>
        <w:t>年</w:t>
      </w:r>
      <w:r>
        <w:rPr>
          <w:spacing w:val="4"/>
        </w:rPr>
        <w:t>度</w:t>
      </w:r>
      <w:r>
        <w:rPr>
          <w:spacing w:val="2"/>
        </w:rPr>
        <w:t>利</w:t>
      </w:r>
      <w:r>
        <w:rPr>
          <w:spacing w:val="4"/>
        </w:rPr>
        <w:t>润</w:t>
      </w:r>
      <w:r>
        <w:rPr>
          <w:spacing w:val="2"/>
        </w:rPr>
        <w:t>分</w:t>
      </w:r>
      <w:r>
        <w:rPr>
          <w:spacing w:val="4"/>
        </w:rPr>
        <w:t>配预</w:t>
      </w:r>
      <w:r>
        <w:rPr>
          <w:spacing w:val="2"/>
        </w:rPr>
        <w:t>案</w:t>
      </w:r>
      <w:r>
        <w:rPr>
          <w:spacing w:val="4"/>
        </w:rPr>
        <w:t>的</w:t>
      </w:r>
      <w:r>
        <w:rPr>
          <w:spacing w:val="2"/>
        </w:rPr>
        <w:t>议案</w:t>
      </w:r>
      <w:r>
        <w:rPr>
          <w:spacing w:val="-84"/>
        </w:rPr>
        <w:t>》</w:t>
      </w:r>
      <w:r>
        <w:rPr>
          <w:spacing w:val="4"/>
        </w:rPr>
        <w:t>。</w:t>
      </w:r>
      <w:r>
        <w:rPr>
          <w:spacing w:val="2"/>
        </w:rPr>
        <w:t>具</w:t>
      </w:r>
      <w:r>
        <w:rPr>
          <w:spacing w:val="4"/>
        </w:rPr>
        <w:t>体</w:t>
      </w:r>
      <w:r>
        <w:rPr>
          <w:spacing w:val="2"/>
        </w:rPr>
        <w:t>内</w:t>
      </w:r>
      <w:r>
        <w:rPr>
          <w:spacing w:val="4"/>
        </w:rPr>
        <w:t>容</w:t>
      </w:r>
      <w:r>
        <w:rPr>
          <w:spacing w:val="2"/>
        </w:rPr>
        <w:t>详</w:t>
      </w:r>
      <w:r>
        <w:rPr>
          <w:spacing w:val="4"/>
        </w:rPr>
        <w:t>见公</w:t>
      </w:r>
      <w:r>
        <w:rPr>
          <w:spacing w:val="2"/>
        </w:rPr>
        <w:t>司</w:t>
      </w:r>
      <w:r>
        <w:rPr>
          <w:spacing w:val="4"/>
        </w:rPr>
        <w:t>在</w:t>
      </w:r>
      <w:r>
        <w:rPr>
          <w:spacing w:val="2"/>
        </w:rPr>
        <w:t>巨</w:t>
      </w:r>
      <w:r>
        <w:rPr>
          <w:spacing w:val="4"/>
        </w:rPr>
        <w:t>潮</w:t>
      </w:r>
      <w:r>
        <w:rPr>
          <w:spacing w:val="2"/>
        </w:rPr>
        <w:t>资</w:t>
      </w:r>
      <w:r>
        <w:rPr>
          <w:spacing w:val="4"/>
        </w:rPr>
        <w:t>讯</w:t>
      </w:r>
      <w:r>
        <w:rPr>
          <w:spacing w:val="2"/>
        </w:rPr>
        <w:t>网</w:t>
      </w:r>
      <w:r>
        <w:rPr/>
        <w:t>站</w:t>
      </w:r>
    </w:p>
    <w:p>
      <w:pPr>
        <w:pStyle w:val="BodyText"/>
        <w:spacing w:line="338" w:lineRule="auto" w:before="63"/>
        <w:ind w:right="3914"/>
        <w:jc w:val="left"/>
      </w:pPr>
      <w:r>
        <w:rPr>
          <w:spacing w:val="-3"/>
          <w:w w:val="99"/>
        </w:rPr>
        <w:t>（</w:t>
      </w:r>
      <w:hyperlink r:id="rId15">
        <w:r>
          <w:rPr>
            <w:rFonts w:ascii="Times New Roman" w:hAnsi="Times New Roman" w:cs="Times New Roman" w:eastAsia="Times New Roman" w:hint="default"/>
            <w:spacing w:val="-3"/>
            <w:w w:val="99"/>
          </w:rPr>
          <w:t>www.cninfo.com.cn</w:t>
        </w:r>
      </w:hyperlink>
      <w:r>
        <w:rPr>
          <w:spacing w:val="-3"/>
          <w:w w:val="99"/>
        </w:rPr>
        <w:t>）披露的公告（公告编号：</w:t>
      </w:r>
      <w:r>
        <w:rPr>
          <w:rFonts w:ascii="Times New Roman" w:hAnsi="Times New Roman" w:cs="Times New Roman" w:eastAsia="Times New Roman" w:hint="default"/>
          <w:spacing w:val="-3"/>
          <w:w w:val="99"/>
        </w:rPr>
        <w:t>2018-028</w:t>
      </w:r>
      <w:r>
        <w:rPr>
          <w:spacing w:val="-3"/>
          <w:w w:val="99"/>
        </w:rPr>
        <w:t>、</w:t>
      </w:r>
      <w:r>
        <w:rPr>
          <w:rFonts w:ascii="Times New Roman" w:hAnsi="Times New Roman" w:cs="Times New Roman" w:eastAsia="Times New Roman" w:hint="default"/>
          <w:spacing w:val="-3"/>
          <w:w w:val="99"/>
        </w:rPr>
        <w:t>2018-044</w:t>
      </w:r>
      <w:r>
        <w:rPr>
          <w:spacing w:val="-3"/>
          <w:w w:val="99"/>
        </w:rPr>
        <w:t>）。</w:t>
      </w:r>
      <w:r>
        <w:rPr>
          <w:spacing w:val="-58"/>
          <w:w w:val="99"/>
        </w:rPr>
        <w:t> </w:t>
      </w:r>
      <w:r>
        <w:rPr>
          <w:spacing w:val="-58"/>
          <w:w w:val="99"/>
        </w:rPr>
      </w:r>
      <w:r>
        <w:rPr/>
        <w:t>股份变动的过户情况</w:t>
      </w:r>
    </w:p>
    <w:p>
      <w:pPr>
        <w:pStyle w:val="BodyText"/>
        <w:spacing w:line="360" w:lineRule="auto" w:before="43"/>
        <w:ind w:left="472" w:right="7874" w:hanging="360"/>
        <w:jc w:val="left"/>
      </w:pPr>
      <w:r>
        <w:rPr/>
        <w:t>√ 适用</w:t>
      </w:r>
      <w:r>
        <w:rPr>
          <w:spacing w:val="-1"/>
        </w:rPr>
        <w:t> </w:t>
      </w:r>
      <w:r>
        <w:rPr/>
        <w:t>□不适用</w:t>
      </w:r>
      <w:r>
        <w:rPr/>
        <w:t> 一、股权激励回购注销过户情况</w:t>
      </w:r>
    </w:p>
    <w:p>
      <w:pPr>
        <w:pStyle w:val="BodyText"/>
        <w:spacing w:line="236" w:lineRule="exact"/>
        <w:ind w:left="472" w:right="0"/>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11</w:t>
      </w:r>
      <w:r>
        <w:rPr/>
        <w:t>日，经中国证券登记结算有限责任公司深圳分公司审核确认，公司本次回购注销的股份数量</w:t>
      </w:r>
      <w:r>
        <w:rPr>
          <w:rFonts w:ascii="Times New Roman" w:hAnsi="Times New Roman" w:cs="Times New Roman" w:eastAsia="Times New Roman" w:hint="default"/>
        </w:rPr>
        <w:t>147,376</w:t>
      </w:r>
      <w:r>
        <w:rPr/>
        <w:t>股</w:t>
      </w:r>
    </w:p>
    <w:p>
      <w:pPr>
        <w:pStyle w:val="BodyText"/>
        <w:spacing w:line="240" w:lineRule="auto" w:before="63"/>
        <w:ind w:right="0"/>
        <w:jc w:val="both"/>
      </w:pPr>
      <w:r>
        <w:rPr/>
        <w:t>已完成注销，占回购前公司总股本的</w:t>
      </w:r>
      <w:r>
        <w:rPr>
          <w:rFonts w:ascii="Times New Roman" w:hAnsi="Times New Roman" w:cs="Times New Roman" w:eastAsia="Times New Roman" w:hint="default"/>
        </w:rPr>
        <w:t>0.0607%</w:t>
      </w:r>
      <w:r>
        <w:rPr/>
        <w:t>。</w:t>
      </w:r>
    </w:p>
    <w:p>
      <w:pPr>
        <w:pStyle w:val="BodyText"/>
        <w:spacing w:line="300" w:lineRule="auto" w:before="63"/>
        <w:ind w:right="1132" w:firstLine="360"/>
        <w:jc w:val="both"/>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8</w:t>
      </w:r>
      <w:r>
        <w:rPr/>
        <w:t>日，经中国证券登记结算有限责任公司深圳分公司审核确认，公司本次回购注销的股份数量</w:t>
      </w:r>
      <w:r>
        <w:rPr>
          <w:rFonts w:ascii="Times New Roman" w:hAnsi="Times New Roman" w:cs="Times New Roman" w:eastAsia="Times New Roman" w:hint="default"/>
        </w:rPr>
        <w:t>147,376</w:t>
      </w:r>
      <w:r>
        <w:rPr/>
        <w:t>股 已完成注销，占回购前公司总股本的</w:t>
      </w:r>
      <w:r>
        <w:rPr>
          <w:rFonts w:ascii="Times New Roman" w:hAnsi="Times New Roman" w:cs="Times New Roman" w:eastAsia="Times New Roman" w:hint="default"/>
        </w:rPr>
        <w:t>0.0303%</w:t>
      </w:r>
      <w:r>
        <w:rPr/>
        <w:t>。</w:t>
      </w:r>
    </w:p>
    <w:p>
      <w:pPr>
        <w:pStyle w:val="BodyText"/>
        <w:spacing w:line="240" w:lineRule="auto" w:before="13"/>
        <w:ind w:left="472" w:right="0"/>
        <w:jc w:val="left"/>
      </w:pPr>
      <w:r>
        <w:rPr/>
        <w:t>二、限售股解禁过户情况</w:t>
      </w:r>
    </w:p>
    <w:p>
      <w:pPr>
        <w:pStyle w:val="BodyText"/>
        <w:spacing w:line="240" w:lineRule="auto" w:before="76"/>
        <w:ind w:left="472" w:right="0"/>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7</w:t>
      </w:r>
      <w:r>
        <w:rPr/>
        <w:t>日，经中国证券登记结算有限责任公司深圳分公司审核确认，杭州铜粟投资管理有限公司本次解除的限</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right="0"/>
        <w:jc w:val="both"/>
      </w:pPr>
      <w:r>
        <w:rPr/>
        <w:t>售股份并上市流通的数量为</w:t>
      </w:r>
      <w:r>
        <w:rPr>
          <w:rFonts w:ascii="Times New Roman" w:hAnsi="Times New Roman" w:cs="Times New Roman" w:eastAsia="Times New Roman" w:hint="default"/>
        </w:rPr>
        <w:t>432,561</w:t>
      </w:r>
      <w:r>
        <w:rPr/>
        <w:t>股。具体内容详见公司在巨潮资讯网站（</w:t>
      </w:r>
      <w:hyperlink r:id="rId15">
        <w:r>
          <w:rPr>
            <w:rFonts w:ascii="Times New Roman" w:hAnsi="Times New Roman" w:cs="Times New Roman" w:eastAsia="Times New Roman" w:hint="default"/>
          </w:rPr>
          <w:t>www.cninfo.com.cn</w:t>
        </w:r>
      </w:hyperlink>
      <w:r>
        <w:rPr/>
        <w:t>）披露的公告（公告编号：</w:t>
      </w:r>
    </w:p>
    <w:p>
      <w:pPr>
        <w:pStyle w:val="BodyText"/>
        <w:spacing w:line="240" w:lineRule="auto" w:before="63"/>
        <w:ind w:right="0"/>
        <w:jc w:val="both"/>
      </w:pP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8</w:t>
      </w:r>
      <w:r>
        <w:rPr>
          <w:rFonts w:ascii="Times New Roman" w:hAnsi="Times New Roman" w:cs="Times New Roman" w:eastAsia="Times New Roman" w:hint="default"/>
        </w:rPr>
        <w:t>-</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3</w:t>
      </w:r>
      <w:r>
        <w:rPr>
          <w:rFonts w:ascii="Times New Roman" w:hAnsi="Times New Roman" w:cs="Times New Roman" w:eastAsia="Times New Roman" w:hint="default"/>
          <w:spacing w:val="1"/>
        </w:rPr>
        <w:t>6</w:t>
      </w:r>
      <w:r>
        <w:rPr>
          <w:spacing w:val="-92"/>
        </w:rPr>
        <w:t>）</w:t>
      </w:r>
      <w:r>
        <w:rPr/>
        <w:t>。</w:t>
      </w:r>
    </w:p>
    <w:p>
      <w:pPr>
        <w:pStyle w:val="BodyText"/>
        <w:spacing w:line="300" w:lineRule="auto" w:before="63"/>
        <w:ind w:right="1132" w:firstLine="360"/>
        <w:jc w:val="both"/>
      </w:pPr>
      <w:r>
        <w:rPr>
          <w:rFonts w:ascii="Times New Roman" w:hAnsi="Times New Roman" w:cs="Times New Roman" w:eastAsia="Times New Roman" w:hint="default"/>
          <w:spacing w:val="-2"/>
        </w:rPr>
        <w:t>2</w:t>
      </w:r>
      <w:r>
        <w:rPr>
          <w:spacing w:val="-2"/>
        </w:rPr>
        <w:t>、</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17</w:t>
      </w:r>
      <w:r>
        <w:rPr>
          <w:spacing w:val="-2"/>
        </w:rPr>
        <w:t>日，公司股票期权与限制性股票激励计划预留授予部分限制性股票第二个解锁期的解除限售手续已在中</w:t>
      </w:r>
      <w:r>
        <w:rPr/>
        <w:t> 国证券登记结算有限责任公司深圳分公司办理完毕。本次解除限售的限制性股票数量为</w:t>
      </w:r>
      <w:r>
        <w:rPr>
          <w:rFonts w:ascii="Times New Roman" w:hAnsi="Times New Roman" w:cs="Times New Roman" w:eastAsia="Times New Roman" w:hint="default"/>
        </w:rPr>
        <w:t>220,050</w:t>
      </w:r>
      <w:r>
        <w:rPr/>
        <w:t>股，占公司总股本的比例为</w:t>
      </w:r>
      <w:r>
        <w:rPr>
          <w:spacing w:val="-50"/>
        </w:rPr>
        <w:t> </w:t>
      </w:r>
      <w:r>
        <w:rPr>
          <w:spacing w:val="-50"/>
        </w:rPr>
      </w:r>
      <w:r>
        <w:rPr>
          <w:rFonts w:ascii="Times New Roman" w:hAnsi="Times New Roman" w:cs="Times New Roman" w:eastAsia="Times New Roman" w:hint="default"/>
          <w:spacing w:val="-2"/>
        </w:rPr>
        <w:t>0.091%</w:t>
      </w:r>
      <w:r>
        <w:rPr>
          <w:spacing w:val="-2"/>
        </w:rPr>
        <w:t>，解除限售的股权激励股份上市流通日为</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21</w:t>
      </w:r>
      <w:r>
        <w:rPr>
          <w:spacing w:val="-2"/>
        </w:rPr>
        <w:t>日（星期一），涉及股东人数：</w:t>
      </w:r>
      <w:r>
        <w:rPr>
          <w:rFonts w:ascii="Times New Roman" w:hAnsi="Times New Roman" w:cs="Times New Roman" w:eastAsia="Times New Roman" w:hint="default"/>
          <w:spacing w:val="-2"/>
        </w:rPr>
        <w:t>24</w:t>
      </w:r>
      <w:r>
        <w:rPr>
          <w:spacing w:val="-2"/>
        </w:rPr>
        <w:t>人。</w:t>
      </w:r>
    </w:p>
    <w:p>
      <w:pPr>
        <w:pStyle w:val="BodyText"/>
        <w:spacing w:line="240" w:lineRule="auto" w:before="13"/>
        <w:ind w:left="472" w:right="0"/>
        <w:jc w:val="left"/>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21</w:t>
      </w:r>
      <w:r>
        <w:rPr/>
        <w:t>日，经中国证券登记结算有限责任公司深圳分公司审核确认，葛航和阜康投资共计解除限售股份数量为</w:t>
      </w:r>
    </w:p>
    <w:p>
      <w:pPr>
        <w:pStyle w:val="BodyText"/>
        <w:spacing w:line="300" w:lineRule="auto" w:before="63"/>
        <w:ind w:right="1132"/>
        <w:jc w:val="both"/>
      </w:pPr>
      <w:r>
        <w:rPr>
          <w:rFonts w:ascii="Times New Roman" w:hAnsi="Times New Roman" w:cs="Times New Roman" w:eastAsia="Times New Roman" w:hint="default"/>
        </w:rPr>
        <w:t>69,087,414</w:t>
      </w:r>
      <w:r>
        <w:rPr/>
        <w:t>股，占公司总股本的</w:t>
      </w:r>
      <w:r>
        <w:rPr>
          <w:rFonts w:ascii="Times New Roman" w:hAnsi="Times New Roman" w:cs="Times New Roman" w:eastAsia="Times New Roman" w:hint="default"/>
        </w:rPr>
        <w:t>28.45%</w:t>
      </w:r>
      <w:r>
        <w:rPr/>
        <w:t>，自</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21</w:t>
      </w:r>
      <w:r>
        <w:rPr/>
        <w:t>日起至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6</w:t>
      </w:r>
      <w:r>
        <w:rPr/>
        <w:t>日止，本次申请解除股份限售后实际可上市流通</w:t>
      </w:r>
      <w:r>
        <w:rPr>
          <w:spacing w:val="-31"/>
        </w:rPr>
        <w:t> </w:t>
      </w:r>
      <w:r>
        <w:rPr>
          <w:spacing w:val="-31"/>
        </w:rPr>
      </w:r>
      <w:r>
        <w:rPr>
          <w:spacing w:val="-2"/>
        </w:rPr>
        <w:t>数量为</w:t>
      </w:r>
      <w:r>
        <w:rPr>
          <w:rFonts w:ascii="Times New Roman" w:hAnsi="Times New Roman" w:cs="Times New Roman" w:eastAsia="Times New Roman" w:hint="default"/>
          <w:spacing w:val="-2"/>
        </w:rPr>
        <w:t>0</w:t>
      </w:r>
      <w:r>
        <w:rPr>
          <w:spacing w:val="-2"/>
        </w:rPr>
        <w:t>股；自</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8</w:t>
      </w:r>
      <w:r>
        <w:rPr>
          <w:spacing w:val="-2"/>
        </w:rPr>
        <w:t>月</w:t>
      </w:r>
      <w:r>
        <w:rPr>
          <w:rFonts w:ascii="Times New Roman" w:hAnsi="Times New Roman" w:cs="Times New Roman" w:eastAsia="Times New Roman" w:hint="default"/>
          <w:spacing w:val="-2"/>
        </w:rPr>
        <w:t>7</w:t>
      </w:r>
      <w:r>
        <w:rPr>
          <w:spacing w:val="-2"/>
        </w:rPr>
        <w:t>日起至</w:t>
      </w:r>
      <w:r>
        <w:rPr>
          <w:rFonts w:ascii="Times New Roman" w:hAnsi="Times New Roman" w:cs="Times New Roman" w:eastAsia="Times New Roman" w:hint="default"/>
          <w:spacing w:val="-2"/>
        </w:rPr>
        <w:t>2020</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13</w:t>
      </w:r>
      <w:r>
        <w:rPr>
          <w:spacing w:val="-2"/>
        </w:rPr>
        <w:t>日止，本次申请解除股份限售的首次公开发行前持有的股份实际可上市流通数</w:t>
      </w:r>
      <w:r>
        <w:rPr>
          <w:spacing w:val="-57"/>
        </w:rPr>
        <w:t> </w:t>
      </w:r>
      <w:r>
        <w:rPr>
          <w:spacing w:val="-57"/>
        </w:rPr>
      </w:r>
      <w:r>
        <w:rPr>
          <w:spacing w:val="-2"/>
          <w:w w:val="99"/>
        </w:rPr>
        <w:t>量不超过</w:t>
      </w:r>
      <w:r>
        <w:rPr>
          <w:rFonts w:ascii="Times New Roman" w:hAnsi="Times New Roman" w:cs="Times New Roman" w:eastAsia="Times New Roman" w:hint="default"/>
          <w:spacing w:val="-2"/>
          <w:w w:val="99"/>
        </w:rPr>
        <w:t>6,908,741</w:t>
      </w:r>
      <w:r>
        <w:rPr>
          <w:spacing w:val="-2"/>
          <w:w w:val="99"/>
        </w:rPr>
        <w:t>股。具体内容详见公司在巨潮资讯网站（</w:t>
      </w:r>
      <w:hyperlink r:id="rId15">
        <w:r>
          <w:rPr>
            <w:rFonts w:ascii="Times New Roman" w:hAnsi="Times New Roman" w:cs="Times New Roman" w:eastAsia="Times New Roman" w:hint="default"/>
            <w:spacing w:val="-2"/>
            <w:w w:val="99"/>
          </w:rPr>
          <w:t>www.cninfo.com.cn</w:t>
        </w:r>
      </w:hyperlink>
      <w:r>
        <w:rPr>
          <w:spacing w:val="-2"/>
          <w:w w:val="99"/>
        </w:rPr>
        <w:t>）披露的公告（公告编号：</w:t>
      </w:r>
      <w:r>
        <w:rPr>
          <w:rFonts w:ascii="Times New Roman" w:hAnsi="Times New Roman" w:cs="Times New Roman" w:eastAsia="Times New Roman" w:hint="default"/>
          <w:spacing w:val="-2"/>
          <w:w w:val="99"/>
        </w:rPr>
        <w:t>2018-055</w:t>
      </w:r>
      <w:r>
        <w:rPr>
          <w:spacing w:val="-2"/>
          <w:w w:val="99"/>
        </w:rPr>
        <w:t>）。</w:t>
      </w:r>
    </w:p>
    <w:p>
      <w:pPr>
        <w:pStyle w:val="BodyText"/>
        <w:spacing w:line="300" w:lineRule="auto" w:before="13"/>
        <w:ind w:right="1125" w:firstLine="360"/>
        <w:jc w:val="both"/>
      </w:pPr>
      <w:r>
        <w:rPr>
          <w:rFonts w:ascii="Times New Roman" w:hAnsi="Times New Roman" w:cs="Times New Roman" w:eastAsia="Times New Roman" w:hint="default"/>
        </w:rPr>
        <w:t>4</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14</w:t>
      </w:r>
      <w:r>
        <w:rPr/>
        <w:t>日，经中国证券登记结算有限责任公司深圳分公司审核确认，浙江鑫粟科技有限公司本次解除的限售 </w:t>
      </w:r>
      <w:r>
        <w:rPr>
          <w:spacing w:val="-1"/>
        </w:rPr>
        <w:t>股份并上市流通的数量为</w:t>
      </w:r>
      <w:r>
        <w:rPr>
          <w:rFonts w:ascii="Times New Roman" w:hAnsi="Times New Roman" w:cs="Times New Roman" w:eastAsia="Times New Roman" w:hint="default"/>
          <w:spacing w:val="-1"/>
        </w:rPr>
        <w:t>11,084,076</w:t>
      </w:r>
      <w:r>
        <w:rPr>
          <w:spacing w:val="-1"/>
        </w:rPr>
        <w:t>股。具体内容详见公司在巨潮资讯网站（</w:t>
      </w:r>
      <w:hyperlink r:id="rId15">
        <w:r>
          <w:rPr>
            <w:rFonts w:ascii="Times New Roman" w:hAnsi="Times New Roman" w:cs="Times New Roman" w:eastAsia="Times New Roman" w:hint="default"/>
            <w:spacing w:val="-1"/>
          </w:rPr>
          <w:t>www.cninfo.com.cn</w:t>
        </w:r>
      </w:hyperlink>
      <w:r>
        <w:rPr>
          <w:spacing w:val="-1"/>
        </w:rPr>
        <w:t>）披露的公告（公告编号：</w:t>
      </w:r>
      <w:r>
        <w:rPr>
          <w:spacing w:val="-46"/>
        </w:rPr>
        <w:t> </w:t>
      </w:r>
      <w:r>
        <w:rPr>
          <w:spacing w:val="-46"/>
        </w:rPr>
      </w:r>
      <w:r>
        <w:rPr>
          <w:rFonts w:ascii="Times New Roman" w:hAnsi="Times New Roman" w:cs="Times New Roman" w:eastAsia="Times New Roman" w:hint="default"/>
          <w:spacing w:val="-10"/>
        </w:rPr>
        <w:t>2018-094</w:t>
      </w:r>
      <w:r>
        <w:rPr>
          <w:spacing w:val="-10"/>
        </w:rPr>
        <w:t>）。</w:t>
      </w:r>
    </w:p>
    <w:p>
      <w:pPr>
        <w:pStyle w:val="BodyText"/>
        <w:spacing w:line="240" w:lineRule="auto" w:before="13"/>
        <w:ind w:left="472" w:right="0"/>
        <w:jc w:val="left"/>
      </w:pPr>
      <w:r>
        <w:rPr/>
        <w:t>三、公司权益分派实施情况</w:t>
      </w:r>
    </w:p>
    <w:p>
      <w:pPr>
        <w:pStyle w:val="BodyText"/>
        <w:spacing w:line="302" w:lineRule="auto" w:before="76"/>
        <w:ind w:right="0" w:firstLine="360"/>
        <w:jc w:val="left"/>
      </w:pPr>
      <w:r>
        <w:rPr>
          <w:rFonts w:ascii="Times New Roman" w:hAnsi="Times New Roman" w:cs="Times New Roman" w:eastAsia="Times New Roman" w:hint="default"/>
        </w:rPr>
        <w:t>2017</w:t>
      </w:r>
      <w:r>
        <w:rPr/>
        <w:t>年年度权益分派股权登记日为：</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28</w:t>
      </w:r>
      <w:r>
        <w:rPr/>
        <w:t>日，除权除息日为：</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29</w:t>
      </w:r>
      <w:r>
        <w:rPr/>
        <w:t>日。以公司现有总股本</w:t>
      </w:r>
      <w:r>
        <w:rPr>
          <w:rFonts w:ascii="Times New Roman" w:hAnsi="Times New Roman" w:cs="Times New Roman" w:eastAsia="Times New Roman" w:hint="default"/>
        </w:rPr>
        <w:t>242,801,887 </w:t>
      </w:r>
      <w:r>
        <w:rPr>
          <w:spacing w:val="-5"/>
        </w:rPr>
        <w:t>股为基数，向全体股东每</w:t>
      </w:r>
      <w:r>
        <w:rPr>
          <w:rFonts w:ascii="Times New Roman" w:hAnsi="Times New Roman" w:cs="Times New Roman" w:eastAsia="Times New Roman" w:hint="default"/>
          <w:spacing w:val="-5"/>
        </w:rPr>
        <w:t>10</w:t>
      </w:r>
      <w:r>
        <w:rPr>
          <w:spacing w:val="-5"/>
        </w:rPr>
        <w:t>股派</w:t>
      </w:r>
      <w:r>
        <w:rPr>
          <w:rFonts w:ascii="Times New Roman" w:hAnsi="Times New Roman" w:cs="Times New Roman" w:eastAsia="Times New Roman" w:hint="default"/>
          <w:spacing w:val="-5"/>
        </w:rPr>
        <w:t>1.000000</w:t>
      </w:r>
      <w:r>
        <w:rPr>
          <w:spacing w:val="-5"/>
        </w:rPr>
        <w:t>元人民币现金（含税；扣税后，通过深股通持有股份的香港市场投资者、</w:t>
      </w:r>
      <w:r>
        <w:rPr>
          <w:rFonts w:ascii="Times New Roman" w:hAnsi="Times New Roman" w:cs="Times New Roman" w:eastAsia="Times New Roman" w:hint="default"/>
          <w:spacing w:val="-5"/>
        </w:rPr>
        <w:t>QFII</w:t>
      </w:r>
      <w:r>
        <w:rPr>
          <w:spacing w:val="-5"/>
        </w:rPr>
        <w:t>、</w:t>
      </w:r>
      <w:r>
        <w:rPr>
          <w:rFonts w:ascii="Times New Roman" w:hAnsi="Times New Roman" w:cs="Times New Roman" w:eastAsia="Times New Roman" w:hint="default"/>
          <w:spacing w:val="-5"/>
        </w:rPr>
        <w:t>RQFII</w:t>
      </w:r>
      <w:r>
        <w:rPr>
          <w:rFonts w:ascii="Times New Roman" w:hAnsi="Times New Roman" w:cs="Times New Roman" w:eastAsia="Times New Roman" w:hint="default"/>
          <w:spacing w:val="-41"/>
        </w:rPr>
        <w:t> </w:t>
      </w:r>
      <w:r>
        <w:rPr>
          <w:rFonts w:ascii="Times New Roman" w:hAnsi="Times New Roman" w:cs="Times New Roman" w:eastAsia="Times New Roman" w:hint="default"/>
          <w:spacing w:val="-41"/>
        </w:rPr>
      </w:r>
      <w:r>
        <w:rPr/>
        <w:t>以及持有首发前限售股的个人和证券投资基金每</w:t>
      </w:r>
      <w:r>
        <w:rPr>
          <w:rFonts w:ascii="Times New Roman" w:hAnsi="Times New Roman" w:cs="Times New Roman" w:eastAsia="Times New Roman" w:hint="default"/>
        </w:rPr>
        <w:t>10</w:t>
      </w:r>
      <w:r>
        <w:rPr/>
        <w:t>股派</w:t>
      </w:r>
      <w:r>
        <w:rPr>
          <w:rFonts w:ascii="Times New Roman" w:hAnsi="Times New Roman" w:cs="Times New Roman" w:eastAsia="Times New Roman" w:hint="default"/>
        </w:rPr>
        <w:t>0.900000</w:t>
      </w:r>
      <w:r>
        <w:rPr/>
        <w:t>元；持有首发后限售股、股权激励限售股及无限售流通股的</w:t>
      </w:r>
      <w:r>
        <w:rPr>
          <w:w w:val="99"/>
        </w:rPr>
        <w:t> </w:t>
      </w:r>
      <w:r>
        <w:rPr>
          <w:spacing w:val="-7"/>
          <w:w w:val="99"/>
        </w:rPr>
        <w:t>个人股息红利税实行差别化税率征收，本公司暂不扣缴个人所得税，待个人转让股票时，根据其持股期限计算应纳税额【注】；</w:t>
      </w:r>
      <w:r>
        <w:rPr>
          <w:spacing w:val="-51"/>
          <w:w w:val="99"/>
        </w:rPr>
        <w:t> </w:t>
      </w:r>
      <w:r>
        <w:rPr>
          <w:spacing w:val="-51"/>
          <w:w w:val="99"/>
        </w:rPr>
      </w:r>
      <w:r>
        <w:rPr/>
        <w:t>持有首发后限售股、股权激励限售股及无限售流通股的证券投资基金所涉红利税，对香港投资者持有基金份额部分按</w:t>
      </w:r>
      <w:r>
        <w:rPr>
          <w:rFonts w:ascii="Times New Roman" w:hAnsi="Times New Roman" w:cs="Times New Roman" w:eastAsia="Times New Roman" w:hint="default"/>
        </w:rPr>
        <w:t>10%</w:t>
      </w:r>
      <w:r>
        <w:rPr/>
        <w:t>征</w:t>
      </w:r>
      <w:r>
        <w:rPr>
          <w:w w:val="99"/>
        </w:rPr>
        <w:t> </w:t>
      </w:r>
      <w:r>
        <w:rPr>
          <w:spacing w:val="-3"/>
          <w:w w:val="99"/>
        </w:rPr>
        <w:t>收，对内地投资者持有基金份额部分实行差别化税率征收），同时，以资本公积金向全体股东每</w:t>
      </w:r>
      <w:r>
        <w:rPr>
          <w:rFonts w:ascii="Times New Roman" w:hAnsi="Times New Roman" w:cs="Times New Roman" w:eastAsia="Times New Roman" w:hint="default"/>
          <w:spacing w:val="-3"/>
          <w:w w:val="99"/>
        </w:rPr>
        <w:t>10</w:t>
      </w:r>
      <w:r>
        <w:rPr>
          <w:spacing w:val="-3"/>
          <w:w w:val="99"/>
        </w:rPr>
        <w:t>股转增</w:t>
      </w:r>
      <w:r>
        <w:rPr>
          <w:rFonts w:ascii="Times New Roman" w:hAnsi="Times New Roman" w:cs="Times New Roman" w:eastAsia="Times New Roman" w:hint="default"/>
          <w:spacing w:val="-3"/>
          <w:w w:val="99"/>
        </w:rPr>
        <w:t>10.000000</w:t>
      </w:r>
      <w:r>
        <w:rPr>
          <w:spacing w:val="-3"/>
          <w:w w:val="99"/>
        </w:rPr>
        <w:t>股，分红</w:t>
      </w:r>
      <w:r>
        <w:rPr>
          <w:spacing w:val="-43"/>
          <w:w w:val="99"/>
        </w:rPr>
        <w:t> </w:t>
      </w:r>
      <w:r>
        <w:rPr>
          <w:spacing w:val="-43"/>
          <w:w w:val="99"/>
        </w:rPr>
      </w:r>
      <w:r>
        <w:rPr/>
        <w:t>前公司总股本为</w:t>
      </w:r>
      <w:r>
        <w:rPr>
          <w:rFonts w:ascii="Times New Roman" w:hAnsi="Times New Roman" w:cs="Times New Roman" w:eastAsia="Times New Roman" w:hint="default"/>
        </w:rPr>
        <w:t>242,801,887</w:t>
      </w:r>
      <w:r>
        <w:rPr/>
        <w:t>股，分红后总股本增至</w:t>
      </w:r>
      <w:r>
        <w:rPr>
          <w:rFonts w:ascii="Times New Roman" w:hAnsi="Times New Roman" w:cs="Times New Roman" w:eastAsia="Times New Roman" w:hint="default"/>
        </w:rPr>
        <w:t>485,603,774</w:t>
      </w:r>
      <w:r>
        <w:rPr/>
        <w:t>股。</w:t>
      </w:r>
    </w:p>
    <w:p>
      <w:pPr>
        <w:pStyle w:val="BodyText"/>
        <w:spacing w:line="240" w:lineRule="auto" w:before="49"/>
        <w:ind w:right="0"/>
        <w:jc w:val="both"/>
      </w:pPr>
      <w:r>
        <w:rPr/>
        <w:t>股份回购的实施进展情况</w:t>
      </w:r>
    </w:p>
    <w:p>
      <w:pPr>
        <w:pStyle w:val="BodyText"/>
        <w:spacing w:line="360" w:lineRule="auto" w:before="117"/>
        <w:ind w:right="6974" w:firstLine="91"/>
        <w:jc w:val="left"/>
      </w:pPr>
      <w:r>
        <w:rPr/>
        <w:t>□ 适用 √</w:t>
      </w:r>
      <w:r>
        <w:rPr>
          <w:spacing w:val="-1"/>
        </w:rPr>
        <w:t> </w:t>
      </w:r>
      <w:r>
        <w:rPr/>
        <w:t>不适用</w:t>
      </w:r>
      <w:r>
        <w:rPr/>
        <w:t> 采用集中竞价方式减持回购股份的实施进展情况</w:t>
      </w:r>
    </w:p>
    <w:p>
      <w:pPr>
        <w:pStyle w:val="BodyText"/>
        <w:spacing w:line="360" w:lineRule="auto" w:before="25"/>
        <w:ind w:right="1394" w:firstLine="91"/>
        <w:jc w:val="left"/>
      </w:pPr>
      <w:r>
        <w:rPr/>
        <w:t>□ 适用 √</w:t>
      </w:r>
      <w:r>
        <w:rPr>
          <w:spacing w:val="-1"/>
        </w:rPr>
        <w:t> </w:t>
      </w:r>
      <w:r>
        <w:rPr/>
        <w:t>不适用</w:t>
      </w:r>
      <w:r>
        <w:rPr/>
        <w:t> 股份变动对最近一年和最近一期基本每股收益和稀释每股收益、归属于公司普通股股东的每股净资产等财务指标的影响</w:t>
      </w:r>
    </w:p>
    <w:p>
      <w:pPr>
        <w:pStyle w:val="BodyText"/>
        <w:spacing w:line="357" w:lineRule="auto" w:before="27"/>
        <w:ind w:left="472" w:right="1124" w:hanging="360"/>
        <w:jc w:val="left"/>
      </w:pPr>
      <w:r>
        <w:rPr/>
        <w:t>√ 适用</w:t>
      </w:r>
      <w:r>
        <w:rPr>
          <w:spacing w:val="-1"/>
        </w:rPr>
        <w:t> </w:t>
      </w:r>
      <w:r>
        <w:rPr/>
        <w:t>□不适用</w:t>
      </w:r>
      <w:r>
        <w:rPr/>
        <w:t> 报告期内公司发生下列事项导致报告期内每股净资产等财务指标发生调整：</w:t>
      </w:r>
      <w:r>
        <w:rPr>
          <w:rFonts w:ascii="Times New Roman" w:hAnsi="Times New Roman" w:cs="Times New Roman" w:eastAsia="Times New Roman" w:hint="default"/>
        </w:rPr>
        <w:t>1</w:t>
      </w:r>
      <w:r>
        <w:rPr/>
        <w:t>、完成</w:t>
      </w:r>
      <w:r>
        <w:rPr>
          <w:rFonts w:ascii="Times New Roman" w:hAnsi="Times New Roman" w:cs="Times New Roman" w:eastAsia="Times New Roman" w:hint="default"/>
        </w:rPr>
        <w:t>2017</w:t>
      </w:r>
      <w:r>
        <w:rPr/>
        <w:t>年度权益分派，以资本公积每</w:t>
      </w:r>
    </w:p>
    <w:p>
      <w:pPr>
        <w:pStyle w:val="BodyText"/>
        <w:spacing w:line="214" w:lineRule="exact"/>
        <w:ind w:right="0"/>
        <w:jc w:val="both"/>
      </w:pP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10</w:t>
      </w:r>
      <w:r>
        <w:rPr/>
        <w:t>股，共计增加股本</w:t>
      </w:r>
      <w:r>
        <w:rPr>
          <w:rFonts w:ascii="Times New Roman" w:hAnsi="Times New Roman" w:cs="Times New Roman" w:eastAsia="Times New Roman" w:hint="default"/>
        </w:rPr>
        <w:t>242,801,887</w:t>
      </w:r>
      <w:r>
        <w:rPr/>
        <w:t>股；</w:t>
      </w:r>
      <w:r>
        <w:rPr>
          <w:rFonts w:ascii="Times New Roman" w:hAnsi="Times New Roman" w:cs="Times New Roman" w:eastAsia="Times New Roman" w:hint="default"/>
        </w:rPr>
        <w:t>2</w:t>
      </w:r>
      <w:r>
        <w:rPr/>
        <w:t>、公司股权激励计划共计回购注销限制性股票</w:t>
      </w:r>
      <w:r>
        <w:rPr>
          <w:rFonts w:ascii="Times New Roman" w:hAnsi="Times New Roman" w:cs="Times New Roman" w:eastAsia="Times New Roman" w:hint="default"/>
        </w:rPr>
        <w:t>294,752</w:t>
      </w:r>
      <w:r>
        <w:rPr/>
        <w:t>股。</w:t>
      </w:r>
    </w:p>
    <w:p>
      <w:pPr>
        <w:pStyle w:val="BodyText"/>
        <w:spacing w:line="240" w:lineRule="auto" w:before="103"/>
        <w:ind w:right="0"/>
        <w:jc w:val="both"/>
      </w:pPr>
      <w:r>
        <w:rPr/>
        <w:t>公司认为必要或证券监管机构要求披露的其他内容</w:t>
      </w:r>
    </w:p>
    <w:p>
      <w:pPr>
        <w:pStyle w:val="BodyText"/>
        <w:spacing w:line="240" w:lineRule="auto" w:before="117"/>
        <w:ind w:left="204" w:right="0"/>
        <w:jc w:val="both"/>
      </w:pPr>
      <w:r>
        <w:rPr/>
        <w:t>□ 适用  √</w:t>
      </w:r>
      <w:r>
        <w:rPr>
          <w:spacing w:val="-1"/>
        </w:rPr>
        <w:t> </w:t>
      </w:r>
      <w:r>
        <w:rPr/>
        <w:t>不适用</w:t>
      </w:r>
    </w:p>
    <w:p>
      <w:pPr>
        <w:spacing w:line="240" w:lineRule="auto" w:before="11"/>
        <w:rPr>
          <w:rFonts w:ascii="宋体" w:hAnsi="宋体" w:cs="宋体" w:eastAsia="宋体" w:hint="default"/>
          <w:sz w:val="26"/>
          <w:szCs w:val="26"/>
        </w:rPr>
      </w:pPr>
    </w:p>
    <w:p>
      <w:pPr>
        <w:pStyle w:val="Heading3"/>
        <w:spacing w:line="240" w:lineRule="auto"/>
        <w:ind w:right="0"/>
        <w:jc w:val="both"/>
        <w:rPr>
          <w:b w:val="0"/>
          <w:bCs w:val="0"/>
        </w:rPr>
      </w:pPr>
      <w:bookmarkStart w:name="2、限售股份变动情况" w:id="119"/>
      <w:bookmarkEnd w:id="119"/>
      <w:r>
        <w:rPr>
          <w:b w:val="0"/>
          <w:bCs w:val="0"/>
        </w:rPr>
      </w:r>
      <w:r>
        <w:rPr>
          <w:rFonts w:ascii="Times New Roman" w:hAnsi="Times New Roman" w:cs="Times New Roman" w:eastAsia="Times New Roman" w:hint="default"/>
        </w:rPr>
        <w:t>2</w:t>
      </w:r>
      <w:r>
        <w:rPr/>
        <w:t>、限售股份变动情况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 适用</w:t>
      </w:r>
      <w:r>
        <w:rPr>
          <w:spacing w:val="-1"/>
        </w:rPr>
        <w:t> </w:t>
      </w:r>
      <w:r>
        <w:rPr/>
        <w:t>□不适用</w:t>
      </w:r>
    </w:p>
    <w:p>
      <w:pPr>
        <w:pStyle w:val="BodyText"/>
        <w:spacing w:line="240" w:lineRule="auto" w:before="117"/>
        <w:ind w:left="0" w:right="1132"/>
        <w:jc w:val="right"/>
      </w:pPr>
      <w:r>
        <w:rPr/>
        <w:t>单位：股</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942"/>
        <w:gridCol w:w="1142"/>
        <w:gridCol w:w="1329"/>
        <w:gridCol w:w="1210"/>
        <w:gridCol w:w="1177"/>
        <w:gridCol w:w="1517"/>
        <w:gridCol w:w="2252"/>
      </w:tblGrid>
      <w:tr>
        <w:trPr>
          <w:trHeight w:val="714" w:hRule="exact"/>
        </w:trPr>
        <w:tc>
          <w:tcPr>
            <w:tcW w:w="9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6"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1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475" w:right="115" w:hanging="360"/>
              <w:jc w:val="left"/>
              <w:rPr>
                <w:rFonts w:ascii="宋体" w:hAnsi="宋体" w:cs="宋体" w:eastAsia="宋体" w:hint="default"/>
                <w:sz w:val="18"/>
                <w:szCs w:val="18"/>
              </w:rPr>
            </w:pPr>
            <w:r>
              <w:rPr>
                <w:rFonts w:ascii="宋体" w:hAnsi="宋体" w:cs="宋体" w:eastAsia="宋体" w:hint="default"/>
                <w:sz w:val="18"/>
                <w:szCs w:val="18"/>
              </w:rPr>
              <w:t>期初限售股 数</w:t>
            </w:r>
          </w:p>
        </w:tc>
        <w:tc>
          <w:tcPr>
            <w:tcW w:w="13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477" w:right="119" w:hanging="360"/>
              <w:jc w:val="left"/>
              <w:rPr>
                <w:rFonts w:ascii="宋体" w:hAnsi="宋体" w:cs="宋体" w:eastAsia="宋体" w:hint="default"/>
                <w:sz w:val="18"/>
                <w:szCs w:val="18"/>
              </w:rPr>
            </w:pPr>
            <w:r>
              <w:rPr>
                <w:rFonts w:ascii="宋体" w:hAnsi="宋体" w:cs="宋体" w:eastAsia="宋体" w:hint="default"/>
                <w:sz w:val="18"/>
                <w:szCs w:val="18"/>
              </w:rPr>
              <w:t>本期解除限售 股数</w:t>
            </w:r>
          </w:p>
        </w:tc>
        <w:tc>
          <w:tcPr>
            <w:tcW w:w="12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329" w:right="148" w:hanging="180"/>
              <w:jc w:val="left"/>
              <w:rPr>
                <w:rFonts w:ascii="宋体" w:hAnsi="宋体" w:cs="宋体" w:eastAsia="宋体" w:hint="default"/>
                <w:sz w:val="18"/>
                <w:szCs w:val="18"/>
              </w:rPr>
            </w:pPr>
            <w:r>
              <w:rPr>
                <w:rFonts w:ascii="宋体" w:hAnsi="宋体" w:cs="宋体" w:eastAsia="宋体" w:hint="default"/>
                <w:sz w:val="18"/>
                <w:szCs w:val="18"/>
              </w:rPr>
              <w:t>本期增加限 售股数</w:t>
            </w:r>
          </w:p>
        </w:tc>
        <w:tc>
          <w:tcPr>
            <w:tcW w:w="1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492" w:right="132" w:hanging="360"/>
              <w:jc w:val="left"/>
              <w:rPr>
                <w:rFonts w:ascii="宋体" w:hAnsi="宋体" w:cs="宋体" w:eastAsia="宋体" w:hint="default"/>
                <w:sz w:val="18"/>
                <w:szCs w:val="18"/>
              </w:rPr>
            </w:pPr>
            <w:r>
              <w:rPr>
                <w:rFonts w:ascii="宋体" w:hAnsi="宋体" w:cs="宋体" w:eastAsia="宋体" w:hint="default"/>
                <w:sz w:val="18"/>
                <w:szCs w:val="18"/>
              </w:rPr>
              <w:t>期末限售股 数</w:t>
            </w:r>
          </w:p>
        </w:tc>
        <w:tc>
          <w:tcPr>
            <w:tcW w:w="15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93" w:right="0"/>
              <w:jc w:val="left"/>
              <w:rPr>
                <w:rFonts w:ascii="宋体" w:hAnsi="宋体" w:cs="宋体" w:eastAsia="宋体" w:hint="default"/>
                <w:sz w:val="18"/>
                <w:szCs w:val="18"/>
              </w:rPr>
            </w:pPr>
            <w:r>
              <w:rPr>
                <w:rFonts w:ascii="宋体" w:hAnsi="宋体" w:cs="宋体" w:eastAsia="宋体" w:hint="default"/>
                <w:sz w:val="18"/>
                <w:szCs w:val="18"/>
              </w:rPr>
              <w:t>限售原因</w:t>
            </w:r>
          </w:p>
        </w:tc>
        <w:tc>
          <w:tcPr>
            <w:tcW w:w="2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491" w:right="0"/>
              <w:jc w:val="left"/>
              <w:rPr>
                <w:rFonts w:ascii="宋体" w:hAnsi="宋体" w:cs="宋体" w:eastAsia="宋体" w:hint="default"/>
                <w:sz w:val="18"/>
                <w:szCs w:val="18"/>
              </w:rPr>
            </w:pPr>
            <w:r>
              <w:rPr>
                <w:rFonts w:ascii="宋体" w:hAnsi="宋体" w:cs="宋体" w:eastAsia="宋体" w:hint="default"/>
                <w:sz w:val="18"/>
                <w:szCs w:val="18"/>
              </w:rPr>
              <w:t>拟解除限售日期</w:t>
            </w:r>
          </w:p>
        </w:tc>
      </w:tr>
      <w:tr>
        <w:trPr>
          <w:trHeight w:val="1648" w:hRule="exact"/>
        </w:trPr>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18" w:right="0"/>
              <w:jc w:val="left"/>
              <w:rPr>
                <w:rFonts w:ascii="Times New Roman" w:hAnsi="Times New Roman" w:cs="Times New Roman" w:eastAsia="Times New Roman" w:hint="default"/>
                <w:sz w:val="18"/>
                <w:szCs w:val="18"/>
              </w:rPr>
            </w:pPr>
            <w:r>
              <w:rPr>
                <w:rFonts w:ascii="Times New Roman"/>
                <w:sz w:val="18"/>
              </w:rPr>
              <w:t>44,627,546</w:t>
            </w:r>
          </w:p>
        </w:tc>
        <w:tc>
          <w:tcPr>
            <w:tcW w:w="13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405" w:right="0"/>
              <w:jc w:val="left"/>
              <w:rPr>
                <w:rFonts w:ascii="Times New Roman" w:hAnsi="Times New Roman" w:cs="Times New Roman" w:eastAsia="Times New Roman" w:hint="default"/>
                <w:sz w:val="18"/>
                <w:szCs w:val="18"/>
              </w:rPr>
            </w:pPr>
            <w:r>
              <w:rPr>
                <w:rFonts w:ascii="Times New Roman"/>
                <w:sz w:val="18"/>
              </w:rPr>
              <w:t>43,587,414</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86" w:right="0"/>
              <w:jc w:val="left"/>
              <w:rPr>
                <w:rFonts w:ascii="Times New Roman" w:hAnsi="Times New Roman" w:cs="Times New Roman" w:eastAsia="Times New Roman" w:hint="default"/>
                <w:sz w:val="18"/>
                <w:szCs w:val="18"/>
              </w:rPr>
            </w:pPr>
            <w:r>
              <w:rPr>
                <w:rFonts w:ascii="Times New Roman"/>
                <w:sz w:val="18"/>
              </w:rPr>
              <w:t>65,901,186</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54" w:right="0"/>
              <w:jc w:val="left"/>
              <w:rPr>
                <w:rFonts w:ascii="Times New Roman" w:hAnsi="Times New Roman" w:cs="Times New Roman" w:eastAsia="Times New Roman" w:hint="default"/>
                <w:sz w:val="18"/>
                <w:szCs w:val="18"/>
              </w:rPr>
            </w:pPr>
            <w:r>
              <w:rPr>
                <w:rFonts w:ascii="Times New Roman"/>
                <w:sz w:val="18"/>
              </w:rPr>
              <w:t>66,941,318</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2" w:right="142"/>
              <w:jc w:val="both"/>
              <w:rPr>
                <w:rFonts w:ascii="宋体" w:hAnsi="宋体" w:cs="宋体" w:eastAsia="宋体" w:hint="default"/>
                <w:sz w:val="18"/>
                <w:szCs w:val="18"/>
              </w:rPr>
            </w:pPr>
            <w:r>
              <w:rPr>
                <w:rFonts w:ascii="宋体" w:hAnsi="宋体" w:cs="宋体" w:eastAsia="宋体" w:hint="default"/>
                <w:sz w:val="18"/>
                <w:szCs w:val="18"/>
              </w:rPr>
              <w:t>首发前股份锁定 承诺及首发后认 购新增股份锁定 承诺及高管股份 锁定承诺</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07" w:lineRule="auto"/>
              <w:ind w:left="102" w:right="112"/>
              <w:jc w:val="both"/>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日；高管锁 定股部分每年按照上年末 持有股份数的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解除限 售</w:t>
            </w:r>
          </w:p>
        </w:tc>
      </w:tr>
    </w:tbl>
    <w:p>
      <w:pPr>
        <w:spacing w:after="0" w:line="307" w:lineRule="auto"/>
        <w:jc w:val="both"/>
        <w:rPr>
          <w:rFonts w:ascii="宋体" w:hAnsi="宋体" w:cs="宋体" w:eastAsia="宋体"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942"/>
        <w:gridCol w:w="1142"/>
        <w:gridCol w:w="1329"/>
        <w:gridCol w:w="1210"/>
        <w:gridCol w:w="1177"/>
        <w:gridCol w:w="1517"/>
        <w:gridCol w:w="2252"/>
      </w:tblGrid>
      <w:tr>
        <w:trPr>
          <w:trHeight w:val="2274" w:hRule="exact"/>
        </w:trPr>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316" w:lineRule="auto"/>
              <w:ind w:left="101" w:right="108"/>
              <w:jc w:val="both"/>
              <w:rPr>
                <w:rFonts w:ascii="宋体" w:hAnsi="宋体" w:cs="宋体" w:eastAsia="宋体" w:hint="default"/>
                <w:sz w:val="18"/>
                <w:szCs w:val="18"/>
              </w:rPr>
            </w:pPr>
            <w:r>
              <w:rPr>
                <w:rFonts w:ascii="宋体" w:hAnsi="宋体" w:cs="宋体" w:eastAsia="宋体" w:hint="default"/>
                <w:sz w:val="18"/>
                <w:szCs w:val="18"/>
              </w:rPr>
              <w:t>浙江鑫粟 科技有限 公司</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27,710,194</w:t>
            </w:r>
          </w:p>
        </w:tc>
        <w:tc>
          <w:tcPr>
            <w:tcW w:w="13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11,084,076</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27,710,194</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44,336,312</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316" w:lineRule="auto"/>
              <w:ind w:left="102" w:right="142"/>
              <w:jc w:val="left"/>
              <w:rPr>
                <w:rFonts w:ascii="宋体" w:hAnsi="宋体" w:cs="宋体" w:eastAsia="宋体" w:hint="default"/>
                <w:sz w:val="18"/>
                <w:szCs w:val="18"/>
              </w:rPr>
            </w:pPr>
            <w:r>
              <w:rPr>
                <w:rFonts w:ascii="宋体" w:hAnsi="宋体" w:cs="宋体" w:eastAsia="宋体" w:hint="default"/>
                <w:sz w:val="18"/>
                <w:szCs w:val="18"/>
              </w:rPr>
              <w:t>首发后认购新增 股份锁定承诺</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0"/>
              <w:ind w:left="102" w:right="112"/>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日，剩余股 份解锁以利润承诺期届 满，且以履行了《利润补 偿协议》的利润补偿和标 的资产减值测试所需补偿 义务为前提，尚未办理解 禁手续</w:t>
            </w:r>
          </w:p>
        </w:tc>
      </w:tr>
      <w:tr>
        <w:trPr>
          <w:trHeight w:val="1026" w:hRule="exact"/>
        </w:trPr>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08"/>
              <w:jc w:val="both"/>
              <w:rPr>
                <w:rFonts w:ascii="宋体" w:hAnsi="宋体" w:cs="宋体" w:eastAsia="宋体" w:hint="default"/>
                <w:sz w:val="18"/>
                <w:szCs w:val="18"/>
              </w:rPr>
            </w:pPr>
            <w:r>
              <w:rPr>
                <w:rFonts w:ascii="宋体" w:hAnsi="宋体" w:cs="宋体" w:eastAsia="宋体" w:hint="default"/>
                <w:sz w:val="18"/>
                <w:szCs w:val="18"/>
              </w:rPr>
              <w:t>杭州阜康 投资有限 公司</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25,500,000</w:t>
            </w:r>
          </w:p>
        </w:tc>
        <w:tc>
          <w:tcPr>
            <w:tcW w:w="13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25,500,000</w:t>
            </w:r>
          </w:p>
        </w:tc>
        <w:tc>
          <w:tcPr>
            <w:tcW w:w="1210" w:type="dxa"/>
            <w:tcBorders>
              <w:top w:val="single" w:sz="4" w:space="0" w:color="000000"/>
              <w:left w:val="single" w:sz="4" w:space="0" w:color="000000"/>
              <w:bottom w:val="single" w:sz="4" w:space="0" w:color="000000"/>
              <w:right w:val="single" w:sz="4" w:space="0" w:color="000000"/>
            </w:tcBorders>
          </w:tcPr>
          <w:p>
            <w:pP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ind w:left="102" w:right="142"/>
              <w:jc w:val="left"/>
              <w:rPr>
                <w:rFonts w:ascii="宋体" w:hAnsi="宋体" w:cs="宋体" w:eastAsia="宋体" w:hint="default"/>
                <w:sz w:val="18"/>
                <w:szCs w:val="18"/>
              </w:rPr>
            </w:pPr>
            <w:r>
              <w:rPr>
                <w:rFonts w:ascii="宋体" w:hAnsi="宋体" w:cs="宋体" w:eastAsia="宋体" w:hint="default"/>
                <w:sz w:val="18"/>
                <w:szCs w:val="18"/>
              </w:rPr>
              <w:t>首发前股份锁定 承诺</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ind w:left="102" w:right="157"/>
              <w:jc w:val="left"/>
              <w:rPr>
                <w:rFonts w:ascii="宋体" w:hAnsi="宋体" w:cs="宋体" w:eastAsia="宋体" w:hint="default"/>
                <w:sz w:val="18"/>
                <w:szCs w:val="18"/>
              </w:rPr>
            </w:pPr>
            <w:r>
              <w:rPr>
                <w:rFonts w:ascii="宋体" w:hAnsi="宋体" w:cs="宋体" w:eastAsia="宋体" w:hint="default"/>
                <w:sz w:val="18"/>
                <w:szCs w:val="18"/>
              </w:rPr>
              <w:t>已于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日解 除限售</w:t>
            </w:r>
          </w:p>
        </w:tc>
      </w:tr>
      <w:tr>
        <w:trPr>
          <w:trHeight w:val="1650" w:hRule="exact"/>
        </w:trPr>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张吕峥</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9,056,250</w:t>
            </w:r>
          </w:p>
        </w:tc>
        <w:tc>
          <w:tcPr>
            <w:tcW w:w="1329"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9,056,250</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18,112,500</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5"/>
              <w:ind w:left="102" w:right="142"/>
              <w:jc w:val="both"/>
              <w:rPr>
                <w:rFonts w:ascii="宋体" w:hAnsi="宋体" w:cs="宋体" w:eastAsia="宋体" w:hint="default"/>
                <w:sz w:val="18"/>
                <w:szCs w:val="18"/>
              </w:rPr>
            </w:pPr>
            <w:r>
              <w:rPr>
                <w:rFonts w:ascii="宋体" w:hAnsi="宋体" w:cs="宋体" w:eastAsia="宋体" w:hint="default"/>
                <w:sz w:val="18"/>
                <w:szCs w:val="18"/>
              </w:rPr>
              <w:t>股权激励限售股 及高管股份锁定 承诺</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0"/>
              <w:ind w:left="102" w:right="73"/>
              <w:jc w:val="left"/>
              <w:rPr>
                <w:rFonts w:ascii="宋体" w:hAnsi="宋体" w:cs="宋体" w:eastAsia="宋体" w:hint="default"/>
                <w:sz w:val="18"/>
                <w:szCs w:val="18"/>
              </w:rPr>
            </w:pPr>
            <w:r>
              <w:rPr>
                <w:rFonts w:ascii="宋体" w:hAnsi="宋体" w:cs="宋体" w:eastAsia="宋体" w:hint="default"/>
                <w:sz w:val="18"/>
                <w:szCs w:val="18"/>
              </w:rPr>
              <w:t>限制性股票部分解除限售 日为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 高管锁定股部分每年按照 上年末持有股份数的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解除限售</w:t>
            </w:r>
          </w:p>
        </w:tc>
      </w:tr>
      <w:tr>
        <w:trPr>
          <w:trHeight w:val="1962" w:hRule="exact"/>
        </w:trPr>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101" w:right="108"/>
              <w:jc w:val="both"/>
              <w:rPr>
                <w:rFonts w:ascii="宋体" w:hAnsi="宋体" w:cs="宋体" w:eastAsia="宋体" w:hint="default"/>
                <w:sz w:val="18"/>
                <w:szCs w:val="18"/>
              </w:rPr>
            </w:pPr>
            <w:r>
              <w:rPr>
                <w:rFonts w:ascii="宋体" w:hAnsi="宋体" w:cs="宋体" w:eastAsia="宋体" w:hint="default"/>
                <w:sz w:val="18"/>
                <w:szCs w:val="18"/>
              </w:rPr>
              <w:t>宁波铜粟 投资管理 有限公司</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2,162,805</w:t>
            </w:r>
          </w:p>
        </w:tc>
        <w:tc>
          <w:tcPr>
            <w:tcW w:w="13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432,561</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1,730,244</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3,460,488</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6" w:lineRule="auto"/>
              <w:ind w:left="102" w:right="142"/>
              <w:jc w:val="left"/>
              <w:rPr>
                <w:rFonts w:ascii="宋体" w:hAnsi="宋体" w:cs="宋体" w:eastAsia="宋体" w:hint="default"/>
                <w:sz w:val="18"/>
                <w:szCs w:val="18"/>
              </w:rPr>
            </w:pPr>
            <w:r>
              <w:rPr>
                <w:rFonts w:ascii="宋体" w:hAnsi="宋体" w:cs="宋体" w:eastAsia="宋体" w:hint="default"/>
                <w:sz w:val="18"/>
                <w:szCs w:val="18"/>
              </w:rPr>
              <w:t>首发后认购新增 股份锁定承诺</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2" w:right="11"/>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日剩余股份 解锁以利润承诺期届满且 </w:t>
            </w:r>
            <w:r>
              <w:rPr>
                <w:rFonts w:ascii="宋体" w:hAnsi="宋体" w:cs="宋体" w:eastAsia="宋体" w:hint="default"/>
                <w:spacing w:val="-3"/>
                <w:sz w:val="18"/>
                <w:szCs w:val="18"/>
              </w:rPr>
              <w:t>以履行了《利润补偿协议》</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的利润补偿和标的资产减 值测试所需补偿义务为前 提，尚未办理解禁手续</w:t>
            </w:r>
          </w:p>
        </w:tc>
      </w:tr>
      <w:tr>
        <w:trPr>
          <w:trHeight w:val="714" w:hRule="exact"/>
        </w:trPr>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周建新</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1,040,132</w:t>
            </w:r>
          </w:p>
        </w:tc>
        <w:tc>
          <w:tcPr>
            <w:tcW w:w="1329"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1,040,132</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2,080,264</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142"/>
              <w:jc w:val="left"/>
              <w:rPr>
                <w:rFonts w:ascii="宋体" w:hAnsi="宋体" w:cs="宋体" w:eastAsia="宋体" w:hint="default"/>
                <w:sz w:val="18"/>
                <w:szCs w:val="18"/>
              </w:rPr>
            </w:pPr>
            <w:r>
              <w:rPr>
                <w:rFonts w:ascii="宋体" w:hAnsi="宋体" w:cs="宋体" w:eastAsia="宋体" w:hint="default"/>
                <w:sz w:val="18"/>
                <w:szCs w:val="18"/>
              </w:rPr>
              <w:t>首发后认购新增 股份锁定承诺</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1650" w:hRule="exact"/>
        </w:trPr>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张崧</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6"/>
                <w:szCs w:val="26"/>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102,975</w:t>
            </w:r>
          </w:p>
        </w:tc>
        <w:tc>
          <w:tcPr>
            <w:tcW w:w="1329"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6"/>
                <w:szCs w:val="26"/>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102,975</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205,950</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2" w:right="142"/>
              <w:jc w:val="both"/>
              <w:rPr>
                <w:rFonts w:ascii="宋体" w:hAnsi="宋体" w:cs="宋体" w:eastAsia="宋体" w:hint="default"/>
                <w:sz w:val="18"/>
                <w:szCs w:val="18"/>
              </w:rPr>
            </w:pPr>
            <w:r>
              <w:rPr>
                <w:rFonts w:ascii="宋体" w:hAnsi="宋体" w:cs="宋体" w:eastAsia="宋体" w:hint="default"/>
                <w:sz w:val="18"/>
                <w:szCs w:val="18"/>
              </w:rPr>
              <w:t>股权激励限售股 及高管股份锁定 承诺</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2" w:right="73"/>
              <w:jc w:val="left"/>
              <w:rPr>
                <w:rFonts w:ascii="宋体" w:hAnsi="宋体" w:cs="宋体" w:eastAsia="宋体" w:hint="default"/>
                <w:sz w:val="18"/>
                <w:szCs w:val="18"/>
              </w:rPr>
            </w:pPr>
            <w:r>
              <w:rPr>
                <w:rFonts w:ascii="宋体" w:hAnsi="宋体" w:cs="宋体" w:eastAsia="宋体" w:hint="default"/>
                <w:sz w:val="18"/>
                <w:szCs w:val="18"/>
              </w:rPr>
              <w:t>限制性股票部分解除限售 日为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 高管锁定股部分每年按照 上年末持有股份数的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解除限售</w:t>
            </w:r>
          </w:p>
        </w:tc>
      </w:tr>
      <w:tr>
        <w:trPr>
          <w:trHeight w:val="1650" w:hRule="exact"/>
        </w:trPr>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郁燕萍</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90,000</w:t>
            </w:r>
          </w:p>
        </w:tc>
        <w:tc>
          <w:tcPr>
            <w:tcW w:w="1329"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90,000</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180,000</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5"/>
              <w:ind w:left="102" w:right="142"/>
              <w:jc w:val="both"/>
              <w:rPr>
                <w:rFonts w:ascii="宋体" w:hAnsi="宋体" w:cs="宋体" w:eastAsia="宋体" w:hint="default"/>
                <w:sz w:val="18"/>
                <w:szCs w:val="18"/>
              </w:rPr>
            </w:pPr>
            <w:r>
              <w:rPr>
                <w:rFonts w:ascii="宋体" w:hAnsi="宋体" w:cs="宋体" w:eastAsia="宋体" w:hint="default"/>
                <w:sz w:val="18"/>
                <w:szCs w:val="18"/>
              </w:rPr>
              <w:t>股权激励限售股 及高管股份锁定 承诺</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0"/>
              <w:ind w:left="102" w:right="73"/>
              <w:jc w:val="left"/>
              <w:rPr>
                <w:rFonts w:ascii="宋体" w:hAnsi="宋体" w:cs="宋体" w:eastAsia="宋体" w:hint="default"/>
                <w:sz w:val="18"/>
                <w:szCs w:val="18"/>
              </w:rPr>
            </w:pPr>
            <w:r>
              <w:rPr>
                <w:rFonts w:ascii="宋体" w:hAnsi="宋体" w:cs="宋体" w:eastAsia="宋体" w:hint="default"/>
                <w:sz w:val="18"/>
                <w:szCs w:val="18"/>
              </w:rPr>
              <w:t>限制性股票部分解除限售 日为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 高管锁定股部分每年按照 上年末持有股份数的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解除限售</w:t>
            </w:r>
          </w:p>
        </w:tc>
      </w:tr>
      <w:tr>
        <w:trPr>
          <w:trHeight w:val="1650" w:hRule="exact"/>
        </w:trPr>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胡燕</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6"/>
                <w:szCs w:val="26"/>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45,000</w:t>
            </w:r>
          </w:p>
        </w:tc>
        <w:tc>
          <w:tcPr>
            <w:tcW w:w="1329"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45,000</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90,000</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2" w:right="142"/>
              <w:jc w:val="both"/>
              <w:rPr>
                <w:rFonts w:ascii="宋体" w:hAnsi="宋体" w:cs="宋体" w:eastAsia="宋体" w:hint="default"/>
                <w:sz w:val="18"/>
                <w:szCs w:val="18"/>
              </w:rPr>
            </w:pPr>
            <w:r>
              <w:rPr>
                <w:rFonts w:ascii="宋体" w:hAnsi="宋体" w:cs="宋体" w:eastAsia="宋体" w:hint="default"/>
                <w:sz w:val="18"/>
                <w:szCs w:val="18"/>
              </w:rPr>
              <w:t>股权激励限售股 及高管股份锁定 承诺</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2" w:right="73"/>
              <w:jc w:val="left"/>
              <w:rPr>
                <w:rFonts w:ascii="宋体" w:hAnsi="宋体" w:cs="宋体" w:eastAsia="宋体" w:hint="default"/>
                <w:sz w:val="18"/>
                <w:szCs w:val="18"/>
              </w:rPr>
            </w:pPr>
            <w:r>
              <w:rPr>
                <w:rFonts w:ascii="宋体" w:hAnsi="宋体" w:cs="宋体" w:eastAsia="宋体" w:hint="default"/>
                <w:sz w:val="18"/>
                <w:szCs w:val="18"/>
              </w:rPr>
              <w:t>限制性股票部分解除限售 日为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 高管锁定股部分每年按照 上年末持有股份数的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解除限售</w:t>
            </w:r>
          </w:p>
        </w:tc>
      </w:tr>
      <w:tr>
        <w:trPr>
          <w:trHeight w:val="1296" w:hRule="exact"/>
        </w:trPr>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5"/>
                <w:szCs w:val="2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孙烈峰</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7"/>
              <w:ind w:right="99"/>
              <w:jc w:val="right"/>
              <w:rPr>
                <w:rFonts w:ascii="Times New Roman" w:hAnsi="Times New Roman" w:cs="Times New Roman" w:eastAsia="Times New Roman" w:hint="default"/>
                <w:sz w:val="18"/>
                <w:szCs w:val="18"/>
              </w:rPr>
            </w:pPr>
            <w:r>
              <w:rPr>
                <w:rFonts w:ascii="Times New Roman"/>
                <w:spacing w:val="-1"/>
                <w:sz w:val="18"/>
              </w:rPr>
              <w:t>44,625</w:t>
            </w:r>
          </w:p>
        </w:tc>
        <w:tc>
          <w:tcPr>
            <w:tcW w:w="1329"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7"/>
              <w:ind w:right="101"/>
              <w:jc w:val="right"/>
              <w:rPr>
                <w:rFonts w:ascii="Times New Roman" w:hAnsi="Times New Roman" w:cs="Times New Roman" w:eastAsia="Times New Roman" w:hint="default"/>
                <w:sz w:val="18"/>
                <w:szCs w:val="18"/>
              </w:rPr>
            </w:pPr>
            <w:r>
              <w:rPr>
                <w:rFonts w:ascii="Times New Roman"/>
                <w:spacing w:val="-1"/>
                <w:sz w:val="18"/>
              </w:rPr>
              <w:t>44,625</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7"/>
              <w:ind w:right="100"/>
              <w:jc w:val="right"/>
              <w:rPr>
                <w:rFonts w:ascii="Times New Roman" w:hAnsi="Times New Roman" w:cs="Times New Roman" w:eastAsia="Times New Roman" w:hint="default"/>
                <w:sz w:val="18"/>
                <w:szCs w:val="18"/>
              </w:rPr>
            </w:pPr>
            <w:r>
              <w:rPr>
                <w:rFonts w:ascii="Times New Roman"/>
                <w:spacing w:val="-1"/>
                <w:sz w:val="18"/>
              </w:rPr>
              <w:t>89,250</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316" w:lineRule="auto"/>
              <w:ind w:left="102" w:right="142"/>
              <w:jc w:val="both"/>
              <w:rPr>
                <w:rFonts w:ascii="宋体" w:hAnsi="宋体" w:cs="宋体" w:eastAsia="宋体" w:hint="default"/>
                <w:sz w:val="18"/>
                <w:szCs w:val="18"/>
              </w:rPr>
            </w:pPr>
            <w:r>
              <w:rPr>
                <w:rFonts w:ascii="宋体" w:hAnsi="宋体" w:cs="宋体" w:eastAsia="宋体" w:hint="default"/>
                <w:sz w:val="18"/>
                <w:szCs w:val="18"/>
              </w:rPr>
              <w:t>股权激励限售股 及高管股份锁定 承诺</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0"/>
              <w:ind w:left="102" w:right="73"/>
              <w:jc w:val="left"/>
              <w:rPr>
                <w:rFonts w:ascii="Times New Roman" w:hAnsi="Times New Roman" w:cs="Times New Roman" w:eastAsia="Times New Roman" w:hint="default"/>
                <w:sz w:val="18"/>
                <w:szCs w:val="18"/>
              </w:rPr>
            </w:pPr>
            <w:r>
              <w:rPr>
                <w:rFonts w:ascii="宋体" w:hAnsi="宋体" w:cs="宋体" w:eastAsia="宋体" w:hint="default"/>
                <w:sz w:val="18"/>
                <w:szCs w:val="18"/>
              </w:rPr>
              <w:t>限制性股票部分解除限售 日为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 高管锁定股部分每年按照 上年末持有股份数的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bl>
    <w:p>
      <w:pPr>
        <w:spacing w:after="0" w:line="312" w:lineRule="auto"/>
        <w:jc w:val="lef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942"/>
        <w:gridCol w:w="1142"/>
        <w:gridCol w:w="1329"/>
        <w:gridCol w:w="1210"/>
        <w:gridCol w:w="1177"/>
        <w:gridCol w:w="1517"/>
        <w:gridCol w:w="2252"/>
      </w:tblGrid>
      <w:tr>
        <w:trPr>
          <w:trHeight w:val="362" w:hRule="exact"/>
        </w:trPr>
        <w:tc>
          <w:tcPr>
            <w:tcW w:w="942" w:type="dxa"/>
            <w:tcBorders>
              <w:top w:val="single" w:sz="4" w:space="0" w:color="000000"/>
              <w:left w:val="single" w:sz="4" w:space="0" w:color="000000"/>
              <w:bottom w:val="single" w:sz="4" w:space="0" w:color="000000"/>
              <w:right w:val="single" w:sz="4" w:space="0" w:color="000000"/>
            </w:tcBorders>
          </w:tcPr>
          <w:p>
            <w:pPr/>
          </w:p>
        </w:tc>
        <w:tc>
          <w:tcPr>
            <w:tcW w:w="1142" w:type="dxa"/>
            <w:tcBorders>
              <w:top w:val="single" w:sz="4" w:space="0" w:color="000000"/>
              <w:left w:val="single" w:sz="4" w:space="0" w:color="000000"/>
              <w:bottom w:val="single" w:sz="4" w:space="0" w:color="000000"/>
              <w:right w:val="single" w:sz="4" w:space="0" w:color="000000"/>
            </w:tcBorders>
          </w:tcPr>
          <w:p>
            <w:pPr/>
          </w:p>
        </w:tc>
        <w:tc>
          <w:tcPr>
            <w:tcW w:w="1329" w:type="dxa"/>
            <w:tcBorders>
              <w:top w:val="single" w:sz="4" w:space="0" w:color="000000"/>
              <w:left w:val="single" w:sz="4" w:space="0" w:color="000000"/>
              <w:bottom w:val="single" w:sz="4" w:space="0" w:color="000000"/>
              <w:right w:val="single" w:sz="4" w:space="0" w:color="000000"/>
            </w:tcBorders>
          </w:tcPr>
          <w:p>
            <w:pPr/>
          </w:p>
        </w:tc>
        <w:tc>
          <w:tcPr>
            <w:tcW w:w="1210" w:type="dxa"/>
            <w:tcBorders>
              <w:top w:val="single" w:sz="4" w:space="0" w:color="000000"/>
              <w:left w:val="single" w:sz="4" w:space="0" w:color="000000"/>
              <w:bottom w:val="single" w:sz="4" w:space="0" w:color="000000"/>
              <w:right w:val="single" w:sz="4" w:space="0" w:color="000000"/>
            </w:tcBorders>
          </w:tcPr>
          <w:p>
            <w:pPr/>
          </w:p>
        </w:tc>
        <w:tc>
          <w:tcPr>
            <w:tcW w:w="1177" w:type="dxa"/>
            <w:tcBorders>
              <w:top w:val="single" w:sz="4" w:space="0" w:color="000000"/>
              <w:left w:val="single" w:sz="4" w:space="0" w:color="000000"/>
              <w:bottom w:val="single" w:sz="4" w:space="0" w:color="000000"/>
              <w:right w:val="single" w:sz="4" w:space="0" w:color="000000"/>
            </w:tcBorders>
          </w:tcPr>
          <w:p>
            <w:pPr/>
          </w:p>
        </w:tc>
        <w:tc>
          <w:tcPr>
            <w:tcW w:w="1517" w:type="dxa"/>
            <w:tcBorders>
              <w:top w:val="single" w:sz="4" w:space="0" w:color="000000"/>
              <w:left w:val="single" w:sz="4" w:space="0" w:color="000000"/>
              <w:bottom w:val="single" w:sz="4" w:space="0" w:color="000000"/>
              <w:right w:val="single" w:sz="4" w:space="0" w:color="000000"/>
            </w:tcBorders>
          </w:tcPr>
          <w:p>
            <w:pP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2" w:right="0"/>
              <w:jc w:val="left"/>
              <w:rPr>
                <w:rFonts w:ascii="宋体" w:hAnsi="宋体" w:cs="宋体" w:eastAsia="宋体" w:hint="default"/>
                <w:sz w:val="18"/>
                <w:szCs w:val="18"/>
              </w:rPr>
            </w:pPr>
            <w:r>
              <w:rPr>
                <w:rFonts w:ascii="宋体" w:hAnsi="宋体" w:cs="宋体" w:eastAsia="宋体" w:hint="default"/>
                <w:sz w:val="18"/>
                <w:szCs w:val="18"/>
              </w:rPr>
              <w:t>解除限售</w:t>
            </w:r>
          </w:p>
        </w:tc>
      </w:tr>
      <w:tr>
        <w:trPr>
          <w:trHeight w:val="357" w:hRule="exact"/>
        </w:trPr>
        <w:tc>
          <w:tcPr>
            <w:tcW w:w="942" w:type="dxa"/>
            <w:tcBorders>
              <w:top w:val="single" w:sz="4" w:space="0" w:color="000000"/>
              <w:left w:val="single" w:sz="4" w:space="0" w:color="000000"/>
              <w:bottom w:val="nil" w:sz="6" w:space="0" w:color="auto"/>
              <w:right w:val="single" w:sz="4" w:space="0" w:color="000000"/>
            </w:tcBorders>
          </w:tcPr>
          <w:p>
            <w:pPr/>
          </w:p>
        </w:tc>
        <w:tc>
          <w:tcPr>
            <w:tcW w:w="1142" w:type="dxa"/>
            <w:tcBorders>
              <w:top w:val="single" w:sz="4" w:space="0" w:color="000000"/>
              <w:left w:val="single" w:sz="4" w:space="0" w:color="000000"/>
              <w:bottom w:val="nil" w:sz="6" w:space="0" w:color="auto"/>
              <w:right w:val="single" w:sz="4" w:space="0" w:color="000000"/>
            </w:tcBorders>
          </w:tcPr>
          <w:p>
            <w:pPr/>
          </w:p>
        </w:tc>
        <w:tc>
          <w:tcPr>
            <w:tcW w:w="1329" w:type="dxa"/>
            <w:vMerge w:val="restart"/>
            <w:tcBorders>
              <w:top w:val="single" w:sz="4" w:space="0" w:color="000000"/>
              <w:left w:val="single" w:sz="4" w:space="0" w:color="000000"/>
              <w:right w:val="single" w:sz="4" w:space="0" w:color="000000"/>
            </w:tcBorders>
          </w:tcPr>
          <w:p>
            <w:pPr/>
          </w:p>
        </w:tc>
        <w:tc>
          <w:tcPr>
            <w:tcW w:w="1210" w:type="dxa"/>
            <w:tcBorders>
              <w:top w:val="single" w:sz="4" w:space="0" w:color="000000"/>
              <w:left w:val="single" w:sz="4" w:space="0" w:color="000000"/>
              <w:bottom w:val="nil" w:sz="6" w:space="0" w:color="auto"/>
              <w:right w:val="single" w:sz="4" w:space="0" w:color="000000"/>
            </w:tcBorders>
          </w:tcPr>
          <w:p>
            <w:pPr/>
          </w:p>
        </w:tc>
        <w:tc>
          <w:tcPr>
            <w:tcW w:w="1177" w:type="dxa"/>
            <w:tcBorders>
              <w:top w:val="single" w:sz="4" w:space="0" w:color="000000"/>
              <w:left w:val="single" w:sz="4" w:space="0" w:color="000000"/>
              <w:bottom w:val="nil" w:sz="6" w:space="0" w:color="auto"/>
              <w:right w:val="single" w:sz="4" w:space="0" w:color="000000"/>
            </w:tcBorders>
          </w:tcPr>
          <w:p>
            <w:pPr/>
          </w:p>
        </w:tc>
        <w:tc>
          <w:tcPr>
            <w:tcW w:w="1517" w:type="dxa"/>
            <w:tcBorders>
              <w:top w:val="single" w:sz="4" w:space="0" w:color="000000"/>
              <w:left w:val="single" w:sz="4" w:space="0" w:color="000000"/>
              <w:bottom w:val="nil" w:sz="6" w:space="0" w:color="auto"/>
              <w:right w:val="single" w:sz="4" w:space="0" w:color="000000"/>
            </w:tcBorders>
          </w:tcPr>
          <w:p>
            <w:pPr/>
          </w:p>
        </w:tc>
        <w:tc>
          <w:tcPr>
            <w:tcW w:w="22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限制性股票部分解除限售</w:t>
            </w:r>
          </w:p>
        </w:tc>
      </w:tr>
      <w:tr>
        <w:trPr>
          <w:trHeight w:val="317" w:hRule="exact"/>
        </w:trPr>
        <w:tc>
          <w:tcPr>
            <w:tcW w:w="942" w:type="dxa"/>
            <w:tcBorders>
              <w:top w:val="nil" w:sz="6" w:space="0" w:color="auto"/>
              <w:left w:val="single" w:sz="4" w:space="0" w:color="000000"/>
              <w:bottom w:val="nil" w:sz="6" w:space="0" w:color="auto"/>
              <w:right w:val="single" w:sz="4" w:space="0" w:color="000000"/>
            </w:tcBorders>
          </w:tcPr>
          <w:p>
            <w:pPr/>
          </w:p>
        </w:tc>
        <w:tc>
          <w:tcPr>
            <w:tcW w:w="1142" w:type="dxa"/>
            <w:tcBorders>
              <w:top w:val="nil" w:sz="6" w:space="0" w:color="auto"/>
              <w:left w:val="single" w:sz="4" w:space="0" w:color="000000"/>
              <w:bottom w:val="nil" w:sz="6" w:space="0" w:color="auto"/>
              <w:right w:val="single" w:sz="4" w:space="0" w:color="000000"/>
            </w:tcBorders>
          </w:tcPr>
          <w:p>
            <w:pPr/>
          </w:p>
        </w:tc>
        <w:tc>
          <w:tcPr>
            <w:tcW w:w="1329" w:type="dxa"/>
            <w:vMerge/>
            <w:tcBorders>
              <w:left w:val="single" w:sz="4" w:space="0" w:color="000000"/>
              <w:right w:val="single" w:sz="4" w:space="0" w:color="000000"/>
            </w:tcBorders>
          </w:tcPr>
          <w:p>
            <w:pPr/>
          </w:p>
        </w:tc>
        <w:tc>
          <w:tcPr>
            <w:tcW w:w="1210" w:type="dxa"/>
            <w:tcBorders>
              <w:top w:val="nil" w:sz="6" w:space="0" w:color="auto"/>
              <w:left w:val="single" w:sz="4" w:space="0" w:color="000000"/>
              <w:bottom w:val="nil" w:sz="6" w:space="0" w:color="auto"/>
              <w:right w:val="single" w:sz="4" w:space="0" w:color="000000"/>
            </w:tcBorders>
          </w:tcPr>
          <w:p>
            <w:pPr/>
          </w:p>
        </w:tc>
        <w:tc>
          <w:tcPr>
            <w:tcW w:w="1177" w:type="dxa"/>
            <w:tcBorders>
              <w:top w:val="nil" w:sz="6" w:space="0" w:color="auto"/>
              <w:left w:val="single" w:sz="4" w:space="0" w:color="000000"/>
              <w:bottom w:val="nil" w:sz="6" w:space="0" w:color="auto"/>
              <w:right w:val="single" w:sz="4" w:space="0" w:color="000000"/>
            </w:tcBorders>
          </w:tcPr>
          <w:p>
            <w:pP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股权激励限售股</w:t>
            </w:r>
          </w:p>
        </w:tc>
        <w:tc>
          <w:tcPr>
            <w:tcW w:w="22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日为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r>
      <w:tr>
        <w:trPr>
          <w:trHeight w:val="312" w:hRule="exact"/>
        </w:trPr>
        <w:tc>
          <w:tcPr>
            <w:tcW w:w="94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方宝林</w:t>
            </w:r>
          </w:p>
        </w:tc>
        <w:tc>
          <w:tcPr>
            <w:tcW w:w="1142"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99"/>
              <w:jc w:val="right"/>
              <w:rPr>
                <w:rFonts w:ascii="Times New Roman" w:hAnsi="Times New Roman" w:cs="Times New Roman" w:eastAsia="Times New Roman" w:hint="default"/>
                <w:sz w:val="18"/>
                <w:szCs w:val="18"/>
              </w:rPr>
            </w:pPr>
            <w:r>
              <w:rPr>
                <w:rFonts w:ascii="Times New Roman"/>
                <w:spacing w:val="-1"/>
                <w:sz w:val="18"/>
              </w:rPr>
              <w:t>45,000</w:t>
            </w:r>
          </w:p>
        </w:tc>
        <w:tc>
          <w:tcPr>
            <w:tcW w:w="1329" w:type="dxa"/>
            <w:vMerge/>
            <w:tcBorders>
              <w:left w:val="single" w:sz="4" w:space="0" w:color="000000"/>
              <w:right w:val="single" w:sz="4" w:space="0" w:color="000000"/>
            </w:tcBorders>
          </w:tcPr>
          <w:p>
            <w:pPr/>
          </w:p>
        </w:tc>
        <w:tc>
          <w:tcPr>
            <w:tcW w:w="1210"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1"/>
              <w:jc w:val="right"/>
              <w:rPr>
                <w:rFonts w:ascii="Times New Roman" w:hAnsi="Times New Roman" w:cs="Times New Roman" w:eastAsia="Times New Roman" w:hint="default"/>
                <w:sz w:val="18"/>
                <w:szCs w:val="18"/>
              </w:rPr>
            </w:pPr>
            <w:r>
              <w:rPr>
                <w:rFonts w:ascii="Times New Roman"/>
                <w:spacing w:val="-1"/>
                <w:sz w:val="18"/>
              </w:rPr>
              <w:t>45,000</w:t>
            </w:r>
          </w:p>
        </w:tc>
        <w:tc>
          <w:tcPr>
            <w:tcW w:w="117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pacing w:val="-1"/>
                <w:sz w:val="18"/>
              </w:rPr>
              <w:t>90,000</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宋体" w:hAnsi="宋体" w:cs="宋体" w:eastAsia="宋体" w:hint="default"/>
                <w:sz w:val="18"/>
                <w:szCs w:val="18"/>
              </w:rPr>
              <w:t>及高管股份锁定</w:t>
            </w:r>
          </w:p>
        </w:tc>
        <w:tc>
          <w:tcPr>
            <w:tcW w:w="2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宋体" w:hAnsi="宋体" w:cs="宋体" w:eastAsia="宋体" w:hint="default"/>
                <w:sz w:val="18"/>
                <w:szCs w:val="18"/>
              </w:rPr>
              <w:t>高管锁定股部分每年按照</w:t>
            </w:r>
          </w:p>
        </w:tc>
      </w:tr>
      <w:tr>
        <w:trPr>
          <w:trHeight w:val="312" w:hRule="exact"/>
        </w:trPr>
        <w:tc>
          <w:tcPr>
            <w:tcW w:w="942" w:type="dxa"/>
            <w:tcBorders>
              <w:top w:val="nil" w:sz="6" w:space="0" w:color="auto"/>
              <w:left w:val="single" w:sz="4" w:space="0" w:color="000000"/>
              <w:bottom w:val="nil" w:sz="6" w:space="0" w:color="auto"/>
              <w:right w:val="single" w:sz="4" w:space="0" w:color="000000"/>
            </w:tcBorders>
          </w:tcPr>
          <w:p>
            <w:pPr/>
          </w:p>
        </w:tc>
        <w:tc>
          <w:tcPr>
            <w:tcW w:w="1142" w:type="dxa"/>
            <w:tcBorders>
              <w:top w:val="nil" w:sz="6" w:space="0" w:color="auto"/>
              <w:left w:val="single" w:sz="4" w:space="0" w:color="000000"/>
              <w:bottom w:val="nil" w:sz="6" w:space="0" w:color="auto"/>
              <w:right w:val="single" w:sz="4" w:space="0" w:color="000000"/>
            </w:tcBorders>
          </w:tcPr>
          <w:p>
            <w:pPr/>
          </w:p>
        </w:tc>
        <w:tc>
          <w:tcPr>
            <w:tcW w:w="1329" w:type="dxa"/>
            <w:vMerge/>
            <w:tcBorders>
              <w:left w:val="single" w:sz="4" w:space="0" w:color="000000"/>
              <w:right w:val="single" w:sz="4" w:space="0" w:color="000000"/>
            </w:tcBorders>
          </w:tcPr>
          <w:p>
            <w:pPr/>
          </w:p>
        </w:tc>
        <w:tc>
          <w:tcPr>
            <w:tcW w:w="1210" w:type="dxa"/>
            <w:tcBorders>
              <w:top w:val="nil" w:sz="6" w:space="0" w:color="auto"/>
              <w:left w:val="single" w:sz="4" w:space="0" w:color="000000"/>
              <w:bottom w:val="nil" w:sz="6" w:space="0" w:color="auto"/>
              <w:right w:val="single" w:sz="4" w:space="0" w:color="000000"/>
            </w:tcBorders>
          </w:tcPr>
          <w:p>
            <w:pPr/>
          </w:p>
        </w:tc>
        <w:tc>
          <w:tcPr>
            <w:tcW w:w="1177" w:type="dxa"/>
            <w:tcBorders>
              <w:top w:val="nil" w:sz="6" w:space="0" w:color="auto"/>
              <w:left w:val="single" w:sz="4" w:space="0" w:color="000000"/>
              <w:bottom w:val="nil" w:sz="6" w:space="0" w:color="auto"/>
              <w:right w:val="single" w:sz="4" w:space="0" w:color="000000"/>
            </w:tcBorders>
          </w:tcPr>
          <w:p>
            <w:pP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2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上年末持有股份数的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352" w:hRule="exact"/>
        </w:trPr>
        <w:tc>
          <w:tcPr>
            <w:tcW w:w="942" w:type="dxa"/>
            <w:tcBorders>
              <w:top w:val="nil" w:sz="6" w:space="0" w:color="auto"/>
              <w:left w:val="single" w:sz="4" w:space="0" w:color="000000"/>
              <w:bottom w:val="single" w:sz="4" w:space="0" w:color="000000"/>
              <w:right w:val="single" w:sz="4" w:space="0" w:color="000000"/>
            </w:tcBorders>
          </w:tcPr>
          <w:p>
            <w:pPr/>
          </w:p>
        </w:tc>
        <w:tc>
          <w:tcPr>
            <w:tcW w:w="1142" w:type="dxa"/>
            <w:tcBorders>
              <w:top w:val="nil" w:sz="6" w:space="0" w:color="auto"/>
              <w:left w:val="single" w:sz="4" w:space="0" w:color="000000"/>
              <w:bottom w:val="single" w:sz="4" w:space="0" w:color="000000"/>
              <w:right w:val="single" w:sz="4" w:space="0" w:color="000000"/>
            </w:tcBorders>
          </w:tcPr>
          <w:p>
            <w:pPr/>
          </w:p>
        </w:tc>
        <w:tc>
          <w:tcPr>
            <w:tcW w:w="1329" w:type="dxa"/>
            <w:vMerge/>
            <w:tcBorders>
              <w:left w:val="single" w:sz="4" w:space="0" w:color="000000"/>
              <w:bottom w:val="single" w:sz="4" w:space="0" w:color="000000"/>
              <w:right w:val="single" w:sz="4" w:space="0" w:color="000000"/>
            </w:tcBorders>
          </w:tcPr>
          <w:p>
            <w:pPr/>
          </w:p>
        </w:tc>
        <w:tc>
          <w:tcPr>
            <w:tcW w:w="1210" w:type="dxa"/>
            <w:tcBorders>
              <w:top w:val="nil" w:sz="6" w:space="0" w:color="auto"/>
              <w:left w:val="single" w:sz="4" w:space="0" w:color="000000"/>
              <w:bottom w:val="single" w:sz="4" w:space="0" w:color="000000"/>
              <w:right w:val="single" w:sz="4" w:space="0" w:color="000000"/>
            </w:tcBorders>
          </w:tcPr>
          <w:p>
            <w:pPr/>
          </w:p>
        </w:tc>
        <w:tc>
          <w:tcPr>
            <w:tcW w:w="1177" w:type="dxa"/>
            <w:tcBorders>
              <w:top w:val="nil" w:sz="6" w:space="0" w:color="auto"/>
              <w:left w:val="single" w:sz="4" w:space="0" w:color="000000"/>
              <w:bottom w:val="single" w:sz="4" w:space="0" w:color="000000"/>
              <w:right w:val="single" w:sz="4" w:space="0" w:color="000000"/>
            </w:tcBorders>
          </w:tcPr>
          <w:p>
            <w:pPr/>
          </w:p>
        </w:tc>
        <w:tc>
          <w:tcPr>
            <w:tcW w:w="1517" w:type="dxa"/>
            <w:tcBorders>
              <w:top w:val="nil" w:sz="6" w:space="0" w:color="auto"/>
              <w:left w:val="single" w:sz="4" w:space="0" w:color="000000"/>
              <w:bottom w:val="single" w:sz="4" w:space="0" w:color="000000"/>
              <w:right w:val="single" w:sz="4" w:space="0" w:color="000000"/>
            </w:tcBorders>
          </w:tcPr>
          <w:p>
            <w:pPr/>
          </w:p>
        </w:tc>
        <w:tc>
          <w:tcPr>
            <w:tcW w:w="22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宋体" w:hAnsi="宋体" w:cs="宋体" w:eastAsia="宋体" w:hint="default"/>
                <w:sz w:val="18"/>
                <w:szCs w:val="18"/>
              </w:rPr>
              <w:t>解除限售</w:t>
            </w:r>
          </w:p>
        </w:tc>
      </w:tr>
      <w:tr>
        <w:trPr>
          <w:trHeight w:val="358" w:hRule="exact"/>
        </w:trPr>
        <w:tc>
          <w:tcPr>
            <w:tcW w:w="942" w:type="dxa"/>
            <w:tcBorders>
              <w:top w:val="single" w:sz="4" w:space="0" w:color="000000"/>
              <w:left w:val="single" w:sz="4" w:space="0" w:color="000000"/>
              <w:bottom w:val="nil" w:sz="6" w:space="0" w:color="auto"/>
              <w:right w:val="single" w:sz="4" w:space="0" w:color="000000"/>
            </w:tcBorders>
          </w:tcPr>
          <w:p>
            <w:pPr/>
          </w:p>
        </w:tc>
        <w:tc>
          <w:tcPr>
            <w:tcW w:w="1142" w:type="dxa"/>
            <w:tcBorders>
              <w:top w:val="single" w:sz="4" w:space="0" w:color="000000"/>
              <w:left w:val="single" w:sz="4" w:space="0" w:color="000000"/>
              <w:bottom w:val="nil" w:sz="6" w:space="0" w:color="auto"/>
              <w:right w:val="single" w:sz="4" w:space="0" w:color="000000"/>
            </w:tcBorders>
          </w:tcPr>
          <w:p>
            <w:pPr/>
          </w:p>
        </w:tc>
        <w:tc>
          <w:tcPr>
            <w:tcW w:w="1329" w:type="dxa"/>
            <w:tcBorders>
              <w:top w:val="single" w:sz="4" w:space="0" w:color="000000"/>
              <w:left w:val="single" w:sz="4" w:space="0" w:color="000000"/>
              <w:bottom w:val="nil" w:sz="6" w:space="0" w:color="auto"/>
              <w:right w:val="single" w:sz="4" w:space="0" w:color="000000"/>
            </w:tcBorders>
          </w:tcPr>
          <w:p>
            <w:pPr/>
          </w:p>
        </w:tc>
        <w:tc>
          <w:tcPr>
            <w:tcW w:w="1210" w:type="dxa"/>
            <w:vMerge w:val="restart"/>
            <w:tcBorders>
              <w:top w:val="single" w:sz="4" w:space="0" w:color="000000"/>
              <w:left w:val="single" w:sz="4" w:space="0" w:color="000000"/>
              <w:right w:val="single" w:sz="4" w:space="0" w:color="000000"/>
            </w:tcBorders>
          </w:tcPr>
          <w:p>
            <w:pPr/>
          </w:p>
        </w:tc>
        <w:tc>
          <w:tcPr>
            <w:tcW w:w="1177" w:type="dxa"/>
            <w:tcBorders>
              <w:top w:val="single" w:sz="4" w:space="0" w:color="000000"/>
              <w:left w:val="single" w:sz="4" w:space="0" w:color="000000"/>
              <w:bottom w:val="nil" w:sz="6" w:space="0" w:color="auto"/>
              <w:right w:val="single" w:sz="4" w:space="0" w:color="000000"/>
            </w:tcBorders>
          </w:tcPr>
          <w:p>
            <w:pPr/>
          </w:p>
        </w:tc>
        <w:tc>
          <w:tcPr>
            <w:tcW w:w="151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据《创业软件股</w:t>
            </w:r>
          </w:p>
        </w:tc>
        <w:tc>
          <w:tcPr>
            <w:tcW w:w="2252"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94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101" w:right="0"/>
              <w:jc w:val="left"/>
              <w:rPr>
                <w:rFonts w:ascii="宋体" w:hAnsi="宋体" w:cs="宋体" w:eastAsia="宋体" w:hint="default"/>
                <w:sz w:val="18"/>
                <w:szCs w:val="18"/>
              </w:rPr>
            </w:pPr>
            <w:r>
              <w:rPr>
                <w:rFonts w:ascii="宋体" w:hAnsi="宋体" w:cs="宋体" w:eastAsia="宋体" w:hint="default"/>
                <w:sz w:val="18"/>
                <w:szCs w:val="18"/>
              </w:rPr>
              <w:t>李军</w:t>
            </w:r>
          </w:p>
        </w:tc>
        <w:tc>
          <w:tcPr>
            <w:tcW w:w="114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99"/>
              <w:jc w:val="right"/>
              <w:rPr>
                <w:rFonts w:ascii="Times New Roman" w:hAnsi="Times New Roman" w:cs="Times New Roman" w:eastAsia="Times New Roman" w:hint="default"/>
                <w:sz w:val="18"/>
                <w:szCs w:val="18"/>
              </w:rPr>
            </w:pPr>
            <w:r>
              <w:rPr>
                <w:rFonts w:ascii="Times New Roman"/>
                <w:spacing w:val="-1"/>
                <w:sz w:val="18"/>
              </w:rPr>
              <w:t>56,250</w:t>
            </w:r>
          </w:p>
        </w:tc>
        <w:tc>
          <w:tcPr>
            <w:tcW w:w="132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101"/>
              <w:jc w:val="right"/>
              <w:rPr>
                <w:rFonts w:ascii="Times New Roman" w:hAnsi="Times New Roman" w:cs="Times New Roman" w:eastAsia="Times New Roman" w:hint="default"/>
                <w:sz w:val="18"/>
                <w:szCs w:val="18"/>
              </w:rPr>
            </w:pPr>
            <w:r>
              <w:rPr>
                <w:rFonts w:ascii="Times New Roman"/>
                <w:spacing w:val="-1"/>
                <w:sz w:val="18"/>
              </w:rPr>
              <w:t>56,250</w:t>
            </w:r>
          </w:p>
        </w:tc>
        <w:tc>
          <w:tcPr>
            <w:tcW w:w="1210" w:type="dxa"/>
            <w:vMerge/>
            <w:tcBorders>
              <w:left w:val="single" w:sz="4" w:space="0" w:color="000000"/>
              <w:right w:val="single" w:sz="4" w:space="0" w:color="000000"/>
            </w:tcBorders>
          </w:tcPr>
          <w:p>
            <w:pPr/>
          </w:p>
        </w:tc>
        <w:tc>
          <w:tcPr>
            <w:tcW w:w="117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right="100"/>
              <w:jc w:val="right"/>
              <w:rPr>
                <w:rFonts w:ascii="Times New Roman" w:hAnsi="Times New Roman" w:cs="Times New Roman" w:eastAsia="Times New Roman" w:hint="default"/>
                <w:sz w:val="18"/>
                <w:szCs w:val="18"/>
              </w:rPr>
            </w:pPr>
            <w:r>
              <w:rPr>
                <w:rFonts w:ascii="Times New Roman"/>
                <w:sz w:val="18"/>
              </w:rPr>
              <w:t>0</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2" w:right="142"/>
              <w:jc w:val="both"/>
              <w:rPr>
                <w:rFonts w:ascii="宋体" w:hAnsi="宋体" w:cs="宋体" w:eastAsia="宋体" w:hint="default"/>
                <w:sz w:val="18"/>
                <w:szCs w:val="18"/>
              </w:rPr>
            </w:pPr>
            <w:r>
              <w:rPr>
                <w:rFonts w:ascii="宋体" w:hAnsi="宋体" w:cs="宋体" w:eastAsia="宋体" w:hint="default"/>
                <w:sz w:val="18"/>
                <w:szCs w:val="18"/>
              </w:rPr>
              <w:t>份有限公司股票 期权与限制性股 票激励计划（草</w:t>
            </w:r>
          </w:p>
        </w:tc>
        <w:tc>
          <w:tcPr>
            <w:tcW w:w="22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公司已于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pacing w:val="-3"/>
                <w:sz w:val="18"/>
                <w:szCs w:val="18"/>
              </w:rPr>
              <w:t>11</w:t>
            </w:r>
          </w:p>
          <w:p>
            <w:pPr>
              <w:pStyle w:val="TableParagraph"/>
              <w:spacing w:line="240" w:lineRule="auto" w:before="63"/>
              <w:ind w:left="102" w:right="0"/>
              <w:jc w:val="left"/>
              <w:rPr>
                <w:rFonts w:ascii="宋体" w:hAnsi="宋体" w:cs="宋体" w:eastAsia="宋体" w:hint="default"/>
                <w:sz w:val="18"/>
                <w:szCs w:val="18"/>
              </w:rPr>
            </w:pPr>
            <w:r>
              <w:rPr>
                <w:rFonts w:ascii="宋体" w:hAnsi="宋体" w:cs="宋体" w:eastAsia="宋体" w:hint="default"/>
                <w:sz w:val="18"/>
                <w:szCs w:val="18"/>
              </w:rPr>
              <w:t>日回购注销</w:t>
            </w:r>
          </w:p>
        </w:tc>
      </w:tr>
      <w:tr>
        <w:trPr>
          <w:trHeight w:val="356" w:hRule="exact"/>
        </w:trPr>
        <w:tc>
          <w:tcPr>
            <w:tcW w:w="942" w:type="dxa"/>
            <w:tcBorders>
              <w:top w:val="nil" w:sz="6" w:space="0" w:color="auto"/>
              <w:left w:val="single" w:sz="4" w:space="0" w:color="000000"/>
              <w:bottom w:val="single" w:sz="4" w:space="0" w:color="000000"/>
              <w:right w:val="single" w:sz="4" w:space="0" w:color="000000"/>
            </w:tcBorders>
          </w:tcPr>
          <w:p>
            <w:pPr/>
          </w:p>
        </w:tc>
        <w:tc>
          <w:tcPr>
            <w:tcW w:w="1142" w:type="dxa"/>
            <w:tcBorders>
              <w:top w:val="nil" w:sz="6" w:space="0" w:color="auto"/>
              <w:left w:val="single" w:sz="4" w:space="0" w:color="000000"/>
              <w:bottom w:val="single" w:sz="4" w:space="0" w:color="000000"/>
              <w:right w:val="single" w:sz="4" w:space="0" w:color="000000"/>
            </w:tcBorders>
          </w:tcPr>
          <w:p>
            <w:pPr/>
          </w:p>
        </w:tc>
        <w:tc>
          <w:tcPr>
            <w:tcW w:w="1329" w:type="dxa"/>
            <w:tcBorders>
              <w:top w:val="nil" w:sz="6" w:space="0" w:color="auto"/>
              <w:left w:val="single" w:sz="4" w:space="0" w:color="000000"/>
              <w:bottom w:val="single" w:sz="4" w:space="0" w:color="000000"/>
              <w:right w:val="single" w:sz="4" w:space="0" w:color="000000"/>
            </w:tcBorders>
          </w:tcPr>
          <w:p>
            <w:pPr/>
          </w:p>
        </w:tc>
        <w:tc>
          <w:tcPr>
            <w:tcW w:w="1210" w:type="dxa"/>
            <w:vMerge/>
            <w:tcBorders>
              <w:left w:val="single" w:sz="4" w:space="0" w:color="000000"/>
              <w:bottom w:val="single" w:sz="4" w:space="0" w:color="000000"/>
              <w:right w:val="single" w:sz="4" w:space="0" w:color="000000"/>
            </w:tcBorders>
          </w:tcPr>
          <w:p>
            <w:pPr/>
          </w:p>
        </w:tc>
        <w:tc>
          <w:tcPr>
            <w:tcW w:w="1177" w:type="dxa"/>
            <w:tcBorders>
              <w:top w:val="nil" w:sz="6" w:space="0" w:color="auto"/>
              <w:left w:val="single" w:sz="4" w:space="0" w:color="000000"/>
              <w:bottom w:val="single" w:sz="4" w:space="0" w:color="000000"/>
              <w:right w:val="single" w:sz="4" w:space="0" w:color="000000"/>
            </w:tcBorders>
          </w:tcPr>
          <w:p>
            <w:pPr/>
          </w:p>
        </w:tc>
        <w:tc>
          <w:tcPr>
            <w:tcW w:w="151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案修订稿）执行</w:t>
            </w:r>
          </w:p>
        </w:tc>
        <w:tc>
          <w:tcPr>
            <w:tcW w:w="2252" w:type="dxa"/>
            <w:tcBorders>
              <w:top w:val="nil" w:sz="6" w:space="0" w:color="auto"/>
              <w:left w:val="single" w:sz="4" w:space="0" w:color="000000"/>
              <w:bottom w:val="single" w:sz="4" w:space="0" w:color="000000"/>
              <w:right w:val="single" w:sz="4" w:space="0" w:color="000000"/>
            </w:tcBorders>
          </w:tcPr>
          <w:p>
            <w:pPr/>
          </w:p>
        </w:tc>
      </w:tr>
      <w:tr>
        <w:trPr>
          <w:trHeight w:val="2274" w:hRule="exact"/>
        </w:trPr>
        <w:tc>
          <w:tcPr>
            <w:tcW w:w="94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08"/>
              <w:jc w:val="left"/>
              <w:rPr>
                <w:rFonts w:ascii="宋体" w:hAnsi="宋体" w:cs="宋体" w:eastAsia="宋体" w:hint="default"/>
                <w:sz w:val="18"/>
                <w:szCs w:val="18"/>
              </w:rPr>
            </w:pPr>
            <w:r>
              <w:rPr>
                <w:rFonts w:ascii="宋体" w:hAnsi="宋体" w:cs="宋体" w:eastAsia="宋体" w:hint="default"/>
                <w:sz w:val="18"/>
                <w:szCs w:val="18"/>
              </w:rPr>
              <w:t>股权激励 计划授予 的限制性 股票（除 董监高以 外的人 员）</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3,328,104</w:t>
            </w:r>
          </w:p>
        </w:tc>
        <w:tc>
          <w:tcPr>
            <w:tcW w:w="13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458,552</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3,016,928</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5,886,480</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316" w:lineRule="auto"/>
              <w:ind w:left="102" w:right="142"/>
              <w:jc w:val="both"/>
              <w:rPr>
                <w:rFonts w:ascii="宋体" w:hAnsi="宋体" w:cs="宋体" w:eastAsia="宋体" w:hint="default"/>
                <w:sz w:val="18"/>
                <w:szCs w:val="18"/>
              </w:rPr>
            </w:pPr>
            <w:r>
              <w:rPr>
                <w:rFonts w:ascii="宋体" w:hAnsi="宋体" w:cs="宋体" w:eastAsia="宋体" w:hint="default"/>
                <w:sz w:val="18"/>
                <w:szCs w:val="18"/>
              </w:rPr>
              <w:t>根据《创业软件 股份有限公司股 票期权与限制性 股票激励计划</w:t>
            </w:r>
          </w:p>
          <w:p>
            <w:pPr>
              <w:pStyle w:val="TableParagraph"/>
              <w:spacing w:line="316" w:lineRule="auto" w:before="19"/>
              <w:ind w:left="102" w:right="142"/>
              <w:jc w:val="both"/>
              <w:rPr>
                <w:rFonts w:ascii="宋体" w:hAnsi="宋体" w:cs="宋体" w:eastAsia="宋体" w:hint="default"/>
                <w:sz w:val="18"/>
                <w:szCs w:val="18"/>
              </w:rPr>
            </w:pPr>
            <w:r>
              <w:rPr>
                <w:rFonts w:ascii="宋体" w:hAnsi="宋体" w:cs="宋体" w:eastAsia="宋体" w:hint="default"/>
                <w:sz w:val="18"/>
                <w:szCs w:val="18"/>
              </w:rPr>
              <w:t>（草案修订稿） 执行</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2019</w:t>
            </w:r>
          </w:p>
          <w:p>
            <w:pPr>
              <w:pStyle w:val="TableParagraph"/>
              <w:spacing w:line="240" w:lineRule="auto" w:before="63"/>
              <w:ind w:left="102"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w:t>
            </w:r>
          </w:p>
        </w:tc>
      </w:tr>
      <w:tr>
        <w:trPr>
          <w:trHeight w:val="402" w:hRule="exact"/>
        </w:trPr>
        <w:tc>
          <w:tcPr>
            <w:tcW w:w="9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2"/>
                <w:sz w:val="18"/>
              </w:rPr>
              <w:t>113,808,881</w:t>
            </w:r>
          </w:p>
        </w:tc>
        <w:tc>
          <w:tcPr>
            <w:tcW w:w="13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81,118,853</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108,782,534</w:t>
            </w:r>
          </w:p>
        </w:tc>
        <w:tc>
          <w:tcPr>
            <w:tcW w:w="1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141,472,562</w:t>
            </w:r>
          </w:p>
        </w:tc>
        <w:tc>
          <w:tcPr>
            <w:tcW w:w="15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2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8"/>
        <w:rPr>
          <w:rFonts w:ascii="Times New Roman" w:hAnsi="Times New Roman" w:cs="Times New Roman" w:eastAsia="Times New Roman" w:hint="default"/>
          <w:sz w:val="20"/>
          <w:szCs w:val="20"/>
        </w:rPr>
      </w:pPr>
    </w:p>
    <w:p>
      <w:pPr>
        <w:pStyle w:val="Heading2"/>
        <w:spacing w:line="240" w:lineRule="auto" w:before="26"/>
        <w:ind w:right="0"/>
        <w:jc w:val="left"/>
        <w:rPr>
          <w:b w:val="0"/>
          <w:bCs w:val="0"/>
        </w:rPr>
      </w:pPr>
      <w:bookmarkStart w:name="二、证券发行与上市情况" w:id="120"/>
      <w:bookmarkEnd w:id="120"/>
      <w:r>
        <w:rPr>
          <w:b w:val="0"/>
          <w:bCs w:val="0"/>
        </w:rPr>
      </w:r>
      <w:r>
        <w:rPr/>
        <w:t>二、证券发行与上市情况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报告期内证券发行（不含优先股）情况" w:id="121"/>
      <w:bookmarkEnd w:id="121"/>
      <w:r>
        <w:rPr>
          <w:b w:val="0"/>
          <w:bCs w:val="0"/>
        </w:rPr>
      </w:r>
      <w:r>
        <w:rPr>
          <w:rFonts w:ascii="Times New Roman" w:hAnsi="Times New Roman" w:cs="Times New Roman" w:eastAsia="Times New Roman" w:hint="default"/>
        </w:rPr>
        <w:t>1</w:t>
      </w:r>
      <w:r>
        <w:rPr/>
        <w:t>、报告期内证券发行（不含优先股）情况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204" w:right="0"/>
        <w:jc w:val="left"/>
      </w:pPr>
      <w:r>
        <w:rPr/>
        <w:t>□ 适用  √</w:t>
      </w:r>
      <w:r>
        <w:rPr>
          <w:spacing w:val="-1"/>
        </w:rPr>
        <w:t> </w:t>
      </w:r>
      <w:r>
        <w:rPr/>
        <w:t>不适用</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2、公司股份总数及股东结构的变动、公司资产和负债结构的变动情况说明" w:id="122"/>
      <w:bookmarkEnd w:id="122"/>
      <w:r>
        <w:rPr>
          <w:b w:val="0"/>
          <w:bCs w:val="0"/>
        </w:rPr>
      </w: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 适用  □</w:t>
      </w:r>
      <w:r>
        <w:rPr>
          <w:spacing w:val="-1"/>
        </w:rPr>
        <w:t> </w:t>
      </w:r>
      <w:r>
        <w:rPr/>
        <w:t>不适用</w:t>
      </w:r>
    </w:p>
    <w:p>
      <w:pPr>
        <w:pStyle w:val="BodyText"/>
        <w:spacing w:line="307" w:lineRule="auto" w:before="117"/>
        <w:ind w:right="1024" w:firstLine="360"/>
        <w:jc w:val="left"/>
      </w:pPr>
      <w:r>
        <w:rPr>
          <w:rFonts w:ascii="Times New Roman" w:hAnsi="Times New Roman" w:cs="Times New Roman" w:eastAsia="Times New Roman" w:hint="default"/>
          <w:spacing w:val="-4"/>
        </w:rPr>
        <w:t>1</w:t>
      </w:r>
      <w:r>
        <w:rPr>
          <w:spacing w:val="-4"/>
        </w:rPr>
        <w:t>、根据公司《股票期权与限制性股票激励计划（草案修订稿）》的规定及公司</w:t>
      </w:r>
      <w:r>
        <w:rPr>
          <w:rFonts w:ascii="Times New Roman" w:hAnsi="Times New Roman" w:cs="Times New Roman" w:eastAsia="Times New Roman" w:hint="default"/>
          <w:spacing w:val="-4"/>
        </w:rPr>
        <w:t>2015</w:t>
      </w:r>
      <w:r>
        <w:rPr>
          <w:spacing w:val="-4"/>
        </w:rPr>
        <w:t>年第三次临时股东大会的授权，公司</w:t>
      </w:r>
      <w:r>
        <w:rPr/>
        <w:t> </w:t>
      </w:r>
      <w:r>
        <w:rPr>
          <w:spacing w:val="-4"/>
        </w:rPr>
        <w:t>第五届董事会第二十七次会议、第五届董事会第三十次会议、第五届董事会第三十四次会议、第五届董事会第三十六次会议、</w:t>
      </w:r>
      <w:r>
        <w:rPr>
          <w:spacing w:val="-40"/>
        </w:rPr>
        <w:t> </w:t>
      </w:r>
      <w:r>
        <w:rPr>
          <w:spacing w:val="-40"/>
        </w:rPr>
      </w:r>
      <w:r>
        <w:rPr>
          <w:spacing w:val="-2"/>
        </w:rPr>
        <w:t>第五届董事会第三十七次会议分别审议通过了《关于对股票期权与限制性股票激励计划部分激励股份回购注销的议案》（具</w:t>
      </w:r>
      <w:r>
        <w:rPr>
          <w:spacing w:val="-65"/>
        </w:rPr>
        <w:t> </w:t>
      </w:r>
      <w:r>
        <w:rPr>
          <w:spacing w:val="-65"/>
        </w:rPr>
      </w:r>
      <w:r>
        <w:rPr>
          <w:spacing w:val="-6"/>
          <w:w w:val="99"/>
        </w:rPr>
        <w:t>体详见刊登在巨潮资讯网（</w:t>
      </w:r>
      <w:r>
        <w:rPr>
          <w:rFonts w:ascii="Times New Roman" w:hAnsi="Times New Roman" w:cs="Times New Roman" w:eastAsia="Times New Roman" w:hint="default"/>
          <w:spacing w:val="-6"/>
          <w:w w:val="99"/>
        </w:rPr>
        <w:t>www.cninfo.com.cn)</w:t>
      </w:r>
      <w:r>
        <w:rPr>
          <w:spacing w:val="-6"/>
          <w:w w:val="99"/>
        </w:rPr>
        <w:t>的相关公告，公告编号：</w:t>
      </w:r>
      <w:r>
        <w:rPr>
          <w:rFonts w:ascii="Times New Roman" w:hAnsi="Times New Roman" w:cs="Times New Roman" w:eastAsia="Times New Roman" w:hint="default"/>
          <w:spacing w:val="-6"/>
          <w:w w:val="99"/>
        </w:rPr>
        <w:t>2016-116</w:t>
      </w:r>
      <w:r>
        <w:rPr>
          <w:spacing w:val="-6"/>
          <w:w w:val="99"/>
        </w:rPr>
        <w:t>，</w:t>
      </w:r>
      <w:r>
        <w:rPr>
          <w:rFonts w:ascii="Times New Roman" w:hAnsi="Times New Roman" w:cs="Times New Roman" w:eastAsia="Times New Roman" w:hint="default"/>
          <w:spacing w:val="-6"/>
          <w:w w:val="99"/>
        </w:rPr>
        <w:t>2017-015</w:t>
      </w:r>
      <w:r>
        <w:rPr>
          <w:spacing w:val="-6"/>
          <w:w w:val="99"/>
        </w:rPr>
        <w:t>，</w:t>
      </w:r>
      <w:r>
        <w:rPr>
          <w:rFonts w:ascii="Times New Roman" w:hAnsi="Times New Roman" w:cs="Times New Roman" w:eastAsia="Times New Roman" w:hint="default"/>
          <w:spacing w:val="-6"/>
          <w:w w:val="99"/>
        </w:rPr>
        <w:t>2017-051</w:t>
      </w:r>
      <w:r>
        <w:rPr>
          <w:spacing w:val="-6"/>
          <w:w w:val="99"/>
        </w:rPr>
        <w:t>，</w:t>
      </w:r>
      <w:r>
        <w:rPr>
          <w:rFonts w:ascii="Times New Roman" w:hAnsi="Times New Roman" w:cs="Times New Roman" w:eastAsia="Times New Roman" w:hint="default"/>
          <w:spacing w:val="-6"/>
          <w:w w:val="99"/>
        </w:rPr>
        <w:t>2017-071</w:t>
      </w:r>
      <w:r>
        <w:rPr>
          <w:spacing w:val="-6"/>
          <w:w w:val="99"/>
        </w:rPr>
        <w:t>，</w:t>
      </w:r>
      <w:r>
        <w:rPr>
          <w:rFonts w:ascii="Times New Roman" w:hAnsi="Times New Roman" w:cs="Times New Roman" w:eastAsia="Times New Roman" w:hint="default"/>
          <w:spacing w:val="-6"/>
          <w:w w:val="99"/>
        </w:rPr>
        <w:t>2017-081</w:t>
      </w:r>
      <w:r>
        <w:rPr>
          <w:spacing w:val="-6"/>
          <w:w w:val="99"/>
        </w:rPr>
        <w:t>），</w:t>
      </w:r>
      <w:r>
        <w:rPr>
          <w:spacing w:val="-47"/>
          <w:w w:val="99"/>
        </w:rPr>
        <w:t> </w:t>
      </w:r>
      <w:r>
        <w:rPr>
          <w:spacing w:val="-47"/>
          <w:w w:val="99"/>
        </w:rPr>
      </w:r>
      <w:r>
        <w:rPr/>
        <w:t>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11</w:t>
      </w:r>
      <w:r>
        <w:rPr/>
        <w:t>日，上述限制性股票已在中国证券登记结算有限责任公司深圳分公司完成注销回购手续，公司本次回购注 </w:t>
      </w:r>
      <w:r>
        <w:rPr>
          <w:w w:val="95"/>
        </w:rPr>
        <w:t>销股票数量为</w:t>
      </w:r>
      <w:r>
        <w:rPr>
          <w:rFonts w:ascii="Times New Roman" w:hAnsi="Times New Roman" w:cs="Times New Roman" w:eastAsia="Times New Roman" w:hint="default"/>
          <w:w w:val="95"/>
        </w:rPr>
        <w:t>147,376</w:t>
      </w:r>
      <w:r>
        <w:rPr>
          <w:w w:val="95"/>
        </w:rPr>
        <w:t>股，占回购前公司总股本的</w:t>
      </w:r>
      <w:r>
        <w:rPr>
          <w:rFonts w:ascii="Times New Roman" w:hAnsi="Times New Roman" w:cs="Times New Roman" w:eastAsia="Times New Roman" w:hint="default"/>
          <w:w w:val="95"/>
        </w:rPr>
        <w:t>0.0607%</w:t>
      </w:r>
      <w:r>
        <w:rPr>
          <w:w w:val="95"/>
        </w:rPr>
        <w:t>（具体内容详见公司在巨潮资讯网站（</w:t>
      </w:r>
      <w:hyperlink r:id="rId15">
        <w:r>
          <w:rPr>
            <w:rFonts w:ascii="Times New Roman" w:hAnsi="Times New Roman" w:cs="Times New Roman" w:eastAsia="Times New Roman" w:hint="default"/>
            <w:w w:val="95"/>
          </w:rPr>
          <w:t>www.cninfo.com.cn</w:t>
        </w:r>
      </w:hyperlink>
      <w:r>
        <w:rPr>
          <w:w w:val="95"/>
        </w:rPr>
        <w:t>）披露的</w:t>
      </w:r>
      <w:r>
        <w:rPr>
          <w:spacing w:val="60"/>
          <w:w w:val="95"/>
        </w:rPr>
        <w:t> </w:t>
      </w:r>
      <w:r>
        <w:rPr>
          <w:spacing w:val="60"/>
          <w:w w:val="95"/>
        </w:rPr>
      </w:r>
      <w:r>
        <w:rPr>
          <w:spacing w:val="-2"/>
        </w:rPr>
        <w:t>公告，公告编号：</w:t>
      </w:r>
      <w:r>
        <w:rPr>
          <w:rFonts w:ascii="Times New Roman" w:hAnsi="Times New Roman" w:cs="Times New Roman" w:eastAsia="Times New Roman" w:hint="default"/>
          <w:spacing w:val="-2"/>
        </w:rPr>
        <w:t>2018-006</w:t>
      </w:r>
      <w:r>
        <w:rPr>
          <w:spacing w:val="-2"/>
        </w:rPr>
        <w:t>）。本次回购注销后，公司总股本由</w:t>
      </w:r>
      <w:r>
        <w:rPr>
          <w:rFonts w:ascii="Times New Roman" w:hAnsi="Times New Roman" w:cs="Times New Roman" w:eastAsia="Times New Roman" w:hint="default"/>
          <w:spacing w:val="-2"/>
        </w:rPr>
        <w:t>242,949,263</w:t>
      </w:r>
      <w:r>
        <w:rPr>
          <w:spacing w:val="-2"/>
        </w:rPr>
        <w:t>股变为</w:t>
      </w:r>
      <w:r>
        <w:rPr>
          <w:rFonts w:ascii="Times New Roman" w:hAnsi="Times New Roman" w:cs="Times New Roman" w:eastAsia="Times New Roman" w:hint="default"/>
          <w:spacing w:val="-2"/>
        </w:rPr>
        <w:t>242,801,887</w:t>
      </w:r>
      <w:r>
        <w:rPr>
          <w:spacing w:val="-2"/>
        </w:rPr>
        <w:t>股。</w:t>
      </w:r>
    </w:p>
    <w:p>
      <w:pPr>
        <w:pStyle w:val="BodyText"/>
        <w:spacing w:line="300" w:lineRule="auto" w:before="7"/>
        <w:ind w:right="1125" w:firstLine="360"/>
        <w:jc w:val="both"/>
      </w:pPr>
      <w:r>
        <w:rPr>
          <w:rFonts w:ascii="Times New Roman" w:hAnsi="Times New Roman" w:cs="Times New Roman" w:eastAsia="Times New Roman" w:hint="default"/>
          <w:spacing w:val="-2"/>
        </w:rPr>
        <w:t>2</w:t>
      </w:r>
      <w:r>
        <w:rPr>
          <w:spacing w:val="-2"/>
        </w:rPr>
        <w:t>、</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22</w:t>
      </w:r>
      <w:r>
        <w:rPr>
          <w:spacing w:val="-2"/>
        </w:rPr>
        <w:t>日，公司在中国证监会指定披露媒体巨潮资讯网上刊登《</w:t>
      </w:r>
      <w:r>
        <w:rPr>
          <w:rFonts w:ascii="Times New Roman" w:hAnsi="Times New Roman" w:cs="Times New Roman" w:eastAsia="Times New Roman" w:hint="default"/>
          <w:spacing w:val="-2"/>
        </w:rPr>
        <w:t>2017</w:t>
      </w:r>
      <w:r>
        <w:rPr>
          <w:spacing w:val="-2"/>
        </w:rPr>
        <w:t>年年度权益分派实施公告》，本次权益分</w:t>
      </w:r>
      <w:r>
        <w:rPr/>
        <w:t> </w:t>
      </w:r>
      <w:r>
        <w:rPr>
          <w:spacing w:val="-7"/>
        </w:rPr>
        <w:t>派股权登记日为：</w:t>
      </w:r>
      <w:r>
        <w:rPr>
          <w:rFonts w:ascii="Times New Roman" w:hAnsi="Times New Roman" w:cs="Times New Roman" w:eastAsia="Times New Roman" w:hint="default"/>
          <w:spacing w:val="-7"/>
        </w:rPr>
        <w:t>2018</w:t>
      </w:r>
      <w:r>
        <w:rPr>
          <w:spacing w:val="-7"/>
        </w:rPr>
        <w:t>年</w:t>
      </w:r>
      <w:r>
        <w:rPr>
          <w:rFonts w:ascii="Times New Roman" w:hAnsi="Times New Roman" w:cs="Times New Roman" w:eastAsia="Times New Roman" w:hint="default"/>
          <w:spacing w:val="-7"/>
        </w:rPr>
        <w:t>5</w:t>
      </w:r>
      <w:r>
        <w:rPr>
          <w:spacing w:val="-7"/>
        </w:rPr>
        <w:t>月</w:t>
      </w:r>
      <w:r>
        <w:rPr>
          <w:rFonts w:ascii="Times New Roman" w:hAnsi="Times New Roman" w:cs="Times New Roman" w:eastAsia="Times New Roman" w:hint="default"/>
          <w:spacing w:val="-7"/>
        </w:rPr>
        <w:t>28</w:t>
      </w:r>
      <w:r>
        <w:rPr>
          <w:spacing w:val="-7"/>
        </w:rPr>
        <w:t>日，除权除息日为：</w:t>
      </w:r>
      <w:r>
        <w:rPr>
          <w:rFonts w:ascii="Times New Roman" w:hAnsi="Times New Roman" w:cs="Times New Roman" w:eastAsia="Times New Roman" w:hint="default"/>
          <w:spacing w:val="-7"/>
        </w:rPr>
        <w:t>2018</w:t>
      </w:r>
      <w:r>
        <w:rPr>
          <w:spacing w:val="-7"/>
        </w:rPr>
        <w:t>年</w:t>
      </w:r>
      <w:r>
        <w:rPr>
          <w:rFonts w:ascii="Times New Roman" w:hAnsi="Times New Roman" w:cs="Times New Roman" w:eastAsia="Times New Roman" w:hint="default"/>
          <w:spacing w:val="-7"/>
        </w:rPr>
        <w:t>5</w:t>
      </w:r>
      <w:r>
        <w:rPr>
          <w:spacing w:val="-7"/>
        </w:rPr>
        <w:t>月</w:t>
      </w:r>
      <w:r>
        <w:rPr>
          <w:rFonts w:ascii="Times New Roman" w:hAnsi="Times New Roman" w:cs="Times New Roman" w:eastAsia="Times New Roman" w:hint="default"/>
          <w:spacing w:val="-7"/>
        </w:rPr>
        <w:t>29</w:t>
      </w:r>
      <w:r>
        <w:rPr>
          <w:spacing w:val="-7"/>
        </w:rPr>
        <w:t>日。</w:t>
      </w:r>
      <w:r>
        <w:rPr>
          <w:rFonts w:ascii="Times New Roman" w:hAnsi="Times New Roman" w:cs="Times New Roman" w:eastAsia="Times New Roman" w:hint="default"/>
          <w:spacing w:val="-7"/>
        </w:rPr>
        <w:t>2017</w:t>
      </w:r>
      <w:r>
        <w:rPr>
          <w:spacing w:val="-7"/>
        </w:rPr>
        <w:t>年年度权益分派方案为：以公司现有总股本</w:t>
      </w:r>
      <w:r>
        <w:rPr>
          <w:rFonts w:ascii="Times New Roman" w:hAnsi="Times New Roman" w:cs="Times New Roman" w:eastAsia="Times New Roman" w:hint="default"/>
          <w:spacing w:val="-7"/>
        </w:rPr>
        <w:t>242,801,887</w:t>
      </w:r>
      <w:r>
        <w:rPr>
          <w:rFonts w:ascii="Times New Roman" w:hAnsi="Times New Roman" w:cs="Times New Roman" w:eastAsia="Times New Roman" w:hint="default"/>
          <w:spacing w:val="-3"/>
        </w:rPr>
        <w:t> </w:t>
      </w:r>
      <w:r>
        <w:rPr>
          <w:rFonts w:ascii="Times New Roman" w:hAnsi="Times New Roman" w:cs="Times New Roman" w:eastAsia="Times New Roman" w:hint="default"/>
          <w:spacing w:val="-3"/>
        </w:rPr>
      </w:r>
      <w:r>
        <w:rPr>
          <w:spacing w:val="-1"/>
        </w:rPr>
        <w:t>股为基数，向全体股东每</w:t>
      </w:r>
      <w:r>
        <w:rPr>
          <w:rFonts w:ascii="Times New Roman" w:hAnsi="Times New Roman" w:cs="Times New Roman" w:eastAsia="Times New Roman" w:hint="default"/>
          <w:spacing w:val="-1"/>
        </w:rPr>
        <w:t>10</w:t>
      </w:r>
      <w:r>
        <w:rPr>
          <w:spacing w:val="-1"/>
        </w:rPr>
        <w:t>股派</w:t>
      </w:r>
      <w:r>
        <w:rPr>
          <w:rFonts w:ascii="Times New Roman" w:hAnsi="Times New Roman" w:cs="Times New Roman" w:eastAsia="Times New Roman" w:hint="default"/>
          <w:spacing w:val="-1"/>
        </w:rPr>
        <w:t>1.00</w:t>
      </w:r>
      <w:r>
        <w:rPr>
          <w:spacing w:val="-1"/>
        </w:rPr>
        <w:t>人民币现金（含税），同时以资本公积金向全体股东每</w:t>
      </w:r>
      <w:r>
        <w:rPr>
          <w:rFonts w:ascii="Times New Roman" w:hAnsi="Times New Roman" w:cs="Times New Roman" w:eastAsia="Times New Roman" w:hint="default"/>
          <w:spacing w:val="-1"/>
        </w:rPr>
        <w:t>10</w:t>
      </w:r>
      <w:r>
        <w:rPr>
          <w:spacing w:val="-1"/>
        </w:rPr>
        <w:t>股转增</w:t>
      </w:r>
      <w:r>
        <w:rPr>
          <w:rFonts w:ascii="Times New Roman" w:hAnsi="Times New Roman" w:cs="Times New Roman" w:eastAsia="Times New Roman" w:hint="default"/>
          <w:spacing w:val="-1"/>
        </w:rPr>
        <w:t>10</w:t>
      </w:r>
      <w:r>
        <w:rPr>
          <w:spacing w:val="-1"/>
        </w:rPr>
        <w:t>股（具体内容详见公</w:t>
      </w:r>
      <w:r>
        <w:rPr>
          <w:spacing w:val="-80"/>
        </w:rPr>
        <w:t> </w:t>
      </w:r>
      <w:r>
        <w:rPr>
          <w:spacing w:val="-80"/>
        </w:rPr>
      </w:r>
      <w:r>
        <w:rPr>
          <w:spacing w:val="-2"/>
          <w:w w:val="99"/>
        </w:rPr>
        <w:t>司在巨潮资讯网站（</w:t>
      </w:r>
      <w:hyperlink r:id="rId15">
        <w:r>
          <w:rPr>
            <w:rFonts w:ascii="Times New Roman" w:hAnsi="Times New Roman" w:cs="Times New Roman" w:eastAsia="Times New Roman" w:hint="default"/>
            <w:spacing w:val="-2"/>
            <w:w w:val="99"/>
          </w:rPr>
          <w:t>www.cninfo.com.cn</w:t>
        </w:r>
      </w:hyperlink>
      <w:r>
        <w:rPr>
          <w:spacing w:val="-2"/>
          <w:w w:val="99"/>
        </w:rPr>
        <w:t>）披露的公告</w:t>
      </w:r>
      <w:r>
        <w:rPr>
          <w:rFonts w:ascii="Times New Roman" w:hAnsi="Times New Roman" w:cs="Times New Roman" w:eastAsia="Times New Roman" w:hint="default"/>
          <w:spacing w:val="-2"/>
          <w:w w:val="99"/>
        </w:rPr>
        <w:t>,</w:t>
      </w:r>
      <w:r>
        <w:rPr>
          <w:spacing w:val="-2"/>
          <w:w w:val="99"/>
        </w:rPr>
        <w:t>公告编号：</w:t>
      </w:r>
      <w:r>
        <w:rPr>
          <w:rFonts w:ascii="Times New Roman" w:hAnsi="Times New Roman" w:cs="Times New Roman" w:eastAsia="Times New Roman" w:hint="default"/>
          <w:spacing w:val="-2"/>
          <w:w w:val="99"/>
        </w:rPr>
        <w:t>2018-057</w:t>
      </w:r>
      <w:r>
        <w:rPr>
          <w:spacing w:val="-2"/>
          <w:w w:val="99"/>
        </w:rPr>
        <w:t>）。本次利润分配后，公司总股本由</w:t>
      </w:r>
      <w:r>
        <w:rPr>
          <w:rFonts w:ascii="Times New Roman" w:hAnsi="Times New Roman" w:cs="Times New Roman" w:eastAsia="Times New Roman" w:hint="default"/>
          <w:spacing w:val="-2"/>
          <w:w w:val="99"/>
        </w:rPr>
        <w:t>242,801,887</w:t>
      </w:r>
      <w:r>
        <w:rPr>
          <w:spacing w:val="-2"/>
          <w:w w:val="99"/>
        </w:rPr>
        <w:t>股</w:t>
      </w:r>
      <w:r>
        <w:rPr>
          <w:spacing w:val="-77"/>
          <w:w w:val="99"/>
        </w:rPr>
        <w:t> </w:t>
      </w:r>
      <w:r>
        <w:rPr/>
        <w:t>增加至</w:t>
      </w:r>
      <w:r>
        <w:rPr>
          <w:rFonts w:ascii="Times New Roman" w:hAnsi="Times New Roman" w:cs="Times New Roman" w:eastAsia="Times New Roman" w:hint="default"/>
        </w:rPr>
        <w:t>485,603,774</w:t>
      </w:r>
      <w:r>
        <w:rPr/>
        <w:t>股。</w:t>
      </w:r>
    </w:p>
    <w:p>
      <w:pPr>
        <w:pStyle w:val="BodyText"/>
        <w:spacing w:line="300" w:lineRule="auto" w:before="13"/>
        <w:ind w:right="0" w:firstLine="360"/>
        <w:jc w:val="left"/>
      </w:pPr>
      <w:r>
        <w:rPr>
          <w:rFonts w:ascii="Times New Roman" w:hAnsi="Times New Roman" w:cs="Times New Roman" w:eastAsia="Times New Roman" w:hint="default"/>
          <w:spacing w:val="-4"/>
        </w:rPr>
        <w:t>3</w:t>
      </w:r>
      <w:r>
        <w:rPr>
          <w:spacing w:val="-4"/>
        </w:rPr>
        <w:t>、根据公司《股票期权与限制性股票激励计划（草案修订稿）》的规定及公司</w:t>
      </w:r>
      <w:r>
        <w:rPr>
          <w:rFonts w:ascii="Times New Roman" w:hAnsi="Times New Roman" w:cs="Times New Roman" w:eastAsia="Times New Roman" w:hint="default"/>
          <w:spacing w:val="-4"/>
        </w:rPr>
        <w:t>2015</w:t>
      </w:r>
      <w:r>
        <w:rPr>
          <w:spacing w:val="-4"/>
        </w:rPr>
        <w:t>年第三次临时股东大会的授权，公司</w:t>
      </w:r>
      <w:r>
        <w:rPr/>
        <w:t> </w:t>
      </w:r>
      <w:r>
        <w:rPr>
          <w:spacing w:val="-2"/>
        </w:rPr>
        <w:t>第六届董事会第三次会议、第六届董事会第九次会议、第六届董事会第十一次会议、第六届董事会第十二次会议分别审议通</w:t>
      </w:r>
    </w:p>
    <w:p>
      <w:pPr>
        <w:spacing w:after="0" w:line="300" w:lineRule="auto"/>
        <w:jc w:val="left"/>
        <w:sectPr>
          <w:footerReference w:type="default" r:id="rId35"/>
          <w:pgSz w:w="11910" w:h="16840"/>
          <w:pgMar w:footer="1016" w:header="907" w:top="1100" w:bottom="1200" w:left="1020" w:right="0"/>
          <w:pgNumType w:start="70"/>
        </w:sectPr>
      </w:pPr>
    </w:p>
    <w:p>
      <w:pPr>
        <w:spacing w:line="240" w:lineRule="auto" w:before="13"/>
        <w:rPr>
          <w:rFonts w:ascii="宋体" w:hAnsi="宋体" w:cs="宋体" w:eastAsia="宋体" w:hint="default"/>
          <w:sz w:val="22"/>
          <w:szCs w:val="22"/>
        </w:rPr>
      </w:pPr>
    </w:p>
    <w:p>
      <w:pPr>
        <w:pStyle w:val="BodyText"/>
        <w:spacing w:line="240" w:lineRule="auto" w:before="44"/>
        <w:ind w:right="0"/>
        <w:jc w:val="both"/>
      </w:pPr>
      <w:r>
        <w:rPr/>
        <w:t>过</w:t>
      </w:r>
      <w:r>
        <w:rPr>
          <w:spacing w:val="-64"/>
        </w:rPr>
        <w:t> </w:t>
      </w:r>
      <w:r>
        <w:rPr/>
        <w:t>了</w:t>
      </w:r>
      <w:r>
        <w:rPr>
          <w:spacing w:val="-62"/>
        </w:rPr>
        <w:t> </w:t>
      </w:r>
      <w:r>
        <w:rPr/>
        <w:t>《</w:t>
      </w:r>
      <w:r>
        <w:rPr>
          <w:spacing w:val="-64"/>
        </w:rPr>
        <w:t> </w:t>
      </w:r>
      <w:r>
        <w:rPr/>
        <w:t>关</w:t>
      </w:r>
      <w:r>
        <w:rPr>
          <w:spacing w:val="-62"/>
        </w:rPr>
        <w:t> </w:t>
      </w:r>
      <w:r>
        <w:rPr/>
        <w:t>于</w:t>
      </w:r>
      <w:r>
        <w:rPr>
          <w:spacing w:val="-64"/>
        </w:rPr>
        <w:t> </w:t>
      </w:r>
      <w:r>
        <w:rPr/>
        <w:t>对</w:t>
      </w:r>
      <w:r>
        <w:rPr>
          <w:spacing w:val="-62"/>
        </w:rPr>
        <w:t> </w:t>
      </w:r>
      <w:r>
        <w:rPr/>
        <w:t>股</w:t>
      </w:r>
      <w:r>
        <w:rPr>
          <w:spacing w:val="-64"/>
        </w:rPr>
        <w:t> </w:t>
      </w:r>
      <w:r>
        <w:rPr/>
        <w:t>票</w:t>
      </w:r>
      <w:r>
        <w:rPr>
          <w:spacing w:val="-62"/>
        </w:rPr>
        <w:t> </w:t>
      </w:r>
      <w:r>
        <w:rPr/>
        <w:t>期</w:t>
      </w:r>
      <w:r>
        <w:rPr>
          <w:spacing w:val="-64"/>
        </w:rPr>
        <w:t> </w:t>
      </w:r>
      <w:r>
        <w:rPr/>
        <w:t>权</w:t>
      </w:r>
      <w:r>
        <w:rPr>
          <w:spacing w:val="-62"/>
        </w:rPr>
        <w:t> </w:t>
      </w:r>
      <w:r>
        <w:rPr/>
        <w:t>与</w:t>
      </w:r>
      <w:r>
        <w:rPr>
          <w:spacing w:val="-64"/>
        </w:rPr>
        <w:t> </w:t>
      </w:r>
      <w:r>
        <w:rPr/>
        <w:t>限</w:t>
      </w:r>
      <w:r>
        <w:rPr>
          <w:spacing w:val="-62"/>
        </w:rPr>
        <w:t> </w:t>
      </w:r>
      <w:r>
        <w:rPr/>
        <w:t>制</w:t>
      </w:r>
      <w:r>
        <w:rPr>
          <w:spacing w:val="-64"/>
        </w:rPr>
        <w:t> </w:t>
      </w:r>
      <w:r>
        <w:rPr/>
        <w:t>性</w:t>
      </w:r>
      <w:r>
        <w:rPr>
          <w:spacing w:val="-62"/>
        </w:rPr>
        <w:t> </w:t>
      </w:r>
      <w:r>
        <w:rPr/>
        <w:t>股</w:t>
      </w:r>
      <w:r>
        <w:rPr>
          <w:spacing w:val="-64"/>
        </w:rPr>
        <w:t> </w:t>
      </w:r>
      <w:r>
        <w:rPr/>
        <w:t>票</w:t>
      </w:r>
      <w:r>
        <w:rPr>
          <w:spacing w:val="-62"/>
        </w:rPr>
        <w:t> </w:t>
      </w:r>
      <w:r>
        <w:rPr/>
        <w:t>激</w:t>
      </w:r>
      <w:r>
        <w:rPr>
          <w:spacing w:val="-64"/>
        </w:rPr>
        <w:t> </w:t>
      </w:r>
      <w:r>
        <w:rPr/>
        <w:t>励</w:t>
      </w:r>
      <w:r>
        <w:rPr>
          <w:spacing w:val="-62"/>
        </w:rPr>
        <w:t> </w:t>
      </w:r>
      <w:r>
        <w:rPr/>
        <w:t>计</w:t>
      </w:r>
      <w:r>
        <w:rPr>
          <w:spacing w:val="-64"/>
        </w:rPr>
        <w:t> </w:t>
      </w:r>
      <w:r>
        <w:rPr/>
        <w:t>划</w:t>
      </w:r>
      <w:r>
        <w:rPr>
          <w:spacing w:val="-62"/>
        </w:rPr>
        <w:t> </w:t>
      </w:r>
      <w:r>
        <w:rPr/>
        <w:t>部</w:t>
      </w:r>
      <w:r>
        <w:rPr>
          <w:spacing w:val="-64"/>
        </w:rPr>
        <w:t> </w:t>
      </w:r>
      <w:r>
        <w:rPr/>
        <w:t>分</w:t>
      </w:r>
      <w:r>
        <w:rPr>
          <w:spacing w:val="-62"/>
        </w:rPr>
        <w:t> </w:t>
      </w:r>
      <w:r>
        <w:rPr/>
        <w:t>激</w:t>
      </w:r>
      <w:r>
        <w:rPr>
          <w:spacing w:val="-64"/>
        </w:rPr>
        <w:t> </w:t>
      </w:r>
      <w:r>
        <w:rPr/>
        <w:t>励</w:t>
      </w:r>
      <w:r>
        <w:rPr>
          <w:spacing w:val="-62"/>
        </w:rPr>
        <w:t> </w:t>
      </w:r>
      <w:r>
        <w:rPr/>
        <w:t>股</w:t>
      </w:r>
      <w:r>
        <w:rPr>
          <w:spacing w:val="-64"/>
        </w:rPr>
        <w:t> </w:t>
      </w:r>
      <w:r>
        <w:rPr/>
        <w:t>份</w:t>
      </w:r>
      <w:r>
        <w:rPr>
          <w:spacing w:val="-62"/>
        </w:rPr>
        <w:t> </w:t>
      </w:r>
      <w:r>
        <w:rPr/>
        <w:t>回</w:t>
      </w:r>
      <w:r>
        <w:rPr>
          <w:spacing w:val="-64"/>
        </w:rPr>
        <w:t> </w:t>
      </w:r>
      <w:r>
        <w:rPr/>
        <w:t>购</w:t>
      </w:r>
      <w:r>
        <w:rPr>
          <w:spacing w:val="-62"/>
        </w:rPr>
        <w:t> </w:t>
      </w:r>
      <w:r>
        <w:rPr/>
        <w:t>注</w:t>
      </w:r>
      <w:r>
        <w:rPr>
          <w:spacing w:val="-64"/>
        </w:rPr>
        <w:t> </w:t>
      </w:r>
      <w:r>
        <w:rPr/>
        <w:t>销</w:t>
      </w:r>
      <w:r>
        <w:rPr>
          <w:spacing w:val="-62"/>
        </w:rPr>
        <w:t> </w:t>
      </w:r>
      <w:r>
        <w:rPr/>
        <w:t>的</w:t>
      </w:r>
      <w:r>
        <w:rPr>
          <w:spacing w:val="-64"/>
        </w:rPr>
        <w:t> </w:t>
      </w:r>
      <w:r>
        <w:rPr/>
        <w:t>议</w:t>
      </w:r>
      <w:r>
        <w:rPr>
          <w:spacing w:val="-62"/>
        </w:rPr>
        <w:t> </w:t>
      </w:r>
      <w:r>
        <w:rPr/>
        <w:t>案</w:t>
      </w:r>
      <w:r>
        <w:rPr>
          <w:spacing w:val="-64"/>
        </w:rPr>
        <w:t> </w:t>
      </w:r>
      <w:r>
        <w:rPr>
          <w:spacing w:val="-32"/>
        </w:rPr>
        <w:t>》（</w:t>
      </w:r>
      <w:r>
        <w:rPr>
          <w:spacing w:val="-64"/>
        </w:rPr>
        <w:t> </w:t>
      </w:r>
      <w:r>
        <w:rPr/>
        <w:t>具</w:t>
      </w:r>
      <w:r>
        <w:rPr>
          <w:spacing w:val="-62"/>
        </w:rPr>
        <w:t> </w:t>
      </w:r>
      <w:r>
        <w:rPr/>
        <w:t>体</w:t>
      </w:r>
      <w:r>
        <w:rPr>
          <w:spacing w:val="-64"/>
        </w:rPr>
        <w:t> </w:t>
      </w:r>
      <w:r>
        <w:rPr/>
        <w:t>详</w:t>
      </w:r>
      <w:r>
        <w:rPr>
          <w:spacing w:val="-62"/>
        </w:rPr>
        <w:t> </w:t>
      </w:r>
      <w:r>
        <w:rPr/>
        <w:t>见</w:t>
      </w:r>
      <w:r>
        <w:rPr>
          <w:spacing w:val="-64"/>
        </w:rPr>
        <w:t> </w:t>
      </w:r>
      <w:r>
        <w:rPr/>
        <w:t>刊</w:t>
      </w:r>
      <w:r>
        <w:rPr>
          <w:spacing w:val="-62"/>
        </w:rPr>
        <w:t> </w:t>
      </w:r>
      <w:r>
        <w:rPr/>
        <w:t>登</w:t>
      </w:r>
      <w:r>
        <w:rPr>
          <w:spacing w:val="-64"/>
        </w:rPr>
        <w:t> </w:t>
      </w:r>
      <w:r>
        <w:rPr/>
        <w:t>在</w:t>
      </w:r>
      <w:r>
        <w:rPr>
          <w:spacing w:val="-62"/>
        </w:rPr>
        <w:t> </w:t>
      </w:r>
      <w:r>
        <w:rPr/>
        <w:t>巨</w:t>
      </w:r>
      <w:r>
        <w:rPr>
          <w:spacing w:val="-64"/>
        </w:rPr>
        <w:t> </w:t>
      </w:r>
      <w:r>
        <w:rPr/>
        <w:t>潮</w:t>
      </w:r>
      <w:r>
        <w:rPr>
          <w:spacing w:val="-62"/>
        </w:rPr>
        <w:t> </w:t>
      </w:r>
      <w:r>
        <w:rPr/>
        <w:t>资</w:t>
      </w:r>
      <w:r>
        <w:rPr>
          <w:spacing w:val="-64"/>
        </w:rPr>
        <w:t> </w:t>
      </w:r>
      <w:r>
        <w:rPr/>
        <w:t>讯</w:t>
      </w:r>
      <w:r>
        <w:rPr>
          <w:spacing w:val="-62"/>
        </w:rPr>
        <w:t> </w:t>
      </w:r>
      <w:r>
        <w:rPr/>
        <w:t>网</w:t>
      </w:r>
    </w:p>
    <w:p>
      <w:pPr>
        <w:pStyle w:val="BodyText"/>
        <w:spacing w:line="300" w:lineRule="auto" w:before="76"/>
        <w:ind w:right="1060"/>
        <w:jc w:val="both"/>
      </w:pPr>
      <w:r>
        <w:rPr>
          <w:spacing w:val="-2"/>
          <w:w w:val="99"/>
        </w:rPr>
        <w:t>（</w:t>
      </w:r>
      <w:r>
        <w:rPr>
          <w:rFonts w:ascii="Times New Roman" w:hAnsi="Times New Roman" w:cs="Times New Roman" w:eastAsia="Times New Roman" w:hint="default"/>
          <w:spacing w:val="-2"/>
          <w:w w:val="99"/>
        </w:rPr>
        <w:t>www.cninfo.com.cn)</w:t>
      </w:r>
      <w:r>
        <w:rPr>
          <w:spacing w:val="-2"/>
          <w:w w:val="99"/>
        </w:rPr>
        <w:t>的相关公告，公告编号：</w:t>
      </w:r>
      <w:r>
        <w:rPr>
          <w:rFonts w:ascii="Times New Roman" w:hAnsi="Times New Roman" w:cs="Times New Roman" w:eastAsia="Times New Roman" w:hint="default"/>
          <w:spacing w:val="-2"/>
          <w:w w:val="99"/>
        </w:rPr>
        <w:t>2017-107</w:t>
      </w:r>
      <w:r>
        <w:rPr>
          <w:spacing w:val="-2"/>
          <w:w w:val="99"/>
        </w:rPr>
        <w:t>、</w:t>
      </w:r>
      <w:r>
        <w:rPr>
          <w:rFonts w:ascii="Times New Roman" w:hAnsi="Times New Roman" w:cs="Times New Roman" w:eastAsia="Times New Roman" w:hint="default"/>
          <w:spacing w:val="-2"/>
          <w:w w:val="99"/>
        </w:rPr>
        <w:t>2018-039</w:t>
      </w:r>
      <w:r>
        <w:rPr>
          <w:spacing w:val="-2"/>
          <w:w w:val="99"/>
        </w:rPr>
        <w:t>、</w:t>
      </w:r>
      <w:r>
        <w:rPr>
          <w:rFonts w:ascii="Times New Roman" w:hAnsi="Times New Roman" w:cs="Times New Roman" w:eastAsia="Times New Roman" w:hint="default"/>
          <w:spacing w:val="-2"/>
          <w:w w:val="99"/>
        </w:rPr>
        <w:t>2018-047</w:t>
      </w:r>
      <w:r>
        <w:rPr>
          <w:spacing w:val="-2"/>
          <w:w w:val="99"/>
        </w:rPr>
        <w:t>、</w:t>
      </w:r>
      <w:r>
        <w:rPr>
          <w:rFonts w:ascii="Times New Roman" w:hAnsi="Times New Roman" w:cs="Times New Roman" w:eastAsia="Times New Roman" w:hint="default"/>
          <w:spacing w:val="-2"/>
          <w:w w:val="99"/>
        </w:rPr>
        <w:t>2018-061</w:t>
      </w:r>
      <w:r>
        <w:rPr>
          <w:spacing w:val="-2"/>
          <w:w w:val="99"/>
        </w:rPr>
        <w:t>、</w:t>
      </w:r>
      <w:r>
        <w:rPr>
          <w:rFonts w:ascii="Times New Roman" w:hAnsi="Times New Roman" w:cs="Times New Roman" w:eastAsia="Times New Roman" w:hint="default"/>
          <w:spacing w:val="-2"/>
          <w:w w:val="99"/>
        </w:rPr>
        <w:t>2018-062</w:t>
      </w:r>
      <w:r>
        <w:rPr>
          <w:spacing w:val="-2"/>
          <w:w w:val="99"/>
        </w:rPr>
        <w:t>、</w:t>
      </w:r>
      <w:r>
        <w:rPr>
          <w:rFonts w:ascii="Times New Roman" w:hAnsi="Times New Roman" w:cs="Times New Roman" w:eastAsia="Times New Roman" w:hint="default"/>
          <w:spacing w:val="-2"/>
          <w:w w:val="99"/>
        </w:rPr>
        <w:t>2018-063</w:t>
      </w:r>
      <w:r>
        <w:rPr>
          <w:spacing w:val="-2"/>
          <w:w w:val="99"/>
        </w:rPr>
        <w:t>），截至</w:t>
      </w:r>
      <w:r>
        <w:rPr>
          <w:rFonts w:ascii="Times New Roman" w:hAnsi="Times New Roman" w:cs="Times New Roman" w:eastAsia="Times New Roman" w:hint="default"/>
          <w:spacing w:val="-2"/>
          <w:w w:val="99"/>
        </w:rPr>
        <w:t>2018</w:t>
      </w:r>
      <w:r>
        <w:rPr>
          <w:rFonts w:ascii="Times New Roman" w:hAnsi="Times New Roman" w:cs="Times New Roman" w:eastAsia="Times New Roman" w:hint="default"/>
        </w:rPr>
        <w:t> </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8</w:t>
      </w:r>
      <w:r>
        <w:rPr/>
        <w:t>日，上述限制性股票已在中国证券登记结算有限责任公司深圳分公司完成注销回购手续，公司本次回购注销的股票</w:t>
      </w:r>
      <w:r>
        <w:rPr>
          <w:spacing w:val="-85"/>
        </w:rPr>
        <w:t> </w:t>
      </w:r>
      <w:r>
        <w:rPr>
          <w:spacing w:val="-85"/>
        </w:rPr>
      </w:r>
      <w:r>
        <w:rPr>
          <w:spacing w:val="-1"/>
        </w:rPr>
        <w:t>数量为</w:t>
      </w:r>
      <w:r>
        <w:rPr>
          <w:rFonts w:ascii="Times New Roman" w:hAnsi="Times New Roman" w:cs="Times New Roman" w:eastAsia="Times New Roman" w:hint="default"/>
          <w:spacing w:val="-1"/>
        </w:rPr>
        <w:t>147,376</w:t>
      </w:r>
      <w:r>
        <w:rPr>
          <w:spacing w:val="-1"/>
        </w:rPr>
        <w:t>股，占回购前公司总股本的</w:t>
      </w:r>
      <w:r>
        <w:rPr>
          <w:rFonts w:ascii="Times New Roman" w:hAnsi="Times New Roman" w:cs="Times New Roman" w:eastAsia="Times New Roman" w:hint="default"/>
          <w:spacing w:val="-1"/>
        </w:rPr>
        <w:t>0.0303%</w:t>
      </w:r>
      <w:r>
        <w:rPr>
          <w:spacing w:val="-1"/>
        </w:rPr>
        <w:t>（具体内容详见公司在巨潮资讯网站（</w:t>
      </w:r>
      <w:hyperlink r:id="rId15">
        <w:r>
          <w:rPr>
            <w:rFonts w:ascii="Times New Roman" w:hAnsi="Times New Roman" w:cs="Times New Roman" w:eastAsia="Times New Roman" w:hint="default"/>
            <w:spacing w:val="-1"/>
          </w:rPr>
          <w:t>www.cninfo.com.cn</w:t>
        </w:r>
      </w:hyperlink>
      <w:r>
        <w:rPr>
          <w:spacing w:val="-1"/>
        </w:rPr>
        <w:t>）披露的公告，</w:t>
      </w:r>
      <w:r>
        <w:rPr>
          <w:spacing w:val="-40"/>
        </w:rPr>
        <w:t> </w:t>
      </w:r>
      <w:r>
        <w:rPr>
          <w:spacing w:val="-40"/>
        </w:rPr>
      </w:r>
      <w:r>
        <w:rPr>
          <w:spacing w:val="-2"/>
        </w:rPr>
        <w:t>公告编号：</w:t>
      </w:r>
      <w:r>
        <w:rPr>
          <w:rFonts w:ascii="Times New Roman" w:hAnsi="Times New Roman" w:cs="Times New Roman" w:eastAsia="Times New Roman" w:hint="default"/>
          <w:spacing w:val="-2"/>
        </w:rPr>
        <w:t>2018-078</w:t>
      </w:r>
      <w:r>
        <w:rPr>
          <w:spacing w:val="-2"/>
        </w:rPr>
        <w:t>）。本次回购注销后，公司总股本由</w:t>
      </w:r>
      <w:r>
        <w:rPr>
          <w:rFonts w:ascii="Times New Roman" w:hAnsi="Times New Roman" w:cs="Times New Roman" w:eastAsia="Times New Roman" w:hint="default"/>
          <w:spacing w:val="-2"/>
        </w:rPr>
        <w:t>485,603,774</w:t>
      </w:r>
      <w:r>
        <w:rPr>
          <w:spacing w:val="-2"/>
        </w:rPr>
        <w:t>股变为</w:t>
      </w:r>
      <w:r>
        <w:rPr>
          <w:rFonts w:ascii="Times New Roman" w:hAnsi="Times New Roman" w:cs="Times New Roman" w:eastAsia="Times New Roman" w:hint="default"/>
          <w:spacing w:val="-2"/>
        </w:rPr>
        <w:t>485,456,398</w:t>
      </w:r>
      <w:r>
        <w:rPr>
          <w:spacing w:val="-2"/>
        </w:rPr>
        <w:t>股。</w:t>
      </w:r>
    </w:p>
    <w:p>
      <w:pPr>
        <w:spacing w:line="240" w:lineRule="auto" w:before="13"/>
        <w:rPr>
          <w:rFonts w:ascii="宋体" w:hAnsi="宋体" w:cs="宋体" w:eastAsia="宋体" w:hint="default"/>
          <w:sz w:val="21"/>
          <w:szCs w:val="21"/>
        </w:rPr>
      </w:pPr>
    </w:p>
    <w:p>
      <w:pPr>
        <w:pStyle w:val="Heading3"/>
        <w:spacing w:line="240" w:lineRule="auto"/>
        <w:ind w:right="0"/>
        <w:jc w:val="both"/>
        <w:rPr>
          <w:b w:val="0"/>
          <w:bCs w:val="0"/>
        </w:rPr>
      </w:pPr>
      <w:bookmarkStart w:name="3、现存的内部职工股情况" w:id="123"/>
      <w:bookmarkEnd w:id="123"/>
      <w:r>
        <w:rPr>
          <w:b w:val="0"/>
          <w:bCs w:val="0"/>
        </w:rPr>
      </w:r>
      <w:r>
        <w:rPr>
          <w:rFonts w:ascii="Times New Roman" w:hAnsi="Times New Roman" w:cs="Times New Roman" w:eastAsia="Times New Roman" w:hint="default"/>
        </w:rPr>
        <w:t>3</w:t>
      </w:r>
      <w:r>
        <w:rPr/>
        <w:t>、现存的内部职工股情况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204" w:right="0"/>
        <w:jc w:val="both"/>
      </w:pPr>
      <w:r>
        <w:rPr/>
        <w:t>□ 适用  √</w:t>
      </w:r>
      <w:r>
        <w:rPr>
          <w:spacing w:val="-1"/>
        </w:rPr>
        <w:t> </w:t>
      </w:r>
      <w:r>
        <w:rPr/>
        <w:t>不适用</w:t>
      </w:r>
    </w:p>
    <w:p>
      <w:pPr>
        <w:spacing w:line="240" w:lineRule="auto" w:before="1"/>
        <w:rPr>
          <w:rFonts w:ascii="宋体" w:hAnsi="宋体" w:cs="宋体" w:eastAsia="宋体" w:hint="default"/>
          <w:sz w:val="25"/>
          <w:szCs w:val="25"/>
        </w:rPr>
      </w:pPr>
    </w:p>
    <w:p>
      <w:pPr>
        <w:pStyle w:val="Heading2"/>
        <w:spacing w:line="240" w:lineRule="auto"/>
        <w:ind w:right="0"/>
        <w:jc w:val="both"/>
        <w:rPr>
          <w:b w:val="0"/>
          <w:bCs w:val="0"/>
        </w:rPr>
      </w:pPr>
      <w:bookmarkStart w:name="三、股东和实际控制人情况" w:id="124"/>
      <w:bookmarkEnd w:id="124"/>
      <w:r>
        <w:rPr>
          <w:b w:val="0"/>
          <w:bCs w:val="0"/>
        </w:rPr>
      </w:r>
      <w:r>
        <w:rPr/>
        <w:t>三、股东和实际控制人情况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both"/>
        <w:rPr>
          <w:b w:val="0"/>
          <w:bCs w:val="0"/>
        </w:rPr>
      </w:pPr>
      <w:bookmarkStart w:name="1、公司股东数量及持股情况" w:id="125"/>
      <w:bookmarkEnd w:id="125"/>
      <w:r>
        <w:rPr>
          <w:b w:val="0"/>
          <w:bCs w:val="0"/>
        </w:rPr>
      </w:r>
      <w:r>
        <w:rPr>
          <w:rFonts w:ascii="Times New Roman" w:hAnsi="Times New Roman" w:cs="Times New Roman" w:eastAsia="Times New Roman" w:hint="default"/>
        </w:rPr>
        <w:t>1</w:t>
      </w:r>
      <w:r>
        <w:rPr/>
        <w:t>、公司股东数量及持股情况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0" w:right="1132"/>
        <w:jc w:val="right"/>
      </w:pPr>
      <w:r>
        <w:rPr/>
        <w:t>单位：股</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34"/>
        <w:gridCol w:w="796"/>
        <w:gridCol w:w="175"/>
        <w:gridCol w:w="955"/>
        <w:gridCol w:w="332"/>
        <w:gridCol w:w="742"/>
        <w:gridCol w:w="453"/>
        <w:gridCol w:w="672"/>
        <w:gridCol w:w="657"/>
        <w:gridCol w:w="382"/>
        <w:gridCol w:w="1104"/>
        <w:gridCol w:w="906"/>
        <w:gridCol w:w="1059"/>
      </w:tblGrid>
      <w:tr>
        <w:trPr>
          <w:trHeight w:val="3522" w:hRule="exact"/>
        </w:trPr>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316" w:lineRule="auto"/>
              <w:ind w:left="101" w:right="140"/>
              <w:jc w:val="left"/>
              <w:rPr>
                <w:rFonts w:ascii="宋体" w:hAnsi="宋体" w:cs="宋体" w:eastAsia="宋体" w:hint="default"/>
                <w:sz w:val="18"/>
                <w:szCs w:val="18"/>
              </w:rPr>
            </w:pPr>
            <w:r>
              <w:rPr>
                <w:rFonts w:ascii="宋体" w:hAnsi="宋体" w:cs="宋体" w:eastAsia="宋体" w:hint="default"/>
                <w:sz w:val="18"/>
                <w:szCs w:val="18"/>
              </w:rPr>
              <w:t>报告期末普通 股股东总数</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88" w:right="0"/>
              <w:jc w:val="left"/>
              <w:rPr>
                <w:rFonts w:ascii="Times New Roman" w:hAnsi="Times New Roman" w:cs="Times New Roman" w:eastAsia="Times New Roman" w:hint="default"/>
                <w:sz w:val="18"/>
                <w:szCs w:val="18"/>
              </w:rPr>
            </w:pPr>
            <w:r>
              <w:rPr>
                <w:rFonts w:ascii="Times New Roman"/>
                <w:sz w:val="18"/>
              </w:rPr>
              <w:t>26,887</w:t>
            </w:r>
          </w:p>
        </w:tc>
        <w:tc>
          <w:tcPr>
            <w:tcW w:w="146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316" w:lineRule="auto"/>
              <w:ind w:left="103" w:right="267"/>
              <w:jc w:val="both"/>
              <w:rPr>
                <w:rFonts w:ascii="宋体" w:hAnsi="宋体" w:cs="宋体" w:eastAsia="宋体" w:hint="default"/>
                <w:sz w:val="18"/>
                <w:szCs w:val="18"/>
              </w:rPr>
            </w:pPr>
            <w:r>
              <w:rPr>
                <w:rFonts w:ascii="宋体" w:hAnsi="宋体" w:cs="宋体" w:eastAsia="宋体" w:hint="default"/>
                <w:sz w:val="18"/>
                <w:szCs w:val="18"/>
              </w:rPr>
              <w:t>年度报告披露 日前上一月末 普通股股东总 数</w:t>
            </w:r>
          </w:p>
        </w:tc>
        <w:tc>
          <w:tcPr>
            <w:tcW w:w="11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587" w:right="0"/>
              <w:jc w:val="left"/>
              <w:rPr>
                <w:rFonts w:ascii="Times New Roman" w:hAnsi="Times New Roman" w:cs="Times New Roman" w:eastAsia="Times New Roman" w:hint="default"/>
                <w:sz w:val="18"/>
                <w:szCs w:val="18"/>
              </w:rPr>
            </w:pPr>
            <w:r>
              <w:rPr>
                <w:rFonts w:ascii="Times New Roman"/>
                <w:sz w:val="18"/>
              </w:rPr>
              <w:t>23,348</w:t>
            </w:r>
          </w:p>
        </w:tc>
        <w:tc>
          <w:tcPr>
            <w:tcW w:w="132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316" w:lineRule="auto"/>
              <w:ind w:left="102" w:right="134"/>
              <w:jc w:val="both"/>
              <w:rPr>
                <w:rFonts w:ascii="宋体" w:hAnsi="宋体" w:cs="宋体" w:eastAsia="宋体" w:hint="default"/>
                <w:sz w:val="18"/>
                <w:szCs w:val="18"/>
              </w:rPr>
            </w:pPr>
            <w:r>
              <w:rPr>
                <w:rFonts w:ascii="宋体" w:hAnsi="宋体" w:cs="宋体" w:eastAsia="宋体" w:hint="default"/>
                <w:sz w:val="18"/>
                <w:szCs w:val="18"/>
              </w:rPr>
              <w:t>报告期末表决 权恢复的优先 股股东总数</w:t>
            </w:r>
          </w:p>
          <w:p>
            <w:pPr>
              <w:pStyle w:val="TableParagraph"/>
              <w:spacing w:line="316" w:lineRule="auto" w:before="19"/>
              <w:ind w:left="102" w:right="100"/>
              <w:jc w:val="both"/>
              <w:rPr>
                <w:rFonts w:ascii="宋体" w:hAnsi="宋体" w:cs="宋体" w:eastAsia="宋体" w:hint="default"/>
                <w:sz w:val="18"/>
                <w:szCs w:val="18"/>
              </w:rPr>
            </w:pPr>
            <w:r>
              <w:rPr>
                <w:rFonts w:ascii="宋体" w:hAnsi="宋体" w:cs="宋体" w:eastAsia="宋体" w:hint="default"/>
                <w:spacing w:val="-21"/>
                <w:sz w:val="18"/>
                <w:szCs w:val="18"/>
              </w:rPr>
              <w:t>（如有）（参见</w:t>
            </w:r>
            <w:r>
              <w:rPr>
                <w:rFonts w:ascii="宋体" w:hAnsi="宋体" w:cs="宋体" w:eastAsia="宋体" w:hint="default"/>
                <w:sz w:val="18"/>
                <w:szCs w:val="18"/>
              </w:rPr>
              <w:t> 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w:t>
            </w:r>
          </w:p>
        </w:tc>
        <w:tc>
          <w:tcPr>
            <w:tcW w:w="14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0</w:t>
            </w:r>
          </w:p>
        </w:tc>
        <w:tc>
          <w:tcPr>
            <w:tcW w:w="9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3" w:right="116"/>
              <w:jc w:val="left"/>
              <w:rPr>
                <w:rFonts w:ascii="宋体" w:hAnsi="宋体" w:cs="宋体" w:eastAsia="宋体" w:hint="default"/>
                <w:sz w:val="18"/>
                <w:szCs w:val="18"/>
              </w:rPr>
            </w:pPr>
            <w:r>
              <w:rPr>
                <w:rFonts w:ascii="宋体" w:hAnsi="宋体" w:cs="宋体" w:eastAsia="宋体" w:hint="default"/>
                <w:sz w:val="18"/>
                <w:szCs w:val="18"/>
              </w:rPr>
              <w:t>年度报 告披露 日前上 一月末 表决权 恢复的 优先股 股东总 数（如 </w:t>
            </w:r>
            <w:r>
              <w:rPr>
                <w:rFonts w:ascii="宋体" w:hAnsi="宋体" w:cs="宋体" w:eastAsia="宋体" w:hint="default"/>
                <w:spacing w:val="-23"/>
                <w:sz w:val="18"/>
                <w:szCs w:val="18"/>
              </w:rPr>
              <w:t>有）（参</w:t>
            </w:r>
            <w:r>
              <w:rPr>
                <w:rFonts w:ascii="宋体" w:hAnsi="宋体" w:cs="宋体" w:eastAsia="宋体" w:hint="default"/>
                <w:sz w:val="18"/>
                <w:szCs w:val="18"/>
              </w:rPr>
              <w:t> 见注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9567"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061"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名股东持股情况</w:t>
            </w:r>
          </w:p>
        </w:tc>
      </w:tr>
      <w:tr>
        <w:trPr>
          <w:trHeight w:val="402" w:hRule="exact"/>
        </w:trPr>
        <w:tc>
          <w:tcPr>
            <w:tcW w:w="133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01"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97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19"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95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13"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107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173" w:right="169"/>
              <w:jc w:val="left"/>
              <w:rPr>
                <w:rFonts w:ascii="宋体" w:hAnsi="宋体" w:cs="宋体" w:eastAsia="宋体" w:hint="default"/>
                <w:sz w:val="18"/>
                <w:szCs w:val="18"/>
              </w:rPr>
            </w:pPr>
            <w:r>
              <w:rPr>
                <w:rFonts w:ascii="宋体" w:hAnsi="宋体" w:cs="宋体" w:eastAsia="宋体" w:hint="default"/>
                <w:sz w:val="18"/>
                <w:szCs w:val="18"/>
              </w:rPr>
              <w:t>报告期末 持股数量</w:t>
            </w:r>
          </w:p>
        </w:tc>
        <w:tc>
          <w:tcPr>
            <w:tcW w:w="112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107" w:right="106"/>
              <w:jc w:val="left"/>
              <w:rPr>
                <w:rFonts w:ascii="宋体" w:hAnsi="宋体" w:cs="宋体" w:eastAsia="宋体" w:hint="default"/>
                <w:sz w:val="18"/>
                <w:szCs w:val="18"/>
              </w:rPr>
            </w:pPr>
            <w:r>
              <w:rPr>
                <w:rFonts w:ascii="宋体" w:hAnsi="宋体" w:cs="宋体" w:eastAsia="宋体" w:hint="default"/>
                <w:sz w:val="18"/>
                <w:szCs w:val="18"/>
              </w:rPr>
              <w:t>报告期内增 减变动情况</w:t>
            </w:r>
          </w:p>
        </w:tc>
        <w:tc>
          <w:tcPr>
            <w:tcW w:w="103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53" w:right="154"/>
              <w:jc w:val="both"/>
              <w:rPr>
                <w:rFonts w:ascii="宋体" w:hAnsi="宋体" w:cs="宋体" w:eastAsia="宋体" w:hint="default"/>
                <w:sz w:val="18"/>
                <w:szCs w:val="18"/>
              </w:rPr>
            </w:pPr>
            <w:r>
              <w:rPr>
                <w:rFonts w:ascii="宋体" w:hAnsi="宋体" w:cs="宋体" w:eastAsia="宋体" w:hint="default"/>
                <w:sz w:val="18"/>
                <w:szCs w:val="18"/>
              </w:rPr>
              <w:t>持有有限 售条件的 股份数量</w:t>
            </w:r>
          </w:p>
        </w:tc>
        <w:tc>
          <w:tcPr>
            <w:tcW w:w="110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87" w:right="185"/>
              <w:jc w:val="both"/>
              <w:rPr>
                <w:rFonts w:ascii="宋体" w:hAnsi="宋体" w:cs="宋体" w:eastAsia="宋体" w:hint="default"/>
                <w:sz w:val="18"/>
                <w:szCs w:val="18"/>
              </w:rPr>
            </w:pPr>
            <w:r>
              <w:rPr>
                <w:rFonts w:ascii="宋体" w:hAnsi="宋体" w:cs="宋体" w:eastAsia="宋体" w:hint="default"/>
                <w:sz w:val="18"/>
                <w:szCs w:val="18"/>
              </w:rPr>
              <w:t>持有无限 售条件的 股份数量</w:t>
            </w:r>
          </w:p>
        </w:tc>
        <w:tc>
          <w:tcPr>
            <w:tcW w:w="196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47"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714" w:hRule="exact"/>
        </w:trPr>
        <w:tc>
          <w:tcPr>
            <w:tcW w:w="1334" w:type="dxa"/>
            <w:vMerge/>
            <w:tcBorders>
              <w:left w:val="single" w:sz="4" w:space="0" w:color="000000"/>
              <w:bottom w:val="single" w:sz="4" w:space="0" w:color="000000"/>
              <w:right w:val="single" w:sz="4" w:space="0" w:color="000000"/>
            </w:tcBorders>
            <w:shd w:val="clear" w:color="auto" w:fill="D2D2D2"/>
          </w:tcPr>
          <w:p>
            <w:pPr/>
          </w:p>
        </w:tc>
        <w:tc>
          <w:tcPr>
            <w:tcW w:w="971" w:type="dxa"/>
            <w:gridSpan w:val="2"/>
            <w:vMerge/>
            <w:tcBorders>
              <w:left w:val="single" w:sz="4" w:space="0" w:color="000000"/>
              <w:bottom w:val="single" w:sz="4" w:space="0" w:color="000000"/>
              <w:right w:val="single" w:sz="4" w:space="0" w:color="000000"/>
            </w:tcBorders>
            <w:shd w:val="clear" w:color="auto" w:fill="D2D2D2"/>
          </w:tcPr>
          <w:p>
            <w:pPr/>
          </w:p>
        </w:tc>
        <w:tc>
          <w:tcPr>
            <w:tcW w:w="955" w:type="dxa"/>
            <w:vMerge/>
            <w:tcBorders>
              <w:left w:val="single" w:sz="4" w:space="0" w:color="000000"/>
              <w:bottom w:val="single" w:sz="4" w:space="0" w:color="000000"/>
              <w:right w:val="single" w:sz="4" w:space="0" w:color="000000"/>
            </w:tcBorders>
            <w:shd w:val="clear" w:color="auto" w:fill="D2D2D2"/>
          </w:tcPr>
          <w:p>
            <w:pPr/>
          </w:p>
        </w:tc>
        <w:tc>
          <w:tcPr>
            <w:tcW w:w="1074" w:type="dxa"/>
            <w:gridSpan w:val="2"/>
            <w:vMerge/>
            <w:tcBorders>
              <w:left w:val="single" w:sz="4" w:space="0" w:color="000000"/>
              <w:bottom w:val="single" w:sz="4" w:space="0" w:color="000000"/>
              <w:right w:val="single" w:sz="4" w:space="0" w:color="000000"/>
            </w:tcBorders>
            <w:shd w:val="clear" w:color="auto" w:fill="D2D2D2"/>
          </w:tcPr>
          <w:p>
            <w:pPr/>
          </w:p>
        </w:tc>
        <w:tc>
          <w:tcPr>
            <w:tcW w:w="1125" w:type="dxa"/>
            <w:gridSpan w:val="2"/>
            <w:vMerge/>
            <w:tcBorders>
              <w:left w:val="single" w:sz="4" w:space="0" w:color="000000"/>
              <w:bottom w:val="single" w:sz="4" w:space="0" w:color="000000"/>
              <w:right w:val="single" w:sz="4" w:space="0" w:color="000000"/>
            </w:tcBorders>
            <w:shd w:val="clear" w:color="auto" w:fill="D2D2D2"/>
          </w:tcPr>
          <w:p>
            <w:pPr/>
          </w:p>
        </w:tc>
        <w:tc>
          <w:tcPr>
            <w:tcW w:w="1039" w:type="dxa"/>
            <w:gridSpan w:val="2"/>
            <w:vMerge/>
            <w:tcBorders>
              <w:left w:val="single" w:sz="4" w:space="0" w:color="000000"/>
              <w:bottom w:val="single" w:sz="4" w:space="0" w:color="000000"/>
              <w:right w:val="single" w:sz="4" w:space="0" w:color="000000"/>
            </w:tcBorders>
            <w:shd w:val="clear" w:color="auto" w:fill="D2D2D2"/>
          </w:tcPr>
          <w:p>
            <w:pPr/>
          </w:p>
        </w:tc>
        <w:tc>
          <w:tcPr>
            <w:tcW w:w="1104" w:type="dxa"/>
            <w:vMerge/>
            <w:tcBorders>
              <w:left w:val="single" w:sz="4" w:space="0" w:color="000000"/>
              <w:bottom w:val="single" w:sz="4" w:space="0" w:color="000000"/>
              <w:right w:val="single" w:sz="4" w:space="0" w:color="000000"/>
            </w:tcBorders>
            <w:shd w:val="clear" w:color="auto" w:fill="D2D2D2"/>
          </w:tcPr>
          <w:p>
            <w:pPr/>
          </w:p>
        </w:tc>
        <w:tc>
          <w:tcPr>
            <w:tcW w:w="9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357" w:right="176" w:hanging="180"/>
              <w:jc w:val="left"/>
              <w:rPr>
                <w:rFonts w:ascii="宋体" w:hAnsi="宋体" w:cs="宋体" w:eastAsia="宋体" w:hint="default"/>
                <w:sz w:val="18"/>
                <w:szCs w:val="18"/>
              </w:rPr>
            </w:pPr>
            <w:r>
              <w:rPr>
                <w:rFonts w:ascii="宋体" w:hAnsi="宋体" w:cs="宋体" w:eastAsia="宋体" w:hint="default"/>
                <w:sz w:val="18"/>
                <w:szCs w:val="18"/>
              </w:rPr>
              <w:t>股份状 态</w:t>
            </w:r>
          </w:p>
        </w:tc>
        <w:tc>
          <w:tcPr>
            <w:tcW w:w="1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44"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714" w:hRule="exact"/>
        </w:trPr>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971"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37"/>
              <w:jc w:val="left"/>
              <w:rPr>
                <w:rFonts w:ascii="宋体" w:hAnsi="宋体" w:cs="宋体" w:eastAsia="宋体" w:hint="default"/>
                <w:sz w:val="18"/>
                <w:szCs w:val="18"/>
              </w:rPr>
            </w:pPr>
            <w:r>
              <w:rPr>
                <w:rFonts w:ascii="宋体" w:hAnsi="宋体" w:cs="宋体" w:eastAsia="宋体" w:hint="default"/>
                <w:sz w:val="18"/>
                <w:szCs w:val="18"/>
              </w:rPr>
              <w:t>境内自然 人</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18.39%</w:t>
            </w:r>
          </w:p>
        </w:tc>
        <w:tc>
          <w:tcPr>
            <w:tcW w:w="10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1" w:right="0"/>
              <w:jc w:val="left"/>
              <w:rPr>
                <w:rFonts w:ascii="Times New Roman" w:hAnsi="Times New Roman" w:cs="Times New Roman" w:eastAsia="Times New Roman" w:hint="default"/>
                <w:sz w:val="18"/>
                <w:szCs w:val="18"/>
              </w:rPr>
            </w:pPr>
            <w:r>
              <w:rPr>
                <w:rFonts w:ascii="Times New Roman"/>
                <w:sz w:val="18"/>
              </w:rPr>
              <w:t>89,255,092</w:t>
            </w:r>
          </w:p>
        </w:tc>
        <w:tc>
          <w:tcPr>
            <w:tcW w:w="112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44,627,546</w:t>
            </w:r>
          </w:p>
        </w:tc>
        <w:tc>
          <w:tcPr>
            <w:tcW w:w="10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66,941,318</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22,313,774</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66,697,601</w:t>
            </w:r>
          </w:p>
        </w:tc>
      </w:tr>
      <w:tr>
        <w:trPr>
          <w:trHeight w:val="714" w:hRule="exact"/>
        </w:trPr>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40"/>
              <w:jc w:val="left"/>
              <w:rPr>
                <w:rFonts w:ascii="宋体" w:hAnsi="宋体" w:cs="宋体" w:eastAsia="宋体" w:hint="default"/>
                <w:sz w:val="18"/>
                <w:szCs w:val="18"/>
              </w:rPr>
            </w:pPr>
            <w:r>
              <w:rPr>
                <w:rFonts w:ascii="宋体" w:hAnsi="宋体" w:cs="宋体" w:eastAsia="宋体" w:hint="default"/>
                <w:sz w:val="18"/>
                <w:szCs w:val="18"/>
              </w:rPr>
              <w:t>浙江鑫粟科技 有限公司</w:t>
            </w:r>
          </w:p>
        </w:tc>
        <w:tc>
          <w:tcPr>
            <w:tcW w:w="971"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137"/>
              <w:jc w:val="left"/>
              <w:rPr>
                <w:rFonts w:ascii="宋体" w:hAnsi="宋体" w:cs="宋体" w:eastAsia="宋体" w:hint="default"/>
                <w:sz w:val="18"/>
                <w:szCs w:val="18"/>
              </w:rPr>
            </w:pPr>
            <w:r>
              <w:rPr>
                <w:rFonts w:ascii="宋体" w:hAnsi="宋体" w:cs="宋体" w:eastAsia="宋体" w:hint="default"/>
                <w:sz w:val="18"/>
                <w:szCs w:val="18"/>
              </w:rPr>
              <w:t>境内非国 有法人</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2"/>
                <w:sz w:val="18"/>
              </w:rPr>
              <w:t>11.42%</w:t>
            </w:r>
          </w:p>
        </w:tc>
        <w:tc>
          <w:tcPr>
            <w:tcW w:w="10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51" w:right="0"/>
              <w:jc w:val="left"/>
              <w:rPr>
                <w:rFonts w:ascii="Times New Roman" w:hAnsi="Times New Roman" w:cs="Times New Roman" w:eastAsia="Times New Roman" w:hint="default"/>
                <w:sz w:val="18"/>
                <w:szCs w:val="18"/>
              </w:rPr>
            </w:pPr>
            <w:r>
              <w:rPr>
                <w:rFonts w:ascii="Times New Roman"/>
                <w:sz w:val="18"/>
              </w:rPr>
              <w:t>55,420,388</w:t>
            </w:r>
          </w:p>
        </w:tc>
        <w:tc>
          <w:tcPr>
            <w:tcW w:w="112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27,710,194</w:t>
            </w:r>
          </w:p>
        </w:tc>
        <w:tc>
          <w:tcPr>
            <w:tcW w:w="10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44,336,312</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11,084,076</w:t>
            </w:r>
          </w:p>
        </w:tc>
        <w:tc>
          <w:tcPr>
            <w:tcW w:w="906" w:type="dxa"/>
            <w:tcBorders>
              <w:top w:val="single" w:sz="4" w:space="0" w:color="000000"/>
              <w:left w:val="single" w:sz="4" w:space="0" w:color="000000"/>
              <w:bottom w:val="single" w:sz="4" w:space="0" w:color="000000"/>
              <w:right w:val="single" w:sz="4" w:space="0" w:color="000000"/>
            </w:tcBorders>
          </w:tcPr>
          <w:p>
            <w:pPr/>
          </w:p>
        </w:tc>
        <w:tc>
          <w:tcPr>
            <w:tcW w:w="10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1" w:right="140"/>
              <w:jc w:val="left"/>
              <w:rPr>
                <w:rFonts w:ascii="宋体" w:hAnsi="宋体" w:cs="宋体" w:eastAsia="宋体" w:hint="default"/>
                <w:sz w:val="18"/>
                <w:szCs w:val="18"/>
              </w:rPr>
            </w:pPr>
            <w:r>
              <w:rPr>
                <w:rFonts w:ascii="宋体" w:hAnsi="宋体" w:cs="宋体" w:eastAsia="宋体" w:hint="default"/>
                <w:sz w:val="18"/>
                <w:szCs w:val="18"/>
              </w:rPr>
              <w:t>杭州阜康投资 有限公司</w:t>
            </w:r>
          </w:p>
        </w:tc>
        <w:tc>
          <w:tcPr>
            <w:tcW w:w="971"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37"/>
              <w:jc w:val="left"/>
              <w:rPr>
                <w:rFonts w:ascii="宋体" w:hAnsi="宋体" w:cs="宋体" w:eastAsia="宋体" w:hint="default"/>
                <w:sz w:val="18"/>
                <w:szCs w:val="18"/>
              </w:rPr>
            </w:pPr>
            <w:r>
              <w:rPr>
                <w:rFonts w:ascii="宋体" w:hAnsi="宋体" w:cs="宋体" w:eastAsia="宋体" w:hint="default"/>
                <w:sz w:val="18"/>
                <w:szCs w:val="18"/>
              </w:rPr>
              <w:t>境内非国 有法人</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10.51%</w:t>
            </w:r>
          </w:p>
        </w:tc>
        <w:tc>
          <w:tcPr>
            <w:tcW w:w="10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1" w:right="0"/>
              <w:jc w:val="left"/>
              <w:rPr>
                <w:rFonts w:ascii="Times New Roman" w:hAnsi="Times New Roman" w:cs="Times New Roman" w:eastAsia="Times New Roman" w:hint="default"/>
                <w:sz w:val="18"/>
                <w:szCs w:val="18"/>
              </w:rPr>
            </w:pPr>
            <w:r>
              <w:rPr>
                <w:rFonts w:ascii="Times New Roman"/>
                <w:sz w:val="18"/>
              </w:rPr>
              <w:t>51,000,000</w:t>
            </w:r>
          </w:p>
        </w:tc>
        <w:tc>
          <w:tcPr>
            <w:tcW w:w="112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25,500,000</w:t>
            </w:r>
          </w:p>
        </w:tc>
        <w:tc>
          <w:tcPr>
            <w:tcW w:w="1039" w:type="dxa"/>
            <w:gridSpan w:val="2"/>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51,000,000</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41,000,000</w:t>
            </w:r>
          </w:p>
        </w:tc>
      </w:tr>
      <w:tr>
        <w:trPr>
          <w:trHeight w:val="714" w:hRule="exact"/>
        </w:trPr>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40"/>
              <w:jc w:val="left"/>
              <w:rPr>
                <w:rFonts w:ascii="宋体" w:hAnsi="宋体" w:cs="宋体" w:eastAsia="宋体" w:hint="default"/>
                <w:sz w:val="18"/>
                <w:szCs w:val="18"/>
              </w:rPr>
            </w:pPr>
            <w:r>
              <w:rPr>
                <w:rFonts w:ascii="宋体" w:hAnsi="宋体" w:cs="宋体" w:eastAsia="宋体" w:hint="default"/>
                <w:sz w:val="18"/>
                <w:szCs w:val="18"/>
              </w:rPr>
              <w:t>雅戈尔集团股 份有限公司</w:t>
            </w:r>
          </w:p>
        </w:tc>
        <w:tc>
          <w:tcPr>
            <w:tcW w:w="971"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137"/>
              <w:jc w:val="left"/>
              <w:rPr>
                <w:rFonts w:ascii="宋体" w:hAnsi="宋体" w:cs="宋体" w:eastAsia="宋体" w:hint="default"/>
                <w:sz w:val="18"/>
                <w:szCs w:val="18"/>
              </w:rPr>
            </w:pPr>
            <w:r>
              <w:rPr>
                <w:rFonts w:ascii="宋体" w:hAnsi="宋体" w:cs="宋体" w:eastAsia="宋体" w:hint="default"/>
                <w:sz w:val="18"/>
                <w:szCs w:val="18"/>
              </w:rPr>
              <w:t>境内非国 有法人</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3.96%</w:t>
            </w:r>
          </w:p>
        </w:tc>
        <w:tc>
          <w:tcPr>
            <w:tcW w:w="10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51" w:right="0"/>
              <w:jc w:val="left"/>
              <w:rPr>
                <w:rFonts w:ascii="Times New Roman" w:hAnsi="Times New Roman" w:cs="Times New Roman" w:eastAsia="Times New Roman" w:hint="default"/>
                <w:sz w:val="18"/>
                <w:szCs w:val="18"/>
              </w:rPr>
            </w:pPr>
            <w:r>
              <w:rPr>
                <w:rFonts w:ascii="Times New Roman"/>
                <w:sz w:val="18"/>
              </w:rPr>
              <w:t>19,231,700</w:t>
            </w:r>
          </w:p>
        </w:tc>
        <w:tc>
          <w:tcPr>
            <w:tcW w:w="112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7,188,842</w:t>
            </w:r>
          </w:p>
        </w:tc>
        <w:tc>
          <w:tcPr>
            <w:tcW w:w="1039" w:type="dxa"/>
            <w:gridSpan w:val="2"/>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19,231,700</w:t>
            </w:r>
          </w:p>
        </w:tc>
        <w:tc>
          <w:tcPr>
            <w:tcW w:w="906" w:type="dxa"/>
            <w:tcBorders>
              <w:top w:val="single" w:sz="4" w:space="0" w:color="000000"/>
              <w:left w:val="single" w:sz="4" w:space="0" w:color="000000"/>
              <w:bottom w:val="single" w:sz="4" w:space="0" w:color="000000"/>
              <w:right w:val="single" w:sz="4" w:space="0" w:color="000000"/>
            </w:tcBorders>
          </w:tcPr>
          <w:p>
            <w:pPr/>
          </w:p>
        </w:tc>
        <w:tc>
          <w:tcPr>
            <w:tcW w:w="10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张吕峥</w:t>
            </w:r>
          </w:p>
        </w:tc>
        <w:tc>
          <w:tcPr>
            <w:tcW w:w="971"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37"/>
              <w:jc w:val="left"/>
              <w:rPr>
                <w:rFonts w:ascii="宋体" w:hAnsi="宋体" w:cs="宋体" w:eastAsia="宋体" w:hint="default"/>
                <w:sz w:val="18"/>
                <w:szCs w:val="18"/>
              </w:rPr>
            </w:pPr>
            <w:r>
              <w:rPr>
                <w:rFonts w:ascii="宋体" w:hAnsi="宋体" w:cs="宋体" w:eastAsia="宋体" w:hint="default"/>
                <w:sz w:val="18"/>
                <w:szCs w:val="18"/>
              </w:rPr>
              <w:t>境内自然 人</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3.74%</w:t>
            </w:r>
          </w:p>
        </w:tc>
        <w:tc>
          <w:tcPr>
            <w:tcW w:w="10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1" w:right="0"/>
              <w:jc w:val="left"/>
              <w:rPr>
                <w:rFonts w:ascii="Times New Roman" w:hAnsi="Times New Roman" w:cs="Times New Roman" w:eastAsia="Times New Roman" w:hint="default"/>
                <w:sz w:val="18"/>
                <w:szCs w:val="18"/>
              </w:rPr>
            </w:pPr>
            <w:r>
              <w:rPr>
                <w:rFonts w:ascii="Times New Roman"/>
                <w:sz w:val="18"/>
              </w:rPr>
              <w:t>18,150,000</w:t>
            </w:r>
          </w:p>
        </w:tc>
        <w:tc>
          <w:tcPr>
            <w:tcW w:w="112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6,075,000</w:t>
            </w:r>
          </w:p>
        </w:tc>
        <w:tc>
          <w:tcPr>
            <w:tcW w:w="10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18,112,500</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37,500</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18,000,000</w:t>
            </w:r>
          </w:p>
        </w:tc>
      </w:tr>
      <w:tr>
        <w:trPr>
          <w:trHeight w:val="672" w:hRule="exact"/>
        </w:trPr>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40"/>
              <w:jc w:val="left"/>
              <w:rPr>
                <w:rFonts w:ascii="宋体" w:hAnsi="宋体" w:cs="宋体" w:eastAsia="宋体" w:hint="default"/>
                <w:sz w:val="18"/>
                <w:szCs w:val="18"/>
              </w:rPr>
            </w:pPr>
            <w:r>
              <w:rPr>
                <w:rFonts w:ascii="宋体" w:hAnsi="宋体" w:cs="宋体" w:eastAsia="宋体" w:hint="default"/>
                <w:sz w:val="18"/>
                <w:szCs w:val="18"/>
              </w:rPr>
              <w:t>创业慧康科技 股份有限公司</w:t>
            </w:r>
          </w:p>
        </w:tc>
        <w:tc>
          <w:tcPr>
            <w:tcW w:w="97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1.57%</w:t>
            </w:r>
          </w:p>
        </w:tc>
        <w:tc>
          <w:tcPr>
            <w:tcW w:w="10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240" w:right="0"/>
              <w:jc w:val="left"/>
              <w:rPr>
                <w:rFonts w:ascii="Times New Roman" w:hAnsi="Times New Roman" w:cs="Times New Roman" w:eastAsia="Times New Roman" w:hint="default"/>
                <w:sz w:val="18"/>
                <w:szCs w:val="18"/>
              </w:rPr>
            </w:pPr>
            <w:r>
              <w:rPr>
                <w:rFonts w:ascii="Times New Roman"/>
                <w:sz w:val="18"/>
              </w:rPr>
              <w:t>7,600,032</w:t>
            </w:r>
          </w:p>
        </w:tc>
        <w:tc>
          <w:tcPr>
            <w:tcW w:w="112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3,800,016</w:t>
            </w:r>
          </w:p>
        </w:tc>
        <w:tc>
          <w:tcPr>
            <w:tcW w:w="1039" w:type="dxa"/>
            <w:gridSpan w:val="2"/>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7,600,032</w:t>
            </w:r>
          </w:p>
        </w:tc>
        <w:tc>
          <w:tcPr>
            <w:tcW w:w="906" w:type="dxa"/>
            <w:tcBorders>
              <w:top w:val="single" w:sz="4" w:space="0" w:color="000000"/>
              <w:left w:val="single" w:sz="4" w:space="0" w:color="000000"/>
              <w:bottom w:val="single" w:sz="4" w:space="0" w:color="000000"/>
              <w:right w:val="single" w:sz="4" w:space="0" w:color="000000"/>
            </w:tcBorders>
          </w:tcPr>
          <w:p>
            <w:pPr/>
          </w:p>
        </w:tc>
        <w:tc>
          <w:tcPr>
            <w:tcW w:w="105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334"/>
        <w:gridCol w:w="971"/>
        <w:gridCol w:w="955"/>
        <w:gridCol w:w="1074"/>
        <w:gridCol w:w="1125"/>
        <w:gridCol w:w="1039"/>
        <w:gridCol w:w="1104"/>
        <w:gridCol w:w="906"/>
        <w:gridCol w:w="1059"/>
      </w:tblGrid>
      <w:tr>
        <w:trPr>
          <w:trHeight w:val="674" w:hRule="exact"/>
        </w:trPr>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1" w:right="140"/>
              <w:jc w:val="left"/>
              <w:rPr>
                <w:rFonts w:ascii="宋体" w:hAnsi="宋体" w:cs="宋体" w:eastAsia="宋体" w:hint="default"/>
                <w:sz w:val="18"/>
                <w:szCs w:val="18"/>
              </w:rPr>
            </w:pPr>
            <w:r>
              <w:rPr>
                <w:rFonts w:ascii="宋体" w:hAnsi="宋体" w:cs="宋体" w:eastAsia="宋体" w:hint="default"/>
                <w:sz w:val="18"/>
                <w:szCs w:val="18"/>
              </w:rPr>
              <w:t>－第一期员工 持股计划</w:t>
            </w:r>
          </w:p>
        </w:tc>
        <w:tc>
          <w:tcPr>
            <w:tcW w:w="971" w:type="dxa"/>
            <w:tcBorders>
              <w:top w:val="single" w:sz="4" w:space="0" w:color="000000"/>
              <w:left w:val="single" w:sz="4" w:space="0" w:color="000000"/>
              <w:bottom w:val="single" w:sz="4" w:space="0" w:color="000000"/>
              <w:right w:val="single" w:sz="4" w:space="0" w:color="000000"/>
            </w:tcBorders>
          </w:tcPr>
          <w:p>
            <w:pPr/>
          </w:p>
        </w:tc>
        <w:tc>
          <w:tcPr>
            <w:tcW w:w="955" w:type="dxa"/>
            <w:tcBorders>
              <w:top w:val="single" w:sz="4" w:space="0" w:color="000000"/>
              <w:left w:val="single" w:sz="4" w:space="0" w:color="000000"/>
              <w:bottom w:val="single" w:sz="4" w:space="0" w:color="000000"/>
              <w:right w:val="single" w:sz="4" w:space="0" w:color="000000"/>
            </w:tcBorders>
          </w:tcPr>
          <w:p>
            <w:pPr/>
          </w:p>
        </w:tc>
        <w:tc>
          <w:tcPr>
            <w:tcW w:w="1074" w:type="dxa"/>
            <w:tcBorders>
              <w:top w:val="single" w:sz="4" w:space="0" w:color="000000"/>
              <w:left w:val="single" w:sz="4" w:space="0" w:color="000000"/>
              <w:bottom w:val="single" w:sz="4" w:space="0" w:color="000000"/>
              <w:right w:val="single" w:sz="4" w:space="0" w:color="000000"/>
            </w:tcBorders>
          </w:tcPr>
          <w:p>
            <w:pPr/>
          </w:p>
        </w:tc>
        <w:tc>
          <w:tcPr>
            <w:tcW w:w="1125" w:type="dxa"/>
            <w:tcBorders>
              <w:top w:val="single" w:sz="4" w:space="0" w:color="000000"/>
              <w:left w:val="single" w:sz="4" w:space="0" w:color="000000"/>
              <w:bottom w:val="single" w:sz="4" w:space="0" w:color="000000"/>
              <w:right w:val="single" w:sz="4" w:space="0" w:color="000000"/>
            </w:tcBorders>
          </w:tcPr>
          <w:p>
            <w:pPr/>
          </w:p>
        </w:tc>
        <w:tc>
          <w:tcPr>
            <w:tcW w:w="1039"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
        </w:tc>
        <w:tc>
          <w:tcPr>
            <w:tcW w:w="906" w:type="dxa"/>
            <w:tcBorders>
              <w:top w:val="single" w:sz="4" w:space="0" w:color="000000"/>
              <w:left w:val="single" w:sz="4" w:space="0" w:color="000000"/>
              <w:bottom w:val="single" w:sz="4" w:space="0" w:color="000000"/>
              <w:right w:val="single" w:sz="4" w:space="0" w:color="000000"/>
            </w:tcBorders>
          </w:tcPr>
          <w:p>
            <w:pPr/>
          </w:p>
        </w:tc>
        <w:tc>
          <w:tcPr>
            <w:tcW w:w="10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40"/>
              <w:jc w:val="both"/>
              <w:rPr>
                <w:rFonts w:ascii="宋体" w:hAnsi="宋体" w:cs="宋体" w:eastAsia="宋体" w:hint="default"/>
                <w:sz w:val="18"/>
                <w:szCs w:val="18"/>
              </w:rPr>
            </w:pPr>
            <w:r>
              <w:rPr>
                <w:rFonts w:ascii="宋体" w:hAnsi="宋体" w:cs="宋体" w:eastAsia="宋体" w:hint="default"/>
                <w:sz w:val="18"/>
                <w:szCs w:val="18"/>
              </w:rPr>
              <w:t>浙江省兴合集 团有限责任公 司</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316" w:lineRule="auto"/>
              <w:ind w:left="102" w:right="137"/>
              <w:jc w:val="left"/>
              <w:rPr>
                <w:rFonts w:ascii="宋体" w:hAnsi="宋体" w:cs="宋体" w:eastAsia="宋体" w:hint="default"/>
                <w:sz w:val="18"/>
                <w:szCs w:val="18"/>
              </w:rPr>
            </w:pPr>
            <w:r>
              <w:rPr>
                <w:rFonts w:ascii="宋体" w:hAnsi="宋体" w:cs="宋体" w:eastAsia="宋体" w:hint="default"/>
                <w:sz w:val="18"/>
                <w:szCs w:val="18"/>
              </w:rPr>
              <w:t>境内非国 有法人</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1.55%</w:t>
            </w:r>
          </w:p>
        </w:tc>
        <w:tc>
          <w:tcPr>
            <w:tcW w:w="1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7,536,948</w:t>
            </w:r>
          </w:p>
        </w:tc>
        <w:tc>
          <w:tcPr>
            <w:tcW w:w="1125" w:type="dxa"/>
            <w:tcBorders>
              <w:top w:val="single" w:sz="4" w:space="0" w:color="000000"/>
              <w:left w:val="single" w:sz="4" w:space="0" w:color="000000"/>
              <w:bottom w:val="single" w:sz="4" w:space="0" w:color="000000"/>
              <w:right w:val="single" w:sz="4" w:space="0" w:color="000000"/>
            </w:tcBorders>
          </w:tcPr>
          <w:p>
            <w:pPr/>
          </w:p>
        </w:tc>
        <w:tc>
          <w:tcPr>
            <w:tcW w:w="1039"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7,536,948</w:t>
            </w:r>
          </w:p>
        </w:tc>
        <w:tc>
          <w:tcPr>
            <w:tcW w:w="906" w:type="dxa"/>
            <w:tcBorders>
              <w:top w:val="single" w:sz="4" w:space="0" w:color="000000"/>
              <w:left w:val="single" w:sz="4" w:space="0" w:color="000000"/>
              <w:bottom w:val="single" w:sz="4" w:space="0" w:color="000000"/>
              <w:right w:val="single" w:sz="4" w:space="0" w:color="000000"/>
            </w:tcBorders>
          </w:tcPr>
          <w:p>
            <w:pPr/>
          </w:p>
        </w:tc>
        <w:tc>
          <w:tcPr>
            <w:tcW w:w="10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薛小云</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2" w:right="137"/>
              <w:jc w:val="left"/>
              <w:rPr>
                <w:rFonts w:ascii="宋体" w:hAnsi="宋体" w:cs="宋体" w:eastAsia="宋体" w:hint="default"/>
                <w:sz w:val="18"/>
                <w:szCs w:val="18"/>
              </w:rPr>
            </w:pPr>
            <w:r>
              <w:rPr>
                <w:rFonts w:ascii="宋体" w:hAnsi="宋体" w:cs="宋体" w:eastAsia="宋体" w:hint="default"/>
                <w:sz w:val="18"/>
                <w:szCs w:val="18"/>
              </w:rPr>
              <w:t>境内自然 人</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1.00%</w:t>
            </w:r>
          </w:p>
        </w:tc>
        <w:tc>
          <w:tcPr>
            <w:tcW w:w="1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4,871,432</w:t>
            </w:r>
          </w:p>
        </w:tc>
        <w:tc>
          <w:tcPr>
            <w:tcW w:w="1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-2,414,284</w:t>
            </w:r>
          </w:p>
        </w:tc>
        <w:tc>
          <w:tcPr>
            <w:tcW w:w="1039" w:type="dxa"/>
            <w:tcBorders>
              <w:top w:val="single" w:sz="4" w:space="0" w:color="000000"/>
              <w:left w:val="single" w:sz="4" w:space="0" w:color="000000"/>
              <w:bottom w:val="single" w:sz="4" w:space="0" w:color="000000"/>
              <w:right w:val="single" w:sz="4" w:space="0" w:color="000000"/>
            </w:tcBorders>
          </w:tcPr>
          <w:p>
            <w:pP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4,871,432</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4,871,432</w:t>
            </w:r>
          </w:p>
        </w:tc>
      </w:tr>
      <w:tr>
        <w:trPr>
          <w:trHeight w:val="714" w:hRule="exact"/>
        </w:trPr>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40"/>
              <w:jc w:val="left"/>
              <w:rPr>
                <w:rFonts w:ascii="宋体" w:hAnsi="宋体" w:cs="宋体" w:eastAsia="宋体" w:hint="default"/>
                <w:sz w:val="18"/>
                <w:szCs w:val="18"/>
              </w:rPr>
            </w:pPr>
            <w:r>
              <w:rPr>
                <w:rFonts w:ascii="宋体" w:hAnsi="宋体" w:cs="宋体" w:eastAsia="宋体" w:hint="default"/>
                <w:sz w:val="18"/>
                <w:szCs w:val="18"/>
              </w:rPr>
              <w:t>宁波铜粟投资 管理有限公司</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137"/>
              <w:jc w:val="left"/>
              <w:rPr>
                <w:rFonts w:ascii="宋体" w:hAnsi="宋体" w:cs="宋体" w:eastAsia="宋体" w:hint="default"/>
                <w:sz w:val="18"/>
                <w:szCs w:val="18"/>
              </w:rPr>
            </w:pPr>
            <w:r>
              <w:rPr>
                <w:rFonts w:ascii="宋体" w:hAnsi="宋体" w:cs="宋体" w:eastAsia="宋体" w:hint="default"/>
                <w:sz w:val="18"/>
                <w:szCs w:val="18"/>
              </w:rPr>
              <w:t>境内非国 有法人</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0.89%</w:t>
            </w:r>
          </w:p>
        </w:tc>
        <w:tc>
          <w:tcPr>
            <w:tcW w:w="1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4,325,610</w:t>
            </w:r>
          </w:p>
        </w:tc>
        <w:tc>
          <w:tcPr>
            <w:tcW w:w="11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02" w:right="0"/>
              <w:jc w:val="left"/>
              <w:rPr>
                <w:rFonts w:ascii="Times New Roman" w:hAnsi="Times New Roman" w:cs="Times New Roman" w:eastAsia="Times New Roman" w:hint="default"/>
                <w:sz w:val="18"/>
                <w:szCs w:val="18"/>
              </w:rPr>
            </w:pPr>
            <w:r>
              <w:rPr>
                <w:rFonts w:ascii="Times New Roman"/>
                <w:sz w:val="18"/>
              </w:rPr>
              <w:t>2,162,805</w:t>
            </w:r>
          </w:p>
        </w:tc>
        <w:tc>
          <w:tcPr>
            <w:tcW w:w="10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3,460,488</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865,122</w:t>
            </w:r>
          </w:p>
        </w:tc>
        <w:tc>
          <w:tcPr>
            <w:tcW w:w="906" w:type="dxa"/>
            <w:tcBorders>
              <w:top w:val="single" w:sz="4" w:space="0" w:color="000000"/>
              <w:left w:val="single" w:sz="4" w:space="0" w:color="000000"/>
              <w:bottom w:val="single" w:sz="4" w:space="0" w:color="000000"/>
              <w:right w:val="single" w:sz="4" w:space="0" w:color="000000"/>
            </w:tcBorders>
          </w:tcPr>
          <w:p>
            <w:pPr/>
          </w:p>
        </w:tc>
        <w:tc>
          <w:tcPr>
            <w:tcW w:w="10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30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1" w:right="12"/>
              <w:jc w:val="left"/>
              <w:rPr>
                <w:rFonts w:ascii="宋体" w:hAnsi="宋体" w:cs="宋体" w:eastAsia="宋体" w:hint="default"/>
                <w:sz w:val="18"/>
                <w:szCs w:val="18"/>
              </w:rPr>
            </w:pPr>
            <w:r>
              <w:rPr>
                <w:rFonts w:ascii="宋体" w:hAnsi="宋体" w:cs="宋体" w:eastAsia="宋体" w:hint="default"/>
                <w:sz w:val="18"/>
                <w:szCs w:val="18"/>
              </w:rPr>
              <w:t>战略投资者或一般法人因 配售新股成为前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 </w:t>
            </w:r>
            <w:r>
              <w:rPr>
                <w:rFonts w:ascii="宋体" w:hAnsi="宋体" w:cs="宋体" w:eastAsia="宋体" w:hint="default"/>
                <w:spacing w:val="-11"/>
                <w:sz w:val="18"/>
                <w:szCs w:val="18"/>
              </w:rPr>
              <w:t>的情况（如有）（参见注</w:t>
            </w:r>
            <w:r>
              <w:rPr>
                <w:rFonts w:ascii="宋体" w:hAnsi="宋体" w:cs="宋体" w:eastAsia="宋体" w:hint="default"/>
                <w:spacing w:val="-40"/>
                <w:sz w:val="18"/>
                <w:szCs w:val="18"/>
              </w:rPr>
              <w:t> </w:t>
            </w:r>
            <w:r>
              <w:rPr>
                <w:rFonts w:ascii="Times New Roman" w:hAnsi="Times New Roman" w:cs="Times New Roman" w:eastAsia="Times New Roman" w:hint="default"/>
                <w:spacing w:val="-1"/>
                <w:sz w:val="18"/>
                <w:szCs w:val="18"/>
              </w:rPr>
              <w:t>4</w:t>
            </w:r>
            <w:r>
              <w:rPr>
                <w:rFonts w:ascii="宋体" w:hAnsi="宋体" w:cs="宋体" w:eastAsia="宋体" w:hint="default"/>
                <w:spacing w:val="-1"/>
                <w:sz w:val="18"/>
                <w:szCs w:val="18"/>
              </w:rPr>
              <w:t>）</w:t>
            </w:r>
          </w:p>
        </w:tc>
        <w:tc>
          <w:tcPr>
            <w:tcW w:w="7262"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1338" w:hRule="exact"/>
        </w:trPr>
        <w:tc>
          <w:tcPr>
            <w:tcW w:w="230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5"/>
              <w:ind w:left="101" w:right="211"/>
              <w:jc w:val="left"/>
              <w:rPr>
                <w:rFonts w:ascii="宋体" w:hAnsi="宋体" w:cs="宋体" w:eastAsia="宋体" w:hint="default"/>
                <w:sz w:val="18"/>
                <w:szCs w:val="18"/>
              </w:rPr>
            </w:pPr>
            <w:r>
              <w:rPr>
                <w:rFonts w:ascii="宋体" w:hAnsi="宋体" w:cs="宋体" w:eastAsia="宋体" w:hint="default"/>
                <w:sz w:val="18"/>
                <w:szCs w:val="18"/>
              </w:rPr>
              <w:t>上述股东关联关系或一致 行动的说明</w:t>
            </w:r>
          </w:p>
        </w:tc>
        <w:tc>
          <w:tcPr>
            <w:tcW w:w="7262" w:type="dxa"/>
            <w:gridSpan w:val="7"/>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11"/>
              <w:jc w:val="left"/>
              <w:rPr>
                <w:rFonts w:ascii="宋体" w:hAnsi="宋体" w:cs="宋体" w:eastAsia="宋体" w:hint="default"/>
                <w:sz w:val="18"/>
                <w:szCs w:val="18"/>
              </w:rPr>
            </w:pPr>
            <w:r>
              <w:rPr>
                <w:rFonts w:ascii="宋体" w:hAnsi="宋体" w:cs="宋体" w:eastAsia="宋体" w:hint="default"/>
                <w:spacing w:val="-2"/>
                <w:sz w:val="18"/>
                <w:szCs w:val="18"/>
              </w:rPr>
              <w:t>公司控股股东、实际控制人为葛航先生；杭州阜康投资有限公司为实际控制人控制的公司；</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浙江鑫粟科技有限公司与宁波铜粟投资管理有限公司为一致行动人；创业慧康科技股份有 限公司－第一期员工持股计划为公司员工持股计划账户；公司未知其他股东是否存在关联 关系。</w:t>
            </w:r>
          </w:p>
        </w:tc>
      </w:tr>
      <w:tr>
        <w:trPr>
          <w:trHeight w:val="402" w:hRule="exact"/>
        </w:trPr>
        <w:tc>
          <w:tcPr>
            <w:tcW w:w="9567"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402" w:hRule="exact"/>
        </w:trPr>
        <w:tc>
          <w:tcPr>
            <w:tcW w:w="230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5297"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left="1293"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196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16" w:right="0"/>
              <w:jc w:val="left"/>
              <w:rPr>
                <w:rFonts w:ascii="宋体" w:hAnsi="宋体" w:cs="宋体" w:eastAsia="宋体" w:hint="default"/>
                <w:sz w:val="18"/>
                <w:szCs w:val="18"/>
              </w:rPr>
            </w:pPr>
            <w:r>
              <w:rPr>
                <w:rFonts w:ascii="宋体" w:hAnsi="宋体" w:cs="宋体" w:eastAsia="宋体" w:hint="default"/>
                <w:sz w:val="18"/>
                <w:szCs w:val="18"/>
              </w:rPr>
              <w:t>股份种类</w:t>
            </w:r>
          </w:p>
        </w:tc>
      </w:tr>
      <w:tr>
        <w:trPr>
          <w:trHeight w:val="714" w:hRule="exact"/>
        </w:trPr>
        <w:tc>
          <w:tcPr>
            <w:tcW w:w="2305" w:type="dxa"/>
            <w:gridSpan w:val="2"/>
            <w:vMerge/>
            <w:tcBorders>
              <w:left w:val="single" w:sz="4" w:space="0" w:color="000000"/>
              <w:bottom w:val="single" w:sz="4" w:space="0" w:color="000000"/>
              <w:right w:val="single" w:sz="4" w:space="0" w:color="000000"/>
            </w:tcBorders>
            <w:shd w:val="clear" w:color="auto" w:fill="D2D2D2"/>
          </w:tcPr>
          <w:p>
            <w:pPr/>
          </w:p>
        </w:tc>
        <w:tc>
          <w:tcPr>
            <w:tcW w:w="5297" w:type="dxa"/>
            <w:gridSpan w:val="5"/>
            <w:vMerge/>
            <w:tcBorders>
              <w:left w:val="single" w:sz="4" w:space="0" w:color="000000"/>
              <w:bottom w:val="single" w:sz="4" w:space="0" w:color="000000"/>
              <w:right w:val="single" w:sz="4" w:space="0" w:color="000000"/>
            </w:tcBorders>
            <w:shd w:val="clear" w:color="auto" w:fill="D2D2D2"/>
          </w:tcPr>
          <w:p>
            <w:pPr/>
          </w:p>
        </w:tc>
        <w:tc>
          <w:tcPr>
            <w:tcW w:w="9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57" w:right="176" w:hanging="180"/>
              <w:jc w:val="left"/>
              <w:rPr>
                <w:rFonts w:ascii="宋体" w:hAnsi="宋体" w:cs="宋体" w:eastAsia="宋体" w:hint="default"/>
                <w:sz w:val="18"/>
                <w:szCs w:val="18"/>
              </w:rPr>
            </w:pPr>
            <w:r>
              <w:rPr>
                <w:rFonts w:ascii="宋体" w:hAnsi="宋体" w:cs="宋体" w:eastAsia="宋体" w:hint="default"/>
                <w:sz w:val="18"/>
                <w:szCs w:val="18"/>
              </w:rPr>
              <w:t>股份种 类</w:t>
            </w:r>
          </w:p>
        </w:tc>
        <w:tc>
          <w:tcPr>
            <w:tcW w:w="1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344"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714" w:hRule="exact"/>
        </w:trPr>
        <w:tc>
          <w:tcPr>
            <w:tcW w:w="23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杭州阜康投资有限公司</w:t>
            </w:r>
          </w:p>
        </w:tc>
        <w:tc>
          <w:tcPr>
            <w:tcW w:w="529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51,000,000</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251"/>
              <w:jc w:val="left"/>
              <w:rPr>
                <w:rFonts w:ascii="宋体" w:hAnsi="宋体" w:cs="宋体" w:eastAsia="宋体" w:hint="default"/>
                <w:sz w:val="18"/>
                <w:szCs w:val="18"/>
              </w:rPr>
            </w:pPr>
            <w:r>
              <w:rPr>
                <w:rFonts w:ascii="宋体" w:hAnsi="宋体" w:cs="宋体" w:eastAsia="宋体" w:hint="default"/>
                <w:sz w:val="18"/>
                <w:szCs w:val="18"/>
              </w:rPr>
              <w:t>人民币 普通股</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51,000,000</w:t>
            </w:r>
          </w:p>
        </w:tc>
      </w:tr>
      <w:tr>
        <w:trPr>
          <w:trHeight w:val="714" w:hRule="exact"/>
        </w:trPr>
        <w:tc>
          <w:tcPr>
            <w:tcW w:w="23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529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22,313,774</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51"/>
              <w:jc w:val="left"/>
              <w:rPr>
                <w:rFonts w:ascii="宋体" w:hAnsi="宋体" w:cs="宋体" w:eastAsia="宋体" w:hint="default"/>
                <w:sz w:val="18"/>
                <w:szCs w:val="18"/>
              </w:rPr>
            </w:pPr>
            <w:r>
              <w:rPr>
                <w:rFonts w:ascii="宋体" w:hAnsi="宋体" w:cs="宋体" w:eastAsia="宋体" w:hint="default"/>
                <w:sz w:val="18"/>
                <w:szCs w:val="18"/>
              </w:rPr>
              <w:t>人民币 普通股</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22,313,774</w:t>
            </w:r>
          </w:p>
        </w:tc>
      </w:tr>
      <w:tr>
        <w:trPr>
          <w:trHeight w:val="714" w:hRule="exact"/>
        </w:trPr>
        <w:tc>
          <w:tcPr>
            <w:tcW w:w="23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雅戈尔集团股份有限公司</w:t>
            </w:r>
          </w:p>
        </w:tc>
        <w:tc>
          <w:tcPr>
            <w:tcW w:w="529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19,231,700</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251"/>
              <w:jc w:val="left"/>
              <w:rPr>
                <w:rFonts w:ascii="宋体" w:hAnsi="宋体" w:cs="宋体" w:eastAsia="宋体" w:hint="default"/>
                <w:sz w:val="18"/>
                <w:szCs w:val="18"/>
              </w:rPr>
            </w:pPr>
            <w:r>
              <w:rPr>
                <w:rFonts w:ascii="宋体" w:hAnsi="宋体" w:cs="宋体" w:eastAsia="宋体" w:hint="default"/>
                <w:sz w:val="18"/>
                <w:szCs w:val="18"/>
              </w:rPr>
              <w:t>人民币 普通股</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19,231,700</w:t>
            </w:r>
          </w:p>
        </w:tc>
      </w:tr>
      <w:tr>
        <w:trPr>
          <w:trHeight w:val="714" w:hRule="exact"/>
        </w:trPr>
        <w:tc>
          <w:tcPr>
            <w:tcW w:w="23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浙江鑫粟科技有限公司</w:t>
            </w:r>
          </w:p>
        </w:tc>
        <w:tc>
          <w:tcPr>
            <w:tcW w:w="529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11,084,076</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51"/>
              <w:jc w:val="left"/>
              <w:rPr>
                <w:rFonts w:ascii="宋体" w:hAnsi="宋体" w:cs="宋体" w:eastAsia="宋体" w:hint="default"/>
                <w:sz w:val="18"/>
                <w:szCs w:val="18"/>
              </w:rPr>
            </w:pPr>
            <w:r>
              <w:rPr>
                <w:rFonts w:ascii="宋体" w:hAnsi="宋体" w:cs="宋体" w:eastAsia="宋体" w:hint="default"/>
                <w:sz w:val="18"/>
                <w:szCs w:val="18"/>
              </w:rPr>
              <w:t>人民币 普通股</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11,084,076</w:t>
            </w:r>
          </w:p>
        </w:tc>
      </w:tr>
      <w:tr>
        <w:trPr>
          <w:trHeight w:val="714" w:hRule="exact"/>
        </w:trPr>
        <w:tc>
          <w:tcPr>
            <w:tcW w:w="2305"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11"/>
              <w:jc w:val="left"/>
              <w:rPr>
                <w:rFonts w:ascii="宋体" w:hAnsi="宋体" w:cs="宋体" w:eastAsia="宋体" w:hint="default"/>
                <w:sz w:val="18"/>
                <w:szCs w:val="18"/>
              </w:rPr>
            </w:pPr>
            <w:r>
              <w:rPr>
                <w:rFonts w:ascii="宋体" w:hAnsi="宋体" w:cs="宋体" w:eastAsia="宋体" w:hint="default"/>
                <w:sz w:val="18"/>
                <w:szCs w:val="18"/>
              </w:rPr>
              <w:t>创业慧康科技股份有限公 司－第一期员工持股计划</w:t>
            </w:r>
          </w:p>
        </w:tc>
        <w:tc>
          <w:tcPr>
            <w:tcW w:w="529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7,600,032</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251"/>
              <w:jc w:val="left"/>
              <w:rPr>
                <w:rFonts w:ascii="宋体" w:hAnsi="宋体" w:cs="宋体" w:eastAsia="宋体" w:hint="default"/>
                <w:sz w:val="18"/>
                <w:szCs w:val="18"/>
              </w:rPr>
            </w:pPr>
            <w:r>
              <w:rPr>
                <w:rFonts w:ascii="宋体" w:hAnsi="宋体" w:cs="宋体" w:eastAsia="宋体" w:hint="default"/>
                <w:sz w:val="18"/>
                <w:szCs w:val="18"/>
              </w:rPr>
              <w:t>人民币 普通股</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7,600,032</w:t>
            </w:r>
          </w:p>
        </w:tc>
      </w:tr>
      <w:tr>
        <w:trPr>
          <w:trHeight w:val="714" w:hRule="exact"/>
        </w:trPr>
        <w:tc>
          <w:tcPr>
            <w:tcW w:w="2305"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11"/>
              <w:jc w:val="left"/>
              <w:rPr>
                <w:rFonts w:ascii="宋体" w:hAnsi="宋体" w:cs="宋体" w:eastAsia="宋体" w:hint="default"/>
                <w:sz w:val="18"/>
                <w:szCs w:val="18"/>
              </w:rPr>
            </w:pPr>
            <w:r>
              <w:rPr>
                <w:rFonts w:ascii="宋体" w:hAnsi="宋体" w:cs="宋体" w:eastAsia="宋体" w:hint="default"/>
                <w:sz w:val="18"/>
                <w:szCs w:val="18"/>
              </w:rPr>
              <w:t>浙江省兴合集团有限责任 公司</w:t>
            </w:r>
          </w:p>
        </w:tc>
        <w:tc>
          <w:tcPr>
            <w:tcW w:w="529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7,536,948</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51"/>
              <w:jc w:val="left"/>
              <w:rPr>
                <w:rFonts w:ascii="宋体" w:hAnsi="宋体" w:cs="宋体" w:eastAsia="宋体" w:hint="default"/>
                <w:sz w:val="18"/>
                <w:szCs w:val="18"/>
              </w:rPr>
            </w:pPr>
            <w:r>
              <w:rPr>
                <w:rFonts w:ascii="宋体" w:hAnsi="宋体" w:cs="宋体" w:eastAsia="宋体" w:hint="default"/>
                <w:sz w:val="18"/>
                <w:szCs w:val="18"/>
              </w:rPr>
              <w:t>人民币 普通股</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7,536,948</w:t>
            </w:r>
          </w:p>
        </w:tc>
      </w:tr>
      <w:tr>
        <w:trPr>
          <w:trHeight w:val="714" w:hRule="exact"/>
        </w:trPr>
        <w:tc>
          <w:tcPr>
            <w:tcW w:w="2305"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11"/>
              <w:jc w:val="left"/>
              <w:rPr>
                <w:rFonts w:ascii="宋体" w:hAnsi="宋体" w:cs="宋体" w:eastAsia="宋体" w:hint="default"/>
                <w:sz w:val="18"/>
                <w:szCs w:val="18"/>
              </w:rPr>
            </w:pPr>
            <w:r>
              <w:rPr>
                <w:rFonts w:ascii="宋体" w:hAnsi="宋体" w:cs="宋体" w:eastAsia="宋体" w:hint="default"/>
                <w:sz w:val="18"/>
                <w:szCs w:val="18"/>
              </w:rPr>
              <w:t>中央汇金资产管理有限责 任公司</w:t>
            </w:r>
          </w:p>
        </w:tc>
        <w:tc>
          <w:tcPr>
            <w:tcW w:w="529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5,758,200</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251"/>
              <w:jc w:val="left"/>
              <w:rPr>
                <w:rFonts w:ascii="宋体" w:hAnsi="宋体" w:cs="宋体" w:eastAsia="宋体" w:hint="default"/>
                <w:sz w:val="18"/>
                <w:szCs w:val="18"/>
              </w:rPr>
            </w:pPr>
            <w:r>
              <w:rPr>
                <w:rFonts w:ascii="宋体" w:hAnsi="宋体" w:cs="宋体" w:eastAsia="宋体" w:hint="default"/>
                <w:sz w:val="18"/>
                <w:szCs w:val="18"/>
              </w:rPr>
              <w:t>人民币 普通股</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5,758,200</w:t>
            </w:r>
          </w:p>
        </w:tc>
      </w:tr>
      <w:tr>
        <w:trPr>
          <w:trHeight w:val="714" w:hRule="exact"/>
        </w:trPr>
        <w:tc>
          <w:tcPr>
            <w:tcW w:w="23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薛小云</w:t>
            </w:r>
          </w:p>
        </w:tc>
        <w:tc>
          <w:tcPr>
            <w:tcW w:w="529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4,871,432</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51"/>
              <w:jc w:val="left"/>
              <w:rPr>
                <w:rFonts w:ascii="宋体" w:hAnsi="宋体" w:cs="宋体" w:eastAsia="宋体" w:hint="default"/>
                <w:sz w:val="18"/>
                <w:szCs w:val="18"/>
              </w:rPr>
            </w:pPr>
            <w:r>
              <w:rPr>
                <w:rFonts w:ascii="宋体" w:hAnsi="宋体" w:cs="宋体" w:eastAsia="宋体" w:hint="default"/>
                <w:sz w:val="18"/>
                <w:szCs w:val="18"/>
              </w:rPr>
              <w:t>人民币 普通股</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4,871,432</w:t>
            </w:r>
          </w:p>
        </w:tc>
      </w:tr>
      <w:tr>
        <w:trPr>
          <w:trHeight w:val="1024" w:hRule="exact"/>
        </w:trPr>
        <w:tc>
          <w:tcPr>
            <w:tcW w:w="2305"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11"/>
              <w:jc w:val="both"/>
              <w:rPr>
                <w:rFonts w:ascii="宋体" w:hAnsi="宋体" w:cs="宋体" w:eastAsia="宋体" w:hint="default"/>
                <w:sz w:val="18"/>
                <w:szCs w:val="18"/>
              </w:rPr>
            </w:pPr>
            <w:r>
              <w:rPr>
                <w:rFonts w:ascii="宋体" w:hAnsi="宋体" w:cs="宋体" w:eastAsia="宋体" w:hint="default"/>
                <w:sz w:val="18"/>
                <w:szCs w:val="18"/>
              </w:rPr>
              <w:t>兴业银行股份有限公司－ 中邮战略新兴产业混合型 证券投资基金</w:t>
            </w:r>
          </w:p>
        </w:tc>
        <w:tc>
          <w:tcPr>
            <w:tcW w:w="529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4,026,944</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316" w:lineRule="auto"/>
              <w:ind w:left="103" w:right="251"/>
              <w:jc w:val="left"/>
              <w:rPr>
                <w:rFonts w:ascii="宋体" w:hAnsi="宋体" w:cs="宋体" w:eastAsia="宋体" w:hint="default"/>
                <w:sz w:val="18"/>
                <w:szCs w:val="18"/>
              </w:rPr>
            </w:pPr>
            <w:r>
              <w:rPr>
                <w:rFonts w:ascii="宋体" w:hAnsi="宋体" w:cs="宋体" w:eastAsia="宋体" w:hint="default"/>
                <w:sz w:val="18"/>
                <w:szCs w:val="18"/>
              </w:rPr>
              <w:t>人民币 普通股</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4,026,944</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305"/>
        <w:gridCol w:w="5297"/>
        <w:gridCol w:w="906"/>
        <w:gridCol w:w="1059"/>
      </w:tblGrid>
      <w:tr>
        <w:trPr>
          <w:trHeight w:val="1026" w:hRule="exact"/>
        </w:trPr>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0"/>
              <w:ind w:left="101" w:right="108"/>
              <w:jc w:val="left"/>
              <w:rPr>
                <w:rFonts w:ascii="宋体" w:hAnsi="宋体" w:cs="宋体" w:eastAsia="宋体" w:hint="default"/>
                <w:sz w:val="18"/>
                <w:szCs w:val="18"/>
              </w:rPr>
            </w:pPr>
            <w:r>
              <w:rPr>
                <w:rFonts w:ascii="宋体" w:hAnsi="宋体" w:cs="宋体" w:eastAsia="宋体" w:hint="default"/>
                <w:sz w:val="18"/>
                <w:szCs w:val="18"/>
              </w:rPr>
              <w:t>中国建设银行股份有限公 司－国泰互联网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股票型证 券投资基金</w:t>
            </w:r>
          </w:p>
        </w:tc>
        <w:tc>
          <w:tcPr>
            <w:tcW w:w="5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3,523,900</w:t>
            </w:r>
          </w:p>
        </w:tc>
        <w:tc>
          <w:tcPr>
            <w:tcW w:w="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103" w:right="251"/>
              <w:jc w:val="left"/>
              <w:rPr>
                <w:rFonts w:ascii="宋体" w:hAnsi="宋体" w:cs="宋体" w:eastAsia="宋体" w:hint="default"/>
                <w:sz w:val="18"/>
                <w:szCs w:val="18"/>
              </w:rPr>
            </w:pPr>
            <w:r>
              <w:rPr>
                <w:rFonts w:ascii="宋体" w:hAnsi="宋体" w:cs="宋体" w:eastAsia="宋体" w:hint="default"/>
                <w:sz w:val="18"/>
                <w:szCs w:val="18"/>
              </w:rPr>
              <w:t>人民币 普通股</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226" w:right="0"/>
              <w:jc w:val="left"/>
              <w:rPr>
                <w:rFonts w:ascii="Times New Roman" w:hAnsi="Times New Roman" w:cs="Times New Roman" w:eastAsia="Times New Roman" w:hint="default"/>
                <w:sz w:val="18"/>
                <w:szCs w:val="18"/>
              </w:rPr>
            </w:pPr>
            <w:r>
              <w:rPr>
                <w:rFonts w:ascii="Times New Roman"/>
                <w:sz w:val="18"/>
              </w:rPr>
              <w:t>3,523,900</w:t>
            </w:r>
          </w:p>
        </w:tc>
      </w:tr>
      <w:tr>
        <w:trPr>
          <w:trHeight w:val="1650" w:hRule="exact"/>
        </w:trPr>
        <w:tc>
          <w:tcPr>
            <w:tcW w:w="2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之间，以及前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w:t>
            </w:r>
          </w:p>
          <w:p>
            <w:pPr>
              <w:pStyle w:val="TableParagraph"/>
              <w:spacing w:line="309" w:lineRule="auto" w:before="63"/>
              <w:ind w:left="101" w:right="120"/>
              <w:jc w:val="left"/>
              <w:rPr>
                <w:rFonts w:ascii="宋体" w:hAnsi="宋体" w:cs="宋体" w:eastAsia="宋体" w:hint="default"/>
                <w:sz w:val="18"/>
                <w:szCs w:val="18"/>
              </w:rPr>
            </w:pPr>
            <w:r>
              <w:rPr>
                <w:rFonts w:ascii="宋体" w:hAnsi="宋体" w:cs="宋体" w:eastAsia="宋体" w:hint="default"/>
                <w:sz w:val="18"/>
                <w:szCs w:val="18"/>
              </w:rPr>
              <w:t>流通股股东和前</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 之间关联关系或一致行动 的说明</w:t>
            </w:r>
          </w:p>
        </w:tc>
        <w:tc>
          <w:tcPr>
            <w:tcW w:w="726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3" w:right="11"/>
              <w:jc w:val="left"/>
              <w:rPr>
                <w:rFonts w:ascii="宋体" w:hAnsi="宋体" w:cs="宋体" w:eastAsia="宋体" w:hint="default"/>
                <w:sz w:val="18"/>
                <w:szCs w:val="18"/>
              </w:rPr>
            </w:pPr>
            <w:r>
              <w:rPr>
                <w:rFonts w:ascii="宋体" w:hAnsi="宋体" w:cs="宋体" w:eastAsia="宋体" w:hint="default"/>
                <w:spacing w:val="-2"/>
                <w:sz w:val="18"/>
                <w:szCs w:val="18"/>
              </w:rPr>
              <w:t>公司控股股东、实际控制人为葛航先生；杭州阜康投资有限公司为实际控制人控制的公司；</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创业慧康科技股份有限公司－第一期员工持股计划为公司员工持股计划账户；公司未知其 他股东是否存在关联关系。</w:t>
            </w:r>
          </w:p>
        </w:tc>
      </w:tr>
      <w:tr>
        <w:trPr>
          <w:trHeight w:val="714" w:hRule="exact"/>
        </w:trPr>
        <w:tc>
          <w:tcPr>
            <w:tcW w:w="2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2"/>
              <w:jc w:val="left"/>
              <w:rPr>
                <w:rFonts w:ascii="宋体" w:hAnsi="宋体" w:cs="宋体" w:eastAsia="宋体" w:hint="default"/>
                <w:sz w:val="18"/>
                <w:szCs w:val="18"/>
              </w:rPr>
            </w:pPr>
            <w:r>
              <w:rPr>
                <w:rFonts w:ascii="宋体" w:hAnsi="宋体" w:cs="宋体" w:eastAsia="宋体" w:hint="default"/>
                <w:sz w:val="18"/>
                <w:szCs w:val="18"/>
              </w:rPr>
              <w:t>参与融资融券业务股东情 </w:t>
            </w:r>
            <w:r>
              <w:rPr>
                <w:rFonts w:ascii="宋体" w:hAnsi="宋体" w:cs="宋体" w:eastAsia="宋体" w:hint="default"/>
                <w:spacing w:val="-11"/>
                <w:sz w:val="18"/>
                <w:szCs w:val="18"/>
              </w:rPr>
              <w:t>况说明（如有）（参见注</w:t>
            </w:r>
            <w:r>
              <w:rPr>
                <w:rFonts w:ascii="宋体" w:hAnsi="宋体" w:cs="宋体" w:eastAsia="宋体" w:hint="default"/>
                <w:spacing w:val="-40"/>
                <w:sz w:val="18"/>
                <w:szCs w:val="18"/>
              </w:rPr>
              <w:t> </w:t>
            </w:r>
            <w:r>
              <w:rPr>
                <w:rFonts w:ascii="Times New Roman" w:hAnsi="Times New Roman" w:cs="Times New Roman" w:eastAsia="Times New Roman" w:hint="default"/>
                <w:spacing w:val="-1"/>
                <w:sz w:val="18"/>
                <w:szCs w:val="18"/>
              </w:rPr>
              <w:t>5</w:t>
            </w:r>
            <w:r>
              <w:rPr>
                <w:rFonts w:ascii="宋体" w:hAnsi="宋体" w:cs="宋体" w:eastAsia="宋体" w:hint="default"/>
                <w:spacing w:val="-1"/>
                <w:sz w:val="18"/>
                <w:szCs w:val="18"/>
              </w:rPr>
              <w:t>）</w:t>
            </w:r>
          </w:p>
        </w:tc>
        <w:tc>
          <w:tcPr>
            <w:tcW w:w="726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pStyle w:val="BodyText"/>
        <w:spacing w:line="240" w:lineRule="auto" w:before="51"/>
        <w:ind w:right="0"/>
        <w:jc w:val="left"/>
      </w:pPr>
      <w:r>
        <w:rPr/>
        <w:t>公司前</w:t>
      </w:r>
      <w:r>
        <w:rPr>
          <w:spacing w:val="-45"/>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5"/>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名无限售条件普通股股东在报告期内是否进行约定购回交易</w:t>
      </w:r>
    </w:p>
    <w:p>
      <w:pPr>
        <w:pStyle w:val="BodyText"/>
        <w:spacing w:line="240" w:lineRule="auto" w:before="103"/>
        <w:ind w:left="204" w:right="0"/>
        <w:jc w:val="left"/>
      </w:pPr>
      <w:r>
        <w:rPr/>
        <w:t>□是  √否</w:t>
      </w:r>
    </w:p>
    <w:p>
      <w:pPr>
        <w:pStyle w:val="BodyText"/>
        <w:spacing w:line="240" w:lineRule="auto" w:before="115"/>
        <w:ind w:right="0"/>
        <w:jc w:val="left"/>
      </w:pPr>
      <w:r>
        <w:rPr/>
        <w:t>公司前</w:t>
      </w:r>
      <w:r>
        <w:rPr>
          <w:spacing w:val="-45"/>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5"/>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名无限售条件普通股股东在报告期内未进行约定购回交易。</w:t>
      </w:r>
    </w:p>
    <w:p>
      <w:pPr>
        <w:spacing w:line="240" w:lineRule="auto" w:before="13"/>
        <w:rPr>
          <w:rFonts w:ascii="宋体" w:hAnsi="宋体" w:cs="宋体" w:eastAsia="宋体" w:hint="default"/>
          <w:sz w:val="25"/>
          <w:szCs w:val="25"/>
        </w:rPr>
      </w:pPr>
    </w:p>
    <w:p>
      <w:pPr>
        <w:pStyle w:val="Heading3"/>
        <w:spacing w:line="240" w:lineRule="auto"/>
        <w:ind w:right="0"/>
        <w:jc w:val="left"/>
        <w:rPr>
          <w:b w:val="0"/>
          <w:bCs w:val="0"/>
        </w:rPr>
      </w:pPr>
      <w:bookmarkStart w:name="2、公司控股股东情况" w:id="126"/>
      <w:bookmarkEnd w:id="126"/>
      <w:r>
        <w:rPr>
          <w:b w:val="0"/>
          <w:bCs w:val="0"/>
        </w:rPr>
      </w:r>
      <w:r>
        <w:rPr>
          <w:rFonts w:ascii="Times New Roman" w:hAnsi="Times New Roman" w:cs="Times New Roman" w:eastAsia="Times New Roman" w:hint="default"/>
        </w:rPr>
        <w:t>2</w:t>
      </w:r>
      <w:r>
        <w:rPr/>
        <w:t>、公司控股股东情况</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8594"/>
        <w:jc w:val="left"/>
      </w:pPr>
      <w:r>
        <w:rPr/>
        <w:t>控股股东性质：自然人控股 控股股东类型：自然人</w:t>
      </w:r>
    </w:p>
    <w:tbl>
      <w:tblPr>
        <w:tblW w:w="0" w:type="auto"/>
        <w:jc w:val="left"/>
        <w:tblInd w:w="109" w:type="dxa"/>
        <w:tblLayout w:type="fixed"/>
        <w:tblCellMar>
          <w:top w:w="0" w:type="dxa"/>
          <w:left w:w="0" w:type="dxa"/>
          <w:bottom w:w="0" w:type="dxa"/>
          <w:right w:w="0" w:type="dxa"/>
        </w:tblCellMar>
        <w:tblLook w:val="01E0"/>
      </w:tblPr>
      <w:tblGrid>
        <w:gridCol w:w="3417"/>
        <w:gridCol w:w="2030"/>
        <w:gridCol w:w="4120"/>
      </w:tblGrid>
      <w:tr>
        <w:trPr>
          <w:trHeight w:val="402" w:hRule="exact"/>
        </w:trPr>
        <w:tc>
          <w:tcPr>
            <w:tcW w:w="3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控股股东姓名</w:t>
            </w:r>
          </w:p>
        </w:tc>
        <w:tc>
          <w:tcPr>
            <w:tcW w:w="20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41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94"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2" w:hRule="exact"/>
        </w:trPr>
        <w:tc>
          <w:tcPr>
            <w:tcW w:w="3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2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4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338" w:hRule="exact"/>
        </w:trPr>
        <w:tc>
          <w:tcPr>
            <w:tcW w:w="34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615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2" w:right="95"/>
              <w:jc w:val="both"/>
              <w:rPr>
                <w:rFonts w:ascii="宋体" w:hAnsi="宋体" w:cs="宋体" w:eastAsia="宋体" w:hint="default"/>
                <w:sz w:val="18"/>
                <w:szCs w:val="18"/>
              </w:rPr>
            </w:pPr>
            <w:r>
              <w:rPr>
                <w:rFonts w:ascii="宋体" w:hAnsi="宋体" w:cs="宋体" w:eastAsia="宋体" w:hint="default"/>
                <w:sz w:val="18"/>
                <w:szCs w:val="18"/>
              </w:rPr>
              <w:t>现任公司董事长任、中宇信息董事、苏州网新创业科技有限公司副董事长、 北京甲和灯科技股份有限公司董事、浙江省软件行业协会理事长、浙江省物 联网产业协会副理事长、浙江省创业投资协会副会长、浙江省计算机应用与 教育学会常务理事、中华医学会计算机应用分会常务理事。</w:t>
            </w:r>
          </w:p>
        </w:tc>
      </w:tr>
    </w:tbl>
    <w:p>
      <w:pPr>
        <w:pStyle w:val="BodyText"/>
        <w:spacing w:line="240" w:lineRule="auto" w:before="68"/>
        <w:ind w:right="0"/>
        <w:jc w:val="left"/>
      </w:pPr>
      <w:r>
        <w:rPr/>
        <w:t>控股股东报告期内变更</w:t>
      </w:r>
    </w:p>
    <w:p>
      <w:pPr>
        <w:pStyle w:val="BodyText"/>
        <w:spacing w:line="360" w:lineRule="auto" w:before="117"/>
        <w:ind w:right="7694" w:firstLine="91"/>
        <w:jc w:val="left"/>
      </w:pPr>
      <w:r>
        <w:rPr/>
        <w:t>□ 适用 √</w:t>
      </w:r>
      <w:r>
        <w:rPr>
          <w:spacing w:val="-1"/>
        </w:rPr>
        <w:t> </w:t>
      </w:r>
      <w:r>
        <w:rPr/>
        <w:t>不适用</w:t>
      </w:r>
      <w:r>
        <w:rPr/>
        <w:t> 公司报告期控股股东未发生变更。</w:t>
      </w:r>
    </w:p>
    <w:p>
      <w:pPr>
        <w:spacing w:line="240" w:lineRule="auto" w:before="12"/>
        <w:rPr>
          <w:rFonts w:ascii="宋体" w:hAnsi="宋体" w:cs="宋体" w:eastAsia="宋体" w:hint="default"/>
          <w:sz w:val="19"/>
          <w:szCs w:val="19"/>
        </w:rPr>
      </w:pPr>
    </w:p>
    <w:p>
      <w:pPr>
        <w:pStyle w:val="Heading3"/>
        <w:spacing w:line="240" w:lineRule="auto"/>
        <w:ind w:right="0"/>
        <w:jc w:val="left"/>
        <w:rPr>
          <w:b w:val="0"/>
          <w:bCs w:val="0"/>
        </w:rPr>
      </w:pPr>
      <w:bookmarkStart w:name="3、公司实际控制人及其一致行动人" w:id="127"/>
      <w:bookmarkEnd w:id="127"/>
      <w:r>
        <w:rPr>
          <w:b w:val="0"/>
          <w:bCs w:val="0"/>
        </w:rPr>
      </w:r>
      <w:r>
        <w:rPr>
          <w:rFonts w:ascii="Times New Roman" w:hAnsi="Times New Roman" w:cs="Times New Roman" w:eastAsia="Times New Roman" w:hint="default"/>
        </w:rPr>
        <w:t>3</w:t>
      </w:r>
      <w:r>
        <w:rPr/>
        <w:t>、公司实际控制人及其一致行动人</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8414"/>
        <w:jc w:val="left"/>
      </w:pPr>
      <w:r>
        <w:rPr/>
        <w:t>实际控制人性质：境内自然人 实际控制人类型：自然人</w:t>
      </w: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60" w:right="0"/>
              <w:jc w:val="left"/>
              <w:rPr>
                <w:rFonts w:ascii="宋体" w:hAnsi="宋体" w:cs="宋体" w:eastAsia="宋体" w:hint="default"/>
                <w:sz w:val="18"/>
                <w:szCs w:val="18"/>
              </w:rPr>
            </w:pPr>
            <w:r>
              <w:rPr>
                <w:rFonts w:ascii="宋体" w:hAnsi="宋体" w:cs="宋体" w:eastAsia="宋体" w:hint="default"/>
                <w:sz w:val="18"/>
                <w:szCs w:val="18"/>
              </w:rPr>
              <w:t>实际控制人姓名</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69" w:right="0"/>
              <w:jc w:val="left"/>
              <w:rPr>
                <w:rFonts w:ascii="宋体" w:hAnsi="宋体" w:cs="宋体" w:eastAsia="宋体" w:hint="default"/>
                <w:sz w:val="18"/>
                <w:szCs w:val="18"/>
              </w:rPr>
            </w:pPr>
            <w:r>
              <w:rPr>
                <w:rFonts w:ascii="宋体" w:hAnsi="宋体" w:cs="宋体" w:eastAsia="宋体" w:hint="default"/>
                <w:sz w:val="18"/>
                <w:szCs w:val="18"/>
              </w:rPr>
              <w:t>与实际控制人关系</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国籍</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11" w:right="108" w:hanging="900"/>
              <w:jc w:val="left"/>
              <w:rPr>
                <w:rFonts w:ascii="宋体" w:hAnsi="宋体" w:cs="宋体" w:eastAsia="宋体" w:hint="default"/>
                <w:sz w:val="18"/>
                <w:szCs w:val="18"/>
              </w:rPr>
            </w:pPr>
            <w:r>
              <w:rPr>
                <w:rFonts w:ascii="宋体" w:hAnsi="宋体" w:cs="宋体" w:eastAsia="宋体" w:hint="default"/>
                <w:sz w:val="18"/>
                <w:szCs w:val="18"/>
              </w:rPr>
              <w:t>是否取得其他国家或地区居 留权</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本人</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338"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7176" w:type="dxa"/>
            <w:gridSpan w:val="3"/>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01"/>
              <w:jc w:val="both"/>
              <w:rPr>
                <w:rFonts w:ascii="宋体" w:hAnsi="宋体" w:cs="宋体" w:eastAsia="宋体" w:hint="default"/>
                <w:sz w:val="18"/>
                <w:szCs w:val="18"/>
              </w:rPr>
            </w:pPr>
            <w:r>
              <w:rPr>
                <w:rFonts w:ascii="宋体" w:hAnsi="宋体" w:cs="宋体" w:eastAsia="宋体" w:hint="default"/>
                <w:spacing w:val="-2"/>
                <w:sz w:val="18"/>
                <w:szCs w:val="18"/>
              </w:rPr>
              <w:t>现任公司董事长任、中宇信息董事、苏州网新创业科技有限公司副董事长、北京甲和灯科</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技股份有限公司董事、浙江省软件行业协会理事长、浙江省物联网产业协会副理事长、浙</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2"/>
                <w:sz w:val="18"/>
                <w:szCs w:val="18"/>
              </w:rPr>
              <w:t>江省创业投资协会副会长、浙江省计算机应用与教育学会常务理事、中华医学会计算机应</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用分会常务理事。</w:t>
            </w:r>
          </w:p>
        </w:tc>
      </w:tr>
      <w:tr>
        <w:trPr>
          <w:trHeight w:val="410"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9"/>
              <w:ind w:left="101" w:right="0"/>
              <w:jc w:val="left"/>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年曾控股的境内外</w:t>
            </w:r>
          </w:p>
        </w:tc>
        <w:tc>
          <w:tcPr>
            <w:tcW w:w="717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40"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1"/>
        <w:rPr>
          <w:rFonts w:ascii="宋体" w:hAnsi="宋体" w:cs="宋体" w:eastAsia="宋体" w:hint="default"/>
          <w:sz w:val="25"/>
          <w:szCs w:val="25"/>
        </w:rPr>
      </w:pPr>
    </w:p>
    <w:p>
      <w:pPr>
        <w:spacing w:line="37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4pt;height:18.850pt;mso-position-horizontal-relative:char;mso-position-vertical-relative:line" coordorigin="0,0" coordsize="9588,377">
            <v:group style="position:absolute;left:13;top:13;width:2387;height:357" coordorigin="13,13" coordsize="2387,357">
              <v:shape style="position:absolute;left:13;top:13;width:2387;height:357" coordorigin="13,13" coordsize="2387,357" path="m13,13l2400,13,2400,370,13,370,13,13xe" filled="true" fillcolor="#d2d2d2"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372;width:9578;height:2" coordorigin="5,372" coordsize="9578,2">
              <v:shape style="position:absolute;left:5;top:372;width:9578;height:2" coordorigin="5,372" coordsize="9578,0" path="m5,372l9582,372e" filled="false" stroked="true" strokeweight=".48pt" strokecolor="#000000">
                <v:path arrowok="t"/>
              </v:shape>
            </v:group>
            <v:group style="position:absolute;left:10;top:5;width:2;height:362" coordorigin="10,5" coordsize="2,362">
              <v:shape style="position:absolute;left:10;top:5;width:2;height:362" coordorigin="10,5" coordsize="0,362" path="m10,5l10,367e" filled="false" stroked="true" strokeweight=".48pt" strokecolor="#000000">
                <v:path arrowok="t"/>
              </v:shape>
            </v:group>
            <v:group style="position:absolute;left:2402;top:5;width:2;height:362" coordorigin="2402,5" coordsize="2,362">
              <v:shape style="position:absolute;left:2402;top:5;width:2;height:362" coordorigin="2402,5" coordsize="0,362" path="m2402,5l2402,367e" filled="false" stroked="true" strokeweight=".48pt" strokecolor="#000000">
                <v:path arrowok="t"/>
              </v:shape>
            </v:group>
            <v:group style="position:absolute;left:9578;top:5;width:2;height:362" coordorigin="9578,5" coordsize="2,362">
              <v:shape style="position:absolute;left:9578;top:5;width:2;height:362" coordorigin="9578,5" coordsize="0,362" path="m9578,5l9578,367e" filled="false" stroked="true" strokeweight=".48pt" strokecolor="#000000">
                <v:path arrowok="t"/>
              </v:shape>
              <v:shape style="position:absolute;left:10;top:10;width:2392;height:362" type="#_x0000_t202" filled="false" stroked="false">
                <v:textbox inset="0,0,0,0">
                  <w:txbxContent>
                    <w:p>
                      <w:pPr>
                        <w:spacing w:before="16"/>
                        <w:ind w:left="106" w:right="0" w:firstLine="0"/>
                        <w:jc w:val="left"/>
                        <w:rPr>
                          <w:rFonts w:ascii="宋体" w:hAnsi="宋体" w:cs="宋体" w:eastAsia="宋体" w:hint="default"/>
                          <w:sz w:val="18"/>
                          <w:szCs w:val="18"/>
                        </w:rPr>
                      </w:pPr>
                      <w:r>
                        <w:rPr>
                          <w:rFonts w:ascii="宋体" w:hAnsi="宋体" w:cs="宋体" w:eastAsia="宋体" w:hint="default"/>
                          <w:sz w:val="18"/>
                          <w:szCs w:val="18"/>
                        </w:rPr>
                        <w:t>上市公司情况</w:t>
                      </w:r>
                    </w:p>
                  </w:txbxContent>
                </v:textbox>
                <w10:wrap type="none"/>
              </v:shape>
            </v:group>
          </v:group>
        </w:pict>
      </w:r>
      <w:r>
        <w:rPr>
          <w:rFonts w:ascii="宋体" w:hAnsi="宋体" w:cs="宋体" w:eastAsia="宋体" w:hint="default"/>
          <w:position w:val="-7"/>
          <w:sz w:val="20"/>
          <w:szCs w:val="20"/>
        </w:rPr>
      </w:r>
    </w:p>
    <w:p>
      <w:pPr>
        <w:pStyle w:val="BodyText"/>
        <w:spacing w:line="240" w:lineRule="auto" w:before="50"/>
        <w:ind w:right="0"/>
        <w:jc w:val="left"/>
      </w:pPr>
      <w:r>
        <w:rPr/>
        <w:t>实际控制人报告期内变更</w:t>
      </w:r>
    </w:p>
    <w:p>
      <w:pPr>
        <w:pStyle w:val="BodyText"/>
        <w:spacing w:line="357" w:lineRule="auto" w:before="117"/>
        <w:ind w:right="6794" w:firstLine="91"/>
        <w:jc w:val="left"/>
      </w:pPr>
      <w:r>
        <w:rPr/>
        <w:t>□ 适用 √</w:t>
      </w:r>
      <w:r>
        <w:rPr>
          <w:spacing w:val="-1"/>
        </w:rPr>
        <w:t> </w:t>
      </w:r>
      <w:r>
        <w:rPr/>
        <w:t>不适用</w:t>
      </w:r>
      <w:r>
        <w:rPr/>
        <w:t> 公司报告期实际控制人未发生变更。 公司与实际控制人之间的产权及控制关系的方框图</w:t>
      </w:r>
    </w:p>
    <w:p>
      <w:pPr>
        <w:spacing w:line="240" w:lineRule="auto" w:before="5"/>
        <w:rPr>
          <w:rFonts w:ascii="宋体" w:hAnsi="宋体" w:cs="宋体" w:eastAsia="宋体" w:hint="default"/>
          <w:sz w:val="23"/>
          <w:szCs w:val="23"/>
        </w:rPr>
      </w:pPr>
    </w:p>
    <w:p>
      <w:pPr>
        <w:spacing w:line="2881" w:lineRule="exact"/>
        <w:ind w:left="1041" w:right="0" w:firstLine="0"/>
        <w:rPr>
          <w:rFonts w:ascii="宋体" w:hAnsi="宋体" w:cs="宋体" w:eastAsia="宋体" w:hint="default"/>
          <w:sz w:val="20"/>
          <w:szCs w:val="20"/>
        </w:rPr>
      </w:pPr>
      <w:r>
        <w:rPr>
          <w:rFonts w:ascii="宋体" w:hAnsi="宋体" w:cs="宋体" w:eastAsia="宋体" w:hint="default"/>
          <w:position w:val="-57"/>
          <w:sz w:val="20"/>
          <w:szCs w:val="20"/>
        </w:rPr>
        <w:drawing>
          <wp:inline distT="0" distB="0" distL="0" distR="0">
            <wp:extent cx="4969754" cy="1829752"/>
            <wp:effectExtent l="0" t="0" r="0" b="0"/>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36" cstate="print"/>
                    <a:stretch>
                      <a:fillRect/>
                    </a:stretch>
                  </pic:blipFill>
                  <pic:spPr>
                    <a:xfrm>
                      <a:off x="0" y="0"/>
                      <a:ext cx="4969754" cy="1829752"/>
                    </a:xfrm>
                    <a:prstGeom prst="rect">
                      <a:avLst/>
                    </a:prstGeom>
                  </pic:spPr>
                </pic:pic>
              </a:graphicData>
            </a:graphic>
          </wp:inline>
        </w:drawing>
      </w:r>
      <w:r>
        <w:rPr>
          <w:rFonts w:ascii="宋体" w:hAnsi="宋体" w:cs="宋体" w:eastAsia="宋体" w:hint="default"/>
          <w:position w:val="-57"/>
          <w:sz w:val="20"/>
          <w:szCs w:val="20"/>
        </w:rPr>
      </w:r>
    </w:p>
    <w:p>
      <w:pPr>
        <w:spacing w:line="240" w:lineRule="auto" w:before="9"/>
        <w:rPr>
          <w:rFonts w:ascii="宋体" w:hAnsi="宋体" w:cs="宋体" w:eastAsia="宋体" w:hint="default"/>
          <w:sz w:val="22"/>
          <w:szCs w:val="22"/>
        </w:rPr>
      </w:pPr>
    </w:p>
    <w:p>
      <w:pPr>
        <w:pStyle w:val="Heading4"/>
        <w:spacing w:line="240" w:lineRule="auto"/>
        <w:ind w:left="112" w:right="0"/>
        <w:jc w:val="left"/>
      </w:pPr>
      <w:r>
        <w:rPr/>
        <w:t>实际控制人通过信托或其他资产管理方式控制公司</w:t>
      </w:r>
    </w:p>
    <w:p>
      <w:pPr>
        <w:spacing w:line="240" w:lineRule="auto" w:before="0"/>
        <w:rPr>
          <w:rFonts w:ascii="宋体" w:hAnsi="宋体" w:cs="宋体" w:eastAsia="宋体" w:hint="default"/>
          <w:sz w:val="20"/>
          <w:szCs w:val="20"/>
        </w:rPr>
      </w:pPr>
    </w:p>
    <w:p>
      <w:pPr>
        <w:pStyle w:val="BodyText"/>
        <w:spacing w:line="240" w:lineRule="auto"/>
        <w:ind w:left="204" w:right="0"/>
        <w:jc w:val="left"/>
      </w:pPr>
      <w:r>
        <w:rPr/>
        <w:t>□ 适用  √</w:t>
      </w:r>
      <w:r>
        <w:rPr>
          <w:spacing w:val="-1"/>
        </w:rPr>
        <w:t> </w:t>
      </w:r>
      <w:r>
        <w:rPr/>
        <w:t>不适用</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4、其他持股在10%以上的法人股东" w:id="128"/>
      <w:bookmarkEnd w:id="128"/>
      <w:r>
        <w:rPr>
          <w:b w:val="0"/>
          <w:bCs w:val="0"/>
        </w:rPr>
      </w:r>
      <w:r>
        <w:rPr>
          <w:rFonts w:ascii="Times New Roman" w:hAnsi="Times New Roman" w:cs="Times New Roman" w:eastAsia="Times New Roman" w:hint="default"/>
        </w:rPr>
        <w:t>4</w:t>
      </w:r>
      <w:r>
        <w:rPr/>
        <w:t>、其他持股在</w:t>
      </w:r>
      <w:r>
        <w:rPr>
          <w:spacing w:val="-60"/>
        </w:rPr>
        <w:t> </w:t>
      </w:r>
      <w:r>
        <w:rPr>
          <w:rFonts w:ascii="Times New Roman" w:hAnsi="Times New Roman" w:cs="Times New Roman" w:eastAsia="Times New Roman" w:hint="default"/>
        </w:rPr>
        <w:t>10%</w:t>
      </w:r>
      <w:r>
        <w:rPr/>
        <w:t>以上的法人股东</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 适用</w:t>
      </w:r>
      <w:r>
        <w:rPr>
          <w:spacing w:val="-1"/>
        </w:rPr>
        <w:t> </w:t>
      </w:r>
      <w:r>
        <w:rPr/>
        <w:t>□不适用</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050"/>
        <w:gridCol w:w="2130"/>
        <w:gridCol w:w="1739"/>
        <w:gridCol w:w="1524"/>
        <w:gridCol w:w="2125"/>
      </w:tblGrid>
      <w:tr>
        <w:trPr>
          <w:trHeight w:val="714" w:hRule="exact"/>
        </w:trPr>
        <w:tc>
          <w:tcPr>
            <w:tcW w:w="20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法人股东名称</w:t>
            </w:r>
          </w:p>
        </w:tc>
        <w:tc>
          <w:tcPr>
            <w:tcW w:w="21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35" w:right="0"/>
              <w:jc w:val="left"/>
              <w:rPr>
                <w:rFonts w:ascii="宋体" w:hAnsi="宋体" w:cs="宋体" w:eastAsia="宋体" w:hint="default"/>
                <w:sz w:val="18"/>
                <w:szCs w:val="18"/>
              </w:rPr>
            </w:pPr>
            <w:r>
              <w:rPr>
                <w:rFonts w:ascii="宋体" w:hAnsi="宋体" w:cs="宋体" w:eastAsia="宋体" w:hint="default"/>
                <w:sz w:val="18"/>
                <w:szCs w:val="18"/>
              </w:rPr>
              <w:t>法定代表人</w:t>
            </w:r>
            <w:r>
              <w:rPr>
                <w:rFonts w:ascii="Times New Roman" w:hAnsi="Times New Roman" w:cs="Times New Roman" w:eastAsia="Times New Roman" w:hint="default"/>
                <w:sz w:val="18"/>
                <w:szCs w:val="18"/>
              </w:rPr>
              <w:t>/</w:t>
            </w:r>
            <w:r>
              <w:rPr>
                <w:rFonts w:ascii="宋体" w:hAnsi="宋体" w:cs="宋体" w:eastAsia="宋体" w:hint="default"/>
                <w:sz w:val="18"/>
                <w:szCs w:val="18"/>
              </w:rPr>
              <w:t>单位负责人</w:t>
            </w: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成立日期</w:t>
            </w:r>
          </w:p>
        </w:tc>
        <w:tc>
          <w:tcPr>
            <w:tcW w:w="15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96"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21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967" w:right="156" w:hanging="812"/>
              <w:jc w:val="left"/>
              <w:rPr>
                <w:rFonts w:ascii="宋体" w:hAnsi="宋体" w:cs="宋体" w:eastAsia="宋体" w:hint="default"/>
                <w:sz w:val="18"/>
                <w:szCs w:val="18"/>
              </w:rPr>
            </w:pPr>
            <w:r>
              <w:rPr>
                <w:rFonts w:ascii="宋体" w:hAnsi="宋体" w:cs="宋体" w:eastAsia="宋体" w:hint="default"/>
                <w:sz w:val="18"/>
                <w:szCs w:val="18"/>
              </w:rPr>
              <w:t>主要经营业务或管理活 动</w:t>
            </w:r>
          </w:p>
        </w:tc>
      </w:tr>
      <w:tr>
        <w:trPr>
          <w:trHeight w:val="358" w:hRule="exact"/>
        </w:trPr>
        <w:tc>
          <w:tcPr>
            <w:tcW w:w="2050" w:type="dxa"/>
            <w:tcBorders>
              <w:top w:val="single" w:sz="4" w:space="0" w:color="000000"/>
              <w:left w:val="single" w:sz="4" w:space="0" w:color="000000"/>
              <w:bottom w:val="nil" w:sz="6" w:space="0" w:color="auto"/>
              <w:right w:val="single" w:sz="4" w:space="0" w:color="000000"/>
            </w:tcBorders>
          </w:tcPr>
          <w:p>
            <w:pPr/>
          </w:p>
        </w:tc>
        <w:tc>
          <w:tcPr>
            <w:tcW w:w="2130" w:type="dxa"/>
            <w:tcBorders>
              <w:top w:val="single" w:sz="4" w:space="0" w:color="000000"/>
              <w:left w:val="single" w:sz="4" w:space="0" w:color="000000"/>
              <w:bottom w:val="nil" w:sz="6" w:space="0" w:color="auto"/>
              <w:right w:val="single" w:sz="4" w:space="0" w:color="000000"/>
            </w:tcBorders>
          </w:tcPr>
          <w:p>
            <w:pPr/>
          </w:p>
        </w:tc>
        <w:tc>
          <w:tcPr>
            <w:tcW w:w="1739" w:type="dxa"/>
            <w:tcBorders>
              <w:top w:val="single" w:sz="4" w:space="0" w:color="000000"/>
              <w:left w:val="single" w:sz="4" w:space="0" w:color="000000"/>
              <w:bottom w:val="nil" w:sz="6" w:space="0" w:color="auto"/>
              <w:right w:val="single" w:sz="4" w:space="0" w:color="000000"/>
            </w:tcBorders>
          </w:tcPr>
          <w:p>
            <w:pPr/>
          </w:p>
        </w:tc>
        <w:tc>
          <w:tcPr>
            <w:tcW w:w="1524" w:type="dxa"/>
            <w:tcBorders>
              <w:top w:val="single" w:sz="4" w:space="0" w:color="000000"/>
              <w:left w:val="single" w:sz="4" w:space="0" w:color="000000"/>
              <w:bottom w:val="nil" w:sz="6" w:space="0" w:color="auto"/>
              <w:right w:val="single" w:sz="4" w:space="0" w:color="000000"/>
            </w:tcBorders>
          </w:tcPr>
          <w:p>
            <w:pPr/>
          </w:p>
        </w:tc>
        <w:tc>
          <w:tcPr>
            <w:tcW w:w="212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pacing w:val="-7"/>
                <w:sz w:val="18"/>
                <w:szCs w:val="18"/>
              </w:rPr>
              <w:t>技术开发、技术服务、技</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7"/>
                <w:sz w:val="18"/>
                <w:szCs w:val="18"/>
              </w:rPr>
              <w:t>术咨询、成果转让：计算</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7"/>
                <w:sz w:val="18"/>
                <w:szCs w:val="18"/>
              </w:rPr>
              <w:t>机软硬件、计算机网络技</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7"/>
                <w:sz w:val="18"/>
                <w:szCs w:val="18"/>
              </w:rPr>
              <w:t>术、电子产品、计算机信</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息系统集成、智能设备；</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7"/>
                <w:sz w:val="18"/>
                <w:szCs w:val="18"/>
              </w:rPr>
              <w:t>服务：投资管理、投资咨</w:t>
            </w:r>
          </w:p>
        </w:tc>
      </w:tr>
      <w:tr>
        <w:trPr>
          <w:trHeight w:val="316"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询（除证券、期货）</w:t>
            </w:r>
            <w:r>
              <w:rPr>
                <w:rFonts w:ascii="Times New Roman" w:hAnsi="Times New Roman" w:cs="Times New Roman" w:eastAsia="Times New Roman" w:hint="default"/>
                <w:sz w:val="18"/>
                <w:szCs w:val="18"/>
              </w:rPr>
              <w:t>(</w:t>
            </w:r>
            <w:r>
              <w:rPr>
                <w:rFonts w:ascii="宋体" w:hAnsi="宋体" w:cs="宋体" w:eastAsia="宋体" w:hint="default"/>
                <w:sz w:val="18"/>
                <w:szCs w:val="18"/>
              </w:rPr>
              <w:t>未</w:t>
            </w:r>
          </w:p>
        </w:tc>
      </w:tr>
      <w:tr>
        <w:trPr>
          <w:trHeight w:val="297"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经金融等监管部门批准，</w:t>
            </w:r>
          </w:p>
        </w:tc>
      </w:tr>
      <w:tr>
        <w:trPr>
          <w:trHeight w:val="635" w:hRule="exact"/>
        </w:trPr>
        <w:tc>
          <w:tcPr>
            <w:tcW w:w="2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55"/>
              <w:ind w:right="34"/>
              <w:jc w:val="center"/>
              <w:rPr>
                <w:rFonts w:ascii="宋体" w:hAnsi="宋体" w:cs="宋体" w:eastAsia="宋体" w:hint="default"/>
                <w:sz w:val="18"/>
                <w:szCs w:val="18"/>
              </w:rPr>
            </w:pPr>
            <w:r>
              <w:rPr>
                <w:rFonts w:ascii="宋体" w:hAnsi="宋体" w:cs="宋体" w:eastAsia="宋体" w:hint="default"/>
                <w:sz w:val="18"/>
                <w:szCs w:val="18"/>
              </w:rPr>
              <w:t>浙江鑫粟科技有限公司</w:t>
            </w:r>
          </w:p>
        </w:tc>
        <w:tc>
          <w:tcPr>
            <w:tcW w:w="2130" w:type="dxa"/>
            <w:tcBorders>
              <w:top w:val="nil" w:sz="6" w:space="0" w:color="auto"/>
              <w:left w:val="single" w:sz="4" w:space="0" w:color="000000"/>
              <w:bottom w:val="nil" w:sz="6" w:space="0" w:color="auto"/>
              <w:right w:val="single" w:sz="4" w:space="0" w:color="000000"/>
            </w:tcBorders>
          </w:tcPr>
          <w:p>
            <w:pPr>
              <w:pStyle w:val="TableParagraph"/>
              <w:spacing w:line="240" w:lineRule="auto" w:before="155"/>
              <w:ind w:left="103" w:right="0"/>
              <w:jc w:val="left"/>
              <w:rPr>
                <w:rFonts w:ascii="宋体" w:hAnsi="宋体" w:cs="宋体" w:eastAsia="宋体" w:hint="default"/>
                <w:sz w:val="18"/>
                <w:szCs w:val="18"/>
              </w:rPr>
            </w:pPr>
            <w:r>
              <w:rPr>
                <w:rFonts w:ascii="宋体" w:hAnsi="宋体" w:cs="宋体" w:eastAsia="宋体" w:hint="default"/>
                <w:sz w:val="18"/>
                <w:szCs w:val="18"/>
              </w:rPr>
              <w:t>戴建新</w:t>
            </w:r>
          </w:p>
        </w:tc>
        <w:tc>
          <w:tcPr>
            <w:tcW w:w="1739" w:type="dxa"/>
            <w:tcBorders>
              <w:top w:val="nil" w:sz="6" w:space="0" w:color="auto"/>
              <w:left w:val="single" w:sz="4" w:space="0" w:color="000000"/>
              <w:bottom w:val="nil" w:sz="6" w:space="0" w:color="auto"/>
              <w:right w:val="single" w:sz="4" w:space="0" w:color="000000"/>
            </w:tcBorders>
          </w:tcPr>
          <w:p>
            <w:pPr>
              <w:pStyle w:val="TableParagraph"/>
              <w:spacing w:line="240" w:lineRule="auto" w:before="155"/>
              <w:ind w:right="4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524" w:type="dxa"/>
            <w:tcBorders>
              <w:top w:val="nil" w:sz="6" w:space="0" w:color="auto"/>
              <w:left w:val="single" w:sz="4" w:space="0" w:color="000000"/>
              <w:bottom w:val="nil" w:sz="6" w:space="0" w:color="auto"/>
              <w:right w:val="single" w:sz="4" w:space="0" w:color="000000"/>
            </w:tcBorders>
          </w:tcPr>
          <w:p>
            <w:pPr>
              <w:pStyle w:val="TableParagraph"/>
              <w:spacing w:line="249"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7000.0001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万人</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民币</w:t>
            </w: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316" w:lineRule="auto" w:before="21"/>
              <w:ind w:left="103" w:right="101"/>
              <w:jc w:val="left"/>
              <w:rPr>
                <w:rFonts w:ascii="宋体" w:hAnsi="宋体" w:cs="宋体" w:eastAsia="宋体" w:hint="default"/>
                <w:sz w:val="18"/>
                <w:szCs w:val="18"/>
              </w:rPr>
            </w:pPr>
            <w:r>
              <w:rPr>
                <w:rFonts w:ascii="宋体" w:hAnsi="宋体" w:cs="宋体" w:eastAsia="宋体" w:hint="default"/>
                <w:sz w:val="18"/>
                <w:szCs w:val="18"/>
              </w:rPr>
              <w:t>不得从事向公众融资存 </w:t>
            </w:r>
            <w:r>
              <w:rPr>
                <w:rFonts w:ascii="宋体" w:hAnsi="宋体" w:cs="宋体" w:eastAsia="宋体" w:hint="default"/>
                <w:spacing w:val="-7"/>
                <w:sz w:val="18"/>
                <w:szCs w:val="18"/>
              </w:rPr>
              <w:t>款、融资担保、代客理财</w:t>
            </w:r>
          </w:p>
        </w:tc>
      </w:tr>
      <w:tr>
        <w:trPr>
          <w:trHeight w:val="316"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等金融服务</w:t>
            </w:r>
            <w:r>
              <w:rPr>
                <w:rFonts w:ascii="Times New Roman" w:hAnsi="Times New Roman" w:cs="Times New Roman" w:eastAsia="Times New Roman" w:hint="default"/>
                <w:sz w:val="18"/>
                <w:szCs w:val="18"/>
              </w:rPr>
              <w:t>)</w:t>
            </w:r>
            <w:r>
              <w:rPr>
                <w:rFonts w:ascii="宋体" w:hAnsi="宋体" w:cs="宋体" w:eastAsia="宋体" w:hint="default"/>
                <w:sz w:val="18"/>
                <w:szCs w:val="18"/>
              </w:rPr>
              <w:t>；销售：通</w:t>
            </w:r>
          </w:p>
        </w:tc>
      </w:tr>
      <w:tr>
        <w:trPr>
          <w:trHeight w:val="308"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信产品、智能终端设备、</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电子产品、计算机软硬</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件；货物及技术进出口</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7"/>
                <w:sz w:val="18"/>
                <w:szCs w:val="18"/>
              </w:rPr>
              <w:t>（法律、行政法规禁止经</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7"/>
                <w:sz w:val="18"/>
                <w:szCs w:val="18"/>
              </w:rPr>
              <w:t>营的项目除外，法律、行</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政法规限制经营的项目</w:t>
            </w:r>
          </w:p>
        </w:tc>
      </w:tr>
      <w:tr>
        <w:trPr>
          <w:trHeight w:val="314" w:hRule="exact"/>
        </w:trPr>
        <w:tc>
          <w:tcPr>
            <w:tcW w:w="2050" w:type="dxa"/>
            <w:tcBorders>
              <w:top w:val="nil" w:sz="6" w:space="0" w:color="auto"/>
              <w:left w:val="single" w:sz="4" w:space="0" w:color="000000"/>
              <w:bottom w:val="single" w:sz="4" w:space="0" w:color="000000"/>
              <w:right w:val="single" w:sz="4" w:space="0" w:color="000000"/>
            </w:tcBorders>
          </w:tcPr>
          <w:p>
            <w:pPr/>
          </w:p>
        </w:tc>
        <w:tc>
          <w:tcPr>
            <w:tcW w:w="2130" w:type="dxa"/>
            <w:tcBorders>
              <w:top w:val="nil" w:sz="6" w:space="0" w:color="auto"/>
              <w:left w:val="single" w:sz="4" w:space="0" w:color="000000"/>
              <w:bottom w:val="single" w:sz="4" w:space="0" w:color="000000"/>
              <w:right w:val="single" w:sz="4" w:space="0" w:color="000000"/>
            </w:tcBorders>
          </w:tcPr>
          <w:p>
            <w:pPr/>
          </w:p>
        </w:tc>
        <w:tc>
          <w:tcPr>
            <w:tcW w:w="1739" w:type="dxa"/>
            <w:tcBorders>
              <w:top w:val="nil" w:sz="6" w:space="0" w:color="auto"/>
              <w:left w:val="single" w:sz="4" w:space="0" w:color="000000"/>
              <w:bottom w:val="single" w:sz="4" w:space="0" w:color="000000"/>
              <w:right w:val="single" w:sz="4" w:space="0" w:color="000000"/>
            </w:tcBorders>
          </w:tcPr>
          <w:p>
            <w:pPr/>
          </w:p>
        </w:tc>
        <w:tc>
          <w:tcPr>
            <w:tcW w:w="1524" w:type="dxa"/>
            <w:tcBorders>
              <w:top w:val="nil" w:sz="6" w:space="0" w:color="auto"/>
              <w:left w:val="single" w:sz="4" w:space="0" w:color="000000"/>
              <w:bottom w:val="single" w:sz="4" w:space="0" w:color="000000"/>
              <w:right w:val="single" w:sz="4" w:space="0" w:color="000000"/>
            </w:tcBorders>
          </w:tcPr>
          <w:p>
            <w:pPr/>
          </w:p>
        </w:tc>
        <w:tc>
          <w:tcPr>
            <w:tcW w:w="212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取得许可后方可经营）</w:t>
            </w:r>
          </w:p>
        </w:tc>
      </w:tr>
    </w:tbl>
    <w:p>
      <w:pPr>
        <w:spacing w:after="0" w:line="240"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050"/>
        <w:gridCol w:w="2130"/>
        <w:gridCol w:w="1739"/>
        <w:gridCol w:w="1524"/>
        <w:gridCol w:w="2125"/>
      </w:tblGrid>
      <w:tr>
        <w:trPr>
          <w:trHeight w:val="986" w:hRule="exact"/>
        </w:trPr>
        <w:tc>
          <w:tcPr>
            <w:tcW w:w="2050" w:type="dxa"/>
            <w:tcBorders>
              <w:top w:val="single" w:sz="4" w:space="0" w:color="000000"/>
              <w:left w:val="single" w:sz="4" w:space="0" w:color="000000"/>
              <w:bottom w:val="single" w:sz="4" w:space="0" w:color="000000"/>
              <w:right w:val="single" w:sz="4" w:space="0" w:color="000000"/>
            </w:tcBorders>
          </w:tcPr>
          <w:p>
            <w:pPr/>
          </w:p>
        </w:tc>
        <w:tc>
          <w:tcPr>
            <w:tcW w:w="2130" w:type="dxa"/>
            <w:tcBorders>
              <w:top w:val="single" w:sz="4" w:space="0" w:color="000000"/>
              <w:left w:val="single" w:sz="4" w:space="0" w:color="000000"/>
              <w:bottom w:val="single" w:sz="4" w:space="0" w:color="000000"/>
              <w:right w:val="single" w:sz="4" w:space="0" w:color="000000"/>
            </w:tcBorders>
          </w:tcPr>
          <w:p>
            <w:pPr/>
          </w:p>
        </w:tc>
        <w:tc>
          <w:tcPr>
            <w:tcW w:w="1739" w:type="dxa"/>
            <w:tcBorders>
              <w:top w:val="single" w:sz="4" w:space="0" w:color="000000"/>
              <w:left w:val="single" w:sz="4" w:space="0" w:color="000000"/>
              <w:bottom w:val="single" w:sz="4" w:space="0" w:color="000000"/>
              <w:right w:val="single" w:sz="4" w:space="0" w:color="000000"/>
            </w:tcBorders>
          </w:tcPr>
          <w:p>
            <w:pPr/>
          </w:p>
        </w:tc>
        <w:tc>
          <w:tcPr>
            <w:tcW w:w="1524" w:type="dxa"/>
            <w:tcBorders>
              <w:top w:val="single" w:sz="4" w:space="0" w:color="000000"/>
              <w:left w:val="single" w:sz="4" w:space="0" w:color="000000"/>
              <w:bottom w:val="single" w:sz="4" w:space="0" w:color="000000"/>
              <w:right w:val="single" w:sz="4" w:space="0" w:color="000000"/>
            </w:tcBorders>
          </w:tcPr>
          <w:p>
            <w:pPr/>
          </w:p>
        </w:tc>
        <w:tc>
          <w:tcPr>
            <w:tcW w:w="21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29"/>
              <w:jc w:val="left"/>
              <w:rPr>
                <w:rFonts w:ascii="宋体" w:hAnsi="宋体" w:cs="宋体" w:eastAsia="宋体" w:hint="default"/>
                <w:sz w:val="18"/>
                <w:szCs w:val="18"/>
              </w:rPr>
            </w:pPr>
            <w:r>
              <w:rPr>
                <w:rFonts w:ascii="宋体" w:hAnsi="宋体" w:cs="宋体" w:eastAsia="宋体" w:hint="default"/>
                <w:sz w:val="18"/>
                <w:szCs w:val="18"/>
              </w:rPr>
              <w:t>（依法须经批准的项目， 经相关部门批准后方可 开展经营活动）</w:t>
            </w:r>
          </w:p>
        </w:tc>
      </w:tr>
      <w:tr>
        <w:trPr>
          <w:trHeight w:val="357" w:hRule="exact"/>
        </w:trPr>
        <w:tc>
          <w:tcPr>
            <w:tcW w:w="2050" w:type="dxa"/>
            <w:tcBorders>
              <w:top w:val="single" w:sz="4" w:space="0" w:color="000000"/>
              <w:left w:val="single" w:sz="4" w:space="0" w:color="000000"/>
              <w:bottom w:val="nil" w:sz="6" w:space="0" w:color="auto"/>
              <w:right w:val="single" w:sz="4" w:space="0" w:color="000000"/>
            </w:tcBorders>
          </w:tcPr>
          <w:p>
            <w:pPr/>
          </w:p>
        </w:tc>
        <w:tc>
          <w:tcPr>
            <w:tcW w:w="2130" w:type="dxa"/>
            <w:tcBorders>
              <w:top w:val="single" w:sz="4" w:space="0" w:color="000000"/>
              <w:left w:val="single" w:sz="4" w:space="0" w:color="000000"/>
              <w:bottom w:val="nil" w:sz="6" w:space="0" w:color="auto"/>
              <w:right w:val="single" w:sz="4" w:space="0" w:color="000000"/>
            </w:tcBorders>
          </w:tcPr>
          <w:p>
            <w:pPr/>
          </w:p>
        </w:tc>
        <w:tc>
          <w:tcPr>
            <w:tcW w:w="1739" w:type="dxa"/>
            <w:tcBorders>
              <w:top w:val="single" w:sz="4" w:space="0" w:color="000000"/>
              <w:left w:val="single" w:sz="4" w:space="0" w:color="000000"/>
              <w:bottom w:val="nil" w:sz="6" w:space="0" w:color="auto"/>
              <w:right w:val="single" w:sz="4" w:space="0" w:color="000000"/>
            </w:tcBorders>
          </w:tcPr>
          <w:p>
            <w:pPr/>
          </w:p>
        </w:tc>
        <w:tc>
          <w:tcPr>
            <w:tcW w:w="1524" w:type="dxa"/>
            <w:tcBorders>
              <w:top w:val="single" w:sz="4" w:space="0" w:color="000000"/>
              <w:left w:val="single" w:sz="4" w:space="0" w:color="000000"/>
              <w:bottom w:val="nil" w:sz="6" w:space="0" w:color="auto"/>
              <w:right w:val="single" w:sz="4" w:space="0" w:color="000000"/>
            </w:tcBorders>
          </w:tcPr>
          <w:p>
            <w:pPr/>
          </w:p>
        </w:tc>
        <w:tc>
          <w:tcPr>
            <w:tcW w:w="212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pacing w:val="-7"/>
                <w:sz w:val="18"/>
                <w:szCs w:val="18"/>
              </w:rPr>
              <w:t>服务：实业投资、私募股</w:t>
            </w:r>
          </w:p>
        </w:tc>
      </w:tr>
      <w:tr>
        <w:trPr>
          <w:trHeight w:val="317"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权投资、投资咨询</w:t>
            </w:r>
            <w:r>
              <w:rPr>
                <w:rFonts w:ascii="Times New Roman" w:hAnsi="Times New Roman" w:cs="Times New Roman" w:eastAsia="Times New Roman" w:hint="default"/>
                <w:sz w:val="18"/>
                <w:szCs w:val="18"/>
              </w:rPr>
              <w:t>(</w:t>
            </w:r>
            <w:r>
              <w:rPr>
                <w:rFonts w:ascii="宋体" w:hAnsi="宋体" w:cs="宋体" w:eastAsia="宋体" w:hint="default"/>
                <w:sz w:val="18"/>
                <w:szCs w:val="18"/>
              </w:rPr>
              <w:t>除证</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pacing w:val="-12"/>
                <w:sz w:val="18"/>
                <w:szCs w:val="18"/>
              </w:rPr>
              <w:t>券、期货</w:t>
            </w:r>
            <w:r>
              <w:rPr>
                <w:rFonts w:ascii="Times New Roman" w:hAnsi="Times New Roman" w:cs="Times New Roman" w:eastAsia="Times New Roman" w:hint="default"/>
                <w:spacing w:val="-12"/>
                <w:sz w:val="18"/>
                <w:szCs w:val="18"/>
              </w:rPr>
              <w:t>)</w:t>
            </w:r>
            <w:r>
              <w:rPr>
                <w:rFonts w:ascii="宋体" w:hAnsi="宋体" w:cs="宋体" w:eastAsia="宋体" w:hint="default"/>
                <w:spacing w:val="-12"/>
                <w:sz w:val="18"/>
                <w:szCs w:val="18"/>
              </w:rPr>
              <w:t>、投资管理（未</w:t>
            </w:r>
          </w:p>
        </w:tc>
      </w:tr>
      <w:tr>
        <w:trPr>
          <w:trHeight w:val="307"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经金融等监管部门批准，</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不得从事向公众融资存</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7"/>
                <w:sz w:val="18"/>
                <w:szCs w:val="18"/>
              </w:rPr>
              <w:t>款、融资担保、代客理财</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等金融服务</w:t>
            </w:r>
            <w:r>
              <w:rPr>
                <w:rFonts w:ascii="宋体" w:hAnsi="宋体" w:cs="宋体" w:eastAsia="宋体" w:hint="default"/>
                <w:spacing w:val="-92"/>
                <w:sz w:val="18"/>
                <w:szCs w:val="18"/>
              </w:rPr>
              <w:t>）</w:t>
            </w:r>
            <w:r>
              <w:rPr>
                <w:rFonts w:ascii="宋体" w:hAnsi="宋体" w:cs="宋体" w:eastAsia="宋体" w:hint="default"/>
                <w:sz w:val="18"/>
                <w:szCs w:val="18"/>
              </w:rPr>
              <w:t>、企业管理</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7"/>
                <w:sz w:val="18"/>
                <w:szCs w:val="18"/>
              </w:rPr>
              <w:t>咨询、物业管理、会展服</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7"/>
                <w:sz w:val="18"/>
                <w:szCs w:val="18"/>
              </w:rPr>
              <w:t>务、会务服务、商务信息</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7"/>
                <w:sz w:val="18"/>
                <w:szCs w:val="18"/>
              </w:rPr>
              <w:t>咨询、互联网信息；技术</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7"/>
                <w:sz w:val="18"/>
                <w:szCs w:val="18"/>
              </w:rPr>
              <w:t>开发、技术服务、技术咨</w:t>
            </w:r>
          </w:p>
        </w:tc>
      </w:tr>
      <w:tr>
        <w:trPr>
          <w:trHeight w:val="317"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询、成果转让服务</w:t>
            </w:r>
            <w:r>
              <w:rPr>
                <w:rFonts w:ascii="Times New Roman" w:hAnsi="Times New Roman" w:cs="Times New Roman" w:eastAsia="Times New Roman" w:hint="default"/>
                <w:sz w:val="18"/>
                <w:szCs w:val="18"/>
              </w:rPr>
              <w:t>;</w:t>
            </w:r>
            <w:r>
              <w:rPr>
                <w:rFonts w:ascii="宋体" w:hAnsi="宋体" w:cs="宋体" w:eastAsia="宋体" w:hint="default"/>
                <w:sz w:val="18"/>
                <w:szCs w:val="18"/>
              </w:rPr>
              <w:t>电子</w:t>
            </w:r>
          </w:p>
        </w:tc>
      </w:tr>
      <w:tr>
        <w:trPr>
          <w:trHeight w:val="619" w:hRule="exact"/>
        </w:trPr>
        <w:tc>
          <w:tcPr>
            <w:tcW w:w="2050"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left="101" w:right="0"/>
              <w:jc w:val="left"/>
              <w:rPr>
                <w:rFonts w:ascii="宋体" w:hAnsi="宋体" w:cs="宋体" w:eastAsia="宋体" w:hint="default"/>
                <w:sz w:val="18"/>
                <w:szCs w:val="18"/>
              </w:rPr>
            </w:pPr>
            <w:r>
              <w:rPr>
                <w:rFonts w:ascii="宋体" w:hAnsi="宋体" w:cs="宋体" w:eastAsia="宋体" w:hint="default"/>
                <w:sz w:val="18"/>
                <w:szCs w:val="18"/>
              </w:rPr>
              <w:t>杭州阜康投资有限公司</w:t>
            </w:r>
          </w:p>
        </w:tc>
        <w:tc>
          <w:tcPr>
            <w:tcW w:w="2130"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left="103" w:right="0"/>
              <w:jc w:val="left"/>
              <w:rPr>
                <w:rFonts w:ascii="宋体" w:hAnsi="宋体" w:cs="宋体" w:eastAsia="宋体" w:hint="default"/>
                <w:sz w:val="18"/>
                <w:szCs w:val="18"/>
              </w:rPr>
            </w:pPr>
            <w:r>
              <w:rPr>
                <w:rFonts w:ascii="宋体" w:hAnsi="宋体" w:cs="宋体" w:eastAsia="宋体" w:hint="default"/>
                <w:sz w:val="18"/>
                <w:szCs w:val="18"/>
              </w:rPr>
              <w:t>洪邵平</w:t>
            </w:r>
          </w:p>
        </w:tc>
        <w:tc>
          <w:tcPr>
            <w:tcW w:w="1739"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524" w:type="dxa"/>
            <w:tcBorders>
              <w:top w:val="nil" w:sz="6" w:space="0" w:color="auto"/>
              <w:left w:val="single" w:sz="4" w:space="0" w:color="000000"/>
              <w:bottom w:val="nil" w:sz="6" w:space="0" w:color="auto"/>
              <w:right w:val="single" w:sz="4" w:space="0" w:color="000000"/>
            </w:tcBorders>
          </w:tcPr>
          <w:p>
            <w:pPr>
              <w:pStyle w:val="TableParagraph"/>
              <w:spacing w:line="300" w:lineRule="auto" w:before="5"/>
              <w:ind w:left="103" w:right="239"/>
              <w:jc w:val="left"/>
              <w:rPr>
                <w:rFonts w:ascii="宋体" w:hAnsi="宋体" w:cs="宋体" w:eastAsia="宋体" w:hint="default"/>
                <w:sz w:val="18"/>
                <w:szCs w:val="18"/>
              </w:rPr>
            </w:pPr>
            <w:r>
              <w:rPr>
                <w:rFonts w:ascii="Times New Roman" w:hAnsi="Times New Roman" w:cs="Times New Roman" w:eastAsia="Times New Roman" w:hint="default"/>
                <w:sz w:val="18"/>
                <w:szCs w:val="18"/>
              </w:rPr>
              <w:t>1000.00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万人民 币</w:t>
            </w: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300" w:lineRule="auto" w:before="5"/>
              <w:ind w:left="103" w:right="101"/>
              <w:jc w:val="left"/>
              <w:rPr>
                <w:rFonts w:ascii="宋体" w:hAnsi="宋体" w:cs="宋体" w:eastAsia="宋体" w:hint="default"/>
                <w:sz w:val="18"/>
                <w:szCs w:val="18"/>
              </w:rPr>
            </w:pPr>
            <w:r>
              <w:rPr>
                <w:rFonts w:ascii="宋体" w:hAnsi="宋体" w:cs="宋体" w:eastAsia="宋体" w:hint="default"/>
                <w:sz w:val="18"/>
                <w:szCs w:val="18"/>
              </w:rPr>
              <w:t>商务技术、计算机硬件</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99"/>
                <w:sz w:val="18"/>
                <w:szCs w:val="18"/>
              </w:rPr>
              <w:t> </w:t>
            </w:r>
            <w:r>
              <w:rPr>
                <w:rFonts w:ascii="宋体" w:hAnsi="宋体" w:cs="宋体" w:eastAsia="宋体" w:hint="default"/>
                <w:spacing w:val="-7"/>
                <w:sz w:val="18"/>
                <w:szCs w:val="18"/>
              </w:rPr>
              <w:t>批发、零售：办公自动化</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7"/>
                <w:sz w:val="18"/>
                <w:szCs w:val="18"/>
              </w:rPr>
              <w:t>设备、电子产品、金属材</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料、矿产品、旅游用品、</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7"/>
                <w:sz w:val="18"/>
                <w:szCs w:val="18"/>
              </w:rPr>
              <w:t>工艺品、化工原料及产品</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（除化学危险品及易制</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毒化学品</w:t>
            </w:r>
            <w:r>
              <w:rPr>
                <w:rFonts w:ascii="宋体" w:hAnsi="宋体" w:cs="宋体" w:eastAsia="宋体" w:hint="default"/>
                <w:spacing w:val="-92"/>
                <w:sz w:val="18"/>
                <w:szCs w:val="18"/>
              </w:rPr>
              <w:t>）</w:t>
            </w:r>
            <w:r>
              <w:rPr>
                <w:rFonts w:ascii="宋体" w:hAnsi="宋体" w:cs="宋体" w:eastAsia="宋体" w:hint="default"/>
                <w:sz w:val="18"/>
                <w:szCs w:val="18"/>
              </w:rPr>
              <w:t>、日用品、家</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具；货物进出口（法律、</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行政法规禁止的项目除</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7"/>
                <w:sz w:val="18"/>
                <w:szCs w:val="18"/>
              </w:rPr>
              <w:t>外，法律法规限制的项目</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取得许可后方可经营）</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（依法须经批准的项目，</w:t>
            </w:r>
          </w:p>
        </w:tc>
      </w:tr>
      <w:tr>
        <w:trPr>
          <w:trHeight w:val="312" w:hRule="exact"/>
        </w:trPr>
        <w:tc>
          <w:tcPr>
            <w:tcW w:w="2050" w:type="dxa"/>
            <w:tcBorders>
              <w:top w:val="nil" w:sz="6" w:space="0" w:color="auto"/>
              <w:left w:val="single" w:sz="4" w:space="0" w:color="000000"/>
              <w:bottom w:val="nil" w:sz="6" w:space="0" w:color="auto"/>
              <w:right w:val="single" w:sz="4" w:space="0" w:color="000000"/>
            </w:tcBorders>
          </w:tcPr>
          <w:p>
            <w:pPr/>
          </w:p>
        </w:tc>
        <w:tc>
          <w:tcPr>
            <w:tcW w:w="2130" w:type="dxa"/>
            <w:tcBorders>
              <w:top w:val="nil" w:sz="6" w:space="0" w:color="auto"/>
              <w:left w:val="single" w:sz="4" w:space="0" w:color="000000"/>
              <w:bottom w:val="nil" w:sz="6" w:space="0" w:color="auto"/>
              <w:right w:val="single" w:sz="4" w:space="0" w:color="000000"/>
            </w:tcBorders>
          </w:tcPr>
          <w:p>
            <w:pPr/>
          </w:p>
        </w:tc>
        <w:tc>
          <w:tcPr>
            <w:tcW w:w="1739"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21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经相关部门批准后方可</w:t>
            </w:r>
          </w:p>
        </w:tc>
      </w:tr>
      <w:tr>
        <w:trPr>
          <w:trHeight w:val="357" w:hRule="exact"/>
        </w:trPr>
        <w:tc>
          <w:tcPr>
            <w:tcW w:w="2050" w:type="dxa"/>
            <w:tcBorders>
              <w:top w:val="nil" w:sz="6" w:space="0" w:color="auto"/>
              <w:left w:val="single" w:sz="4" w:space="0" w:color="000000"/>
              <w:bottom w:val="single" w:sz="4" w:space="0" w:color="000000"/>
              <w:right w:val="single" w:sz="4" w:space="0" w:color="000000"/>
            </w:tcBorders>
          </w:tcPr>
          <w:p>
            <w:pPr/>
          </w:p>
        </w:tc>
        <w:tc>
          <w:tcPr>
            <w:tcW w:w="2130" w:type="dxa"/>
            <w:tcBorders>
              <w:top w:val="nil" w:sz="6" w:space="0" w:color="auto"/>
              <w:left w:val="single" w:sz="4" w:space="0" w:color="000000"/>
              <w:bottom w:val="single" w:sz="4" w:space="0" w:color="000000"/>
              <w:right w:val="single" w:sz="4" w:space="0" w:color="000000"/>
            </w:tcBorders>
          </w:tcPr>
          <w:p>
            <w:pPr/>
          </w:p>
        </w:tc>
        <w:tc>
          <w:tcPr>
            <w:tcW w:w="1739" w:type="dxa"/>
            <w:tcBorders>
              <w:top w:val="nil" w:sz="6" w:space="0" w:color="auto"/>
              <w:left w:val="single" w:sz="4" w:space="0" w:color="000000"/>
              <w:bottom w:val="single" w:sz="4" w:space="0" w:color="000000"/>
              <w:right w:val="single" w:sz="4" w:space="0" w:color="000000"/>
            </w:tcBorders>
          </w:tcPr>
          <w:p>
            <w:pPr/>
          </w:p>
        </w:tc>
        <w:tc>
          <w:tcPr>
            <w:tcW w:w="1524" w:type="dxa"/>
            <w:tcBorders>
              <w:top w:val="nil" w:sz="6" w:space="0" w:color="auto"/>
              <w:left w:val="single" w:sz="4" w:space="0" w:color="000000"/>
              <w:bottom w:val="single" w:sz="4" w:space="0" w:color="000000"/>
              <w:right w:val="single" w:sz="4" w:space="0" w:color="000000"/>
            </w:tcBorders>
          </w:tcPr>
          <w:p>
            <w:pPr/>
          </w:p>
        </w:tc>
        <w:tc>
          <w:tcPr>
            <w:tcW w:w="212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开展经营活动）</w:t>
            </w:r>
          </w:p>
        </w:tc>
      </w:tr>
    </w:tbl>
    <w:p>
      <w:pPr>
        <w:spacing w:line="240" w:lineRule="auto" w:before="5"/>
        <w:rPr>
          <w:rFonts w:ascii="宋体" w:hAnsi="宋体" w:cs="宋体" w:eastAsia="宋体" w:hint="default"/>
          <w:sz w:val="19"/>
          <w:szCs w:val="19"/>
        </w:rPr>
      </w:pPr>
    </w:p>
    <w:p>
      <w:pPr>
        <w:pStyle w:val="Heading3"/>
        <w:spacing w:line="240" w:lineRule="auto" w:before="34"/>
        <w:ind w:right="0"/>
        <w:jc w:val="left"/>
        <w:rPr>
          <w:b w:val="0"/>
          <w:bCs w:val="0"/>
        </w:rPr>
      </w:pPr>
      <w:bookmarkStart w:name="5、控股股东、实际控制人、重组方及其他承诺主体股份限制减持情况" w:id="129"/>
      <w:bookmarkEnd w:id="129"/>
      <w:r>
        <w:rPr>
          <w:b w:val="0"/>
          <w:bCs w:val="0"/>
        </w:rPr>
      </w: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204" w:right="0"/>
        <w:jc w:val="left"/>
      </w:pPr>
      <w:r>
        <w:rPr/>
        <w:t>□ 适用  √</w:t>
      </w:r>
      <w:r>
        <w:rPr>
          <w:spacing w:val="-1"/>
        </w:rPr>
        <w:t> </w:t>
      </w:r>
      <w:r>
        <w:rPr/>
        <w:t>不适用</w:t>
      </w:r>
    </w:p>
    <w:p>
      <w:pPr>
        <w:spacing w:after="0" w:line="240" w:lineRule="auto"/>
        <w:jc w:val="left"/>
        <w:sectPr>
          <w:pgSz w:w="11910" w:h="16840"/>
          <w:pgMar w:header="907" w:footer="1016"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left="3328" w:right="0"/>
        <w:jc w:val="left"/>
        <w:rPr>
          <w:b w:val="0"/>
          <w:bCs w:val="0"/>
        </w:rPr>
      </w:pPr>
      <w:bookmarkStart w:name="第七节优先股相关情况" w:id="130"/>
      <w:bookmarkEnd w:id="130"/>
      <w:r>
        <w:rPr>
          <w:b w:val="0"/>
          <w:bCs w:val="0"/>
        </w:rPr>
      </w:r>
      <w:bookmarkStart w:name="_bookmark5" w:id="131"/>
      <w:bookmarkEnd w:id="131"/>
      <w:r>
        <w:rPr>
          <w:b w:val="0"/>
          <w:bCs w:val="0"/>
        </w:rPr>
      </w:r>
      <w:r>
        <w:rPr/>
        <w:t>第七节优先股相关情况</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9"/>
          <w:szCs w:val="19"/>
        </w:rPr>
      </w:pPr>
    </w:p>
    <w:p>
      <w:pPr>
        <w:pStyle w:val="BodyText"/>
        <w:spacing w:line="360" w:lineRule="auto" w:before="44"/>
        <w:ind w:right="8594" w:firstLine="91"/>
        <w:jc w:val="left"/>
      </w:pPr>
      <w:r>
        <w:rPr/>
        <w:t>□ 适用 √</w:t>
      </w:r>
      <w:r>
        <w:rPr>
          <w:spacing w:val="-1"/>
        </w:rPr>
        <w:t> </w:t>
      </w:r>
      <w:r>
        <w:rPr/>
        <w:t>不适用</w:t>
      </w:r>
      <w:r>
        <w:rPr/>
        <w:t> 报告期公司不存在优先股。</w:t>
      </w:r>
    </w:p>
    <w:p>
      <w:pPr>
        <w:spacing w:after="0" w:line="360" w:lineRule="auto"/>
        <w:jc w:val="left"/>
        <w:sectPr>
          <w:pgSz w:w="11910" w:h="16840"/>
          <w:pgMar w:header="907" w:footer="1016"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left="1723" w:right="0"/>
        <w:jc w:val="left"/>
        <w:rPr>
          <w:b w:val="0"/>
          <w:bCs w:val="0"/>
        </w:rPr>
      </w:pPr>
      <w:bookmarkStart w:name="第八节董事、监事、高级管理人员和员工情况" w:id="132"/>
      <w:bookmarkEnd w:id="132"/>
      <w:r>
        <w:rPr>
          <w:b w:val="0"/>
          <w:bCs w:val="0"/>
        </w:rPr>
      </w:r>
      <w:bookmarkStart w:name="_bookmark6" w:id="133"/>
      <w:bookmarkEnd w:id="133"/>
      <w:r>
        <w:rPr>
          <w:b w:val="0"/>
          <w:bCs w:val="0"/>
        </w:rPr>
      </w:r>
      <w:r>
        <w:rPr/>
        <w:t>第八节董事、监事、高级管理人员和员工情况</w:t>
      </w:r>
      <w:r>
        <w:rPr>
          <w:b w:val="0"/>
          <w:bCs w:val="0"/>
        </w:rPr>
      </w:r>
    </w:p>
    <w:p>
      <w:pPr>
        <w:spacing w:line="240" w:lineRule="auto" w:before="10"/>
        <w:rPr>
          <w:rFonts w:ascii="宋体" w:hAnsi="宋体" w:cs="宋体" w:eastAsia="宋体" w:hint="default"/>
          <w:b/>
          <w:bCs/>
          <w:sz w:val="38"/>
          <w:szCs w:val="38"/>
        </w:rPr>
      </w:pPr>
    </w:p>
    <w:p>
      <w:pPr>
        <w:pStyle w:val="Heading2"/>
        <w:spacing w:line="240" w:lineRule="auto"/>
        <w:ind w:right="0"/>
        <w:jc w:val="left"/>
        <w:rPr>
          <w:b w:val="0"/>
          <w:bCs w:val="0"/>
        </w:rPr>
      </w:pPr>
      <w:bookmarkStart w:name="一、董事、监事和高级管理人员持股变动" w:id="134"/>
      <w:bookmarkEnd w:id="134"/>
      <w:r>
        <w:rPr>
          <w:b w:val="0"/>
          <w:bCs w:val="0"/>
        </w:rPr>
      </w:r>
      <w:r>
        <w:rPr/>
        <w:t>一、董事、监事和高级管理人员持股变动</w:t>
      </w:r>
      <w:r>
        <w:rPr>
          <w:b w:val="0"/>
          <w:bCs w:val="0"/>
        </w:rPr>
      </w:r>
    </w:p>
    <w:p>
      <w:pPr>
        <w:spacing w:line="240" w:lineRule="auto" w:before="11"/>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798"/>
        <w:gridCol w:w="797"/>
        <w:gridCol w:w="591"/>
        <w:gridCol w:w="545"/>
        <w:gridCol w:w="529"/>
        <w:gridCol w:w="1005"/>
        <w:gridCol w:w="921"/>
        <w:gridCol w:w="1040"/>
        <w:gridCol w:w="716"/>
        <w:gridCol w:w="1022"/>
        <w:gridCol w:w="810"/>
        <w:gridCol w:w="798"/>
      </w:tblGrid>
      <w:tr>
        <w:trPr>
          <w:trHeight w:val="1650"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14"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5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316" w:lineRule="auto"/>
              <w:ind w:left="110" w:right="109"/>
              <w:jc w:val="left"/>
              <w:rPr>
                <w:rFonts w:ascii="宋体" w:hAnsi="宋体" w:cs="宋体" w:eastAsia="宋体" w:hint="default"/>
                <w:sz w:val="18"/>
                <w:szCs w:val="18"/>
              </w:rPr>
            </w:pPr>
            <w:r>
              <w:rPr>
                <w:rFonts w:ascii="宋体" w:hAnsi="宋体" w:cs="宋体" w:eastAsia="宋体" w:hint="default"/>
                <w:sz w:val="18"/>
                <w:szCs w:val="18"/>
              </w:rPr>
              <w:t>任职 状态</w:t>
            </w:r>
          </w:p>
        </w:tc>
        <w:tc>
          <w:tcPr>
            <w:tcW w:w="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316" w:lineRule="auto"/>
              <w:ind w:left="176" w:right="176"/>
              <w:jc w:val="left"/>
              <w:rPr>
                <w:rFonts w:ascii="宋体" w:hAnsi="宋体" w:cs="宋体" w:eastAsia="宋体" w:hint="default"/>
                <w:sz w:val="18"/>
                <w:szCs w:val="18"/>
              </w:rPr>
            </w:pPr>
            <w:r>
              <w:rPr>
                <w:rFonts w:ascii="宋体" w:hAnsi="宋体" w:cs="宋体" w:eastAsia="宋体" w:hint="default"/>
                <w:sz w:val="18"/>
                <w:szCs w:val="18"/>
              </w:rPr>
              <w:t>性 别</w:t>
            </w:r>
          </w:p>
        </w:tc>
        <w:tc>
          <w:tcPr>
            <w:tcW w:w="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316" w:lineRule="auto"/>
              <w:ind w:left="169" w:right="168"/>
              <w:jc w:val="left"/>
              <w:rPr>
                <w:rFonts w:ascii="宋体" w:hAnsi="宋体" w:cs="宋体" w:eastAsia="宋体" w:hint="default"/>
                <w:sz w:val="18"/>
                <w:szCs w:val="18"/>
              </w:rPr>
            </w:pPr>
            <w:r>
              <w:rPr>
                <w:rFonts w:ascii="宋体" w:hAnsi="宋体" w:cs="宋体" w:eastAsia="宋体" w:hint="default"/>
                <w:sz w:val="18"/>
                <w:szCs w:val="18"/>
              </w:rPr>
              <w:t>年 龄</w:t>
            </w:r>
          </w:p>
        </w:tc>
        <w:tc>
          <w:tcPr>
            <w:tcW w:w="10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316" w:lineRule="auto"/>
              <w:ind w:left="317" w:right="136"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316" w:lineRule="auto"/>
              <w:ind w:left="185" w:right="183"/>
              <w:jc w:val="left"/>
              <w:rPr>
                <w:rFonts w:ascii="宋体" w:hAnsi="宋体" w:cs="宋体" w:eastAsia="宋体" w:hint="default"/>
                <w:sz w:val="18"/>
                <w:szCs w:val="18"/>
              </w:rPr>
            </w:pPr>
            <w:r>
              <w:rPr>
                <w:rFonts w:ascii="宋体" w:hAnsi="宋体" w:cs="宋体" w:eastAsia="宋体" w:hint="default"/>
                <w:sz w:val="18"/>
                <w:szCs w:val="18"/>
              </w:rPr>
              <w:t>任期终 止日期</w:t>
            </w:r>
          </w:p>
        </w:tc>
        <w:tc>
          <w:tcPr>
            <w:tcW w:w="10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316" w:lineRule="auto"/>
              <w:ind w:left="155" w:right="153"/>
              <w:jc w:val="left"/>
              <w:rPr>
                <w:rFonts w:ascii="宋体" w:hAnsi="宋体" w:cs="宋体" w:eastAsia="宋体" w:hint="default"/>
                <w:sz w:val="18"/>
                <w:szCs w:val="18"/>
              </w:rPr>
            </w:pPr>
            <w:r>
              <w:rPr>
                <w:rFonts w:ascii="宋体" w:hAnsi="宋体" w:cs="宋体" w:eastAsia="宋体" w:hint="default"/>
                <w:sz w:val="18"/>
                <w:szCs w:val="18"/>
              </w:rPr>
              <w:t>期初持股 数（股）</w:t>
            </w:r>
          </w:p>
        </w:tc>
        <w:tc>
          <w:tcPr>
            <w:tcW w:w="7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73" w:right="170"/>
              <w:jc w:val="both"/>
              <w:rPr>
                <w:rFonts w:ascii="宋体" w:hAnsi="宋体" w:cs="宋体" w:eastAsia="宋体" w:hint="default"/>
                <w:sz w:val="18"/>
                <w:szCs w:val="18"/>
              </w:rPr>
            </w:pPr>
            <w:r>
              <w:rPr>
                <w:rFonts w:ascii="宋体" w:hAnsi="宋体" w:cs="宋体" w:eastAsia="宋体" w:hint="default"/>
                <w:sz w:val="18"/>
                <w:szCs w:val="18"/>
              </w:rPr>
              <w:t>本期 增持 股份 数量</w:t>
            </w:r>
          </w:p>
          <w:p>
            <w:pPr>
              <w:pStyle w:val="TableParagraph"/>
              <w:spacing w:line="240" w:lineRule="auto" w:before="19"/>
              <w:ind w:left="103" w:right="0"/>
              <w:jc w:val="both"/>
              <w:rPr>
                <w:rFonts w:ascii="宋体" w:hAnsi="宋体" w:cs="宋体" w:eastAsia="宋体" w:hint="default"/>
                <w:sz w:val="18"/>
                <w:szCs w:val="18"/>
              </w:rPr>
            </w:pPr>
            <w:r>
              <w:rPr>
                <w:rFonts w:ascii="宋体" w:hAnsi="宋体" w:cs="宋体" w:eastAsia="宋体" w:hint="default"/>
                <w:sz w:val="18"/>
                <w:szCs w:val="18"/>
              </w:rPr>
              <w:t>（股）</w:t>
            </w:r>
          </w:p>
        </w:tc>
        <w:tc>
          <w:tcPr>
            <w:tcW w:w="10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5"/>
              <w:ind w:left="146" w:right="144"/>
              <w:jc w:val="left"/>
              <w:rPr>
                <w:rFonts w:ascii="宋体" w:hAnsi="宋体" w:cs="宋体" w:eastAsia="宋体" w:hint="default"/>
                <w:sz w:val="18"/>
                <w:szCs w:val="18"/>
              </w:rPr>
            </w:pPr>
            <w:r>
              <w:rPr>
                <w:rFonts w:ascii="宋体" w:hAnsi="宋体" w:cs="宋体" w:eastAsia="宋体" w:hint="default"/>
                <w:sz w:val="18"/>
                <w:szCs w:val="18"/>
              </w:rPr>
              <w:t>本期减持 股份数量</w:t>
            </w:r>
          </w:p>
          <w:p>
            <w:pPr>
              <w:pStyle w:val="TableParagraph"/>
              <w:spacing w:line="240" w:lineRule="auto" w:before="19"/>
              <w:ind w:left="235" w:right="0"/>
              <w:jc w:val="left"/>
              <w:rPr>
                <w:rFonts w:ascii="宋体" w:hAnsi="宋体" w:cs="宋体" w:eastAsia="宋体" w:hint="default"/>
                <w:sz w:val="18"/>
                <w:szCs w:val="18"/>
              </w:rPr>
            </w:pPr>
            <w:r>
              <w:rPr>
                <w:rFonts w:ascii="宋体" w:hAnsi="宋体" w:cs="宋体" w:eastAsia="宋体" w:hint="default"/>
                <w:sz w:val="18"/>
                <w:szCs w:val="18"/>
              </w:rPr>
              <w:t>（股）</w:t>
            </w:r>
          </w:p>
        </w:tc>
        <w:tc>
          <w:tcPr>
            <w:tcW w:w="8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5"/>
              <w:ind w:left="130" w:right="128"/>
              <w:jc w:val="left"/>
              <w:rPr>
                <w:rFonts w:ascii="宋体" w:hAnsi="宋体" w:cs="宋体" w:eastAsia="宋体" w:hint="default"/>
                <w:sz w:val="18"/>
                <w:szCs w:val="18"/>
              </w:rPr>
            </w:pPr>
            <w:r>
              <w:rPr>
                <w:rFonts w:ascii="宋体" w:hAnsi="宋体" w:cs="宋体" w:eastAsia="宋体" w:hint="default"/>
                <w:sz w:val="18"/>
                <w:szCs w:val="18"/>
              </w:rPr>
              <w:t>其他增 减变动</w:t>
            </w:r>
          </w:p>
          <w:p>
            <w:pPr>
              <w:pStyle w:val="TableParagraph"/>
              <w:spacing w:line="240" w:lineRule="auto" w:before="19"/>
              <w:ind w:left="130"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5"/>
              <w:ind w:left="215" w:right="122" w:hanging="92"/>
              <w:jc w:val="left"/>
              <w:rPr>
                <w:rFonts w:ascii="宋体" w:hAnsi="宋体" w:cs="宋体" w:eastAsia="宋体" w:hint="default"/>
                <w:sz w:val="18"/>
                <w:szCs w:val="18"/>
              </w:rPr>
            </w:pPr>
            <w:r>
              <w:rPr>
                <w:rFonts w:ascii="宋体" w:hAnsi="宋体" w:cs="宋体" w:eastAsia="宋体" w:hint="default"/>
                <w:sz w:val="18"/>
                <w:szCs w:val="18"/>
              </w:rPr>
              <w:t>期末持 股数</w:t>
            </w:r>
          </w:p>
          <w:p>
            <w:pPr>
              <w:pStyle w:val="TableParagraph"/>
              <w:spacing w:line="240" w:lineRule="auto" w:before="19"/>
              <w:ind w:left="123" w:right="0"/>
              <w:jc w:val="left"/>
              <w:rPr>
                <w:rFonts w:ascii="宋体" w:hAnsi="宋体" w:cs="宋体" w:eastAsia="宋体" w:hint="default"/>
                <w:sz w:val="18"/>
                <w:szCs w:val="18"/>
              </w:rPr>
            </w:pPr>
            <w:r>
              <w:rPr>
                <w:rFonts w:ascii="宋体" w:hAnsi="宋体" w:cs="宋体" w:eastAsia="宋体" w:hint="default"/>
                <w:sz w:val="18"/>
                <w:szCs w:val="18"/>
              </w:rPr>
              <w:t>（股）</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56</w:t>
            </w:r>
          </w:p>
        </w:tc>
        <w:tc>
          <w:tcPr>
            <w:tcW w:w="1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1998 </w:t>
            </w:r>
            <w:r>
              <w:rPr>
                <w:rFonts w:ascii="宋体" w:hAnsi="宋体" w:cs="宋体" w:eastAsia="宋体" w:hint="default"/>
                <w:sz w:val="18"/>
                <w:szCs w:val="18"/>
              </w:rPr>
              <w:t>年</w:t>
            </w:r>
            <w:r>
              <w:rPr>
                <w:rFonts w:ascii="宋体" w:hAnsi="宋体" w:cs="宋体" w:eastAsia="宋体" w:hint="default"/>
                <w:spacing w:val="-70"/>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0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44,627,546</w:t>
            </w:r>
          </w:p>
        </w:tc>
        <w:tc>
          <w:tcPr>
            <w:tcW w:w="716" w:type="dxa"/>
            <w:tcBorders>
              <w:top w:val="single" w:sz="4" w:space="0" w:color="000000"/>
              <w:left w:val="single" w:sz="4" w:space="0" w:color="000000"/>
              <w:bottom w:val="single" w:sz="4" w:space="0" w:color="000000"/>
              <w:right w:val="single" w:sz="4" w:space="0" w:color="000000"/>
            </w:tcBorders>
          </w:tcPr>
          <w:p>
            <w:pPr/>
          </w:p>
        </w:tc>
        <w:tc>
          <w:tcPr>
            <w:tcW w:w="1022"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44,627,</w:t>
            </w:r>
          </w:p>
          <w:p>
            <w:pPr>
              <w:pStyle w:val="TableParagraph"/>
              <w:spacing w:line="240" w:lineRule="auto" w:before="105"/>
              <w:ind w:left="427" w:right="0"/>
              <w:jc w:val="left"/>
              <w:rPr>
                <w:rFonts w:ascii="Times New Roman" w:hAnsi="Times New Roman" w:cs="Times New Roman" w:eastAsia="Times New Roman" w:hint="default"/>
                <w:sz w:val="18"/>
                <w:szCs w:val="18"/>
              </w:rPr>
            </w:pPr>
            <w:r>
              <w:rPr>
                <w:rFonts w:ascii="Times New Roman"/>
                <w:sz w:val="18"/>
              </w:rPr>
              <w:t>546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89,255,</w:t>
            </w:r>
          </w:p>
          <w:p>
            <w:pPr>
              <w:pStyle w:val="TableParagraph"/>
              <w:spacing w:line="240" w:lineRule="auto" w:before="105"/>
              <w:ind w:left="414" w:right="0"/>
              <w:jc w:val="left"/>
              <w:rPr>
                <w:rFonts w:ascii="Times New Roman" w:hAnsi="Times New Roman" w:cs="Times New Roman" w:eastAsia="Times New Roman" w:hint="default"/>
                <w:sz w:val="18"/>
                <w:szCs w:val="18"/>
              </w:rPr>
            </w:pPr>
            <w:r>
              <w:rPr>
                <w:rFonts w:ascii="Times New Roman"/>
                <w:sz w:val="18"/>
              </w:rPr>
              <w:t>092</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1" w:right="0"/>
              <w:jc w:val="left"/>
              <w:rPr>
                <w:rFonts w:ascii="宋体" w:hAnsi="宋体" w:cs="宋体" w:eastAsia="宋体" w:hint="default"/>
                <w:sz w:val="18"/>
                <w:szCs w:val="18"/>
              </w:rPr>
            </w:pPr>
            <w:r>
              <w:rPr>
                <w:rFonts w:ascii="宋体" w:hAnsi="宋体" w:cs="宋体" w:eastAsia="宋体" w:hint="default"/>
                <w:sz w:val="18"/>
                <w:szCs w:val="18"/>
              </w:rPr>
              <w:t>张吕峥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董事、 总经理</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48</w:t>
            </w:r>
          </w:p>
        </w:tc>
        <w:tc>
          <w:tcPr>
            <w:tcW w:w="1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1999 </w:t>
            </w:r>
            <w:r>
              <w:rPr>
                <w:rFonts w:ascii="宋体" w:hAnsi="宋体" w:cs="宋体" w:eastAsia="宋体" w:hint="default"/>
                <w:sz w:val="18"/>
                <w:szCs w:val="18"/>
              </w:rPr>
              <w:t>年</w:t>
            </w:r>
            <w:r>
              <w:rPr>
                <w:rFonts w:ascii="宋体" w:hAnsi="宋体" w:cs="宋体" w:eastAsia="宋体" w:hint="default"/>
                <w:spacing w:val="-70"/>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0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12,075,000</w:t>
            </w:r>
          </w:p>
        </w:tc>
        <w:tc>
          <w:tcPr>
            <w:tcW w:w="716" w:type="dxa"/>
            <w:tcBorders>
              <w:top w:val="single" w:sz="4" w:space="0" w:color="000000"/>
              <w:left w:val="single" w:sz="4" w:space="0" w:color="000000"/>
              <w:bottom w:val="single" w:sz="4" w:space="0" w:color="000000"/>
              <w:right w:val="single" w:sz="4" w:space="0" w:color="000000"/>
            </w:tcBorders>
          </w:tcPr>
          <w:p>
            <w:pP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3,000,000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9,075,0</w:t>
            </w:r>
          </w:p>
          <w:p>
            <w:pPr>
              <w:pStyle w:val="TableParagraph"/>
              <w:spacing w:line="240" w:lineRule="auto" w:before="105"/>
              <w:ind w:left="516" w:right="0"/>
              <w:jc w:val="left"/>
              <w:rPr>
                <w:rFonts w:ascii="Times New Roman" w:hAnsi="Times New Roman" w:cs="Times New Roman" w:eastAsia="Times New Roman" w:hint="default"/>
                <w:sz w:val="18"/>
                <w:szCs w:val="18"/>
              </w:rPr>
            </w:pPr>
            <w:r>
              <w:rPr>
                <w:rFonts w:ascii="Times New Roman"/>
                <w:sz w:val="18"/>
              </w:rPr>
              <w:t>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18,150,</w:t>
            </w:r>
          </w:p>
          <w:p>
            <w:pPr>
              <w:pStyle w:val="TableParagraph"/>
              <w:spacing w:line="240" w:lineRule="auto" w:before="105"/>
              <w:ind w:left="414" w:right="0"/>
              <w:jc w:val="left"/>
              <w:rPr>
                <w:rFonts w:ascii="Times New Roman" w:hAnsi="Times New Roman" w:cs="Times New Roman" w:eastAsia="Times New Roman" w:hint="default"/>
                <w:sz w:val="18"/>
                <w:szCs w:val="18"/>
              </w:rPr>
            </w:pPr>
            <w:r>
              <w:rPr>
                <w:rFonts w:ascii="Times New Roman"/>
                <w:sz w:val="18"/>
              </w:rPr>
              <w:t>000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胡燕</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142"/>
              <w:jc w:val="both"/>
              <w:rPr>
                <w:rFonts w:ascii="宋体" w:hAnsi="宋体" w:cs="宋体" w:eastAsia="宋体" w:hint="default"/>
                <w:sz w:val="18"/>
                <w:szCs w:val="18"/>
              </w:rPr>
            </w:pPr>
            <w:r>
              <w:rPr>
                <w:rFonts w:ascii="宋体" w:hAnsi="宋体" w:cs="宋体" w:eastAsia="宋体" w:hint="default"/>
                <w:sz w:val="18"/>
                <w:szCs w:val="18"/>
              </w:rPr>
              <w:t>董事、 董事会 秘书</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42</w:t>
            </w:r>
          </w:p>
        </w:tc>
        <w:tc>
          <w:tcPr>
            <w:tcW w:w="1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70"/>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0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60,000</w:t>
            </w:r>
          </w:p>
        </w:tc>
        <w:tc>
          <w:tcPr>
            <w:tcW w:w="716" w:type="dxa"/>
            <w:tcBorders>
              <w:top w:val="single" w:sz="4" w:space="0" w:color="000000"/>
              <w:left w:val="single" w:sz="4" w:space="0" w:color="000000"/>
              <w:bottom w:val="single" w:sz="4" w:space="0" w:color="000000"/>
              <w:right w:val="single" w:sz="4" w:space="0" w:color="000000"/>
            </w:tcBorders>
          </w:tcPr>
          <w:p>
            <w:pP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30,000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90,000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1" w:right="0"/>
              <w:jc w:val="left"/>
              <w:rPr>
                <w:rFonts w:ascii="宋体" w:hAnsi="宋体" w:cs="宋体" w:eastAsia="宋体" w:hint="default"/>
                <w:sz w:val="18"/>
                <w:szCs w:val="18"/>
              </w:rPr>
            </w:pPr>
            <w:r>
              <w:rPr>
                <w:rFonts w:ascii="宋体" w:hAnsi="宋体" w:cs="宋体" w:eastAsia="宋体" w:hint="default"/>
                <w:sz w:val="18"/>
                <w:szCs w:val="18"/>
              </w:rPr>
              <w:t>李寒穷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42</w:t>
            </w:r>
          </w:p>
        </w:tc>
        <w:tc>
          <w:tcPr>
            <w:tcW w:w="1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2011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0"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1022"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赵晔</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48</w:t>
            </w:r>
          </w:p>
        </w:tc>
        <w:tc>
          <w:tcPr>
            <w:tcW w:w="1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70"/>
                <w:sz w:val="18"/>
                <w:szCs w:val="18"/>
              </w:rPr>
              <w:t> </w:t>
            </w:r>
            <w:r>
              <w:rPr>
                <w:rFonts w:ascii="Times New Roman" w:hAnsi="Times New Roman" w:cs="Times New Roman" w:eastAsia="Times New Roman" w:hint="default"/>
                <w:sz w:val="18"/>
                <w:szCs w:val="18"/>
              </w:rPr>
              <w:t>04</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0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0"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1022"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1" w:right="0"/>
              <w:jc w:val="left"/>
              <w:rPr>
                <w:rFonts w:ascii="宋体" w:hAnsi="宋体" w:cs="宋体" w:eastAsia="宋体" w:hint="default"/>
                <w:sz w:val="18"/>
                <w:szCs w:val="18"/>
              </w:rPr>
            </w:pPr>
            <w:r>
              <w:rPr>
                <w:rFonts w:ascii="宋体" w:hAnsi="宋体" w:cs="宋体" w:eastAsia="宋体" w:hint="default"/>
                <w:sz w:val="18"/>
                <w:szCs w:val="18"/>
              </w:rPr>
              <w:t>应晶</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48</w:t>
            </w:r>
          </w:p>
        </w:tc>
        <w:tc>
          <w:tcPr>
            <w:tcW w:w="1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70"/>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0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0"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1022"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杨建刚</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60</w:t>
            </w:r>
          </w:p>
        </w:tc>
        <w:tc>
          <w:tcPr>
            <w:tcW w:w="1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70"/>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0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0"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1022"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1" w:right="0"/>
              <w:jc w:val="left"/>
              <w:rPr>
                <w:rFonts w:ascii="宋体" w:hAnsi="宋体" w:cs="宋体" w:eastAsia="宋体" w:hint="default"/>
                <w:sz w:val="18"/>
                <w:szCs w:val="18"/>
              </w:rPr>
            </w:pPr>
            <w:r>
              <w:rPr>
                <w:rFonts w:ascii="宋体" w:hAnsi="宋体" w:cs="宋体" w:eastAsia="宋体" w:hint="default"/>
                <w:sz w:val="18"/>
                <w:szCs w:val="18"/>
              </w:rPr>
              <w:t>凌云</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57</w:t>
            </w:r>
          </w:p>
        </w:tc>
        <w:tc>
          <w:tcPr>
            <w:tcW w:w="1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70"/>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0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0"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1022"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江乾坤</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45</w:t>
            </w:r>
          </w:p>
        </w:tc>
        <w:tc>
          <w:tcPr>
            <w:tcW w:w="1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70"/>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0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0"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1022"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1" w:right="0"/>
              <w:jc w:val="left"/>
              <w:rPr>
                <w:rFonts w:ascii="宋体" w:hAnsi="宋体" w:cs="宋体" w:eastAsia="宋体" w:hint="default"/>
                <w:sz w:val="18"/>
                <w:szCs w:val="18"/>
              </w:rPr>
            </w:pPr>
            <w:r>
              <w:rPr>
                <w:rFonts w:ascii="宋体" w:hAnsi="宋体" w:cs="宋体" w:eastAsia="宋体" w:hint="default"/>
                <w:sz w:val="18"/>
                <w:szCs w:val="18"/>
              </w:rPr>
              <w:t>李军</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职工监 事</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0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55</w:t>
            </w:r>
          </w:p>
        </w:tc>
        <w:tc>
          <w:tcPr>
            <w:tcW w:w="1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70"/>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0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75,000</w:t>
            </w:r>
          </w:p>
        </w:tc>
        <w:tc>
          <w:tcPr>
            <w:tcW w:w="716" w:type="dxa"/>
            <w:tcBorders>
              <w:top w:val="single" w:sz="4" w:space="0" w:color="000000"/>
              <w:left w:val="single" w:sz="4" w:space="0" w:color="000000"/>
              <w:bottom w:val="single" w:sz="4" w:space="0" w:color="000000"/>
              <w:right w:val="single" w:sz="4" w:space="0" w:color="000000"/>
            </w:tcBorders>
          </w:tcPr>
          <w:p>
            <w:pP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37,500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-37,500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798"/>
        <w:gridCol w:w="797"/>
        <w:gridCol w:w="591"/>
        <w:gridCol w:w="545"/>
        <w:gridCol w:w="529"/>
        <w:gridCol w:w="1005"/>
        <w:gridCol w:w="921"/>
        <w:gridCol w:w="1040"/>
        <w:gridCol w:w="716"/>
        <w:gridCol w:w="1022"/>
        <w:gridCol w:w="810"/>
        <w:gridCol w:w="798"/>
      </w:tblGrid>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1" w:right="0"/>
              <w:jc w:val="left"/>
              <w:rPr>
                <w:rFonts w:ascii="宋体" w:hAnsi="宋体" w:cs="宋体" w:eastAsia="宋体" w:hint="default"/>
                <w:sz w:val="18"/>
                <w:szCs w:val="18"/>
              </w:rPr>
            </w:pPr>
            <w:r>
              <w:rPr>
                <w:rFonts w:ascii="宋体" w:hAnsi="宋体" w:cs="宋体" w:eastAsia="宋体" w:hint="default"/>
                <w:sz w:val="18"/>
                <w:szCs w:val="18"/>
              </w:rPr>
              <w:t>叶建</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监事会 主席</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13"/>
              <w:jc w:val="center"/>
              <w:rPr>
                <w:rFonts w:ascii="宋体" w:hAnsi="宋体" w:cs="宋体" w:eastAsia="宋体" w:hint="default"/>
                <w:sz w:val="18"/>
                <w:szCs w:val="18"/>
              </w:rPr>
            </w:pPr>
            <w:r>
              <w:rPr>
                <w:rFonts w:ascii="宋体" w:hAnsi="宋体" w:cs="宋体" w:eastAsia="宋体" w:hint="default"/>
                <w:sz w:val="18"/>
                <w:szCs w:val="18"/>
              </w:rPr>
              <w:t>现任</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251"/>
              <w:jc w:val="right"/>
              <w:rPr>
                <w:rFonts w:ascii="宋体" w:hAnsi="宋体" w:cs="宋体" w:eastAsia="宋体" w:hint="default"/>
                <w:sz w:val="18"/>
                <w:szCs w:val="18"/>
              </w:rPr>
            </w:pPr>
            <w:r>
              <w:rPr>
                <w:rFonts w:ascii="宋体" w:hAnsi="宋体" w:cs="宋体" w:eastAsia="宋体" w:hint="default"/>
                <w:sz w:val="18"/>
                <w:szCs w:val="18"/>
              </w:rPr>
              <w:t>男</w:t>
            </w:r>
          </w:p>
        </w:tc>
        <w:tc>
          <w:tcPr>
            <w:tcW w:w="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236" w:right="0"/>
              <w:jc w:val="left"/>
              <w:rPr>
                <w:rFonts w:ascii="Times New Roman" w:hAnsi="Times New Roman" w:cs="Times New Roman" w:eastAsia="Times New Roman" w:hint="default"/>
                <w:sz w:val="18"/>
                <w:szCs w:val="18"/>
              </w:rPr>
            </w:pPr>
            <w:r>
              <w:rPr>
                <w:rFonts w:ascii="Times New Roman"/>
                <w:sz w:val="18"/>
              </w:rPr>
              <w:t>50</w:t>
            </w:r>
          </w:p>
        </w:tc>
        <w:tc>
          <w:tcPr>
            <w:tcW w:w="1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63"/>
                <w:sz w:val="18"/>
                <w:szCs w:val="18"/>
              </w:rPr>
              <w:t> </w:t>
            </w:r>
            <w:r>
              <w:rPr>
                <w:rFonts w:ascii="Times New Roman" w:hAnsi="Times New Roman" w:cs="Times New Roman" w:eastAsia="Times New Roman" w:hint="default"/>
                <w:spacing w:val="-3"/>
                <w:sz w:val="18"/>
                <w:szCs w:val="18"/>
              </w:rPr>
              <w:t>11</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0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0"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1022"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贾驰</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322"/>
              <w:jc w:val="right"/>
              <w:rPr>
                <w:rFonts w:ascii="宋体" w:hAnsi="宋体" w:cs="宋体" w:eastAsia="宋体" w:hint="default"/>
                <w:sz w:val="18"/>
                <w:szCs w:val="18"/>
              </w:rPr>
            </w:pPr>
            <w:r>
              <w:rPr>
                <w:rFonts w:ascii="宋体" w:hAnsi="宋体" w:cs="宋体" w:eastAsia="宋体" w:hint="default"/>
                <w:sz w:val="18"/>
                <w:szCs w:val="18"/>
              </w:rPr>
              <w:t>监事</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3"/>
              <w:jc w:val="center"/>
              <w:rPr>
                <w:rFonts w:ascii="宋体" w:hAnsi="宋体" w:cs="宋体" w:eastAsia="宋体" w:hint="default"/>
                <w:sz w:val="18"/>
                <w:szCs w:val="18"/>
              </w:rPr>
            </w:pPr>
            <w:r>
              <w:rPr>
                <w:rFonts w:ascii="宋体" w:hAnsi="宋体" w:cs="宋体" w:eastAsia="宋体" w:hint="default"/>
                <w:sz w:val="18"/>
                <w:szCs w:val="18"/>
              </w:rPr>
              <w:t>现任</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251"/>
              <w:jc w:val="right"/>
              <w:rPr>
                <w:rFonts w:ascii="宋体" w:hAnsi="宋体" w:cs="宋体" w:eastAsia="宋体" w:hint="default"/>
                <w:sz w:val="18"/>
                <w:szCs w:val="18"/>
              </w:rPr>
            </w:pPr>
            <w:r>
              <w:rPr>
                <w:rFonts w:ascii="宋体" w:hAnsi="宋体" w:cs="宋体" w:eastAsia="宋体" w:hint="default"/>
                <w:sz w:val="18"/>
                <w:szCs w:val="18"/>
              </w:rPr>
              <w:t>女</w:t>
            </w:r>
          </w:p>
        </w:tc>
        <w:tc>
          <w:tcPr>
            <w:tcW w:w="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236" w:right="0"/>
              <w:jc w:val="left"/>
              <w:rPr>
                <w:rFonts w:ascii="Times New Roman" w:hAnsi="Times New Roman" w:cs="Times New Roman" w:eastAsia="Times New Roman" w:hint="default"/>
                <w:sz w:val="18"/>
                <w:szCs w:val="18"/>
              </w:rPr>
            </w:pPr>
            <w:r>
              <w:rPr>
                <w:rFonts w:ascii="Times New Roman"/>
                <w:sz w:val="18"/>
              </w:rPr>
              <w:t>42</w:t>
            </w:r>
          </w:p>
        </w:tc>
        <w:tc>
          <w:tcPr>
            <w:tcW w:w="1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63"/>
                <w:sz w:val="18"/>
                <w:szCs w:val="18"/>
              </w:rPr>
              <w:t> </w:t>
            </w:r>
            <w:r>
              <w:rPr>
                <w:rFonts w:ascii="Times New Roman" w:hAnsi="Times New Roman" w:cs="Times New Roman" w:eastAsia="Times New Roman" w:hint="default"/>
                <w:spacing w:val="-3"/>
                <w:sz w:val="18"/>
                <w:szCs w:val="18"/>
              </w:rPr>
              <w:t>11</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0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0"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1022"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1" w:right="0"/>
              <w:jc w:val="left"/>
              <w:rPr>
                <w:rFonts w:ascii="宋体" w:hAnsi="宋体" w:cs="宋体" w:eastAsia="宋体" w:hint="default"/>
                <w:sz w:val="18"/>
                <w:szCs w:val="18"/>
              </w:rPr>
            </w:pPr>
            <w:r>
              <w:rPr>
                <w:rFonts w:ascii="宋体" w:hAnsi="宋体" w:cs="宋体" w:eastAsia="宋体" w:hint="default"/>
                <w:sz w:val="18"/>
                <w:szCs w:val="18"/>
              </w:rPr>
              <w:t>高春蓉</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142"/>
              <w:jc w:val="both"/>
              <w:rPr>
                <w:rFonts w:ascii="宋体" w:hAnsi="宋体" w:cs="宋体" w:eastAsia="宋体" w:hint="default"/>
                <w:sz w:val="18"/>
                <w:szCs w:val="18"/>
              </w:rPr>
            </w:pPr>
            <w:r>
              <w:rPr>
                <w:rFonts w:ascii="宋体" w:hAnsi="宋体" w:cs="宋体" w:eastAsia="宋体" w:hint="default"/>
                <w:sz w:val="18"/>
                <w:szCs w:val="18"/>
              </w:rPr>
              <w:t>总工程 师、副 总经理</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13"/>
              <w:jc w:val="center"/>
              <w:rPr>
                <w:rFonts w:ascii="宋体" w:hAnsi="宋体" w:cs="宋体" w:eastAsia="宋体" w:hint="default"/>
                <w:sz w:val="18"/>
                <w:szCs w:val="18"/>
              </w:rPr>
            </w:pPr>
            <w:r>
              <w:rPr>
                <w:rFonts w:ascii="宋体" w:hAnsi="宋体" w:cs="宋体" w:eastAsia="宋体" w:hint="default"/>
                <w:sz w:val="18"/>
                <w:szCs w:val="18"/>
              </w:rPr>
              <w:t>现任</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251"/>
              <w:jc w:val="right"/>
              <w:rPr>
                <w:rFonts w:ascii="宋体" w:hAnsi="宋体" w:cs="宋体" w:eastAsia="宋体" w:hint="default"/>
                <w:sz w:val="18"/>
                <w:szCs w:val="18"/>
              </w:rPr>
            </w:pPr>
            <w:r>
              <w:rPr>
                <w:rFonts w:ascii="宋体" w:hAnsi="宋体" w:cs="宋体" w:eastAsia="宋体" w:hint="default"/>
                <w:sz w:val="18"/>
                <w:szCs w:val="18"/>
              </w:rPr>
              <w:t>女</w:t>
            </w:r>
          </w:p>
        </w:tc>
        <w:tc>
          <w:tcPr>
            <w:tcW w:w="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236" w:right="0"/>
              <w:jc w:val="left"/>
              <w:rPr>
                <w:rFonts w:ascii="Times New Roman" w:hAnsi="Times New Roman" w:cs="Times New Roman" w:eastAsia="Times New Roman" w:hint="default"/>
                <w:sz w:val="18"/>
                <w:szCs w:val="18"/>
              </w:rPr>
            </w:pPr>
            <w:r>
              <w:rPr>
                <w:rFonts w:ascii="Times New Roman"/>
                <w:sz w:val="18"/>
              </w:rPr>
              <w:t>48</w:t>
            </w:r>
          </w:p>
        </w:tc>
        <w:tc>
          <w:tcPr>
            <w:tcW w:w="1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70"/>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0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0"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1022"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郁燕萍</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财务总 监</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3"/>
              <w:jc w:val="center"/>
              <w:rPr>
                <w:rFonts w:ascii="宋体" w:hAnsi="宋体" w:cs="宋体" w:eastAsia="宋体" w:hint="default"/>
                <w:sz w:val="18"/>
                <w:szCs w:val="18"/>
              </w:rPr>
            </w:pPr>
            <w:r>
              <w:rPr>
                <w:rFonts w:ascii="宋体" w:hAnsi="宋体" w:cs="宋体" w:eastAsia="宋体" w:hint="default"/>
                <w:sz w:val="18"/>
                <w:szCs w:val="18"/>
              </w:rPr>
              <w:t>现任</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251"/>
              <w:jc w:val="right"/>
              <w:rPr>
                <w:rFonts w:ascii="宋体" w:hAnsi="宋体" w:cs="宋体" w:eastAsia="宋体" w:hint="default"/>
                <w:sz w:val="18"/>
                <w:szCs w:val="18"/>
              </w:rPr>
            </w:pPr>
            <w:r>
              <w:rPr>
                <w:rFonts w:ascii="宋体" w:hAnsi="宋体" w:cs="宋体" w:eastAsia="宋体" w:hint="default"/>
                <w:sz w:val="18"/>
                <w:szCs w:val="18"/>
              </w:rPr>
              <w:t>女</w:t>
            </w:r>
          </w:p>
        </w:tc>
        <w:tc>
          <w:tcPr>
            <w:tcW w:w="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236" w:right="0"/>
              <w:jc w:val="left"/>
              <w:rPr>
                <w:rFonts w:ascii="Times New Roman" w:hAnsi="Times New Roman" w:cs="Times New Roman" w:eastAsia="Times New Roman" w:hint="default"/>
                <w:sz w:val="18"/>
                <w:szCs w:val="18"/>
              </w:rPr>
            </w:pPr>
            <w:r>
              <w:rPr>
                <w:rFonts w:ascii="Times New Roman"/>
                <w:sz w:val="18"/>
              </w:rPr>
              <w:t>53</w:t>
            </w:r>
          </w:p>
        </w:tc>
        <w:tc>
          <w:tcPr>
            <w:tcW w:w="1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70"/>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0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120,000</w:t>
            </w:r>
          </w:p>
        </w:tc>
        <w:tc>
          <w:tcPr>
            <w:tcW w:w="716" w:type="dxa"/>
            <w:tcBorders>
              <w:top w:val="single" w:sz="4" w:space="0" w:color="000000"/>
              <w:left w:val="single" w:sz="4" w:space="0" w:color="000000"/>
              <w:bottom w:val="single" w:sz="4" w:space="0" w:color="000000"/>
              <w:right w:val="single" w:sz="4" w:space="0" w:color="000000"/>
            </w:tcBorders>
          </w:tcPr>
          <w:p>
            <w:pP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60,000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10" w:right="0"/>
              <w:jc w:val="center"/>
              <w:rPr>
                <w:rFonts w:ascii="Times New Roman" w:hAnsi="Times New Roman" w:cs="Times New Roman" w:eastAsia="Times New Roman" w:hint="default"/>
                <w:sz w:val="18"/>
                <w:szCs w:val="18"/>
              </w:rPr>
            </w:pPr>
            <w:r>
              <w:rPr>
                <w:rFonts w:ascii="Times New Roman"/>
                <w:sz w:val="18"/>
              </w:rPr>
              <w:t>120,000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180,00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1" w:right="0"/>
              <w:jc w:val="left"/>
              <w:rPr>
                <w:rFonts w:ascii="宋体" w:hAnsi="宋体" w:cs="宋体" w:eastAsia="宋体" w:hint="default"/>
                <w:sz w:val="18"/>
                <w:szCs w:val="18"/>
              </w:rPr>
            </w:pPr>
            <w:r>
              <w:rPr>
                <w:rFonts w:ascii="宋体" w:hAnsi="宋体" w:cs="宋体" w:eastAsia="宋体" w:hint="default"/>
                <w:sz w:val="18"/>
                <w:szCs w:val="18"/>
              </w:rPr>
              <w:t>方宝林</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副总经 理</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13"/>
              <w:jc w:val="center"/>
              <w:rPr>
                <w:rFonts w:ascii="宋体" w:hAnsi="宋体" w:cs="宋体" w:eastAsia="宋体" w:hint="default"/>
                <w:sz w:val="18"/>
                <w:szCs w:val="18"/>
              </w:rPr>
            </w:pPr>
            <w:r>
              <w:rPr>
                <w:rFonts w:ascii="宋体" w:hAnsi="宋体" w:cs="宋体" w:eastAsia="宋体" w:hint="default"/>
                <w:sz w:val="18"/>
                <w:szCs w:val="18"/>
              </w:rPr>
              <w:t>现任</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251"/>
              <w:jc w:val="right"/>
              <w:rPr>
                <w:rFonts w:ascii="宋体" w:hAnsi="宋体" w:cs="宋体" w:eastAsia="宋体" w:hint="default"/>
                <w:sz w:val="18"/>
                <w:szCs w:val="18"/>
              </w:rPr>
            </w:pPr>
            <w:r>
              <w:rPr>
                <w:rFonts w:ascii="宋体" w:hAnsi="宋体" w:cs="宋体" w:eastAsia="宋体" w:hint="default"/>
                <w:sz w:val="18"/>
                <w:szCs w:val="18"/>
              </w:rPr>
              <w:t>男</w:t>
            </w:r>
          </w:p>
        </w:tc>
        <w:tc>
          <w:tcPr>
            <w:tcW w:w="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236" w:right="0"/>
              <w:jc w:val="left"/>
              <w:rPr>
                <w:rFonts w:ascii="Times New Roman" w:hAnsi="Times New Roman" w:cs="Times New Roman" w:eastAsia="Times New Roman" w:hint="default"/>
                <w:sz w:val="18"/>
                <w:szCs w:val="18"/>
              </w:rPr>
            </w:pPr>
            <w:r>
              <w:rPr>
                <w:rFonts w:ascii="Times New Roman"/>
                <w:sz w:val="18"/>
              </w:rPr>
              <w:t>47</w:t>
            </w:r>
          </w:p>
        </w:tc>
        <w:tc>
          <w:tcPr>
            <w:tcW w:w="1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2011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0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60,000</w:t>
            </w:r>
          </w:p>
        </w:tc>
        <w:tc>
          <w:tcPr>
            <w:tcW w:w="716" w:type="dxa"/>
            <w:tcBorders>
              <w:top w:val="single" w:sz="4" w:space="0" w:color="000000"/>
              <w:left w:val="single" w:sz="4" w:space="0" w:color="000000"/>
              <w:bottom w:val="single" w:sz="4" w:space="0" w:color="000000"/>
              <w:right w:val="single" w:sz="4" w:space="0" w:color="000000"/>
            </w:tcBorders>
          </w:tcPr>
          <w:p>
            <w:pP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30,000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99" w:right="0"/>
              <w:jc w:val="center"/>
              <w:rPr>
                <w:rFonts w:ascii="Times New Roman" w:hAnsi="Times New Roman" w:cs="Times New Roman" w:eastAsia="Times New Roman" w:hint="default"/>
                <w:sz w:val="18"/>
                <w:szCs w:val="18"/>
              </w:rPr>
            </w:pPr>
            <w:r>
              <w:rPr>
                <w:rFonts w:ascii="Times New Roman"/>
                <w:sz w:val="18"/>
              </w:rPr>
              <w:t>60,000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89" w:right="0"/>
              <w:jc w:val="center"/>
              <w:rPr>
                <w:rFonts w:ascii="Times New Roman" w:hAnsi="Times New Roman" w:cs="Times New Roman" w:eastAsia="Times New Roman" w:hint="default"/>
                <w:sz w:val="18"/>
                <w:szCs w:val="18"/>
              </w:rPr>
            </w:pPr>
            <w:r>
              <w:rPr>
                <w:rFonts w:ascii="Times New Roman"/>
                <w:sz w:val="18"/>
              </w:rPr>
              <w:t>90,000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张崧</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副总经 理</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3"/>
              <w:jc w:val="center"/>
              <w:rPr>
                <w:rFonts w:ascii="宋体" w:hAnsi="宋体" w:cs="宋体" w:eastAsia="宋体" w:hint="default"/>
                <w:sz w:val="18"/>
                <w:szCs w:val="18"/>
              </w:rPr>
            </w:pPr>
            <w:r>
              <w:rPr>
                <w:rFonts w:ascii="宋体" w:hAnsi="宋体" w:cs="宋体" w:eastAsia="宋体" w:hint="default"/>
                <w:sz w:val="18"/>
                <w:szCs w:val="18"/>
              </w:rPr>
              <w:t>现任</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251"/>
              <w:jc w:val="right"/>
              <w:rPr>
                <w:rFonts w:ascii="宋体" w:hAnsi="宋体" w:cs="宋体" w:eastAsia="宋体" w:hint="default"/>
                <w:sz w:val="18"/>
                <w:szCs w:val="18"/>
              </w:rPr>
            </w:pPr>
            <w:r>
              <w:rPr>
                <w:rFonts w:ascii="宋体" w:hAnsi="宋体" w:cs="宋体" w:eastAsia="宋体" w:hint="default"/>
                <w:sz w:val="18"/>
                <w:szCs w:val="18"/>
              </w:rPr>
              <w:t>男</w:t>
            </w:r>
          </w:p>
        </w:tc>
        <w:tc>
          <w:tcPr>
            <w:tcW w:w="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236" w:right="0"/>
              <w:jc w:val="left"/>
              <w:rPr>
                <w:rFonts w:ascii="Times New Roman" w:hAnsi="Times New Roman" w:cs="Times New Roman" w:eastAsia="Times New Roman" w:hint="default"/>
                <w:sz w:val="18"/>
                <w:szCs w:val="18"/>
              </w:rPr>
            </w:pPr>
            <w:r>
              <w:rPr>
                <w:rFonts w:ascii="Times New Roman"/>
                <w:sz w:val="18"/>
              </w:rPr>
              <w:t>37</w:t>
            </w:r>
          </w:p>
        </w:tc>
        <w:tc>
          <w:tcPr>
            <w:tcW w:w="1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70"/>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0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137,300</w:t>
            </w:r>
          </w:p>
        </w:tc>
        <w:tc>
          <w:tcPr>
            <w:tcW w:w="716" w:type="dxa"/>
            <w:tcBorders>
              <w:top w:val="single" w:sz="4" w:space="0" w:color="000000"/>
              <w:left w:val="single" w:sz="4" w:space="0" w:color="000000"/>
              <w:bottom w:val="single" w:sz="4" w:space="0" w:color="000000"/>
              <w:right w:val="single" w:sz="4" w:space="0" w:color="000000"/>
            </w:tcBorders>
          </w:tcPr>
          <w:p>
            <w:pP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68,650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10" w:right="0"/>
              <w:jc w:val="center"/>
              <w:rPr>
                <w:rFonts w:ascii="Times New Roman" w:hAnsi="Times New Roman" w:cs="Times New Roman" w:eastAsia="Times New Roman" w:hint="default"/>
                <w:sz w:val="18"/>
                <w:szCs w:val="18"/>
              </w:rPr>
            </w:pPr>
            <w:r>
              <w:rPr>
                <w:rFonts w:ascii="Times New Roman"/>
                <w:sz w:val="18"/>
              </w:rPr>
              <w:t>137,300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205,95</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1" w:right="0"/>
              <w:jc w:val="left"/>
              <w:rPr>
                <w:rFonts w:ascii="宋体" w:hAnsi="宋体" w:cs="宋体" w:eastAsia="宋体" w:hint="default"/>
                <w:sz w:val="18"/>
                <w:szCs w:val="18"/>
              </w:rPr>
            </w:pPr>
            <w:r>
              <w:rPr>
                <w:rFonts w:ascii="宋体" w:hAnsi="宋体" w:cs="宋体" w:eastAsia="宋体" w:hint="default"/>
                <w:sz w:val="18"/>
                <w:szCs w:val="18"/>
              </w:rPr>
              <w:t>陈东</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副总经 理</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13"/>
              <w:jc w:val="center"/>
              <w:rPr>
                <w:rFonts w:ascii="宋体" w:hAnsi="宋体" w:cs="宋体" w:eastAsia="宋体" w:hint="default"/>
                <w:sz w:val="18"/>
                <w:szCs w:val="18"/>
              </w:rPr>
            </w:pPr>
            <w:r>
              <w:rPr>
                <w:rFonts w:ascii="宋体" w:hAnsi="宋体" w:cs="宋体" w:eastAsia="宋体" w:hint="default"/>
                <w:sz w:val="18"/>
                <w:szCs w:val="18"/>
              </w:rPr>
              <w:t>现任</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right="251"/>
              <w:jc w:val="right"/>
              <w:rPr>
                <w:rFonts w:ascii="宋体" w:hAnsi="宋体" w:cs="宋体" w:eastAsia="宋体" w:hint="default"/>
                <w:sz w:val="18"/>
                <w:szCs w:val="18"/>
              </w:rPr>
            </w:pPr>
            <w:r>
              <w:rPr>
                <w:rFonts w:ascii="宋体" w:hAnsi="宋体" w:cs="宋体" w:eastAsia="宋体" w:hint="default"/>
                <w:sz w:val="18"/>
                <w:szCs w:val="18"/>
              </w:rPr>
              <w:t>男</w:t>
            </w:r>
          </w:p>
        </w:tc>
        <w:tc>
          <w:tcPr>
            <w:tcW w:w="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236" w:right="0"/>
              <w:jc w:val="left"/>
              <w:rPr>
                <w:rFonts w:ascii="Times New Roman" w:hAnsi="Times New Roman" w:cs="Times New Roman" w:eastAsia="Times New Roman" w:hint="default"/>
                <w:sz w:val="18"/>
                <w:szCs w:val="18"/>
              </w:rPr>
            </w:pPr>
            <w:r>
              <w:rPr>
                <w:rFonts w:ascii="Times New Roman"/>
                <w:sz w:val="18"/>
              </w:rPr>
              <w:t>49</w:t>
            </w:r>
          </w:p>
        </w:tc>
        <w:tc>
          <w:tcPr>
            <w:tcW w:w="1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70"/>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0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0" w:type="dxa"/>
            <w:tcBorders>
              <w:top w:val="single" w:sz="4" w:space="0" w:color="000000"/>
              <w:left w:val="single" w:sz="4" w:space="0" w:color="000000"/>
              <w:bottom w:val="single" w:sz="4" w:space="0" w:color="000000"/>
              <w:right w:val="single" w:sz="4" w:space="0" w:color="000000"/>
            </w:tcBorders>
          </w:tcPr>
          <w:p>
            <w:pPr/>
          </w:p>
        </w:tc>
        <w:tc>
          <w:tcPr>
            <w:tcW w:w="716" w:type="dxa"/>
            <w:tcBorders>
              <w:top w:val="single" w:sz="4" w:space="0" w:color="000000"/>
              <w:left w:val="single" w:sz="4" w:space="0" w:color="000000"/>
              <w:bottom w:val="single" w:sz="4" w:space="0" w:color="000000"/>
              <w:right w:val="single" w:sz="4" w:space="0" w:color="000000"/>
            </w:tcBorders>
          </w:tcPr>
          <w:p>
            <w:pPr/>
          </w:p>
        </w:tc>
        <w:tc>
          <w:tcPr>
            <w:tcW w:w="1022" w:type="dxa"/>
            <w:tcBorders>
              <w:top w:val="single" w:sz="4" w:space="0" w:color="000000"/>
              <w:left w:val="single" w:sz="4" w:space="0" w:color="000000"/>
              <w:bottom w:val="single" w:sz="4" w:space="0" w:color="000000"/>
              <w:right w:val="single" w:sz="4" w:space="0" w:color="000000"/>
            </w:tcBorders>
          </w:tcPr>
          <w:p>
            <w:pPr/>
          </w:p>
        </w:tc>
        <w:tc>
          <w:tcPr>
            <w:tcW w:w="810"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孙烈峰</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103" w:right="142"/>
              <w:jc w:val="left"/>
              <w:rPr>
                <w:rFonts w:ascii="宋体" w:hAnsi="宋体" w:cs="宋体" w:eastAsia="宋体" w:hint="default"/>
                <w:sz w:val="18"/>
                <w:szCs w:val="18"/>
              </w:rPr>
            </w:pPr>
            <w:r>
              <w:rPr>
                <w:rFonts w:ascii="宋体" w:hAnsi="宋体" w:cs="宋体" w:eastAsia="宋体" w:hint="default"/>
                <w:sz w:val="18"/>
                <w:szCs w:val="18"/>
              </w:rPr>
              <w:t>副总经 理</w:t>
            </w:r>
          </w:p>
        </w:tc>
        <w:tc>
          <w:tcPr>
            <w:tcW w:w="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13"/>
              <w:jc w:val="center"/>
              <w:rPr>
                <w:rFonts w:ascii="宋体" w:hAnsi="宋体" w:cs="宋体" w:eastAsia="宋体" w:hint="default"/>
                <w:sz w:val="18"/>
                <w:szCs w:val="18"/>
              </w:rPr>
            </w:pPr>
            <w:r>
              <w:rPr>
                <w:rFonts w:ascii="宋体" w:hAnsi="宋体" w:cs="宋体" w:eastAsia="宋体" w:hint="default"/>
                <w:sz w:val="18"/>
                <w:szCs w:val="18"/>
              </w:rPr>
              <w:t>现任</w:t>
            </w:r>
          </w:p>
        </w:tc>
        <w:tc>
          <w:tcPr>
            <w:tcW w:w="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right="251"/>
              <w:jc w:val="right"/>
              <w:rPr>
                <w:rFonts w:ascii="宋体" w:hAnsi="宋体" w:cs="宋体" w:eastAsia="宋体" w:hint="default"/>
                <w:sz w:val="18"/>
                <w:szCs w:val="18"/>
              </w:rPr>
            </w:pPr>
            <w:r>
              <w:rPr>
                <w:rFonts w:ascii="宋体" w:hAnsi="宋体" w:cs="宋体" w:eastAsia="宋体" w:hint="default"/>
                <w:sz w:val="18"/>
                <w:szCs w:val="18"/>
              </w:rPr>
              <w:t>男</w:t>
            </w:r>
          </w:p>
        </w:tc>
        <w:tc>
          <w:tcPr>
            <w:tcW w:w="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236" w:right="0"/>
              <w:jc w:val="left"/>
              <w:rPr>
                <w:rFonts w:ascii="Times New Roman" w:hAnsi="Times New Roman" w:cs="Times New Roman" w:eastAsia="Times New Roman" w:hint="default"/>
                <w:sz w:val="18"/>
                <w:szCs w:val="18"/>
              </w:rPr>
            </w:pPr>
            <w:r>
              <w:rPr>
                <w:rFonts w:ascii="Times New Roman"/>
                <w:sz w:val="18"/>
              </w:rPr>
              <w:t>49</w:t>
            </w:r>
          </w:p>
        </w:tc>
        <w:tc>
          <w:tcPr>
            <w:tcW w:w="1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70"/>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9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p>
          <w:p>
            <w:pPr>
              <w:pStyle w:val="TableParagraph"/>
              <w:spacing w:line="240" w:lineRule="auto" w:before="63"/>
              <w:ind w:left="10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59,500</w:t>
            </w:r>
          </w:p>
        </w:tc>
        <w:tc>
          <w:tcPr>
            <w:tcW w:w="716" w:type="dxa"/>
            <w:tcBorders>
              <w:top w:val="single" w:sz="4" w:space="0" w:color="000000"/>
              <w:left w:val="single" w:sz="4" w:space="0" w:color="000000"/>
              <w:bottom w:val="single" w:sz="4" w:space="0" w:color="000000"/>
              <w:right w:val="single" w:sz="4" w:space="0" w:color="000000"/>
            </w:tcBorders>
          </w:tcPr>
          <w:p>
            <w:pP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29,750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99" w:right="0"/>
              <w:jc w:val="center"/>
              <w:rPr>
                <w:rFonts w:ascii="Times New Roman" w:hAnsi="Times New Roman" w:cs="Times New Roman" w:eastAsia="Times New Roman" w:hint="default"/>
                <w:sz w:val="18"/>
                <w:szCs w:val="18"/>
              </w:rPr>
            </w:pPr>
            <w:r>
              <w:rPr>
                <w:rFonts w:ascii="Times New Roman"/>
                <w:sz w:val="18"/>
              </w:rPr>
              <w:t>59,500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left="89" w:right="0"/>
              <w:jc w:val="center"/>
              <w:rPr>
                <w:rFonts w:ascii="Times New Roman" w:hAnsi="Times New Roman" w:cs="Times New Roman" w:eastAsia="Times New Roman" w:hint="default"/>
                <w:sz w:val="18"/>
                <w:szCs w:val="18"/>
              </w:rPr>
            </w:pPr>
            <w:r>
              <w:rPr>
                <w:rFonts w:ascii="Times New Roman"/>
                <w:sz w:val="18"/>
              </w:rPr>
              <w:t>89,250</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331"/>
              <w:jc w:val="right"/>
              <w:rPr>
                <w:rFonts w:ascii="Times New Roman" w:hAnsi="Times New Roman" w:cs="Times New Roman" w:eastAsia="Times New Roman" w:hint="default"/>
                <w:sz w:val="18"/>
                <w:szCs w:val="18"/>
              </w:rPr>
            </w:pPr>
            <w:r>
              <w:rPr>
                <w:rFonts w:ascii="Times New Roman"/>
                <w:sz w:val="18"/>
              </w:rPr>
              <w:t>--</w:t>
            </w:r>
          </w:p>
        </w:tc>
        <w:tc>
          <w:tcPr>
            <w:tcW w:w="5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5"/>
              <w:jc w:val="right"/>
              <w:rPr>
                <w:rFonts w:ascii="Times New Roman" w:hAnsi="Times New Roman" w:cs="Times New Roman" w:eastAsia="Times New Roman" w:hint="default"/>
                <w:sz w:val="18"/>
                <w:szCs w:val="18"/>
              </w:rPr>
            </w:pPr>
            <w:r>
              <w:rPr>
                <w:rFonts w:ascii="Times New Roman"/>
                <w:sz w:val="18"/>
              </w:rPr>
              <w:t>--</w:t>
            </w:r>
          </w:p>
        </w:tc>
        <w:tc>
          <w:tcPr>
            <w:tcW w:w="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200" w:right="0"/>
              <w:jc w:val="left"/>
              <w:rPr>
                <w:rFonts w:ascii="Times New Roman" w:hAnsi="Times New Roman" w:cs="Times New Roman" w:eastAsia="Times New Roman" w:hint="default"/>
                <w:sz w:val="18"/>
                <w:szCs w:val="18"/>
              </w:rPr>
            </w:pPr>
            <w:r>
              <w:rPr>
                <w:rFonts w:ascii="Times New Roman"/>
                <w:sz w:val="18"/>
              </w:rPr>
              <w:t>--</w:t>
            </w:r>
          </w:p>
        </w:tc>
        <w:tc>
          <w:tcPr>
            <w:tcW w:w="10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9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1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57,214,346</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0</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3,255,900</w:t>
            </w:r>
          </w:p>
        </w:tc>
        <w:tc>
          <w:tcPr>
            <w:tcW w:w="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56" w:right="0"/>
              <w:jc w:val="left"/>
              <w:rPr>
                <w:rFonts w:ascii="Times New Roman" w:hAnsi="Times New Roman" w:cs="Times New Roman" w:eastAsia="Times New Roman" w:hint="default"/>
                <w:sz w:val="18"/>
                <w:szCs w:val="18"/>
              </w:rPr>
            </w:pPr>
            <w:r>
              <w:rPr>
                <w:rFonts w:ascii="Times New Roman"/>
                <w:sz w:val="18"/>
              </w:rPr>
              <w:t>54,101,</w:t>
            </w:r>
          </w:p>
          <w:p>
            <w:pPr>
              <w:pStyle w:val="TableParagraph"/>
              <w:spacing w:line="240" w:lineRule="auto" w:before="105"/>
              <w:ind w:left="427" w:right="0"/>
              <w:jc w:val="left"/>
              <w:rPr>
                <w:rFonts w:ascii="Times New Roman" w:hAnsi="Times New Roman" w:cs="Times New Roman" w:eastAsia="Times New Roman" w:hint="default"/>
                <w:sz w:val="18"/>
                <w:szCs w:val="18"/>
              </w:rPr>
            </w:pPr>
            <w:r>
              <w:rPr>
                <w:rFonts w:ascii="Times New Roman"/>
                <w:sz w:val="18"/>
              </w:rPr>
              <w:t>846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91" w:right="0"/>
              <w:jc w:val="left"/>
              <w:rPr>
                <w:rFonts w:ascii="Times New Roman" w:hAnsi="Times New Roman" w:cs="Times New Roman" w:eastAsia="Times New Roman" w:hint="default"/>
                <w:sz w:val="18"/>
                <w:szCs w:val="18"/>
              </w:rPr>
            </w:pPr>
            <w:r>
              <w:rPr>
                <w:rFonts w:ascii="Times New Roman"/>
                <w:sz w:val="18"/>
              </w:rPr>
              <w:t>108,06</w:t>
            </w:r>
          </w:p>
          <w:p>
            <w:pPr>
              <w:pStyle w:val="TableParagraph"/>
              <w:spacing w:line="240" w:lineRule="auto" w:before="105"/>
              <w:ind w:left="280" w:right="0"/>
              <w:jc w:val="left"/>
              <w:rPr>
                <w:rFonts w:ascii="Times New Roman" w:hAnsi="Times New Roman" w:cs="Times New Roman" w:eastAsia="Times New Roman" w:hint="default"/>
                <w:sz w:val="18"/>
                <w:szCs w:val="18"/>
              </w:rPr>
            </w:pPr>
            <w:r>
              <w:rPr>
                <w:rFonts w:ascii="Times New Roman"/>
                <w:sz w:val="18"/>
              </w:rPr>
              <w:t>0,292</w:t>
            </w:r>
          </w:p>
        </w:tc>
      </w:tr>
    </w:tbl>
    <w:p>
      <w:pPr>
        <w:spacing w:line="240" w:lineRule="auto" w:before="0"/>
        <w:rPr>
          <w:rFonts w:ascii="宋体" w:hAnsi="宋体" w:cs="宋体" w:eastAsia="宋体" w:hint="default"/>
          <w:b/>
          <w:bCs/>
          <w:sz w:val="18"/>
          <w:szCs w:val="18"/>
        </w:rPr>
      </w:pPr>
    </w:p>
    <w:p>
      <w:pPr>
        <w:pStyle w:val="Heading2"/>
        <w:spacing w:line="240" w:lineRule="auto" w:before="26"/>
        <w:ind w:right="0"/>
        <w:jc w:val="left"/>
        <w:rPr>
          <w:b w:val="0"/>
          <w:bCs w:val="0"/>
        </w:rPr>
      </w:pPr>
      <w:bookmarkStart w:name="二、公司董事、监事、高级管理人员变动情况" w:id="135"/>
      <w:bookmarkEnd w:id="135"/>
      <w:r>
        <w:rPr>
          <w:b w:val="0"/>
          <w:bCs w:val="0"/>
        </w:rPr>
      </w:r>
      <w:r>
        <w:rPr/>
        <w:t>二、公司董事、监事、高级管理人员变动情况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204" w:right="0"/>
        <w:jc w:val="left"/>
      </w:pPr>
      <w:r>
        <w:rPr/>
        <w:t>□ 适用  √</w:t>
      </w:r>
      <w:r>
        <w:rPr>
          <w:spacing w:val="-1"/>
        </w:rPr>
        <w:t> </w:t>
      </w:r>
      <w:r>
        <w:rPr/>
        <w:t>不适用</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bookmarkStart w:name="三、任职情况" w:id="136"/>
      <w:bookmarkEnd w:id="136"/>
      <w:r>
        <w:rPr>
          <w:b w:val="0"/>
          <w:bCs w:val="0"/>
        </w:rPr>
      </w:r>
      <w:r>
        <w:rPr/>
        <w:t>三、任职情况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公司现任董事、监事、高级管理人员专业背景、主要工作经历以及目前在公司的主要职责</w:t>
      </w:r>
    </w:p>
    <w:p>
      <w:pPr>
        <w:pStyle w:val="BodyText"/>
        <w:spacing w:line="240" w:lineRule="auto" w:before="117"/>
        <w:ind w:left="472" w:right="0"/>
        <w:jc w:val="left"/>
      </w:pPr>
      <w:r>
        <w:rPr/>
        <w:t>（一）董事会成员</w:t>
      </w:r>
    </w:p>
    <w:p>
      <w:pPr>
        <w:pStyle w:val="BodyText"/>
        <w:spacing w:line="312" w:lineRule="auto" w:before="76"/>
        <w:ind w:right="1130" w:firstLine="360"/>
        <w:jc w:val="both"/>
      </w:pPr>
      <w:r>
        <w:rPr>
          <w:rFonts w:ascii="Times New Roman" w:hAnsi="Times New Roman" w:cs="Times New Roman" w:eastAsia="Times New Roman" w:hint="default"/>
        </w:rPr>
        <w:t>1</w:t>
      </w:r>
      <w:r>
        <w:rPr/>
        <w:t>、葛航先生，</w:t>
      </w:r>
      <w:r>
        <w:rPr>
          <w:rFonts w:ascii="Times New Roman" w:hAnsi="Times New Roman" w:cs="Times New Roman" w:eastAsia="Times New Roman" w:hint="default"/>
        </w:rPr>
        <w:t>1963</w:t>
      </w:r>
      <w:r>
        <w:rPr/>
        <w:t>年出生，中国国籍，浙江大学机电专业，长江商学院</w:t>
      </w:r>
      <w:r>
        <w:rPr>
          <w:rFonts w:ascii="Times New Roman" w:hAnsi="Times New Roman" w:cs="Times New Roman" w:eastAsia="Times New Roman" w:hint="default"/>
        </w:rPr>
        <w:t>EMBA</w:t>
      </w:r>
      <w:r>
        <w:rPr/>
        <w:t>硕士研究生，清华经管企业家学者博士 </w:t>
      </w:r>
      <w:r>
        <w:rPr>
          <w:spacing w:val="-2"/>
        </w:rPr>
        <w:t>在读，工程师，高级经济师。</w:t>
      </w:r>
      <w:r>
        <w:rPr>
          <w:rFonts w:ascii="Times New Roman" w:hAnsi="Times New Roman" w:cs="Times New Roman" w:eastAsia="Times New Roman" w:hint="default"/>
          <w:spacing w:val="-2"/>
        </w:rPr>
        <w:t>1998</w:t>
      </w:r>
      <w:r>
        <w:rPr>
          <w:spacing w:val="-2"/>
        </w:rPr>
        <w:t>年至今担任公司董事长，曾任浙江省软件行业协会副理事长、杭州长城计算机系统工程公</w:t>
      </w:r>
      <w:r>
        <w:rPr>
          <w:spacing w:val="-61"/>
        </w:rPr>
        <w:t> </w:t>
      </w:r>
      <w:r>
        <w:rPr>
          <w:spacing w:val="-61"/>
        </w:rPr>
      </w:r>
      <w:r>
        <w:rPr>
          <w:spacing w:val="-2"/>
        </w:rPr>
        <w:t>司负责人、浙江浙大网新软件产业集团有限公司董事长、浙大网新科技股份有限公司董事兼副总裁等职务。曾荣获改革开放</w:t>
      </w:r>
      <w:r>
        <w:rPr>
          <w:spacing w:val="-63"/>
        </w:rPr>
        <w:t> </w:t>
      </w:r>
      <w:r>
        <w:rPr>
          <w:spacing w:val="-63"/>
        </w:rPr>
      </w:r>
      <w:r>
        <w:rPr>
          <w:spacing w:val="-2"/>
        </w:rPr>
        <w:t>四十年浙江工业创业发展四十人之一、第十七届浙江省优秀企业家、浙江省科技进步奖、杭州市科技进步奖、杭州市新产品</w:t>
      </w:r>
      <w:r>
        <w:rPr>
          <w:spacing w:val="-64"/>
        </w:rPr>
        <w:t> </w:t>
      </w:r>
      <w:r>
        <w:rPr>
          <w:spacing w:val="-64"/>
        </w:rPr>
      </w:r>
      <w:r>
        <w:rPr>
          <w:spacing w:val="-2"/>
        </w:rPr>
        <w:t>新技术奖、杭州市管理创新奖以及浙江省科技创新先进个人、浙江省软件行业杰出企业家、杭州市成绩突出科技工作者、杭</w:t>
      </w:r>
      <w:r>
        <w:rPr>
          <w:spacing w:val="-64"/>
        </w:rPr>
        <w:t> </w:t>
      </w:r>
      <w:r>
        <w:rPr>
          <w:spacing w:val="-64"/>
        </w:rPr>
      </w:r>
      <w:r>
        <w:rPr>
          <w:spacing w:val="-2"/>
        </w:rPr>
        <w:t>州市第五届优秀社会主义事业建设者、杭州市劳动模范等称号。现任创业慧康科技股份有限公司董事长、浙江省软件行业协</w:t>
      </w:r>
      <w:r>
        <w:rPr>
          <w:spacing w:val="-63"/>
        </w:rPr>
        <w:t> </w:t>
      </w:r>
      <w:r>
        <w:rPr>
          <w:spacing w:val="-63"/>
        </w:rPr>
      </w:r>
      <w:r>
        <w:rPr>
          <w:spacing w:val="-2"/>
        </w:rPr>
        <w:t>会理事长、浙江省物联网产业协会副理事长、浙江省创业投资协会副会长、浙江省计算机应用与教育学会常务理事、中华医</w:t>
      </w:r>
    </w:p>
    <w:p>
      <w:pPr>
        <w:spacing w:after="0" w:line="312" w:lineRule="auto"/>
        <w:jc w:val="both"/>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right="0"/>
        <w:jc w:val="left"/>
      </w:pPr>
      <w:r>
        <w:rPr>
          <w:spacing w:val="-2"/>
        </w:rPr>
        <w:t>学会计算机应用分会常务理事、浙江中宇信息科技有限公司董事、苏州网新创业科技有限公司副董事长、北京甲和灯科技股</w:t>
      </w:r>
      <w:r>
        <w:rPr>
          <w:spacing w:val="-63"/>
        </w:rPr>
        <w:t> </w:t>
      </w:r>
      <w:r>
        <w:rPr>
          <w:spacing w:val="-63"/>
        </w:rPr>
      </w:r>
      <w:r>
        <w:rPr/>
        <w:t>份有限公司董事。</w:t>
      </w:r>
    </w:p>
    <w:p>
      <w:pPr>
        <w:pStyle w:val="BodyText"/>
        <w:spacing w:line="312" w:lineRule="auto" w:before="19"/>
        <w:ind w:right="1130" w:firstLine="360"/>
        <w:jc w:val="both"/>
      </w:pPr>
      <w:r>
        <w:rPr>
          <w:rFonts w:ascii="Times New Roman" w:hAnsi="Times New Roman" w:cs="Times New Roman" w:eastAsia="Times New Roman" w:hint="default"/>
        </w:rPr>
        <w:t>2</w:t>
      </w:r>
      <w:r>
        <w:rPr/>
        <w:t>、张吕峥先生，</w:t>
      </w:r>
      <w:r>
        <w:rPr>
          <w:rFonts w:ascii="Times New Roman" w:hAnsi="Times New Roman" w:cs="Times New Roman" w:eastAsia="Times New Roman" w:hint="default"/>
        </w:rPr>
        <w:t>1971</w:t>
      </w:r>
      <w:r>
        <w:rPr/>
        <w:t>年出生，中国国籍，浙江大学工商管理研究生学历，高级经济师，曾荣获浙江省科技新浙商、杭 </w:t>
      </w:r>
      <w:r>
        <w:rPr>
          <w:spacing w:val="-2"/>
        </w:rPr>
        <w:t>州市优秀企业家、杭州市新产品新技术一等奖。历任杭州长城计算机系统工程公司副总经理，创业慧康科技股份有限公司董</w:t>
      </w:r>
      <w:r>
        <w:rPr>
          <w:spacing w:val="-63"/>
        </w:rPr>
        <w:t> </w:t>
      </w:r>
      <w:r>
        <w:rPr>
          <w:spacing w:val="-63"/>
        </w:rPr>
      </w:r>
      <w:r>
        <w:rPr>
          <w:spacing w:val="-2"/>
        </w:rPr>
        <w:t>事、副总经理，现任创业慧康科技股份有限公司董事、总经理、杭州阜康投资有限公司董事、苏州创业亿康信息科技有限公</w:t>
      </w:r>
      <w:r>
        <w:rPr>
          <w:spacing w:val="-63"/>
        </w:rPr>
        <w:t> </w:t>
      </w:r>
      <w:r>
        <w:rPr>
          <w:spacing w:val="-63"/>
        </w:rPr>
      </w:r>
      <w:r>
        <w:rPr/>
        <w:t>司董事、创业软件南京有限公司总经理、广东中拓信息技术有限公司董事长、中山市蓝天电脑有限公司董事长。</w:t>
      </w:r>
    </w:p>
    <w:p>
      <w:pPr>
        <w:pStyle w:val="BodyText"/>
        <w:spacing w:line="309" w:lineRule="auto" w:before="22"/>
        <w:ind w:right="0" w:firstLine="360"/>
        <w:jc w:val="left"/>
      </w:pPr>
      <w:r>
        <w:rPr>
          <w:rFonts w:ascii="Times New Roman" w:hAnsi="Times New Roman" w:cs="Times New Roman" w:eastAsia="Times New Roman" w:hint="default"/>
          <w:spacing w:val="-2"/>
        </w:rPr>
        <w:t>3</w:t>
      </w:r>
      <w:r>
        <w:rPr>
          <w:spacing w:val="-2"/>
        </w:rPr>
        <w:t>、胡燕女士，</w:t>
      </w:r>
      <w:r>
        <w:rPr>
          <w:rFonts w:ascii="Times New Roman" w:hAnsi="Times New Roman" w:cs="Times New Roman" w:eastAsia="Times New Roman" w:hint="default"/>
          <w:spacing w:val="-2"/>
        </w:rPr>
        <w:t>1977</w:t>
      </w:r>
      <w:r>
        <w:rPr>
          <w:spacing w:val="-2"/>
        </w:rPr>
        <w:t>年出生，中国国籍，法学、会计学专业，本科学历。</w:t>
      </w:r>
      <w:r>
        <w:rPr>
          <w:rFonts w:ascii="Times New Roman" w:hAnsi="Times New Roman" w:cs="Times New Roman" w:eastAsia="Times New Roman" w:hint="default"/>
          <w:spacing w:val="-2"/>
        </w:rPr>
        <w:t>1998</w:t>
      </w:r>
      <w:r>
        <w:rPr>
          <w:spacing w:val="-2"/>
        </w:rPr>
        <w:t>年至今在创业慧康科技股份有限公司工作，</w:t>
      </w:r>
      <w:r>
        <w:rPr/>
        <w:t> </w:t>
      </w:r>
      <w:r>
        <w:rPr>
          <w:spacing w:val="-2"/>
        </w:rPr>
        <w:t>历任公司财务部副经理、证券法务部经理、公司总经理助理。现任创业慧康科技股份有限公司董事、董事会秘书、杭州慧康</w:t>
      </w:r>
      <w:r>
        <w:rPr>
          <w:spacing w:val="-63"/>
        </w:rPr>
        <w:t> </w:t>
      </w:r>
      <w:r>
        <w:rPr>
          <w:spacing w:val="-63"/>
        </w:rPr>
      </w:r>
      <w:r>
        <w:rPr/>
        <w:t>物联网科技有限公司董事、杭州美诺泰科科技有限公司董事。</w:t>
      </w:r>
    </w:p>
    <w:p>
      <w:pPr>
        <w:pStyle w:val="BodyText"/>
        <w:spacing w:line="240" w:lineRule="auto" w:before="24"/>
        <w:ind w:left="472" w:right="0"/>
        <w:jc w:val="left"/>
        <w:rPr>
          <w:rFonts w:ascii="Times New Roman" w:hAnsi="Times New Roman" w:cs="Times New Roman" w:eastAsia="Times New Roman" w:hint="default"/>
        </w:rPr>
      </w:pPr>
      <w:r>
        <w:rPr>
          <w:rFonts w:ascii="Times New Roman" w:hAnsi="Times New Roman" w:cs="Times New Roman" w:eastAsia="Times New Roman" w:hint="default"/>
        </w:rPr>
        <w:t>4</w:t>
      </w:r>
      <w:r>
        <w:rPr/>
        <w:t>、应晶先生，</w:t>
      </w:r>
      <w:r>
        <w:rPr>
          <w:rFonts w:ascii="Times New Roman" w:hAnsi="Times New Roman" w:cs="Times New Roman" w:eastAsia="Times New Roman" w:hint="default"/>
        </w:rPr>
        <w:t>1971</w:t>
      </w:r>
      <w:r>
        <w:rPr/>
        <w:t>年出生，中国国籍，计算机专业，博士研究生学历，浙江大学计算机学院教授，博士生导师，</w:t>
      </w:r>
      <w:r>
        <w:rPr>
          <w:rFonts w:ascii="Times New Roman" w:hAnsi="Times New Roman" w:cs="Times New Roman" w:eastAsia="Times New Roman" w:hint="default"/>
        </w:rPr>
        <w:t>2016</w:t>
      </w:r>
    </w:p>
    <w:p>
      <w:pPr>
        <w:pStyle w:val="BodyText"/>
        <w:spacing w:line="240" w:lineRule="auto" w:before="63"/>
        <w:ind w:right="0"/>
        <w:jc w:val="left"/>
      </w:pP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29</w:t>
      </w:r>
      <w:r>
        <w:rPr/>
        <w:t>日至今任创业慧康科技股份有限公司董事。</w:t>
      </w:r>
    </w:p>
    <w:p>
      <w:pPr>
        <w:pStyle w:val="BodyText"/>
        <w:spacing w:line="307" w:lineRule="auto" w:before="63"/>
        <w:ind w:right="0" w:firstLine="360"/>
        <w:jc w:val="left"/>
      </w:pPr>
      <w:r>
        <w:rPr>
          <w:rFonts w:ascii="Times New Roman" w:hAnsi="Times New Roman" w:cs="Times New Roman" w:eastAsia="Times New Roman" w:hint="default"/>
          <w:spacing w:val="-8"/>
          <w:w w:val="99"/>
        </w:rPr>
        <w:t>5</w:t>
      </w:r>
      <w:r>
        <w:rPr>
          <w:spacing w:val="-8"/>
          <w:w w:val="99"/>
        </w:rPr>
        <w:t>、李寒穷女士，</w:t>
      </w:r>
      <w:r>
        <w:rPr>
          <w:rFonts w:ascii="Times New Roman" w:hAnsi="Times New Roman" w:cs="Times New Roman" w:eastAsia="Times New Roman" w:hint="default"/>
          <w:spacing w:val="-8"/>
          <w:w w:val="99"/>
        </w:rPr>
        <w:t>1977</w:t>
      </w:r>
      <w:r>
        <w:rPr>
          <w:spacing w:val="-8"/>
          <w:w w:val="99"/>
        </w:rPr>
        <w:t>年出生，中国香港籍，硕士研究生学历，美国加州州立大学工商管理学士，中欧国际工商学院</w:t>
      </w:r>
      <w:r>
        <w:rPr>
          <w:rFonts w:ascii="Times New Roman" w:hAnsi="Times New Roman" w:cs="Times New Roman" w:eastAsia="Times New Roman" w:hint="default"/>
          <w:spacing w:val="-8"/>
          <w:w w:val="99"/>
        </w:rPr>
        <w:t>EMBA</w:t>
      </w:r>
      <w:r>
        <w:rPr>
          <w:spacing w:val="-8"/>
          <w:w w:val="99"/>
        </w:rPr>
        <w:t>。</w:t>
      </w:r>
      <w:r>
        <w:rPr/>
        <w:t> </w:t>
      </w:r>
      <w:r>
        <w:rPr>
          <w:spacing w:val="-2"/>
        </w:rPr>
        <w:t>曾任雅戈尔（香港）实业有限公司副总经理、上海凯石投资管理有限公司副总经理；现任雅戈尔集团股份有限公司第八届董</w:t>
      </w:r>
      <w:r>
        <w:rPr>
          <w:spacing w:val="-64"/>
        </w:rPr>
        <w:t> </w:t>
      </w:r>
      <w:r>
        <w:rPr>
          <w:spacing w:val="-64"/>
        </w:rPr>
      </w:r>
      <w:r>
        <w:rPr>
          <w:spacing w:val="-3"/>
        </w:rPr>
        <w:t>事会董事兼总经理、雅戈尔投资有限公司总经理、创业慧康科技股份有限公司董事。（于</w:t>
      </w:r>
      <w:r>
        <w:rPr>
          <w:rFonts w:ascii="Times New Roman" w:hAnsi="Times New Roman" w:cs="Times New Roman" w:eastAsia="Times New Roman" w:hint="default"/>
          <w:spacing w:val="-3"/>
        </w:rPr>
        <w:t>2019</w:t>
      </w:r>
      <w:r>
        <w:rPr>
          <w:spacing w:val="-3"/>
        </w:rPr>
        <w:t>年</w:t>
      </w:r>
      <w:r>
        <w:rPr>
          <w:rFonts w:ascii="Times New Roman" w:hAnsi="Times New Roman" w:cs="Times New Roman" w:eastAsia="Times New Roman" w:hint="default"/>
          <w:spacing w:val="-3"/>
        </w:rPr>
        <w:t>4</w:t>
      </w:r>
      <w:r>
        <w:rPr>
          <w:spacing w:val="-3"/>
        </w:rPr>
        <w:t>月</w:t>
      </w:r>
      <w:r>
        <w:rPr>
          <w:rFonts w:ascii="Times New Roman" w:hAnsi="Times New Roman" w:cs="Times New Roman" w:eastAsia="Times New Roman" w:hint="default"/>
          <w:spacing w:val="-3"/>
        </w:rPr>
        <w:t>12</w:t>
      </w:r>
      <w:r>
        <w:rPr>
          <w:spacing w:val="-3"/>
        </w:rPr>
        <w:t>日向公司董事会提交辞</w:t>
      </w:r>
      <w:r>
        <w:rPr/>
        <w:t> 职报告，已生效）</w:t>
      </w:r>
    </w:p>
    <w:p>
      <w:pPr>
        <w:pStyle w:val="BodyText"/>
        <w:spacing w:line="309" w:lineRule="auto" w:before="26"/>
        <w:ind w:right="1130" w:firstLine="360"/>
        <w:jc w:val="both"/>
      </w:pPr>
      <w:r>
        <w:rPr>
          <w:rFonts w:ascii="Times New Roman" w:hAnsi="Times New Roman" w:cs="Times New Roman" w:eastAsia="Times New Roman" w:hint="default"/>
        </w:rPr>
        <w:t>6</w:t>
      </w:r>
      <w:r>
        <w:rPr/>
        <w:t>、赵晔女士，</w:t>
      </w:r>
      <w:r>
        <w:rPr>
          <w:rFonts w:ascii="Times New Roman" w:hAnsi="Times New Roman" w:cs="Times New Roman" w:eastAsia="Times New Roman" w:hint="default"/>
        </w:rPr>
        <w:t>1971</w:t>
      </w:r>
      <w:r>
        <w:rPr/>
        <w:t>年出生，中国国籍，无境外永久居留权，本科学历，高级经济师。历任浙江建达电子工程有限公司 </w:t>
      </w:r>
      <w:r>
        <w:rPr>
          <w:spacing w:val="-2"/>
        </w:rPr>
        <w:t>惠普金牌服务中心经理、信息产品技术支持服务事业部总经理、杭州慧康物联网科技有限公司常务副总经理、总经理。现任</w:t>
      </w:r>
      <w:r>
        <w:rPr>
          <w:spacing w:val="-64"/>
        </w:rPr>
        <w:t> </w:t>
      </w:r>
      <w:r>
        <w:rPr>
          <w:spacing w:val="-64"/>
        </w:rPr>
      </w:r>
      <w:r>
        <w:rPr/>
        <w:t>杭州慧康物联网科技有限公司董事长、创业慧康科技股份有限公司董事。</w:t>
      </w:r>
    </w:p>
    <w:p>
      <w:pPr>
        <w:pStyle w:val="BodyText"/>
        <w:spacing w:line="304" w:lineRule="auto" w:before="24"/>
        <w:ind w:right="1129" w:firstLine="360"/>
        <w:jc w:val="both"/>
      </w:pPr>
      <w:r>
        <w:rPr>
          <w:rFonts w:ascii="Times New Roman" w:hAnsi="Times New Roman" w:cs="Times New Roman" w:eastAsia="Times New Roman" w:hint="default"/>
          <w:spacing w:val="-2"/>
        </w:rPr>
        <w:t>7</w:t>
      </w:r>
      <w:r>
        <w:rPr>
          <w:spacing w:val="-2"/>
        </w:rPr>
        <w:t>、江乾坤先生，</w:t>
      </w:r>
      <w:r>
        <w:rPr>
          <w:rFonts w:ascii="Times New Roman" w:hAnsi="Times New Roman" w:cs="Times New Roman" w:eastAsia="Times New Roman" w:hint="default"/>
          <w:spacing w:val="-2"/>
        </w:rPr>
        <w:t>1974</w:t>
      </w:r>
      <w:r>
        <w:rPr>
          <w:spacing w:val="-2"/>
        </w:rPr>
        <w:t>年出生，中国国籍，浙江大学经济学（公司金融）博士，理论经济学博士后，</w:t>
      </w:r>
      <w:r>
        <w:rPr>
          <w:rFonts w:ascii="Times New Roman" w:hAnsi="Times New Roman" w:cs="Times New Roman" w:eastAsia="Times New Roman" w:hint="default"/>
          <w:spacing w:val="-2"/>
        </w:rPr>
        <w:t>2005</w:t>
      </w:r>
      <w:r>
        <w:rPr>
          <w:spacing w:val="-2"/>
        </w:rPr>
        <w:t>年</w:t>
      </w:r>
      <w:r>
        <w:rPr>
          <w:rFonts w:ascii="Times New Roman" w:hAnsi="Times New Roman" w:cs="Times New Roman" w:eastAsia="Times New Roman" w:hint="default"/>
          <w:spacing w:val="-2"/>
        </w:rPr>
        <w:t>7</w:t>
      </w:r>
      <w:r>
        <w:rPr>
          <w:spacing w:val="-2"/>
        </w:rPr>
        <w:t>月至今任杭</w:t>
      </w:r>
      <w:r>
        <w:rPr/>
        <w:t> </w:t>
      </w:r>
      <w:r>
        <w:rPr>
          <w:spacing w:val="-2"/>
        </w:rPr>
        <w:t>州电子科技大学会计学院教授，中国财务云服务研究院院长助理。</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8</w:t>
      </w:r>
      <w:r>
        <w:rPr>
          <w:spacing w:val="-2"/>
        </w:rPr>
        <w:t>月至</w:t>
      </w:r>
      <w:r>
        <w:rPr>
          <w:rFonts w:ascii="Times New Roman" w:hAnsi="Times New Roman" w:cs="Times New Roman" w:eastAsia="Times New Roman" w:hint="default"/>
          <w:spacing w:val="-2"/>
        </w:rPr>
        <w:t>2009</w:t>
      </w:r>
      <w:r>
        <w:rPr>
          <w:spacing w:val="-2"/>
        </w:rPr>
        <w:t>年</w:t>
      </w:r>
      <w:r>
        <w:rPr>
          <w:rFonts w:ascii="Times New Roman" w:hAnsi="Times New Roman" w:cs="Times New Roman" w:eastAsia="Times New Roman" w:hint="default"/>
          <w:spacing w:val="-2"/>
        </w:rPr>
        <w:t>3</w:t>
      </w:r>
      <w:r>
        <w:rPr>
          <w:spacing w:val="-2"/>
        </w:rPr>
        <w:t>月在美国东南密苏里大学和马里兰大</w:t>
      </w:r>
      <w:r>
        <w:rPr>
          <w:spacing w:val="-59"/>
        </w:rPr>
        <w:t> </w:t>
      </w:r>
      <w:r>
        <w:rPr>
          <w:spacing w:val="-2"/>
        </w:rPr>
        <w:t>学商学院高级访问学者，</w:t>
      </w:r>
      <w:r>
        <w:rPr>
          <w:rFonts w:ascii="Times New Roman" w:hAnsi="Times New Roman" w:cs="Times New Roman" w:eastAsia="Times New Roman" w:hint="default"/>
          <w:spacing w:val="-2"/>
        </w:rPr>
        <w:t>2013</w:t>
      </w:r>
      <w:r>
        <w:rPr>
          <w:spacing w:val="-2"/>
        </w:rPr>
        <w:t>年</w:t>
      </w:r>
      <w:r>
        <w:rPr>
          <w:rFonts w:ascii="Times New Roman" w:hAnsi="Times New Roman" w:cs="Times New Roman" w:eastAsia="Times New Roman" w:hint="default"/>
          <w:spacing w:val="-2"/>
        </w:rPr>
        <w:t>4</w:t>
      </w:r>
      <w:r>
        <w:rPr>
          <w:spacing w:val="-2"/>
        </w:rPr>
        <w:t>月至</w:t>
      </w:r>
      <w:r>
        <w:rPr>
          <w:rFonts w:ascii="Times New Roman" w:hAnsi="Times New Roman" w:cs="Times New Roman" w:eastAsia="Times New Roman" w:hint="default"/>
          <w:spacing w:val="-2"/>
        </w:rPr>
        <w:t>2014</w:t>
      </w:r>
      <w:r>
        <w:rPr>
          <w:spacing w:val="-2"/>
        </w:rPr>
        <w:t>年</w:t>
      </w:r>
      <w:r>
        <w:rPr>
          <w:rFonts w:ascii="Times New Roman" w:hAnsi="Times New Roman" w:cs="Times New Roman" w:eastAsia="Times New Roman" w:hint="default"/>
          <w:spacing w:val="-2"/>
        </w:rPr>
        <w:t>3</w:t>
      </w:r>
      <w:r>
        <w:rPr>
          <w:spacing w:val="-2"/>
        </w:rPr>
        <w:t>月兼任温州市平阳县金融办副主任（温州金改百人计划）。现任创业慧康科技</w:t>
      </w:r>
      <w:r>
        <w:rPr>
          <w:spacing w:val="-61"/>
        </w:rPr>
        <w:t> </w:t>
      </w:r>
      <w:r>
        <w:rPr>
          <w:spacing w:val="-61"/>
        </w:rPr>
      </w:r>
      <w:r>
        <w:rPr>
          <w:spacing w:val="-2"/>
        </w:rPr>
        <w:t>股份有限公司独立董事、浙江长华汽车零部件股份有限公司独立董事、宁波天龙电子股份有限公司独立董事、杭州格林达化</w:t>
      </w:r>
      <w:r>
        <w:rPr>
          <w:spacing w:val="-63"/>
        </w:rPr>
        <w:t> </w:t>
      </w:r>
      <w:r>
        <w:rPr>
          <w:spacing w:val="-63"/>
        </w:rPr>
      </w:r>
      <w:r>
        <w:rPr/>
        <w:t>学股份有限公司独立董事、深圳传音控股股份有限公司独立董事。</w:t>
      </w:r>
    </w:p>
    <w:p>
      <w:pPr>
        <w:pStyle w:val="BodyText"/>
        <w:spacing w:line="300" w:lineRule="auto" w:before="28"/>
        <w:ind w:right="0" w:firstLine="360"/>
        <w:jc w:val="left"/>
      </w:pPr>
      <w:r>
        <w:rPr>
          <w:rFonts w:ascii="Times New Roman" w:hAnsi="Times New Roman" w:cs="Times New Roman" w:eastAsia="Times New Roman" w:hint="default"/>
        </w:rPr>
        <w:t>8</w:t>
      </w:r>
      <w:r>
        <w:rPr/>
        <w:t>、凌云先生，</w:t>
      </w:r>
      <w:r>
        <w:rPr>
          <w:rFonts w:ascii="Times New Roman" w:hAnsi="Times New Roman" w:cs="Times New Roman" w:eastAsia="Times New Roman" w:hint="default"/>
        </w:rPr>
        <w:t>1962</w:t>
      </w:r>
      <w:r>
        <w:rPr/>
        <w:t>年出生，中国国籍，计算机科学与技术专业，硕士研究生学历，浙江工商大学教授，多次获得浙江 </w:t>
      </w:r>
      <w:r>
        <w:rPr>
          <w:spacing w:val="-4"/>
        </w:rPr>
        <w:t>省科学技术奖。</w:t>
      </w:r>
      <w:r>
        <w:rPr>
          <w:rFonts w:ascii="Times New Roman" w:hAnsi="Times New Roman" w:cs="Times New Roman" w:eastAsia="Times New Roman" w:hint="default"/>
          <w:spacing w:val="-4"/>
        </w:rPr>
        <w:t>1983</w:t>
      </w:r>
      <w:r>
        <w:rPr>
          <w:spacing w:val="-4"/>
        </w:rPr>
        <w:t>年至今在浙江工商大学任教，历任浙江工商大学计算机与信息工程学院副院长、院长、学校科研处处长。</w:t>
      </w:r>
      <w:r>
        <w:rPr>
          <w:spacing w:val="-37"/>
        </w:rPr>
        <w:t> </w:t>
      </w:r>
      <w:r>
        <w:rPr>
          <w:spacing w:val="-37"/>
        </w:rPr>
      </w:r>
      <w:r>
        <w:rPr/>
        <w:t>现任浙江工商大学教授，创业慧康科技股份有限公司独立董事，浙大网新科技股份有限公司独立董事。</w:t>
      </w:r>
    </w:p>
    <w:p>
      <w:pPr>
        <w:pStyle w:val="BodyText"/>
        <w:spacing w:line="300" w:lineRule="auto" w:before="31"/>
        <w:ind w:right="1124" w:firstLine="360"/>
        <w:jc w:val="both"/>
      </w:pPr>
      <w:r>
        <w:rPr>
          <w:rFonts w:ascii="Times New Roman" w:hAnsi="Times New Roman" w:cs="Times New Roman" w:eastAsia="Times New Roman" w:hint="default"/>
          <w:spacing w:val="-5"/>
        </w:rPr>
        <w:t>9</w:t>
      </w:r>
      <w:r>
        <w:rPr>
          <w:spacing w:val="-5"/>
        </w:rPr>
        <w:t>、杨建刚先生，</w:t>
      </w:r>
      <w:r>
        <w:rPr>
          <w:rFonts w:ascii="Times New Roman" w:hAnsi="Times New Roman" w:cs="Times New Roman" w:eastAsia="Times New Roman" w:hint="default"/>
          <w:spacing w:val="-5"/>
        </w:rPr>
        <w:t>1959</w:t>
      </w:r>
      <w:r>
        <w:rPr>
          <w:spacing w:val="-5"/>
        </w:rPr>
        <w:t>年出生，中国国籍。</w:t>
      </w:r>
      <w:r>
        <w:rPr>
          <w:rFonts w:ascii="Times New Roman" w:hAnsi="Times New Roman" w:cs="Times New Roman" w:eastAsia="Times New Roman" w:hint="default"/>
          <w:spacing w:val="-5"/>
        </w:rPr>
        <w:t>1976</w:t>
      </w:r>
      <w:r>
        <w:rPr>
          <w:spacing w:val="-5"/>
        </w:rPr>
        <w:t>年参加工作，</w:t>
      </w:r>
      <w:r>
        <w:rPr>
          <w:rFonts w:ascii="Times New Roman" w:hAnsi="Times New Roman" w:cs="Times New Roman" w:eastAsia="Times New Roman" w:hint="default"/>
          <w:spacing w:val="-5"/>
        </w:rPr>
        <w:t>1987</w:t>
      </w:r>
      <w:r>
        <w:rPr>
          <w:spacing w:val="-5"/>
        </w:rPr>
        <w:t>年公派留学法国，</w:t>
      </w:r>
      <w:r>
        <w:rPr>
          <w:rFonts w:ascii="Times New Roman" w:hAnsi="Times New Roman" w:cs="Times New Roman" w:eastAsia="Times New Roman" w:hint="default"/>
          <w:spacing w:val="-5"/>
        </w:rPr>
        <w:t>1991</w:t>
      </w:r>
      <w:r>
        <w:rPr>
          <w:spacing w:val="-5"/>
        </w:rPr>
        <w:t>年获法国</w:t>
      </w:r>
      <w:r>
        <w:rPr>
          <w:rFonts w:ascii="Times New Roman" w:hAnsi="Times New Roman" w:cs="Times New Roman" w:eastAsia="Times New Roman" w:hint="default"/>
          <w:spacing w:val="-5"/>
        </w:rPr>
        <w:t>ENSAM</w:t>
      </w:r>
      <w:r>
        <w:rPr>
          <w:spacing w:val="-5"/>
        </w:rPr>
        <w:t>博士学位。</w:t>
      </w:r>
      <w:r>
        <w:rPr>
          <w:rFonts w:ascii="Times New Roman" w:hAnsi="Times New Roman" w:cs="Times New Roman" w:eastAsia="Times New Roman" w:hint="default"/>
          <w:spacing w:val="-5"/>
        </w:rPr>
        <w:t>1992</w:t>
      </w:r>
      <w:r>
        <w:rPr>
          <w:rFonts w:ascii="Times New Roman" w:hAnsi="Times New Roman" w:cs="Times New Roman" w:eastAsia="Times New Roman" w:hint="default"/>
        </w:rPr>
        <w:t> </w:t>
      </w:r>
      <w:r>
        <w:rPr>
          <w:spacing w:val="-2"/>
        </w:rPr>
        <w:t>年浙江大学电工学科博士后，</w:t>
      </w:r>
      <w:r>
        <w:rPr>
          <w:rFonts w:ascii="Times New Roman" w:hAnsi="Times New Roman" w:cs="Times New Roman" w:eastAsia="Times New Roman" w:hint="default"/>
          <w:spacing w:val="-2"/>
        </w:rPr>
        <w:t>1994</w:t>
      </w:r>
      <w:r>
        <w:rPr>
          <w:spacing w:val="-2"/>
        </w:rPr>
        <w:t>年起在浙江大学计算机学院任教，教授，博士生导师。现为创业慧康科技股份有限公司独</w:t>
      </w:r>
      <w:r>
        <w:rPr>
          <w:spacing w:val="-62"/>
        </w:rPr>
        <w:t> </w:t>
      </w:r>
      <w:r>
        <w:rPr>
          <w:spacing w:val="-62"/>
        </w:rPr>
      </w:r>
      <w:r>
        <w:rPr/>
        <w:t>立董事。</w:t>
      </w:r>
    </w:p>
    <w:p>
      <w:pPr>
        <w:pStyle w:val="BodyText"/>
        <w:spacing w:line="240" w:lineRule="auto" w:before="31"/>
        <w:ind w:right="0"/>
        <w:jc w:val="left"/>
      </w:pPr>
      <w:r>
        <w:rPr/>
        <w:t>（二）监事会成员</w:t>
      </w:r>
    </w:p>
    <w:p>
      <w:pPr>
        <w:pStyle w:val="BodyText"/>
        <w:spacing w:line="300" w:lineRule="auto" w:before="76"/>
        <w:ind w:right="1123" w:firstLine="360"/>
        <w:jc w:val="both"/>
      </w:pPr>
      <w:r>
        <w:rPr>
          <w:rFonts w:ascii="Times New Roman" w:hAnsi="Times New Roman" w:cs="Times New Roman" w:eastAsia="Times New Roman" w:hint="default"/>
          <w:spacing w:val="-1"/>
        </w:rPr>
        <w:t>1</w:t>
      </w:r>
      <w:r>
        <w:rPr>
          <w:spacing w:val="-1"/>
        </w:rPr>
        <w:t>、叶建先生，出生于</w:t>
      </w:r>
      <w:r>
        <w:rPr>
          <w:rFonts w:ascii="Times New Roman" w:hAnsi="Times New Roman" w:cs="Times New Roman" w:eastAsia="Times New Roman" w:hint="default"/>
          <w:spacing w:val="-1"/>
        </w:rPr>
        <w:t>1969</w:t>
      </w:r>
      <w:r>
        <w:rPr>
          <w:spacing w:val="-1"/>
        </w:rPr>
        <w:t>年，中国国籍，无境外永久居留权，浙江大学</w:t>
      </w:r>
      <w:r>
        <w:rPr>
          <w:rFonts w:ascii="Times New Roman" w:hAnsi="Times New Roman" w:cs="Times New Roman" w:eastAsia="Times New Roman" w:hint="default"/>
          <w:spacing w:val="-1"/>
        </w:rPr>
        <w:t>MBA</w:t>
      </w:r>
      <w:r>
        <w:rPr>
          <w:spacing w:val="-1"/>
        </w:rPr>
        <w:t>。</w:t>
      </w:r>
      <w:r>
        <w:rPr>
          <w:rFonts w:ascii="Times New Roman" w:hAnsi="Times New Roman" w:cs="Times New Roman" w:eastAsia="Times New Roman" w:hint="default"/>
          <w:spacing w:val="-1"/>
        </w:rPr>
        <w:t>1990</w:t>
      </w:r>
      <w:r>
        <w:rPr>
          <w:spacing w:val="-1"/>
        </w:rPr>
        <w:t>年参加工作，曾就职于杭州应用工</w:t>
      </w:r>
      <w:r>
        <w:rPr/>
        <w:t> </w:t>
      </w:r>
      <w:r>
        <w:rPr>
          <w:spacing w:val="-2"/>
        </w:rPr>
        <w:t>程技术学院计算中心、保隆（天津）国际贸易有限公司、浙租方博计算机有限公司，深圳新地网络信息技术有限公司，</w:t>
      </w:r>
      <w:r>
        <w:rPr>
          <w:rFonts w:ascii="Times New Roman" w:hAnsi="Times New Roman" w:cs="Times New Roman" w:eastAsia="Times New Roman" w:hint="default"/>
          <w:spacing w:val="-2"/>
        </w:rPr>
        <w:t>2000</w:t>
      </w:r>
      <w:r>
        <w:rPr>
          <w:rFonts w:ascii="Times New Roman" w:hAnsi="Times New Roman" w:cs="Times New Roman" w:eastAsia="Times New Roman" w:hint="default"/>
          <w:spacing w:val="-14"/>
        </w:rPr>
        <w:t> </w:t>
      </w:r>
      <w:r>
        <w:rPr>
          <w:rFonts w:ascii="Times New Roman" w:hAnsi="Times New Roman" w:cs="Times New Roman" w:eastAsia="Times New Roman" w:hint="default"/>
          <w:spacing w:val="-14"/>
        </w:rPr>
      </w:r>
      <w:r>
        <w:rPr/>
        <w:t>至</w:t>
      </w:r>
      <w:r>
        <w:rPr>
          <w:rFonts w:ascii="Times New Roman" w:hAnsi="Times New Roman" w:cs="Times New Roman" w:eastAsia="Times New Roman" w:hint="default"/>
        </w:rPr>
        <w:t>2011</w:t>
      </w:r>
      <w:r>
        <w:rPr/>
        <w:t>年任杭州创业计算机工程有限公司执行董事、总经理职务，</w:t>
      </w:r>
      <w:r>
        <w:rPr>
          <w:rFonts w:ascii="Times New Roman" w:hAnsi="Times New Roman" w:cs="Times New Roman" w:eastAsia="Times New Roman" w:hint="default"/>
        </w:rPr>
        <w:t>2011</w:t>
      </w:r>
      <w:r>
        <w:rPr/>
        <w:t>年至今任杭州联旗科技有限公司执行董事。</w:t>
      </w:r>
    </w:p>
    <w:p>
      <w:pPr>
        <w:pStyle w:val="BodyText"/>
        <w:spacing w:line="300" w:lineRule="auto" w:before="13"/>
        <w:ind w:right="1135" w:firstLine="360"/>
        <w:jc w:val="both"/>
      </w:pPr>
      <w:r>
        <w:rPr>
          <w:rFonts w:ascii="Times New Roman" w:hAnsi="Times New Roman" w:cs="Times New Roman" w:eastAsia="Times New Roman" w:hint="default"/>
        </w:rPr>
        <w:t>2</w:t>
      </w:r>
      <w:r>
        <w:rPr/>
        <w:t>、贾驰女士，出生于</w:t>
      </w:r>
      <w:r>
        <w:rPr>
          <w:rFonts w:ascii="Times New Roman" w:hAnsi="Times New Roman" w:cs="Times New Roman" w:eastAsia="Times New Roman" w:hint="default"/>
        </w:rPr>
        <w:t>1977</w:t>
      </w:r>
      <w:r>
        <w:rPr/>
        <w:t>年，中国国籍，无境外永久居留权，博士研究生学历，副教授。</w:t>
      </w:r>
      <w:r>
        <w:rPr>
          <w:rFonts w:ascii="Times New Roman" w:hAnsi="Times New Roman" w:cs="Times New Roman" w:eastAsia="Times New Roman" w:hint="default"/>
        </w:rPr>
        <w:t>1999</w:t>
      </w:r>
      <w:r>
        <w:rPr/>
        <w:t>至</w:t>
      </w:r>
      <w:r>
        <w:rPr>
          <w:rFonts w:ascii="Times New Roman" w:hAnsi="Times New Roman" w:cs="Times New Roman" w:eastAsia="Times New Roman" w:hint="default"/>
        </w:rPr>
        <w:t>2000</w:t>
      </w:r>
      <w:r>
        <w:rPr/>
        <w:t>年在浙江东方集 团股份有限公司任职员，</w:t>
      </w:r>
      <w:r>
        <w:rPr>
          <w:rFonts w:ascii="Times New Roman" w:hAnsi="Times New Roman" w:cs="Times New Roman" w:eastAsia="Times New Roman" w:hint="default"/>
        </w:rPr>
        <w:t>2003</w:t>
      </w:r>
      <w:r>
        <w:rPr/>
        <w:t>至今在浙江工商大学任教，任副教授，</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11</w:t>
      </w:r>
      <w:r>
        <w:rPr/>
        <w:t>月起至今任公司监事。</w:t>
      </w:r>
    </w:p>
    <w:p>
      <w:pPr>
        <w:pStyle w:val="BodyText"/>
        <w:spacing w:line="300" w:lineRule="auto" w:before="13"/>
        <w:ind w:right="1132" w:firstLine="360"/>
        <w:jc w:val="both"/>
      </w:pPr>
      <w:r>
        <w:rPr>
          <w:rFonts w:ascii="Times New Roman" w:hAnsi="Times New Roman" w:cs="Times New Roman" w:eastAsia="Times New Roman" w:hint="default"/>
        </w:rPr>
        <w:t>3</w:t>
      </w:r>
      <w:r>
        <w:rPr/>
        <w:t>、李军女士，</w:t>
      </w:r>
      <w:r>
        <w:rPr>
          <w:rFonts w:ascii="Times New Roman" w:hAnsi="Times New Roman" w:cs="Times New Roman" w:eastAsia="Times New Roman" w:hint="default"/>
        </w:rPr>
        <w:t>1964</w:t>
      </w:r>
      <w:r>
        <w:rPr/>
        <w:t>年出生，中国国籍，本科学历，高级经济师。</w:t>
      </w:r>
      <w:r>
        <w:rPr>
          <w:rFonts w:ascii="Times New Roman" w:hAnsi="Times New Roman" w:cs="Times New Roman" w:eastAsia="Times New Roman" w:hint="default"/>
        </w:rPr>
        <w:t>1999</w:t>
      </w:r>
      <w:r>
        <w:rPr/>
        <w:t>年至今在创业慧康科技股份有限公司工作，历任 财务部副经理、财务部经理等职务，现任创业慧康科技股份有限公司总裁助理、财务副总监、公司监事。</w:t>
      </w:r>
    </w:p>
    <w:p>
      <w:pPr>
        <w:pStyle w:val="BodyText"/>
        <w:spacing w:line="309" w:lineRule="auto" w:before="31"/>
        <w:ind w:left="472" w:right="3824" w:hanging="360"/>
        <w:jc w:val="left"/>
      </w:pPr>
      <w:r>
        <w:rPr/>
        <w:t>（三）高级管理人员 公司高级管理人员共</w:t>
      </w:r>
      <w:r>
        <w:rPr>
          <w:rFonts w:ascii="Times New Roman" w:hAnsi="Times New Roman" w:cs="Times New Roman" w:eastAsia="Times New Roman" w:hint="default"/>
        </w:rPr>
        <w:t>9</w:t>
      </w:r>
      <w:r>
        <w:rPr/>
        <w:t>名，全部专职在公司领取薪水。上述高级管理人员简历如下： </w:t>
      </w:r>
      <w:r>
        <w:rPr>
          <w:rFonts w:ascii="Times New Roman" w:hAnsi="Times New Roman" w:cs="Times New Roman" w:eastAsia="Times New Roman" w:hint="default"/>
          <w:spacing w:val="-8"/>
        </w:rPr>
        <w:t>1</w:t>
      </w:r>
      <w:r>
        <w:rPr>
          <w:spacing w:val="-8"/>
        </w:rPr>
        <w:t>、葛航先生，董事长，简历见“（一）董事会成员”。</w:t>
      </w:r>
    </w:p>
    <w:p>
      <w:pPr>
        <w:pStyle w:val="BodyText"/>
        <w:spacing w:line="240" w:lineRule="auto" w:before="5"/>
        <w:ind w:left="472" w:right="0"/>
        <w:jc w:val="left"/>
      </w:pPr>
      <w:r>
        <w:rPr>
          <w:rFonts w:ascii="Times New Roman" w:hAnsi="Times New Roman" w:cs="Times New Roman" w:eastAsia="Times New Roman" w:hint="default"/>
          <w:spacing w:val="1"/>
        </w:rPr>
        <w:t>2</w:t>
      </w:r>
      <w:r>
        <w:rPr/>
        <w:t>、张吕峥先生，总经理，简历见</w:t>
      </w:r>
      <w:r>
        <w:rPr>
          <w:spacing w:val="-92"/>
        </w:rPr>
        <w:t>“</w:t>
      </w:r>
      <w:r>
        <w:rPr/>
        <w:t>（一）董事会成员</w:t>
      </w:r>
      <w:r>
        <w:rPr>
          <w:spacing w:val="-89"/>
        </w:rPr>
        <w:t>”</w:t>
      </w:r>
      <w:r>
        <w:rPr/>
        <w:t>。</w:t>
      </w:r>
    </w:p>
    <w:p>
      <w:pPr>
        <w:pStyle w:val="BodyText"/>
        <w:spacing w:line="240" w:lineRule="auto" w:before="63"/>
        <w:ind w:left="472" w:right="0"/>
        <w:jc w:val="left"/>
      </w:pPr>
      <w:r>
        <w:rPr>
          <w:rFonts w:ascii="Times New Roman" w:hAnsi="Times New Roman" w:cs="Times New Roman" w:eastAsia="Times New Roman" w:hint="default"/>
          <w:spacing w:val="1"/>
        </w:rPr>
        <w:t>3</w:t>
      </w:r>
      <w:r>
        <w:rPr/>
        <w:t>、胡燕女士，董事会秘书，简历见</w:t>
      </w:r>
      <w:r>
        <w:rPr>
          <w:spacing w:val="-92"/>
        </w:rPr>
        <w:t>“</w:t>
      </w:r>
      <w:r>
        <w:rPr/>
        <w:t>（一）董事会成员</w:t>
      </w:r>
      <w:r>
        <w:rPr>
          <w:spacing w:val="-89"/>
        </w:rPr>
        <w:t>”</w:t>
      </w:r>
      <w:r>
        <w:rPr/>
        <w:t>。</w:t>
      </w:r>
    </w:p>
    <w:p>
      <w:pPr>
        <w:pStyle w:val="BodyText"/>
        <w:spacing w:line="300" w:lineRule="auto" w:before="63"/>
        <w:ind w:right="1051" w:firstLine="360"/>
        <w:jc w:val="both"/>
      </w:pPr>
      <w:r>
        <w:rPr>
          <w:rFonts w:ascii="Times New Roman" w:hAnsi="Times New Roman" w:cs="Times New Roman" w:eastAsia="Times New Roman" w:hint="default"/>
        </w:rPr>
        <w:t>4</w:t>
      </w:r>
      <w:r>
        <w:rPr/>
        <w:t>、高春蓉女士，</w:t>
      </w:r>
      <w:r>
        <w:rPr>
          <w:rFonts w:ascii="Times New Roman" w:hAnsi="Times New Roman" w:cs="Times New Roman" w:eastAsia="Times New Roman" w:hint="default"/>
        </w:rPr>
        <w:t>1971</w:t>
      </w:r>
      <w:r>
        <w:rPr/>
        <w:t>年生，中国国籍，计算机通信工程专业，博士研究生学历。自</w:t>
      </w:r>
      <w:r>
        <w:rPr>
          <w:rFonts w:ascii="Times New Roman" w:hAnsi="Times New Roman" w:cs="Times New Roman" w:eastAsia="Times New Roman" w:hint="default"/>
        </w:rPr>
        <w:t>1992</w:t>
      </w:r>
      <w:r>
        <w:rPr/>
        <w:t>年起在</w:t>
      </w:r>
      <w:r>
        <w:rPr>
          <w:rFonts w:ascii="Times New Roman" w:hAnsi="Times New Roman" w:cs="Times New Roman" w:eastAsia="Times New Roman" w:hint="default"/>
        </w:rPr>
        <w:t>CESEC</w:t>
      </w:r>
      <w:r>
        <w:rPr/>
        <w:t>研究所工作，先 后承担过“七五”以来多项重点项目的体制论证、总体设计以及关键技术的研究工作，历任该研究所助理工程师、工程师、</w:t>
      </w:r>
    </w:p>
    <w:p>
      <w:pPr>
        <w:spacing w:after="0" w:line="300" w:lineRule="auto"/>
        <w:jc w:val="both"/>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07" w:lineRule="auto" w:before="44"/>
        <w:ind w:left="132" w:right="1130"/>
        <w:jc w:val="both"/>
      </w:pPr>
      <w:r>
        <w:rPr/>
        <w:t>高级工程师。曾获得国家科技进步一等奖</w:t>
      </w:r>
      <w:r>
        <w:rPr>
          <w:rFonts w:ascii="Times New Roman" w:hAnsi="Times New Roman" w:cs="Times New Roman" w:eastAsia="Times New Roman" w:hint="default"/>
        </w:rPr>
        <w:t>1</w:t>
      </w:r>
      <w:r>
        <w:rPr/>
        <w:t>次，国家科技进步三等奖</w:t>
      </w:r>
      <w:r>
        <w:rPr>
          <w:rFonts w:ascii="Times New Roman" w:hAnsi="Times New Roman" w:cs="Times New Roman" w:eastAsia="Times New Roman" w:hint="default"/>
        </w:rPr>
        <w:t>1</w:t>
      </w:r>
      <w:r>
        <w:rPr/>
        <w:t>次，军队科技进步一等奖</w:t>
      </w:r>
      <w:r>
        <w:rPr>
          <w:rFonts w:ascii="Times New Roman" w:hAnsi="Times New Roman" w:cs="Times New Roman" w:eastAsia="Times New Roman" w:hint="default"/>
        </w:rPr>
        <w:t>2</w:t>
      </w:r>
      <w:r>
        <w:rPr/>
        <w:t>次，军队科技进步三等奖</w:t>
      </w:r>
      <w:r>
        <w:rPr>
          <w:rFonts w:ascii="Times New Roman" w:hAnsi="Times New Roman" w:cs="Times New Roman" w:eastAsia="Times New Roman" w:hint="default"/>
        </w:rPr>
        <w:t>1</w:t>
      </w:r>
      <w:r>
        <w:rPr>
          <w:rFonts w:ascii="Times New Roman" w:hAnsi="Times New Roman" w:cs="Times New Roman" w:eastAsia="Times New Roman" w:hint="default"/>
          <w:spacing w:val="35"/>
        </w:rPr>
        <w:t> </w:t>
      </w:r>
      <w:r>
        <w:rPr>
          <w:spacing w:val="-2"/>
        </w:rPr>
        <w:t>次。翻译出版了多本专业技术书籍。多次在国际学术会议、全国性学术会议、全军学术会议上发表并宣讲论文。</w:t>
      </w:r>
      <w:r>
        <w:rPr>
          <w:rFonts w:ascii="Times New Roman" w:hAnsi="Times New Roman" w:cs="Times New Roman" w:eastAsia="Times New Roman" w:hint="default"/>
          <w:spacing w:val="-2"/>
        </w:rPr>
        <w:t>2013</w:t>
      </w:r>
      <w:r>
        <w:rPr>
          <w:spacing w:val="-2"/>
        </w:rPr>
        <w:t>年起在</w:t>
      </w:r>
      <w:r>
        <w:rPr>
          <w:spacing w:val="-61"/>
        </w:rPr>
        <w:t> </w:t>
      </w:r>
      <w:r>
        <w:rPr>
          <w:spacing w:val="-2"/>
        </w:rPr>
        <w:t>创业慧康科技股份有限公司工作，现任创业慧康科技股份有限公司副总经理、总工程师，中国卫生信息学会健康医疗大数据</w:t>
      </w:r>
      <w:r>
        <w:rPr>
          <w:spacing w:val="-63"/>
        </w:rPr>
        <w:t> </w:t>
      </w:r>
      <w:r>
        <w:rPr>
          <w:spacing w:val="-63"/>
        </w:rPr>
      </w:r>
      <w:r>
        <w:rPr/>
        <w:t>医疗质量管理与监督专业委员会副秘书长。</w:t>
      </w:r>
    </w:p>
    <w:p>
      <w:pPr>
        <w:pStyle w:val="BodyText"/>
        <w:spacing w:line="300" w:lineRule="auto" w:before="26"/>
        <w:ind w:left="132" w:right="1130" w:firstLine="360"/>
        <w:jc w:val="both"/>
      </w:pPr>
      <w:r>
        <w:rPr>
          <w:rFonts w:ascii="Times New Roman" w:hAnsi="Times New Roman" w:cs="Times New Roman" w:eastAsia="Times New Roman" w:hint="default"/>
        </w:rPr>
        <w:t>5</w:t>
      </w:r>
      <w:r>
        <w:rPr/>
        <w:t>、方宝林先生，</w:t>
      </w:r>
      <w:r>
        <w:rPr>
          <w:rFonts w:ascii="Times New Roman" w:hAnsi="Times New Roman" w:cs="Times New Roman" w:eastAsia="Times New Roman" w:hint="default"/>
        </w:rPr>
        <w:t>1972</w:t>
      </w:r>
      <w:r>
        <w:rPr/>
        <w:t>年出生，中国国籍，本科学历，高级项目管理师。曾主持和参与了多项国家、省、市级重点项目 </w:t>
      </w:r>
      <w:r>
        <w:rPr>
          <w:spacing w:val="-2"/>
        </w:rPr>
        <w:t>的技术开发和工程实施工作，多次荣获省、市科技奖励，</w:t>
      </w:r>
      <w:r>
        <w:rPr>
          <w:rFonts w:ascii="Times New Roman" w:hAnsi="Times New Roman" w:cs="Times New Roman" w:eastAsia="Times New Roman" w:hint="default"/>
          <w:spacing w:val="-2"/>
        </w:rPr>
        <w:t>2010</w:t>
      </w:r>
      <w:r>
        <w:rPr>
          <w:spacing w:val="-2"/>
        </w:rPr>
        <w:t>年被评为杭州高新区优秀科技工作者。历任杭州正恒软件有限</w:t>
      </w:r>
      <w:r>
        <w:rPr>
          <w:spacing w:val="-62"/>
        </w:rPr>
        <w:t> </w:t>
      </w:r>
      <w:r>
        <w:rPr>
          <w:spacing w:val="-62"/>
        </w:rPr>
      </w:r>
      <w:r>
        <w:rPr/>
        <w:t>公司总经理，</w:t>
      </w:r>
      <w:r>
        <w:rPr>
          <w:rFonts w:ascii="Times New Roman" w:hAnsi="Times New Roman" w:cs="Times New Roman" w:eastAsia="Times New Roman" w:hint="default"/>
        </w:rPr>
        <w:t>2004</w:t>
      </w:r>
      <w:r>
        <w:rPr/>
        <w:t>年加入创业慧康科技股份有限公司，历任创业慧康科技股份有限公司</w:t>
      </w:r>
      <w:r>
        <w:rPr>
          <w:rFonts w:ascii="Times New Roman" w:hAnsi="Times New Roman" w:cs="Times New Roman" w:eastAsia="Times New Roman" w:hint="default"/>
        </w:rPr>
        <w:t>LIS</w:t>
      </w:r>
      <w:r>
        <w:rPr/>
        <w:t>事业部总经理、研发中心主任，</w:t>
      </w:r>
      <w:r>
        <w:rPr>
          <w:spacing w:val="-84"/>
        </w:rPr>
        <w:t> </w:t>
      </w:r>
      <w:r>
        <w:rPr>
          <w:spacing w:val="-84"/>
        </w:rPr>
      </w:r>
      <w:r>
        <w:rPr/>
        <w:t>现任创业慧康科技股份有限公司副总经理。</w:t>
      </w:r>
    </w:p>
    <w:p>
      <w:pPr>
        <w:pStyle w:val="BodyText"/>
        <w:spacing w:line="307" w:lineRule="auto" w:before="31"/>
        <w:ind w:left="132" w:right="1125" w:firstLine="360"/>
        <w:jc w:val="both"/>
      </w:pPr>
      <w:r>
        <w:rPr>
          <w:rFonts w:ascii="Times New Roman" w:hAnsi="Times New Roman" w:cs="Times New Roman" w:eastAsia="Times New Roman" w:hint="default"/>
          <w:spacing w:val="-2"/>
        </w:rPr>
        <w:t>6</w:t>
      </w:r>
      <w:r>
        <w:rPr>
          <w:spacing w:val="-2"/>
        </w:rPr>
        <w:t>、张崧先生，</w:t>
      </w:r>
      <w:r>
        <w:rPr>
          <w:rFonts w:ascii="Times New Roman" w:hAnsi="Times New Roman" w:cs="Times New Roman" w:eastAsia="Times New Roman" w:hint="default"/>
          <w:spacing w:val="-2"/>
        </w:rPr>
        <w:t>1982</w:t>
      </w:r>
      <w:r>
        <w:rPr>
          <w:spacing w:val="-2"/>
        </w:rPr>
        <w:t>年出生，中国国籍，中共党员，本科学历。</w:t>
      </w:r>
      <w:r>
        <w:rPr>
          <w:rFonts w:ascii="Times New Roman" w:hAnsi="Times New Roman" w:cs="Times New Roman" w:eastAsia="Times New Roman" w:hint="default"/>
          <w:spacing w:val="-2"/>
        </w:rPr>
        <w:t>2001</w:t>
      </w:r>
      <w:r>
        <w:rPr>
          <w:spacing w:val="-2"/>
        </w:rPr>
        <w:t>年</w:t>
      </w:r>
      <w:r>
        <w:rPr>
          <w:rFonts w:ascii="Times New Roman" w:hAnsi="Times New Roman" w:cs="Times New Roman" w:eastAsia="Times New Roman" w:hint="default"/>
          <w:spacing w:val="-2"/>
        </w:rPr>
        <w:t>5</w:t>
      </w:r>
      <w:r>
        <w:rPr>
          <w:spacing w:val="-2"/>
        </w:rPr>
        <w:t>月入职创业慧康，现担任创业慧康副总经理，新</w:t>
      </w:r>
      <w:r>
        <w:rPr/>
        <w:t> </w:t>
      </w:r>
      <w:r>
        <w:rPr>
          <w:spacing w:val="-2"/>
        </w:rPr>
        <w:t>疆创什信息科技有限公司法定代表人。从事医疗信息化行业十多年，行业经验丰富，专业能力强，曾分管创业慧康全国销售</w:t>
      </w:r>
      <w:r>
        <w:rPr>
          <w:spacing w:val="-64"/>
        </w:rPr>
        <w:t> </w:t>
      </w:r>
      <w:r>
        <w:rPr>
          <w:spacing w:val="-64"/>
        </w:rPr>
      </w:r>
      <w:r>
        <w:rPr>
          <w:spacing w:val="-2"/>
        </w:rPr>
        <w:t>管理工作。</w:t>
      </w:r>
      <w:r>
        <w:rPr>
          <w:rFonts w:ascii="Times New Roman" w:hAnsi="Times New Roman" w:cs="Times New Roman" w:eastAsia="Times New Roman" w:hint="default"/>
          <w:spacing w:val="-2"/>
        </w:rPr>
        <w:t>2019</w:t>
      </w:r>
      <w:r>
        <w:rPr>
          <w:spacing w:val="-2"/>
        </w:rPr>
        <w:t>年开始为积极推动公司战略转型，分管互联网事业群和上海创航软件有限公司，开拓公司互联网业务和</w:t>
      </w:r>
      <w:r>
        <w:rPr>
          <w:rFonts w:ascii="Times New Roman" w:hAnsi="Times New Roman" w:cs="Times New Roman" w:eastAsia="Times New Roman" w:hint="default"/>
          <w:spacing w:val="-2"/>
        </w:rPr>
        <w:t>Drgs</w:t>
      </w:r>
      <w:r>
        <w:rPr>
          <w:rFonts w:ascii="Times New Roman" w:hAnsi="Times New Roman" w:cs="Times New Roman" w:eastAsia="Times New Roman" w:hint="default"/>
          <w:spacing w:val="-3"/>
        </w:rPr>
        <w:t> </w:t>
      </w:r>
      <w:r>
        <w:rPr>
          <w:rFonts w:ascii="Times New Roman" w:hAnsi="Times New Roman" w:cs="Times New Roman" w:eastAsia="Times New Roman" w:hint="default"/>
          <w:spacing w:val="-3"/>
        </w:rPr>
      </w:r>
      <w:r>
        <w:rPr/>
        <w:t>业务两条新业务线，并兼管创业慧康闵行区联合运营中心事务。</w:t>
      </w:r>
    </w:p>
    <w:p>
      <w:pPr>
        <w:pStyle w:val="BodyText"/>
        <w:spacing w:line="307" w:lineRule="auto" w:before="26"/>
        <w:ind w:left="132" w:right="1130" w:firstLine="360"/>
        <w:jc w:val="both"/>
      </w:pPr>
      <w:r>
        <w:rPr>
          <w:rFonts w:ascii="Times New Roman" w:hAnsi="Times New Roman" w:cs="Times New Roman" w:eastAsia="Times New Roman" w:hint="default"/>
        </w:rPr>
        <w:t>7</w:t>
      </w:r>
      <w:r>
        <w:rPr/>
        <w:t>、孙烈峰先生，</w:t>
      </w:r>
      <w:r>
        <w:rPr>
          <w:rFonts w:ascii="Times New Roman" w:hAnsi="Times New Roman" w:cs="Times New Roman" w:eastAsia="Times New Roman" w:hint="default"/>
        </w:rPr>
        <w:t>1970</w:t>
      </w:r>
      <w:r>
        <w:rPr/>
        <w:t>年出生，中国国籍，本科学历，工程师。</w:t>
      </w:r>
      <w:r>
        <w:rPr>
          <w:rFonts w:ascii="Times New Roman" w:hAnsi="Times New Roman" w:cs="Times New Roman" w:eastAsia="Times New Roman" w:hint="default"/>
        </w:rPr>
        <w:t>1993</w:t>
      </w:r>
      <w:r>
        <w:rPr/>
        <w:t>年</w:t>
      </w:r>
      <w:r>
        <w:rPr>
          <w:rFonts w:ascii="Times New Roman" w:hAnsi="Times New Roman" w:cs="Times New Roman" w:eastAsia="Times New Roman" w:hint="default"/>
        </w:rPr>
        <w:t>7</w:t>
      </w:r>
      <w:r>
        <w:rPr/>
        <w:t>月至</w:t>
      </w:r>
      <w:r>
        <w:rPr>
          <w:rFonts w:ascii="Times New Roman" w:hAnsi="Times New Roman" w:cs="Times New Roman" w:eastAsia="Times New Roman" w:hint="default"/>
        </w:rPr>
        <w:t>1999</w:t>
      </w:r>
      <w:r>
        <w:rPr/>
        <w:t>年</w:t>
      </w:r>
      <w:r>
        <w:rPr>
          <w:rFonts w:ascii="Times New Roman" w:hAnsi="Times New Roman" w:cs="Times New Roman" w:eastAsia="Times New Roman" w:hint="default"/>
        </w:rPr>
        <w:t>4</w:t>
      </w:r>
      <w:r>
        <w:rPr/>
        <w:t>月在杭州汽车发动机厂工作。</w:t>
      </w:r>
      <w:r>
        <w:rPr>
          <w:rFonts w:ascii="Times New Roman" w:hAnsi="Times New Roman" w:cs="Times New Roman" w:eastAsia="Times New Roman" w:hint="default"/>
        </w:rPr>
        <w:t>1999 </w:t>
      </w:r>
      <w:r>
        <w:rPr/>
        <w:t>年</w:t>
      </w:r>
      <w:r>
        <w:rPr>
          <w:rFonts w:ascii="Times New Roman" w:hAnsi="Times New Roman" w:cs="Times New Roman" w:eastAsia="Times New Roman" w:hint="default"/>
        </w:rPr>
        <w:t>5</w:t>
      </w:r>
      <w:r>
        <w:rPr/>
        <w:t>月起在创业慧康科技股份有限公司工作，长期从事创业慧康科技股份有限公司产品研发及管理工作，历任创业慧康科技</w:t>
      </w:r>
      <w:r>
        <w:rPr>
          <w:spacing w:val="-84"/>
        </w:rPr>
        <w:t> </w:t>
      </w:r>
      <w:r>
        <w:rPr>
          <w:spacing w:val="-84"/>
        </w:rPr>
      </w:r>
      <w:r>
        <w:rPr>
          <w:spacing w:val="-2"/>
        </w:rPr>
        <w:t>股份有限公司产品中心总经理、上海研究院院长、华南研究院院长、华南大区总经理。现任创业慧康科技股份有限公司副总</w:t>
      </w:r>
      <w:r>
        <w:rPr>
          <w:spacing w:val="-64"/>
        </w:rPr>
        <w:t> </w:t>
      </w:r>
      <w:r>
        <w:rPr>
          <w:spacing w:val="-64"/>
        </w:rPr>
      </w:r>
      <w:r>
        <w:rPr/>
        <w:t>经理。</w:t>
      </w:r>
    </w:p>
    <w:p>
      <w:pPr>
        <w:pStyle w:val="BodyText"/>
        <w:spacing w:line="300" w:lineRule="auto" w:before="26"/>
        <w:ind w:left="132" w:right="1132" w:firstLine="360"/>
        <w:jc w:val="both"/>
      </w:pPr>
      <w:r>
        <w:rPr>
          <w:rFonts w:ascii="Times New Roman" w:hAnsi="Times New Roman" w:cs="Times New Roman" w:eastAsia="Times New Roman" w:hint="default"/>
        </w:rPr>
        <w:t>8</w:t>
      </w:r>
      <w:r>
        <w:rPr/>
        <w:t>、陈东先生，</w:t>
      </w:r>
      <w:r>
        <w:rPr>
          <w:rFonts w:ascii="Times New Roman" w:hAnsi="Times New Roman" w:cs="Times New Roman" w:eastAsia="Times New Roman" w:hint="default"/>
        </w:rPr>
        <w:t>1970</w:t>
      </w:r>
      <w:r>
        <w:rPr/>
        <w:t>年出生，中国国籍，本科学历，工程师。</w:t>
      </w:r>
      <w:r>
        <w:rPr>
          <w:rFonts w:ascii="Times New Roman" w:hAnsi="Times New Roman" w:cs="Times New Roman" w:eastAsia="Times New Roman" w:hint="default"/>
        </w:rPr>
        <w:t>2000</w:t>
      </w:r>
      <w:r>
        <w:rPr/>
        <w:t>年至今任职于创业慧康科技股份有限公司，曾任杭州 创业计算机公司副总经理，现任创业慧康科技股份有限公司副总经理。</w:t>
      </w:r>
    </w:p>
    <w:p>
      <w:pPr>
        <w:pStyle w:val="BodyText"/>
        <w:spacing w:line="300" w:lineRule="auto" w:before="31"/>
        <w:ind w:left="132" w:right="1130" w:firstLine="360"/>
        <w:jc w:val="both"/>
      </w:pPr>
      <w:r>
        <w:rPr>
          <w:rFonts w:ascii="Times New Roman" w:hAnsi="Times New Roman" w:cs="Times New Roman" w:eastAsia="Times New Roman" w:hint="default"/>
        </w:rPr>
        <w:t>9</w:t>
      </w:r>
      <w:r>
        <w:rPr/>
        <w:t>、郁燕萍女士，</w:t>
      </w:r>
      <w:r>
        <w:rPr>
          <w:rFonts w:ascii="Times New Roman" w:hAnsi="Times New Roman" w:cs="Times New Roman" w:eastAsia="Times New Roman" w:hint="default"/>
        </w:rPr>
        <w:t>1966</w:t>
      </w:r>
      <w:r>
        <w:rPr/>
        <w:t>年出生，中国国籍，经济管理专业，本科学历，高级经济师、注册会计师。</w:t>
      </w:r>
      <w:r>
        <w:rPr>
          <w:rFonts w:ascii="Times New Roman" w:hAnsi="Times New Roman" w:cs="Times New Roman" w:eastAsia="Times New Roman" w:hint="default"/>
        </w:rPr>
        <w:t>1988</w:t>
      </w:r>
      <w:r>
        <w:rPr/>
        <w:t>年至</w:t>
      </w:r>
      <w:r>
        <w:rPr>
          <w:rFonts w:ascii="Times New Roman" w:hAnsi="Times New Roman" w:cs="Times New Roman" w:eastAsia="Times New Roman" w:hint="default"/>
        </w:rPr>
        <w:t>1995</w:t>
      </w:r>
      <w:r>
        <w:rPr/>
        <w:t>年任浙 江省饲料公司会计，</w:t>
      </w:r>
      <w:r>
        <w:rPr>
          <w:rFonts w:ascii="Times New Roman" w:hAnsi="Times New Roman" w:cs="Times New Roman" w:eastAsia="Times New Roman" w:hint="default"/>
        </w:rPr>
        <w:t>1995</w:t>
      </w:r>
      <w:r>
        <w:rPr/>
        <w:t>年至</w:t>
      </w:r>
      <w:r>
        <w:rPr>
          <w:rFonts w:ascii="Times New Roman" w:hAnsi="Times New Roman" w:cs="Times New Roman" w:eastAsia="Times New Roman" w:hint="default"/>
        </w:rPr>
        <w:t>2005</w:t>
      </w:r>
      <w:r>
        <w:rPr/>
        <w:t>年任浙江中饲粮油饲料有限公司主办会计</w:t>
      </w:r>
      <w:r>
        <w:rPr>
          <w:rFonts w:ascii="Times New Roman" w:hAnsi="Times New Roman" w:cs="Times New Roman" w:eastAsia="Times New Roman" w:hint="default"/>
        </w:rPr>
        <w:t>,</w:t>
      </w:r>
      <w:r>
        <w:rPr/>
        <w:t>浙江兴威工程技术有限公司财务经理。</w:t>
      </w:r>
      <w:r>
        <w:rPr>
          <w:rFonts w:ascii="Times New Roman" w:hAnsi="Times New Roman" w:cs="Times New Roman" w:eastAsia="Times New Roman" w:hint="default"/>
        </w:rPr>
        <w:t>2005</w:t>
      </w:r>
      <w:r>
        <w:rPr/>
        <w:t>年</w:t>
      </w:r>
      <w:r>
        <w:rPr>
          <w:spacing w:val="-50"/>
        </w:rPr>
        <w:t> </w:t>
      </w:r>
      <w:r>
        <w:rPr>
          <w:spacing w:val="-2"/>
        </w:rPr>
        <w:t>起在创业慧康科技股份有限公司工作，曾任公司审计部经理，</w:t>
      </w:r>
      <w:r>
        <w:rPr>
          <w:rFonts w:ascii="Times New Roman" w:hAnsi="Times New Roman" w:cs="Times New Roman" w:eastAsia="Times New Roman" w:hint="default"/>
          <w:spacing w:val="-2"/>
        </w:rPr>
        <w:t>2006</w:t>
      </w:r>
      <w:r>
        <w:rPr>
          <w:spacing w:val="-2"/>
        </w:rPr>
        <w:t>年起任公司财务负责人。现任创业慧康科技股份有限公司</w:t>
      </w:r>
      <w:r>
        <w:rPr>
          <w:spacing w:val="-61"/>
        </w:rPr>
        <w:t> </w:t>
      </w:r>
      <w:r>
        <w:rPr>
          <w:spacing w:val="-61"/>
        </w:rPr>
      </w:r>
      <w:r>
        <w:rPr/>
        <w:t>财务负责人，杭州梅清数码科技有限公司董事。</w:t>
      </w:r>
    </w:p>
    <w:p>
      <w:pPr>
        <w:pStyle w:val="BodyText"/>
        <w:spacing w:line="240" w:lineRule="auto" w:before="70"/>
        <w:ind w:left="132" w:right="0"/>
        <w:jc w:val="both"/>
      </w:pPr>
      <w:r>
        <w:rPr/>
        <w:t>在股东单位任职情况</w:t>
      </w:r>
    </w:p>
    <w:p>
      <w:pPr>
        <w:pStyle w:val="BodyText"/>
        <w:spacing w:line="240" w:lineRule="auto" w:before="117"/>
        <w:ind w:left="132" w:right="0"/>
        <w:jc w:val="both"/>
      </w:pPr>
      <w:r>
        <w:rPr/>
        <w:t>√ 适用</w:t>
      </w:r>
      <w:r>
        <w:rPr>
          <w:spacing w:val="-1"/>
        </w:rPr>
        <w:t> </w:t>
      </w:r>
      <w:r>
        <w:rPr/>
        <w:t>□不适用</w:t>
      </w:r>
    </w:p>
    <w:p>
      <w:pPr>
        <w:spacing w:line="240" w:lineRule="auto" w:before="1"/>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1395"/>
        <w:gridCol w:w="2995"/>
        <w:gridCol w:w="2042"/>
        <w:gridCol w:w="3225"/>
      </w:tblGrid>
      <w:tr>
        <w:trPr>
          <w:trHeight w:val="402" w:hRule="exact"/>
        </w:trPr>
        <w:tc>
          <w:tcPr>
            <w:tcW w:w="1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任职人员姓名</w:t>
            </w:r>
          </w:p>
        </w:tc>
        <w:tc>
          <w:tcPr>
            <w:tcW w:w="2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股东单位名称</w:t>
            </w:r>
          </w:p>
        </w:tc>
        <w:tc>
          <w:tcPr>
            <w:tcW w:w="20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在股东单位担任的职务</w:t>
            </w:r>
          </w:p>
        </w:tc>
        <w:tc>
          <w:tcPr>
            <w:tcW w:w="32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在股东单位是否领取报酬津贴</w:t>
            </w:r>
          </w:p>
        </w:tc>
      </w:tr>
      <w:tr>
        <w:trPr>
          <w:trHeight w:val="402" w:hRule="exact"/>
        </w:trPr>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李寒穷</w:t>
            </w:r>
          </w:p>
        </w:tc>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雅戈尔集团股份有限公司</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3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胡燕</w:t>
            </w:r>
          </w:p>
        </w:tc>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阜康投资</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3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张吕峥</w:t>
            </w:r>
          </w:p>
        </w:tc>
        <w:tc>
          <w:tcPr>
            <w:tcW w:w="2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阜康投资</w:t>
            </w:r>
          </w:p>
        </w:tc>
        <w:tc>
          <w:tcPr>
            <w:tcW w:w="20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3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否</w:t>
            </w:r>
          </w:p>
        </w:tc>
      </w:tr>
    </w:tbl>
    <w:p>
      <w:pPr>
        <w:pStyle w:val="BodyText"/>
        <w:spacing w:line="240" w:lineRule="auto" w:before="50"/>
        <w:ind w:left="132" w:right="0"/>
        <w:jc w:val="left"/>
      </w:pPr>
      <w:r>
        <w:rPr/>
        <w:t>在其他单位任职情况</w:t>
      </w:r>
    </w:p>
    <w:p>
      <w:pPr>
        <w:pStyle w:val="BodyText"/>
        <w:spacing w:line="240" w:lineRule="auto" w:before="117"/>
        <w:ind w:left="132" w:right="0"/>
        <w:jc w:val="left"/>
      </w:pPr>
      <w:r>
        <w:rPr/>
        <w:t>√ 适用</w:t>
      </w:r>
      <w:r>
        <w:rPr>
          <w:spacing w:val="-1"/>
        </w:rPr>
        <w:t> </w:t>
      </w:r>
      <w:r>
        <w:rPr/>
        <w:t>□不适用</w:t>
      </w:r>
    </w:p>
    <w:p>
      <w:pPr>
        <w:spacing w:line="240" w:lineRule="auto" w:before="1"/>
        <w:rPr>
          <w:rFonts w:ascii="宋体" w:hAnsi="宋体" w:cs="宋体" w:eastAsia="宋体" w:hint="default"/>
          <w:sz w:val="8"/>
          <w:szCs w:val="8"/>
        </w:rPr>
      </w:pPr>
    </w:p>
    <w:tbl>
      <w:tblPr>
        <w:tblW w:w="0" w:type="auto"/>
        <w:jc w:val="left"/>
        <w:tblInd w:w="129" w:type="dxa"/>
        <w:tblLayout w:type="fixed"/>
        <w:tblCellMar>
          <w:top w:w="0" w:type="dxa"/>
          <w:left w:w="0" w:type="dxa"/>
          <w:bottom w:w="0" w:type="dxa"/>
          <w:right w:w="0" w:type="dxa"/>
        </w:tblCellMar>
        <w:tblLook w:val="01E0"/>
      </w:tblPr>
      <w:tblGrid>
        <w:gridCol w:w="1317"/>
        <w:gridCol w:w="3074"/>
        <w:gridCol w:w="2041"/>
        <w:gridCol w:w="3240"/>
      </w:tblGrid>
      <w:tr>
        <w:trPr>
          <w:trHeight w:val="402" w:hRule="exact"/>
        </w:trPr>
        <w:tc>
          <w:tcPr>
            <w:tcW w:w="13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任职人员姓名</w:t>
            </w:r>
          </w:p>
        </w:tc>
        <w:tc>
          <w:tcPr>
            <w:tcW w:w="30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其他单位名称</w:t>
            </w:r>
          </w:p>
        </w:tc>
        <w:tc>
          <w:tcPr>
            <w:tcW w:w="20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在其他单位担任的职务</w:t>
            </w:r>
          </w:p>
        </w:tc>
        <w:tc>
          <w:tcPr>
            <w:tcW w:w="32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在其他单位是否领取报酬津贴</w:t>
            </w:r>
          </w:p>
        </w:tc>
      </w:tr>
      <w:tr>
        <w:trPr>
          <w:trHeight w:val="402" w:hRule="exact"/>
        </w:trPr>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葛航</w:t>
            </w:r>
          </w:p>
        </w:tc>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北京甲和灯科技股份有限公司</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3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葛航</w:t>
            </w:r>
          </w:p>
        </w:tc>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中宇信息、苏州网新</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3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张吕峥</w:t>
            </w:r>
          </w:p>
        </w:tc>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中拓信息、蓝天电脑</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3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张吕峥</w:t>
            </w:r>
          </w:p>
        </w:tc>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中宇信息</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3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张吕峥</w:t>
            </w:r>
          </w:p>
        </w:tc>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阜康投资、创业亿康</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3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张吕峥</w:t>
            </w:r>
          </w:p>
        </w:tc>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创业南京</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总经理</w:t>
            </w:r>
          </w:p>
        </w:tc>
        <w:tc>
          <w:tcPr>
            <w:tcW w:w="3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48" w:hRule="exact"/>
        </w:trPr>
        <w:tc>
          <w:tcPr>
            <w:tcW w:w="1317" w:type="dxa"/>
            <w:tcBorders>
              <w:top w:val="single" w:sz="4" w:space="0" w:color="000000"/>
              <w:left w:val="single" w:sz="4" w:space="0" w:color="000000"/>
              <w:bottom w:val="nil" w:sz="6" w:space="0" w:color="auto"/>
              <w:right w:val="single" w:sz="4" w:space="0" w:color="000000"/>
            </w:tcBorders>
          </w:tcPr>
          <w:p>
            <w:pPr/>
          </w:p>
        </w:tc>
        <w:tc>
          <w:tcPr>
            <w:tcW w:w="30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雅戈尔集团股份有限公司、上海墙特</w:t>
            </w:r>
          </w:p>
        </w:tc>
        <w:tc>
          <w:tcPr>
            <w:tcW w:w="2041" w:type="dxa"/>
            <w:tcBorders>
              <w:top w:val="single" w:sz="4" w:space="0" w:color="000000"/>
              <w:left w:val="single" w:sz="4" w:space="0" w:color="000000"/>
              <w:bottom w:val="nil" w:sz="6" w:space="0" w:color="auto"/>
              <w:right w:val="single" w:sz="4" w:space="0" w:color="000000"/>
            </w:tcBorders>
          </w:tcPr>
          <w:p>
            <w:pPr/>
          </w:p>
        </w:tc>
        <w:tc>
          <w:tcPr>
            <w:tcW w:w="3240" w:type="dxa"/>
            <w:tcBorders>
              <w:top w:val="single" w:sz="4" w:space="0" w:color="000000"/>
              <w:left w:val="single" w:sz="4" w:space="0" w:color="000000"/>
              <w:bottom w:val="nil" w:sz="6" w:space="0" w:color="auto"/>
              <w:right w:val="single" w:sz="4" w:space="0" w:color="000000"/>
            </w:tcBorders>
          </w:tcPr>
          <w:p>
            <w:pPr/>
          </w:p>
        </w:tc>
      </w:tr>
      <w:tr>
        <w:trPr>
          <w:trHeight w:val="322" w:hRule="exact"/>
        </w:trPr>
        <w:tc>
          <w:tcPr>
            <w:tcW w:w="131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1"/>
              <w:jc w:val="center"/>
              <w:rPr>
                <w:rFonts w:ascii="宋体" w:hAnsi="宋体" w:cs="宋体" w:eastAsia="宋体" w:hint="default"/>
                <w:sz w:val="18"/>
                <w:szCs w:val="18"/>
              </w:rPr>
            </w:pPr>
            <w:r>
              <w:rPr>
                <w:rFonts w:ascii="宋体" w:hAnsi="宋体" w:cs="宋体" w:eastAsia="宋体" w:hint="default"/>
                <w:sz w:val="18"/>
                <w:szCs w:val="18"/>
              </w:rPr>
              <w:t>李寒穷</w:t>
            </w:r>
          </w:p>
        </w:tc>
        <w:tc>
          <w:tcPr>
            <w:tcW w:w="3074"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节能材料有限公司、宁波雅戈尔衬衫</w:t>
            </w:r>
          </w:p>
        </w:tc>
        <w:tc>
          <w:tcPr>
            <w:tcW w:w="2041"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324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15" w:hRule="exact"/>
        </w:trPr>
        <w:tc>
          <w:tcPr>
            <w:tcW w:w="1317" w:type="dxa"/>
            <w:tcBorders>
              <w:top w:val="nil" w:sz="6" w:space="0" w:color="auto"/>
              <w:left w:val="single" w:sz="4" w:space="0" w:color="000000"/>
              <w:bottom w:val="single" w:sz="4" w:space="0" w:color="000000"/>
              <w:right w:val="single" w:sz="4" w:space="0" w:color="000000"/>
            </w:tcBorders>
          </w:tcPr>
          <w:p>
            <w:pPr/>
          </w:p>
        </w:tc>
        <w:tc>
          <w:tcPr>
            <w:tcW w:w="30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有限公司、宁波雅戈尔时装有限公</w:t>
            </w:r>
          </w:p>
        </w:tc>
        <w:tc>
          <w:tcPr>
            <w:tcW w:w="2041" w:type="dxa"/>
            <w:tcBorders>
              <w:top w:val="nil" w:sz="6" w:space="0" w:color="auto"/>
              <w:left w:val="single" w:sz="4" w:space="0" w:color="000000"/>
              <w:bottom w:val="single" w:sz="4" w:space="0" w:color="000000"/>
              <w:right w:val="single" w:sz="4" w:space="0" w:color="000000"/>
            </w:tcBorders>
          </w:tcPr>
          <w:p>
            <w:pPr/>
          </w:p>
        </w:tc>
        <w:tc>
          <w:tcPr>
            <w:tcW w:w="3240" w:type="dxa"/>
            <w:tcBorders>
              <w:top w:val="nil" w:sz="6" w:space="0" w:color="auto"/>
              <w:left w:val="single" w:sz="4" w:space="0" w:color="000000"/>
              <w:bottom w:val="single" w:sz="4" w:space="0" w:color="000000"/>
              <w:right w:val="single" w:sz="4" w:space="0" w:color="000000"/>
            </w:tcBorders>
          </w:tcPr>
          <w:p>
            <w:pPr/>
          </w:p>
        </w:tc>
      </w:tr>
    </w:tbl>
    <w:p>
      <w:pPr>
        <w:spacing w:after="0"/>
        <w:sectPr>
          <w:footerReference w:type="default" r:id="rId37"/>
          <w:pgSz w:w="11910" w:h="16840"/>
          <w:pgMar w:footer="1016" w:header="907" w:top="1100" w:bottom="1200" w:left="1000" w:right="0"/>
          <w:pgNumType w:start="8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317"/>
        <w:gridCol w:w="3074"/>
        <w:gridCol w:w="2041"/>
        <w:gridCol w:w="3240"/>
      </w:tblGrid>
      <w:tr>
        <w:trPr>
          <w:trHeight w:val="318" w:hRule="exact"/>
        </w:trPr>
        <w:tc>
          <w:tcPr>
            <w:tcW w:w="1317" w:type="dxa"/>
            <w:vMerge w:val="restart"/>
            <w:tcBorders>
              <w:top w:val="single" w:sz="4" w:space="0" w:color="000000"/>
              <w:left w:val="single" w:sz="4" w:space="0" w:color="000000"/>
              <w:right w:val="single" w:sz="4" w:space="0" w:color="000000"/>
            </w:tcBorders>
          </w:tcPr>
          <w:p>
            <w:pPr/>
          </w:p>
        </w:tc>
        <w:tc>
          <w:tcPr>
            <w:tcW w:w="30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20" w:right="0"/>
              <w:jc w:val="center"/>
              <w:rPr>
                <w:rFonts w:ascii="宋体" w:hAnsi="宋体" w:cs="宋体" w:eastAsia="宋体" w:hint="default"/>
                <w:sz w:val="18"/>
                <w:szCs w:val="18"/>
              </w:rPr>
            </w:pPr>
            <w:r>
              <w:rPr>
                <w:rFonts w:ascii="宋体" w:hAnsi="宋体" w:cs="宋体" w:eastAsia="宋体" w:hint="default"/>
                <w:sz w:val="18"/>
                <w:szCs w:val="18"/>
              </w:rPr>
              <w:t>司、宁波雅戈尔英成制服有限公司、</w:t>
            </w:r>
          </w:p>
        </w:tc>
        <w:tc>
          <w:tcPr>
            <w:tcW w:w="2041" w:type="dxa"/>
            <w:vMerge w:val="restart"/>
            <w:tcBorders>
              <w:top w:val="single" w:sz="4" w:space="0" w:color="000000"/>
              <w:left w:val="single" w:sz="4" w:space="0" w:color="000000"/>
              <w:right w:val="single" w:sz="4" w:space="0" w:color="000000"/>
            </w:tcBorders>
          </w:tcPr>
          <w:p>
            <w:pPr/>
          </w:p>
        </w:tc>
        <w:tc>
          <w:tcPr>
            <w:tcW w:w="3240" w:type="dxa"/>
            <w:vMerge w:val="restart"/>
            <w:tcBorders>
              <w:top w:val="single" w:sz="4" w:space="0" w:color="000000"/>
              <w:left w:val="single" w:sz="4" w:space="0" w:color="000000"/>
              <w:right w:val="single" w:sz="4" w:space="0" w:color="000000"/>
            </w:tcBorders>
          </w:tcPr>
          <w:p>
            <w:pPr/>
          </w:p>
        </w:tc>
      </w:tr>
      <w:tr>
        <w:trPr>
          <w:trHeight w:val="312" w:hRule="exact"/>
        </w:trPr>
        <w:tc>
          <w:tcPr>
            <w:tcW w:w="1317" w:type="dxa"/>
            <w:vMerge/>
            <w:tcBorders>
              <w:left w:val="single" w:sz="4" w:space="0" w:color="000000"/>
              <w:right w:val="single" w:sz="4" w:space="0" w:color="000000"/>
            </w:tcBorders>
          </w:tcPr>
          <w:p>
            <w:pPr/>
          </w:p>
        </w:tc>
        <w:tc>
          <w:tcPr>
            <w:tcW w:w="30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雅弘投资有限公司、上海雅戈尔商业</w:t>
            </w:r>
          </w:p>
        </w:tc>
        <w:tc>
          <w:tcPr>
            <w:tcW w:w="2041" w:type="dxa"/>
            <w:vMerge/>
            <w:tcBorders>
              <w:left w:val="single" w:sz="4" w:space="0" w:color="000000"/>
              <w:right w:val="single" w:sz="4" w:space="0" w:color="000000"/>
            </w:tcBorders>
          </w:tcPr>
          <w:p>
            <w:pPr/>
          </w:p>
        </w:tc>
        <w:tc>
          <w:tcPr>
            <w:tcW w:w="3240" w:type="dxa"/>
            <w:vMerge/>
            <w:tcBorders>
              <w:left w:val="single" w:sz="4" w:space="0" w:color="000000"/>
              <w:right w:val="single" w:sz="4" w:space="0" w:color="000000"/>
            </w:tcBorders>
          </w:tcPr>
          <w:p>
            <w:pPr/>
          </w:p>
        </w:tc>
      </w:tr>
      <w:tr>
        <w:trPr>
          <w:trHeight w:val="312" w:hRule="exact"/>
        </w:trPr>
        <w:tc>
          <w:tcPr>
            <w:tcW w:w="1317" w:type="dxa"/>
            <w:vMerge/>
            <w:tcBorders>
              <w:left w:val="single" w:sz="4" w:space="0" w:color="000000"/>
              <w:right w:val="single" w:sz="4" w:space="0" w:color="000000"/>
            </w:tcBorders>
          </w:tcPr>
          <w:p>
            <w:pPr/>
          </w:p>
        </w:tc>
        <w:tc>
          <w:tcPr>
            <w:tcW w:w="30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广场有限公司、上海雅戈尔置业开发</w:t>
            </w:r>
          </w:p>
        </w:tc>
        <w:tc>
          <w:tcPr>
            <w:tcW w:w="2041" w:type="dxa"/>
            <w:vMerge/>
            <w:tcBorders>
              <w:left w:val="single" w:sz="4" w:space="0" w:color="000000"/>
              <w:right w:val="single" w:sz="4" w:space="0" w:color="000000"/>
            </w:tcBorders>
          </w:tcPr>
          <w:p>
            <w:pPr/>
          </w:p>
        </w:tc>
        <w:tc>
          <w:tcPr>
            <w:tcW w:w="3240" w:type="dxa"/>
            <w:vMerge/>
            <w:tcBorders>
              <w:left w:val="single" w:sz="4" w:space="0" w:color="000000"/>
              <w:right w:val="single" w:sz="4" w:space="0" w:color="000000"/>
            </w:tcBorders>
          </w:tcPr>
          <w:p>
            <w:pPr/>
          </w:p>
        </w:tc>
      </w:tr>
      <w:tr>
        <w:trPr>
          <w:trHeight w:val="312" w:hRule="exact"/>
        </w:trPr>
        <w:tc>
          <w:tcPr>
            <w:tcW w:w="1317" w:type="dxa"/>
            <w:vMerge/>
            <w:tcBorders>
              <w:left w:val="single" w:sz="4" w:space="0" w:color="000000"/>
              <w:right w:val="single" w:sz="4" w:space="0" w:color="000000"/>
            </w:tcBorders>
          </w:tcPr>
          <w:p>
            <w:pPr/>
          </w:p>
        </w:tc>
        <w:tc>
          <w:tcPr>
            <w:tcW w:w="30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有限公司、雅戈尔服装控股有限公</w:t>
            </w:r>
          </w:p>
        </w:tc>
        <w:tc>
          <w:tcPr>
            <w:tcW w:w="2041" w:type="dxa"/>
            <w:vMerge/>
            <w:tcBorders>
              <w:left w:val="single" w:sz="4" w:space="0" w:color="000000"/>
              <w:right w:val="single" w:sz="4" w:space="0" w:color="000000"/>
            </w:tcBorders>
          </w:tcPr>
          <w:p>
            <w:pPr/>
          </w:p>
        </w:tc>
        <w:tc>
          <w:tcPr>
            <w:tcW w:w="3240" w:type="dxa"/>
            <w:vMerge/>
            <w:tcBorders>
              <w:left w:val="single" w:sz="4" w:space="0" w:color="000000"/>
              <w:right w:val="single" w:sz="4" w:space="0" w:color="000000"/>
            </w:tcBorders>
          </w:tcPr>
          <w:p>
            <w:pPr/>
          </w:p>
        </w:tc>
      </w:tr>
      <w:tr>
        <w:trPr>
          <w:trHeight w:val="312" w:hRule="exact"/>
        </w:trPr>
        <w:tc>
          <w:tcPr>
            <w:tcW w:w="1317" w:type="dxa"/>
            <w:vMerge/>
            <w:tcBorders>
              <w:left w:val="single" w:sz="4" w:space="0" w:color="000000"/>
              <w:right w:val="single" w:sz="4" w:space="0" w:color="000000"/>
            </w:tcBorders>
          </w:tcPr>
          <w:p>
            <w:pPr/>
          </w:p>
        </w:tc>
        <w:tc>
          <w:tcPr>
            <w:tcW w:w="30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司、雅戈尔纺织控股有限公司、雅戈</w:t>
            </w:r>
          </w:p>
        </w:tc>
        <w:tc>
          <w:tcPr>
            <w:tcW w:w="2041" w:type="dxa"/>
            <w:vMerge/>
            <w:tcBorders>
              <w:left w:val="single" w:sz="4" w:space="0" w:color="000000"/>
              <w:right w:val="single" w:sz="4" w:space="0" w:color="000000"/>
            </w:tcBorders>
          </w:tcPr>
          <w:p>
            <w:pPr/>
          </w:p>
        </w:tc>
        <w:tc>
          <w:tcPr>
            <w:tcW w:w="3240" w:type="dxa"/>
            <w:vMerge/>
            <w:tcBorders>
              <w:left w:val="single" w:sz="4" w:space="0" w:color="000000"/>
              <w:right w:val="single" w:sz="4" w:space="0" w:color="000000"/>
            </w:tcBorders>
          </w:tcPr>
          <w:p>
            <w:pPr/>
          </w:p>
        </w:tc>
      </w:tr>
      <w:tr>
        <w:trPr>
          <w:trHeight w:val="312" w:hRule="exact"/>
        </w:trPr>
        <w:tc>
          <w:tcPr>
            <w:tcW w:w="1317" w:type="dxa"/>
            <w:vMerge/>
            <w:tcBorders>
              <w:left w:val="single" w:sz="4" w:space="0" w:color="000000"/>
              <w:right w:val="single" w:sz="4" w:space="0" w:color="000000"/>
            </w:tcBorders>
          </w:tcPr>
          <w:p>
            <w:pPr/>
          </w:p>
        </w:tc>
        <w:tc>
          <w:tcPr>
            <w:tcW w:w="30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尔置业控股有限公司、上海法和信息</w:t>
            </w:r>
          </w:p>
        </w:tc>
        <w:tc>
          <w:tcPr>
            <w:tcW w:w="2041" w:type="dxa"/>
            <w:vMerge/>
            <w:tcBorders>
              <w:left w:val="single" w:sz="4" w:space="0" w:color="000000"/>
              <w:right w:val="single" w:sz="4" w:space="0" w:color="000000"/>
            </w:tcBorders>
          </w:tcPr>
          <w:p>
            <w:pPr/>
          </w:p>
        </w:tc>
        <w:tc>
          <w:tcPr>
            <w:tcW w:w="3240" w:type="dxa"/>
            <w:vMerge/>
            <w:tcBorders>
              <w:left w:val="single" w:sz="4" w:space="0" w:color="000000"/>
              <w:right w:val="single" w:sz="4" w:space="0" w:color="000000"/>
            </w:tcBorders>
          </w:tcPr>
          <w:p>
            <w:pPr/>
          </w:p>
        </w:tc>
      </w:tr>
      <w:tr>
        <w:trPr>
          <w:trHeight w:val="312" w:hRule="exact"/>
        </w:trPr>
        <w:tc>
          <w:tcPr>
            <w:tcW w:w="1317" w:type="dxa"/>
            <w:vMerge/>
            <w:tcBorders>
              <w:left w:val="single" w:sz="4" w:space="0" w:color="000000"/>
              <w:right w:val="single" w:sz="4" w:space="0" w:color="000000"/>
            </w:tcBorders>
          </w:tcPr>
          <w:p>
            <w:pPr/>
          </w:p>
        </w:tc>
        <w:tc>
          <w:tcPr>
            <w:tcW w:w="30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科技有限公司、搜股（上海）科技有</w:t>
            </w:r>
          </w:p>
        </w:tc>
        <w:tc>
          <w:tcPr>
            <w:tcW w:w="2041" w:type="dxa"/>
            <w:vMerge/>
            <w:tcBorders>
              <w:left w:val="single" w:sz="4" w:space="0" w:color="000000"/>
              <w:right w:val="single" w:sz="4" w:space="0" w:color="000000"/>
            </w:tcBorders>
          </w:tcPr>
          <w:p>
            <w:pPr/>
          </w:p>
        </w:tc>
        <w:tc>
          <w:tcPr>
            <w:tcW w:w="3240" w:type="dxa"/>
            <w:vMerge/>
            <w:tcBorders>
              <w:left w:val="single" w:sz="4" w:space="0" w:color="000000"/>
              <w:right w:val="single" w:sz="4" w:space="0" w:color="000000"/>
            </w:tcBorders>
          </w:tcPr>
          <w:p>
            <w:pPr/>
          </w:p>
        </w:tc>
      </w:tr>
      <w:tr>
        <w:trPr>
          <w:trHeight w:val="312" w:hRule="exact"/>
        </w:trPr>
        <w:tc>
          <w:tcPr>
            <w:tcW w:w="1317" w:type="dxa"/>
            <w:vMerge/>
            <w:tcBorders>
              <w:left w:val="single" w:sz="4" w:space="0" w:color="000000"/>
              <w:right w:val="single" w:sz="4" w:space="0" w:color="000000"/>
            </w:tcBorders>
          </w:tcPr>
          <w:p>
            <w:pPr/>
          </w:p>
        </w:tc>
        <w:tc>
          <w:tcPr>
            <w:tcW w:w="30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限公司、上海凯臣服饰股份有限公</w:t>
            </w:r>
          </w:p>
        </w:tc>
        <w:tc>
          <w:tcPr>
            <w:tcW w:w="2041" w:type="dxa"/>
            <w:vMerge/>
            <w:tcBorders>
              <w:left w:val="single" w:sz="4" w:space="0" w:color="000000"/>
              <w:right w:val="single" w:sz="4" w:space="0" w:color="000000"/>
            </w:tcBorders>
          </w:tcPr>
          <w:p>
            <w:pPr/>
          </w:p>
        </w:tc>
        <w:tc>
          <w:tcPr>
            <w:tcW w:w="3240" w:type="dxa"/>
            <w:vMerge/>
            <w:tcBorders>
              <w:left w:val="single" w:sz="4" w:space="0" w:color="000000"/>
              <w:right w:val="single" w:sz="4" w:space="0" w:color="000000"/>
            </w:tcBorders>
          </w:tcPr>
          <w:p>
            <w:pPr/>
          </w:p>
        </w:tc>
      </w:tr>
      <w:tr>
        <w:trPr>
          <w:trHeight w:val="356" w:hRule="exact"/>
        </w:trPr>
        <w:tc>
          <w:tcPr>
            <w:tcW w:w="1317" w:type="dxa"/>
            <w:vMerge/>
            <w:tcBorders>
              <w:left w:val="single" w:sz="4" w:space="0" w:color="000000"/>
              <w:bottom w:val="single" w:sz="4" w:space="0" w:color="000000"/>
              <w:right w:val="single" w:sz="4" w:space="0" w:color="000000"/>
            </w:tcBorders>
          </w:tcPr>
          <w:p>
            <w:pPr/>
          </w:p>
        </w:tc>
        <w:tc>
          <w:tcPr>
            <w:tcW w:w="30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司、哈特马克斯有限公司</w:t>
            </w:r>
          </w:p>
        </w:tc>
        <w:tc>
          <w:tcPr>
            <w:tcW w:w="2041" w:type="dxa"/>
            <w:vMerge/>
            <w:tcBorders>
              <w:left w:val="single" w:sz="4" w:space="0" w:color="000000"/>
              <w:bottom w:val="single" w:sz="4" w:space="0" w:color="000000"/>
              <w:right w:val="single" w:sz="4" w:space="0" w:color="000000"/>
            </w:tcBorders>
          </w:tcPr>
          <w:p>
            <w:pPr/>
          </w:p>
        </w:tc>
        <w:tc>
          <w:tcPr>
            <w:tcW w:w="3240" w:type="dxa"/>
            <w:vMerge/>
            <w:tcBorders>
              <w:left w:val="single" w:sz="4" w:space="0" w:color="000000"/>
              <w:bottom w:val="single" w:sz="4" w:space="0" w:color="000000"/>
              <w:right w:val="single" w:sz="4" w:space="0" w:color="000000"/>
            </w:tcBorders>
          </w:tcPr>
          <w:p>
            <w:pPr/>
          </w:p>
        </w:tc>
      </w:tr>
      <w:tr>
        <w:trPr>
          <w:trHeight w:val="357" w:hRule="exact"/>
        </w:trPr>
        <w:tc>
          <w:tcPr>
            <w:tcW w:w="1317" w:type="dxa"/>
            <w:tcBorders>
              <w:top w:val="single" w:sz="4" w:space="0" w:color="000000"/>
              <w:left w:val="single" w:sz="4" w:space="0" w:color="000000"/>
              <w:bottom w:val="nil" w:sz="6" w:space="0" w:color="auto"/>
              <w:right w:val="single" w:sz="4" w:space="0" w:color="000000"/>
            </w:tcBorders>
          </w:tcPr>
          <w:p>
            <w:pPr/>
          </w:p>
        </w:tc>
        <w:tc>
          <w:tcPr>
            <w:tcW w:w="30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宁波雅戈尔服饰有限公司、泓懿资本</w:t>
            </w:r>
          </w:p>
        </w:tc>
        <w:tc>
          <w:tcPr>
            <w:tcW w:w="2041" w:type="dxa"/>
            <w:tcBorders>
              <w:top w:val="single" w:sz="4" w:space="0" w:color="000000"/>
              <w:left w:val="single" w:sz="4" w:space="0" w:color="000000"/>
              <w:bottom w:val="nil" w:sz="6" w:space="0" w:color="auto"/>
              <w:right w:val="single" w:sz="4" w:space="0" w:color="000000"/>
            </w:tcBorders>
          </w:tcPr>
          <w:p>
            <w:pPr/>
          </w:p>
        </w:tc>
        <w:tc>
          <w:tcPr>
            <w:tcW w:w="3240"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317" w:type="dxa"/>
            <w:tcBorders>
              <w:top w:val="nil" w:sz="6" w:space="0" w:color="auto"/>
              <w:left w:val="single" w:sz="4" w:space="0" w:color="000000"/>
              <w:bottom w:val="nil" w:sz="6" w:space="0" w:color="auto"/>
              <w:right w:val="single" w:sz="4" w:space="0" w:color="000000"/>
            </w:tcBorders>
          </w:tcPr>
          <w:p>
            <w:pPr/>
          </w:p>
        </w:tc>
        <w:tc>
          <w:tcPr>
            <w:tcW w:w="30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管理有限公司、重庆雅戈尔服饰有限</w:t>
            </w:r>
          </w:p>
        </w:tc>
        <w:tc>
          <w:tcPr>
            <w:tcW w:w="2041" w:type="dxa"/>
            <w:tcBorders>
              <w:top w:val="nil" w:sz="6" w:space="0" w:color="auto"/>
              <w:left w:val="single" w:sz="4" w:space="0" w:color="000000"/>
              <w:bottom w:val="nil" w:sz="6" w:space="0" w:color="auto"/>
              <w:right w:val="single" w:sz="4" w:space="0" w:color="000000"/>
            </w:tcBorders>
          </w:tcPr>
          <w:p>
            <w:pPr/>
          </w:p>
        </w:tc>
        <w:tc>
          <w:tcPr>
            <w:tcW w:w="324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3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李寒穷</w:t>
            </w:r>
          </w:p>
        </w:tc>
        <w:tc>
          <w:tcPr>
            <w:tcW w:w="30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公司、雅戈尔投资有限公司、上海凯</w:t>
            </w:r>
          </w:p>
        </w:tc>
        <w:tc>
          <w:tcPr>
            <w:tcW w:w="204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董事兼总经理</w:t>
            </w:r>
          </w:p>
        </w:tc>
        <w:tc>
          <w:tcPr>
            <w:tcW w:w="324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1317" w:type="dxa"/>
            <w:tcBorders>
              <w:top w:val="nil" w:sz="6" w:space="0" w:color="auto"/>
              <w:left w:val="single" w:sz="4" w:space="0" w:color="000000"/>
              <w:bottom w:val="nil" w:sz="6" w:space="0" w:color="auto"/>
              <w:right w:val="single" w:sz="4" w:space="0" w:color="000000"/>
            </w:tcBorders>
          </w:tcPr>
          <w:p>
            <w:pPr/>
          </w:p>
        </w:tc>
        <w:tc>
          <w:tcPr>
            <w:tcW w:w="30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石投资管理有限公司、杭州雅戈尔服</w:t>
            </w:r>
          </w:p>
        </w:tc>
        <w:tc>
          <w:tcPr>
            <w:tcW w:w="2041" w:type="dxa"/>
            <w:tcBorders>
              <w:top w:val="nil" w:sz="6" w:space="0" w:color="auto"/>
              <w:left w:val="single" w:sz="4" w:space="0" w:color="000000"/>
              <w:bottom w:val="nil" w:sz="6" w:space="0" w:color="auto"/>
              <w:right w:val="single" w:sz="4" w:space="0" w:color="000000"/>
            </w:tcBorders>
          </w:tcPr>
          <w:p>
            <w:pPr/>
          </w:p>
        </w:tc>
        <w:tc>
          <w:tcPr>
            <w:tcW w:w="3240"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1317" w:type="dxa"/>
            <w:tcBorders>
              <w:top w:val="nil" w:sz="6" w:space="0" w:color="auto"/>
              <w:left w:val="single" w:sz="4" w:space="0" w:color="000000"/>
              <w:bottom w:val="single" w:sz="4" w:space="0" w:color="000000"/>
              <w:right w:val="single" w:sz="4" w:space="0" w:color="000000"/>
            </w:tcBorders>
          </w:tcPr>
          <w:p>
            <w:pPr/>
          </w:p>
        </w:tc>
        <w:tc>
          <w:tcPr>
            <w:tcW w:w="30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饰有限公司</w:t>
            </w:r>
          </w:p>
        </w:tc>
        <w:tc>
          <w:tcPr>
            <w:tcW w:w="2041" w:type="dxa"/>
            <w:tcBorders>
              <w:top w:val="nil" w:sz="6" w:space="0" w:color="auto"/>
              <w:left w:val="single" w:sz="4" w:space="0" w:color="000000"/>
              <w:bottom w:val="single" w:sz="4" w:space="0" w:color="000000"/>
              <w:right w:val="single" w:sz="4" w:space="0" w:color="000000"/>
            </w:tcBorders>
          </w:tcPr>
          <w:p>
            <w:pPr/>
          </w:p>
        </w:tc>
        <w:tc>
          <w:tcPr>
            <w:tcW w:w="3240" w:type="dxa"/>
            <w:tcBorders>
              <w:top w:val="nil" w:sz="6" w:space="0" w:color="auto"/>
              <w:left w:val="single" w:sz="4" w:space="0" w:color="000000"/>
              <w:bottom w:val="single" w:sz="4" w:space="0" w:color="000000"/>
              <w:right w:val="single" w:sz="4" w:space="0" w:color="000000"/>
            </w:tcBorders>
          </w:tcPr>
          <w:p>
            <w:pPr/>
          </w:p>
        </w:tc>
      </w:tr>
      <w:tr>
        <w:trPr>
          <w:trHeight w:val="358" w:hRule="exact"/>
        </w:trPr>
        <w:tc>
          <w:tcPr>
            <w:tcW w:w="1317" w:type="dxa"/>
            <w:tcBorders>
              <w:top w:val="single" w:sz="4" w:space="0" w:color="000000"/>
              <w:left w:val="single" w:sz="4" w:space="0" w:color="000000"/>
              <w:bottom w:val="nil" w:sz="6" w:space="0" w:color="auto"/>
              <w:right w:val="single" w:sz="4" w:space="0" w:color="000000"/>
            </w:tcBorders>
          </w:tcPr>
          <w:p>
            <w:pPr/>
          </w:p>
        </w:tc>
        <w:tc>
          <w:tcPr>
            <w:tcW w:w="30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国联产业投资基金管理（北京）有限</w:t>
            </w:r>
          </w:p>
        </w:tc>
        <w:tc>
          <w:tcPr>
            <w:tcW w:w="2041" w:type="dxa"/>
            <w:tcBorders>
              <w:top w:val="single" w:sz="4" w:space="0" w:color="000000"/>
              <w:left w:val="single" w:sz="4" w:space="0" w:color="000000"/>
              <w:bottom w:val="nil" w:sz="6" w:space="0" w:color="auto"/>
              <w:right w:val="single" w:sz="4" w:space="0" w:color="000000"/>
            </w:tcBorders>
          </w:tcPr>
          <w:p>
            <w:pPr/>
          </w:p>
        </w:tc>
        <w:tc>
          <w:tcPr>
            <w:tcW w:w="3240"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3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李寒穷</w:t>
            </w:r>
          </w:p>
        </w:tc>
        <w:tc>
          <w:tcPr>
            <w:tcW w:w="307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公司、宁波雅戈尔控股有限公司、宁</w:t>
            </w:r>
          </w:p>
        </w:tc>
        <w:tc>
          <w:tcPr>
            <w:tcW w:w="204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324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56" w:hRule="exact"/>
        </w:trPr>
        <w:tc>
          <w:tcPr>
            <w:tcW w:w="1317" w:type="dxa"/>
            <w:tcBorders>
              <w:top w:val="nil" w:sz="6" w:space="0" w:color="auto"/>
              <w:left w:val="single" w:sz="4" w:space="0" w:color="000000"/>
              <w:bottom w:val="single" w:sz="4" w:space="0" w:color="000000"/>
              <w:right w:val="single" w:sz="4" w:space="0" w:color="000000"/>
            </w:tcBorders>
          </w:tcPr>
          <w:p>
            <w:pPr/>
          </w:p>
        </w:tc>
        <w:tc>
          <w:tcPr>
            <w:tcW w:w="30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波新华投资有限公司</w:t>
            </w:r>
          </w:p>
        </w:tc>
        <w:tc>
          <w:tcPr>
            <w:tcW w:w="2041" w:type="dxa"/>
            <w:tcBorders>
              <w:top w:val="nil" w:sz="6" w:space="0" w:color="auto"/>
              <w:left w:val="single" w:sz="4" w:space="0" w:color="000000"/>
              <w:bottom w:val="single" w:sz="4" w:space="0" w:color="000000"/>
              <w:right w:val="single" w:sz="4" w:space="0" w:color="000000"/>
            </w:tcBorders>
          </w:tcPr>
          <w:p>
            <w:pPr/>
          </w:p>
        </w:tc>
        <w:tc>
          <w:tcPr>
            <w:tcW w:w="3240"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1317" w:type="dxa"/>
            <w:tcBorders>
              <w:top w:val="single" w:sz="4" w:space="0" w:color="000000"/>
              <w:left w:val="single" w:sz="4" w:space="0" w:color="000000"/>
              <w:bottom w:val="nil" w:sz="6" w:space="0" w:color="auto"/>
              <w:right w:val="single" w:sz="4" w:space="0" w:color="000000"/>
            </w:tcBorders>
          </w:tcPr>
          <w:p>
            <w:pPr/>
          </w:p>
        </w:tc>
        <w:tc>
          <w:tcPr>
            <w:tcW w:w="30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创业南京、中拓信息、蓝天电脑、宁</w:t>
            </w:r>
          </w:p>
        </w:tc>
        <w:tc>
          <w:tcPr>
            <w:tcW w:w="2041" w:type="dxa"/>
            <w:tcBorders>
              <w:top w:val="single" w:sz="4" w:space="0" w:color="000000"/>
              <w:left w:val="single" w:sz="4" w:space="0" w:color="000000"/>
              <w:bottom w:val="nil" w:sz="6" w:space="0" w:color="auto"/>
              <w:right w:val="single" w:sz="4" w:space="0" w:color="000000"/>
            </w:tcBorders>
          </w:tcPr>
          <w:p>
            <w:pPr/>
          </w:p>
        </w:tc>
        <w:tc>
          <w:tcPr>
            <w:tcW w:w="3240" w:type="dxa"/>
            <w:tcBorders>
              <w:top w:val="single" w:sz="4" w:space="0" w:color="000000"/>
              <w:left w:val="single" w:sz="4" w:space="0" w:color="000000"/>
              <w:bottom w:val="nil" w:sz="6" w:space="0" w:color="auto"/>
              <w:right w:val="single" w:sz="4" w:space="0" w:color="000000"/>
            </w:tcBorders>
          </w:tcPr>
          <w:p>
            <w:pPr/>
          </w:p>
        </w:tc>
      </w:tr>
      <w:tr>
        <w:trPr>
          <w:trHeight w:val="624" w:hRule="exact"/>
        </w:trPr>
        <w:tc>
          <w:tcPr>
            <w:tcW w:w="131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胡燕</w:t>
            </w:r>
          </w:p>
        </w:tc>
        <w:tc>
          <w:tcPr>
            <w:tcW w:w="3074"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81" w:right="101" w:hanging="77"/>
              <w:jc w:val="left"/>
              <w:rPr>
                <w:rFonts w:ascii="宋体" w:hAnsi="宋体" w:cs="宋体" w:eastAsia="宋体" w:hint="default"/>
                <w:sz w:val="18"/>
                <w:szCs w:val="18"/>
              </w:rPr>
            </w:pPr>
            <w:r>
              <w:rPr>
                <w:rFonts w:ascii="宋体" w:hAnsi="宋体" w:cs="宋体" w:eastAsia="宋体" w:hint="default"/>
                <w:spacing w:val="-2"/>
                <w:sz w:val="18"/>
                <w:szCs w:val="18"/>
              </w:rPr>
              <w:t>海杭创、创源环境、阜康投资、上海</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卫生信息工程技术研究中心有限公</w:t>
            </w:r>
          </w:p>
        </w:tc>
        <w:tc>
          <w:tcPr>
            <w:tcW w:w="204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324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57" w:hRule="exact"/>
        </w:trPr>
        <w:tc>
          <w:tcPr>
            <w:tcW w:w="1317" w:type="dxa"/>
            <w:tcBorders>
              <w:top w:val="nil" w:sz="6" w:space="0" w:color="auto"/>
              <w:left w:val="single" w:sz="4" w:space="0" w:color="000000"/>
              <w:bottom w:val="single" w:sz="4" w:space="0" w:color="000000"/>
              <w:right w:val="single" w:sz="4" w:space="0" w:color="000000"/>
            </w:tcBorders>
          </w:tcPr>
          <w:p>
            <w:pPr/>
          </w:p>
        </w:tc>
        <w:tc>
          <w:tcPr>
            <w:tcW w:w="30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司</w:t>
            </w:r>
          </w:p>
        </w:tc>
        <w:tc>
          <w:tcPr>
            <w:tcW w:w="2041" w:type="dxa"/>
            <w:tcBorders>
              <w:top w:val="nil" w:sz="6" w:space="0" w:color="auto"/>
              <w:left w:val="single" w:sz="4" w:space="0" w:color="000000"/>
              <w:bottom w:val="single" w:sz="4" w:space="0" w:color="000000"/>
              <w:right w:val="single" w:sz="4" w:space="0" w:color="000000"/>
            </w:tcBorders>
          </w:tcPr>
          <w:p>
            <w:pPr/>
          </w:p>
        </w:tc>
        <w:tc>
          <w:tcPr>
            <w:tcW w:w="3240" w:type="dxa"/>
            <w:tcBorders>
              <w:top w:val="nil" w:sz="6" w:space="0" w:color="auto"/>
              <w:left w:val="single" w:sz="4" w:space="0" w:color="000000"/>
              <w:bottom w:val="single" w:sz="4" w:space="0" w:color="000000"/>
              <w:right w:val="single" w:sz="4" w:space="0" w:color="000000"/>
            </w:tcBorders>
          </w:tcPr>
          <w:p>
            <w:pPr/>
          </w:p>
        </w:tc>
      </w:tr>
      <w:tr>
        <w:trPr>
          <w:trHeight w:val="402" w:hRule="exact"/>
        </w:trPr>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胡燕</w:t>
            </w:r>
          </w:p>
        </w:tc>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慧康物联、美诺泰科</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3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应晶</w:t>
            </w:r>
          </w:p>
        </w:tc>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浙江大学计算机学院</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教授、博士生导师</w:t>
            </w:r>
          </w:p>
        </w:tc>
        <w:tc>
          <w:tcPr>
            <w:tcW w:w="3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77" w:hRule="exact"/>
        </w:trPr>
        <w:tc>
          <w:tcPr>
            <w:tcW w:w="1317" w:type="dxa"/>
            <w:tcBorders>
              <w:top w:val="single" w:sz="4" w:space="0" w:color="000000"/>
              <w:left w:val="single" w:sz="4" w:space="0" w:color="000000"/>
              <w:bottom w:val="nil" w:sz="6" w:space="0" w:color="auto"/>
              <w:right w:val="single" w:sz="4" w:space="0" w:color="000000"/>
            </w:tcBorders>
          </w:tcPr>
          <w:p>
            <w:pPr/>
          </w:p>
        </w:tc>
        <w:tc>
          <w:tcPr>
            <w:tcW w:w="30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0" w:right="0"/>
              <w:jc w:val="center"/>
              <w:rPr>
                <w:rFonts w:ascii="宋体" w:hAnsi="宋体" w:cs="宋体" w:eastAsia="宋体" w:hint="default"/>
                <w:sz w:val="18"/>
                <w:szCs w:val="18"/>
              </w:rPr>
            </w:pPr>
            <w:r>
              <w:rPr>
                <w:rFonts w:ascii="宋体" w:hAnsi="宋体" w:cs="宋体" w:eastAsia="宋体" w:hint="default"/>
                <w:sz w:val="18"/>
                <w:szCs w:val="18"/>
              </w:rPr>
              <w:t>浙江长华汽车零部件股份有限公司、</w:t>
            </w:r>
          </w:p>
        </w:tc>
        <w:tc>
          <w:tcPr>
            <w:tcW w:w="2041" w:type="dxa"/>
            <w:tcBorders>
              <w:top w:val="single" w:sz="4" w:space="0" w:color="000000"/>
              <w:left w:val="single" w:sz="4" w:space="0" w:color="000000"/>
              <w:bottom w:val="nil" w:sz="6" w:space="0" w:color="auto"/>
              <w:right w:val="single" w:sz="4" w:space="0" w:color="000000"/>
            </w:tcBorders>
          </w:tcPr>
          <w:p>
            <w:pPr/>
          </w:p>
        </w:tc>
        <w:tc>
          <w:tcPr>
            <w:tcW w:w="3240" w:type="dxa"/>
            <w:tcBorders>
              <w:top w:val="single" w:sz="4" w:space="0" w:color="000000"/>
              <w:left w:val="single" w:sz="4" w:space="0" w:color="000000"/>
              <w:bottom w:val="nil" w:sz="6" w:space="0" w:color="auto"/>
              <w:right w:val="single" w:sz="4" w:space="0" w:color="000000"/>
            </w:tcBorders>
          </w:tcPr>
          <w:p>
            <w:pPr/>
          </w:p>
        </w:tc>
      </w:tr>
      <w:tr>
        <w:trPr>
          <w:trHeight w:val="643" w:hRule="exact"/>
        </w:trPr>
        <w:tc>
          <w:tcPr>
            <w:tcW w:w="131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江乾坤</w:t>
            </w:r>
          </w:p>
        </w:tc>
        <w:tc>
          <w:tcPr>
            <w:tcW w:w="3074" w:type="dxa"/>
            <w:tcBorders>
              <w:top w:val="nil" w:sz="6" w:space="0" w:color="auto"/>
              <w:left w:val="single" w:sz="4" w:space="0" w:color="000000"/>
              <w:bottom w:val="nil" w:sz="6" w:space="0" w:color="auto"/>
              <w:right w:val="single" w:sz="4" w:space="0" w:color="000000"/>
            </w:tcBorders>
          </w:tcPr>
          <w:p>
            <w:pPr>
              <w:pStyle w:val="TableParagraph"/>
              <w:spacing w:line="316" w:lineRule="auto" w:before="29"/>
              <w:ind w:left="102" w:right="101"/>
              <w:jc w:val="left"/>
              <w:rPr>
                <w:rFonts w:ascii="宋体" w:hAnsi="宋体" w:cs="宋体" w:eastAsia="宋体" w:hint="default"/>
                <w:sz w:val="18"/>
                <w:szCs w:val="18"/>
              </w:rPr>
            </w:pPr>
            <w:r>
              <w:rPr>
                <w:rFonts w:ascii="宋体" w:hAnsi="宋体" w:cs="宋体" w:eastAsia="宋体" w:hint="default"/>
                <w:spacing w:val="-2"/>
                <w:sz w:val="18"/>
                <w:szCs w:val="18"/>
              </w:rPr>
              <w:t>深圳传音控股股份有限公司、宁波天</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2"/>
                <w:sz w:val="18"/>
                <w:szCs w:val="18"/>
              </w:rPr>
              <w:t>龙电子股份有限公司、杭州格林达化</w:t>
            </w:r>
          </w:p>
        </w:tc>
        <w:tc>
          <w:tcPr>
            <w:tcW w:w="204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324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58" w:hRule="exact"/>
        </w:trPr>
        <w:tc>
          <w:tcPr>
            <w:tcW w:w="1317" w:type="dxa"/>
            <w:tcBorders>
              <w:top w:val="nil" w:sz="6" w:space="0" w:color="auto"/>
              <w:left w:val="single" w:sz="4" w:space="0" w:color="000000"/>
              <w:bottom w:val="single" w:sz="4" w:space="0" w:color="000000"/>
              <w:right w:val="single" w:sz="4" w:space="0" w:color="000000"/>
            </w:tcBorders>
          </w:tcPr>
          <w:p>
            <w:pPr/>
          </w:p>
        </w:tc>
        <w:tc>
          <w:tcPr>
            <w:tcW w:w="30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学股份有限公司</w:t>
            </w:r>
          </w:p>
        </w:tc>
        <w:tc>
          <w:tcPr>
            <w:tcW w:w="2041" w:type="dxa"/>
            <w:tcBorders>
              <w:top w:val="nil" w:sz="6" w:space="0" w:color="auto"/>
              <w:left w:val="single" w:sz="4" w:space="0" w:color="000000"/>
              <w:bottom w:val="single" w:sz="4" w:space="0" w:color="000000"/>
              <w:right w:val="single" w:sz="4" w:space="0" w:color="000000"/>
            </w:tcBorders>
          </w:tcPr>
          <w:p>
            <w:pPr/>
          </w:p>
        </w:tc>
        <w:tc>
          <w:tcPr>
            <w:tcW w:w="3240" w:type="dxa"/>
            <w:tcBorders>
              <w:top w:val="nil" w:sz="6" w:space="0" w:color="auto"/>
              <w:left w:val="single" w:sz="4" w:space="0" w:color="000000"/>
              <w:bottom w:val="single" w:sz="4" w:space="0" w:color="000000"/>
              <w:right w:val="single" w:sz="4" w:space="0" w:color="000000"/>
            </w:tcBorders>
          </w:tcPr>
          <w:p>
            <w:pPr/>
          </w:p>
        </w:tc>
      </w:tr>
      <w:tr>
        <w:trPr>
          <w:trHeight w:val="402" w:hRule="exact"/>
        </w:trPr>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江乾坤</w:t>
            </w:r>
          </w:p>
        </w:tc>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杭州电子科技大学</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教授</w:t>
            </w:r>
          </w:p>
        </w:tc>
        <w:tc>
          <w:tcPr>
            <w:tcW w:w="3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凌云</w:t>
            </w:r>
          </w:p>
        </w:tc>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浙江工商大学</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教授</w:t>
            </w:r>
          </w:p>
        </w:tc>
        <w:tc>
          <w:tcPr>
            <w:tcW w:w="3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杨建刚</w:t>
            </w:r>
          </w:p>
        </w:tc>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浙江大学计算机学院</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教授、博士生导师</w:t>
            </w:r>
          </w:p>
        </w:tc>
        <w:tc>
          <w:tcPr>
            <w:tcW w:w="3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贾驰</w:t>
            </w:r>
          </w:p>
        </w:tc>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浙江工商大学</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副教授</w:t>
            </w:r>
          </w:p>
        </w:tc>
        <w:tc>
          <w:tcPr>
            <w:tcW w:w="3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郁燕萍</w:t>
            </w:r>
          </w:p>
        </w:tc>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创业亿康、创源环境、中山杭创</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3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郁燕萍</w:t>
            </w:r>
          </w:p>
        </w:tc>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梅清数码</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3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张崧</w:t>
            </w:r>
          </w:p>
        </w:tc>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新疆创什</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3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赵晔</w:t>
            </w:r>
          </w:p>
        </w:tc>
        <w:tc>
          <w:tcPr>
            <w:tcW w:w="3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慧康物联</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3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是</w:t>
            </w:r>
          </w:p>
        </w:tc>
      </w:tr>
    </w:tbl>
    <w:p>
      <w:pPr>
        <w:pStyle w:val="BodyText"/>
        <w:spacing w:line="240" w:lineRule="auto" w:before="51"/>
        <w:ind w:right="0"/>
        <w:jc w:val="left"/>
      </w:pPr>
      <w:r>
        <w:rPr/>
        <w:t>公司现任及报告期内离任董事、监事和高级管理人员近三年证券监管机构处罚的情况</w:t>
      </w:r>
    </w:p>
    <w:p>
      <w:pPr>
        <w:pStyle w:val="BodyText"/>
        <w:spacing w:line="240" w:lineRule="auto" w:before="117"/>
        <w:ind w:left="204" w:right="0"/>
        <w:jc w:val="left"/>
      </w:pPr>
      <w:r>
        <w:rPr/>
        <w:t>□ 适用  √</w:t>
      </w:r>
      <w:r>
        <w:rPr>
          <w:spacing w:val="-1"/>
        </w:rPr>
        <w:t> </w:t>
      </w:r>
      <w:r>
        <w:rPr/>
        <w:t>不适用</w:t>
      </w:r>
    </w:p>
    <w:p>
      <w:pPr>
        <w:spacing w:after="0" w:line="240" w:lineRule="auto"/>
        <w:jc w:val="left"/>
        <w:sectPr>
          <w:pgSz w:w="11910" w:h="16840"/>
          <w:pgMar w:header="907" w:footer="1016" w:top="1100" w:bottom="1200" w:left="1020" w:right="0"/>
        </w:sectPr>
      </w:pPr>
    </w:p>
    <w:p>
      <w:pPr>
        <w:spacing w:line="240" w:lineRule="auto" w:before="9"/>
        <w:rPr>
          <w:rFonts w:ascii="宋体" w:hAnsi="宋体" w:cs="宋体" w:eastAsia="宋体" w:hint="default"/>
          <w:sz w:val="20"/>
          <w:szCs w:val="20"/>
        </w:rPr>
      </w:pPr>
    </w:p>
    <w:p>
      <w:pPr>
        <w:pStyle w:val="Heading2"/>
        <w:spacing w:line="240" w:lineRule="auto" w:before="26"/>
        <w:ind w:right="0"/>
        <w:jc w:val="left"/>
        <w:rPr>
          <w:b w:val="0"/>
          <w:bCs w:val="0"/>
        </w:rPr>
      </w:pPr>
      <w:bookmarkStart w:name="四、董事、监事、高级管理人员报酬情况" w:id="137"/>
      <w:bookmarkEnd w:id="137"/>
      <w:r>
        <w:rPr>
          <w:b w:val="0"/>
          <w:bCs w:val="0"/>
        </w:rPr>
      </w:r>
      <w:r>
        <w:rPr/>
        <w:t>四、董事、监事、高级管理人员报酬情况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董事、监事、高级管理人员报酬的决策程序、确定依据、实际支付情况</w:t>
      </w:r>
    </w:p>
    <w:p>
      <w:pPr>
        <w:spacing w:line="240" w:lineRule="auto" w:before="1"/>
        <w:rPr>
          <w:rFonts w:ascii="宋体" w:hAnsi="宋体" w:cs="宋体" w:eastAsia="宋体" w:hint="default"/>
          <w:sz w:val="8"/>
          <w:szCs w:val="8"/>
        </w:rPr>
      </w:pPr>
    </w:p>
    <w:tbl>
      <w:tblPr>
        <w:tblW w:w="0" w:type="auto"/>
        <w:jc w:val="left"/>
        <w:tblInd w:w="114" w:type="dxa"/>
        <w:tblLayout w:type="fixed"/>
        <w:tblCellMar>
          <w:top w:w="0" w:type="dxa"/>
          <w:left w:w="0" w:type="dxa"/>
          <w:bottom w:w="0" w:type="dxa"/>
          <w:right w:w="0" w:type="dxa"/>
        </w:tblCellMar>
        <w:tblLook w:val="01E0"/>
      </w:tblPr>
      <w:tblGrid>
        <w:gridCol w:w="5423"/>
        <w:gridCol w:w="4199"/>
      </w:tblGrid>
      <w:tr>
        <w:trPr>
          <w:trHeight w:val="971" w:hRule="exact"/>
        </w:trPr>
        <w:tc>
          <w:tcPr>
            <w:tcW w:w="5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董事、监事、高级管理人员报酬的决策程序</w:t>
            </w:r>
          </w:p>
        </w:tc>
        <w:tc>
          <w:tcPr>
            <w:tcW w:w="4199"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0"/>
              <w:jc w:val="both"/>
              <w:rPr>
                <w:rFonts w:ascii="宋体" w:hAnsi="宋体" w:cs="宋体" w:eastAsia="宋体" w:hint="default"/>
                <w:sz w:val="18"/>
                <w:szCs w:val="18"/>
              </w:rPr>
            </w:pPr>
            <w:r>
              <w:rPr>
                <w:rFonts w:ascii="宋体" w:hAnsi="宋体" w:cs="宋体" w:eastAsia="宋体" w:hint="default"/>
                <w:sz w:val="18"/>
                <w:szCs w:val="18"/>
              </w:rPr>
              <w:t>董事、监事及高级管理人员的薪酬方案由董事会薪酬</w:t>
            </w:r>
            <w:r>
              <w:rPr>
                <w:rFonts w:ascii="宋体" w:hAnsi="宋体" w:cs="宋体" w:eastAsia="宋体" w:hint="default"/>
                <w:spacing w:val="-59"/>
                <w:sz w:val="18"/>
                <w:szCs w:val="18"/>
              </w:rPr>
              <w:t> </w:t>
            </w:r>
            <w:r>
              <w:rPr>
                <w:rFonts w:ascii="宋体" w:hAnsi="宋体" w:cs="宋体" w:eastAsia="宋体" w:hint="default"/>
                <w:spacing w:val="-59"/>
                <w:sz w:val="18"/>
                <w:szCs w:val="18"/>
              </w:rPr>
            </w:r>
            <w:r>
              <w:rPr>
                <w:rFonts w:ascii="宋体" w:hAnsi="宋体" w:cs="宋体" w:eastAsia="宋体" w:hint="default"/>
                <w:sz w:val="18"/>
                <w:szCs w:val="18"/>
              </w:rPr>
              <w:t>与考核委员会拟定，经董事会、监事会、股东大会审</w:t>
            </w:r>
            <w:r>
              <w:rPr>
                <w:rFonts w:ascii="宋体" w:hAnsi="宋体" w:cs="宋体" w:eastAsia="宋体" w:hint="default"/>
                <w:spacing w:val="-59"/>
                <w:sz w:val="18"/>
                <w:szCs w:val="18"/>
              </w:rPr>
              <w:t> </w:t>
            </w:r>
            <w:r>
              <w:rPr>
                <w:rFonts w:ascii="宋体" w:hAnsi="宋体" w:cs="宋体" w:eastAsia="宋体" w:hint="default"/>
                <w:spacing w:val="-59"/>
                <w:sz w:val="18"/>
                <w:szCs w:val="18"/>
              </w:rPr>
            </w:r>
            <w:r>
              <w:rPr>
                <w:rFonts w:ascii="宋体" w:hAnsi="宋体" w:cs="宋体" w:eastAsia="宋体" w:hint="default"/>
                <w:sz w:val="18"/>
                <w:szCs w:val="18"/>
              </w:rPr>
              <w:t>议通过后实施。</w:t>
            </w:r>
          </w:p>
        </w:tc>
      </w:tr>
      <w:tr>
        <w:trPr>
          <w:trHeight w:val="659" w:hRule="exact"/>
        </w:trPr>
        <w:tc>
          <w:tcPr>
            <w:tcW w:w="5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2" w:right="0"/>
              <w:jc w:val="left"/>
              <w:rPr>
                <w:rFonts w:ascii="宋体" w:hAnsi="宋体" w:cs="宋体" w:eastAsia="宋体" w:hint="default"/>
                <w:sz w:val="18"/>
                <w:szCs w:val="18"/>
              </w:rPr>
            </w:pPr>
            <w:r>
              <w:rPr>
                <w:rFonts w:ascii="宋体" w:hAnsi="宋体" w:cs="宋体" w:eastAsia="宋体" w:hint="default"/>
                <w:sz w:val="18"/>
                <w:szCs w:val="18"/>
              </w:rPr>
              <w:t>董事、监事、高级管理人员报酬确定依据</w:t>
            </w:r>
          </w:p>
        </w:tc>
        <w:tc>
          <w:tcPr>
            <w:tcW w:w="4199"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2"/>
              <w:ind w:left="3" w:right="0"/>
              <w:jc w:val="left"/>
              <w:rPr>
                <w:rFonts w:ascii="宋体" w:hAnsi="宋体" w:cs="宋体" w:eastAsia="宋体" w:hint="default"/>
                <w:sz w:val="18"/>
                <w:szCs w:val="18"/>
              </w:rPr>
            </w:pPr>
            <w:r>
              <w:rPr>
                <w:rFonts w:ascii="宋体" w:hAnsi="宋体" w:cs="宋体" w:eastAsia="宋体" w:hint="default"/>
                <w:sz w:val="18"/>
                <w:szCs w:val="18"/>
              </w:rPr>
              <w:t>董事、监事和高级管理人员的报酬按照公司规定，结</w:t>
            </w:r>
            <w:r>
              <w:rPr>
                <w:rFonts w:ascii="宋体" w:hAnsi="宋体" w:cs="宋体" w:eastAsia="宋体" w:hint="default"/>
                <w:spacing w:val="-59"/>
                <w:sz w:val="18"/>
                <w:szCs w:val="18"/>
              </w:rPr>
              <w:t> </w:t>
            </w:r>
            <w:r>
              <w:rPr>
                <w:rFonts w:ascii="宋体" w:hAnsi="宋体" w:cs="宋体" w:eastAsia="宋体" w:hint="default"/>
                <w:spacing w:val="-59"/>
                <w:sz w:val="18"/>
                <w:szCs w:val="18"/>
              </w:rPr>
            </w:r>
            <w:r>
              <w:rPr>
                <w:rFonts w:ascii="宋体" w:hAnsi="宋体" w:cs="宋体" w:eastAsia="宋体" w:hint="default"/>
                <w:sz w:val="18"/>
                <w:szCs w:val="18"/>
              </w:rPr>
              <w:t>合其经营绩效、工作能力能考核确定并发放。</w:t>
            </w:r>
          </w:p>
        </w:tc>
      </w:tr>
      <w:tr>
        <w:trPr>
          <w:trHeight w:val="659" w:hRule="exact"/>
        </w:trPr>
        <w:tc>
          <w:tcPr>
            <w:tcW w:w="5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董事、监事和高级管理人员报酬的实际支付情况</w:t>
            </w:r>
          </w:p>
        </w:tc>
        <w:tc>
          <w:tcPr>
            <w:tcW w:w="4199"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3" w:right="0"/>
              <w:jc w:val="left"/>
              <w:rPr>
                <w:rFonts w:ascii="宋体" w:hAnsi="宋体" w:cs="宋体" w:eastAsia="宋体" w:hint="default"/>
                <w:sz w:val="18"/>
                <w:szCs w:val="18"/>
              </w:rPr>
            </w:pPr>
            <w:r>
              <w:rPr>
                <w:rFonts w:ascii="宋体" w:hAnsi="宋体" w:cs="宋体" w:eastAsia="宋体" w:hint="default"/>
                <w:sz w:val="18"/>
                <w:szCs w:val="18"/>
              </w:rPr>
              <w:t>公司现有独立董事、监事、高级管理人员的基本薪酬</w:t>
            </w:r>
            <w:r>
              <w:rPr>
                <w:rFonts w:ascii="宋体" w:hAnsi="宋体" w:cs="宋体" w:eastAsia="宋体" w:hint="default"/>
                <w:spacing w:val="-59"/>
                <w:sz w:val="18"/>
                <w:szCs w:val="18"/>
              </w:rPr>
              <w:t> </w:t>
            </w:r>
            <w:r>
              <w:rPr>
                <w:rFonts w:ascii="宋体" w:hAnsi="宋体" w:cs="宋体" w:eastAsia="宋体" w:hint="default"/>
                <w:spacing w:val="-59"/>
                <w:sz w:val="18"/>
                <w:szCs w:val="18"/>
              </w:rPr>
            </w:r>
            <w:r>
              <w:rPr>
                <w:rFonts w:ascii="宋体" w:hAnsi="宋体" w:cs="宋体" w:eastAsia="宋体" w:hint="default"/>
                <w:sz w:val="18"/>
                <w:szCs w:val="18"/>
              </w:rPr>
              <w:t>已按月支付，其中一定比例考核后发放。</w:t>
            </w:r>
          </w:p>
        </w:tc>
      </w:tr>
    </w:tbl>
    <w:p>
      <w:pPr>
        <w:spacing w:line="240" w:lineRule="auto" w:before="4"/>
        <w:rPr>
          <w:rFonts w:ascii="宋体" w:hAnsi="宋体" w:cs="宋体" w:eastAsia="宋体" w:hint="default"/>
          <w:sz w:val="24"/>
          <w:szCs w:val="24"/>
        </w:rPr>
      </w:pPr>
    </w:p>
    <w:p>
      <w:pPr>
        <w:pStyle w:val="BodyText"/>
        <w:spacing w:line="240" w:lineRule="auto" w:before="44"/>
        <w:ind w:right="0"/>
        <w:jc w:val="left"/>
      </w:pPr>
      <w:r>
        <w:rPr/>
        <w:t>公司报告期内董事、监事和高级管理人员报酬情况</w:t>
      </w:r>
    </w:p>
    <w:p>
      <w:pPr>
        <w:pStyle w:val="BodyText"/>
        <w:spacing w:line="240" w:lineRule="auto" w:before="117"/>
        <w:ind w:left="0" w:right="1132"/>
        <w:jc w:val="right"/>
      </w:pPr>
      <w:r>
        <w:rPr/>
        <w:t>单位：万元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9"/>
        <w:gridCol w:w="1367"/>
        <w:gridCol w:w="1367"/>
        <w:gridCol w:w="1367"/>
        <w:gridCol w:w="1367"/>
        <w:gridCol w:w="1367"/>
        <w:gridCol w:w="1367"/>
      </w:tblGrid>
      <w:tr>
        <w:trPr>
          <w:trHeight w:val="714"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姓名</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性别</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任职状态</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38" w:right="136"/>
              <w:jc w:val="left"/>
              <w:rPr>
                <w:rFonts w:ascii="宋体" w:hAnsi="宋体" w:cs="宋体" w:eastAsia="宋体" w:hint="default"/>
                <w:sz w:val="18"/>
                <w:szCs w:val="18"/>
              </w:rPr>
            </w:pPr>
            <w:r>
              <w:rPr>
                <w:rFonts w:ascii="宋体" w:hAnsi="宋体" w:cs="宋体" w:eastAsia="宋体" w:hint="default"/>
                <w:sz w:val="18"/>
                <w:szCs w:val="18"/>
              </w:rPr>
              <w:t>从公司获得的 税前报酬总额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37" w:right="138"/>
              <w:jc w:val="left"/>
              <w:rPr>
                <w:rFonts w:ascii="宋体" w:hAnsi="宋体" w:cs="宋体" w:eastAsia="宋体" w:hint="default"/>
                <w:sz w:val="18"/>
                <w:szCs w:val="18"/>
              </w:rPr>
            </w:pPr>
            <w:r>
              <w:rPr>
                <w:rFonts w:ascii="宋体" w:hAnsi="宋体" w:cs="宋体" w:eastAsia="宋体" w:hint="default"/>
                <w:sz w:val="18"/>
                <w:szCs w:val="18"/>
              </w:rPr>
              <w:t>是否在公司关 联方获取报酬</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葛航</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55.78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张吕峥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董事、总经理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48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54.58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胡燕</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497" w:right="138" w:hanging="360"/>
              <w:jc w:val="left"/>
              <w:rPr>
                <w:rFonts w:ascii="宋体" w:hAnsi="宋体" w:cs="宋体" w:eastAsia="宋体" w:hint="default"/>
                <w:sz w:val="18"/>
                <w:szCs w:val="18"/>
              </w:rPr>
            </w:pPr>
            <w:r>
              <w:rPr>
                <w:rFonts w:ascii="宋体" w:hAnsi="宋体" w:cs="宋体" w:eastAsia="宋体" w:hint="default"/>
                <w:sz w:val="18"/>
                <w:szCs w:val="18"/>
              </w:rPr>
              <w:t>董事、董事会 秘书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53.73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赵晔</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48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62.71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李寒穷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42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应晶</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48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江乾坤</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45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凌云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杨建刚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60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叶建</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39.97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贾驰</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42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李军</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职工监事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55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30.46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郁燕萍</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53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51.18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方宝林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47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39.88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高春蓉</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408" w:right="138" w:hanging="272"/>
              <w:jc w:val="left"/>
              <w:rPr>
                <w:rFonts w:ascii="宋体" w:hAnsi="宋体" w:cs="宋体" w:eastAsia="宋体" w:hint="default"/>
                <w:sz w:val="18"/>
                <w:szCs w:val="18"/>
              </w:rPr>
            </w:pPr>
            <w:r>
              <w:rPr>
                <w:rFonts w:ascii="宋体" w:hAnsi="宋体" w:cs="宋体" w:eastAsia="宋体" w:hint="default"/>
                <w:sz w:val="18"/>
                <w:szCs w:val="18"/>
              </w:rPr>
              <w:t>副总经理、总 工程师</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40.28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张崧</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37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63.63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陈东</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52.34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孙烈峰</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42.02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8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1"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610.56</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619" w:right="0"/>
              <w:jc w:val="left"/>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2"/>
        <w:ind w:right="0"/>
        <w:jc w:val="left"/>
      </w:pPr>
      <w:r>
        <w:rPr/>
        <w:t>公司董事、高级管理人员报告期内被授予的股权激励情况</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right="0"/>
        <w:jc w:val="left"/>
      </w:pPr>
      <w:r>
        <w:rPr/>
        <w:t>√ 适用</w:t>
      </w:r>
      <w:r>
        <w:rPr>
          <w:spacing w:val="-1"/>
        </w:rPr>
        <w:t> </w:t>
      </w:r>
      <w:r>
        <w:rPr/>
        <w:t>□不适用</w:t>
      </w:r>
    </w:p>
    <w:p>
      <w:pPr>
        <w:pStyle w:val="BodyText"/>
        <w:spacing w:line="240" w:lineRule="auto" w:before="115"/>
        <w:ind w:left="0" w:right="1132"/>
        <w:jc w:val="right"/>
      </w:pPr>
      <w:r>
        <w:rPr/>
        <w:t>单位：股</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865"/>
        <w:gridCol w:w="980"/>
        <w:gridCol w:w="759"/>
        <w:gridCol w:w="869"/>
        <w:gridCol w:w="870"/>
        <w:gridCol w:w="870"/>
        <w:gridCol w:w="870"/>
        <w:gridCol w:w="870"/>
        <w:gridCol w:w="870"/>
        <w:gridCol w:w="870"/>
        <w:gridCol w:w="870"/>
      </w:tblGrid>
      <w:tr>
        <w:trPr>
          <w:trHeight w:val="1962" w:hRule="exact"/>
        </w:trPr>
        <w:tc>
          <w:tcPr>
            <w:tcW w:w="8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5"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05"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7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105" w:right="102"/>
              <w:jc w:val="both"/>
              <w:rPr>
                <w:rFonts w:ascii="宋体" w:hAnsi="宋体" w:cs="宋体" w:eastAsia="宋体" w:hint="default"/>
                <w:sz w:val="18"/>
                <w:szCs w:val="18"/>
              </w:rPr>
            </w:pPr>
            <w:r>
              <w:rPr>
                <w:rFonts w:ascii="宋体" w:hAnsi="宋体" w:cs="宋体" w:eastAsia="宋体" w:hint="default"/>
                <w:sz w:val="18"/>
                <w:szCs w:val="18"/>
              </w:rPr>
              <w:t>报告期 内可行 权股数</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159" w:right="157"/>
              <w:jc w:val="both"/>
              <w:rPr>
                <w:rFonts w:ascii="宋体" w:hAnsi="宋体" w:cs="宋体" w:eastAsia="宋体" w:hint="default"/>
                <w:sz w:val="18"/>
                <w:szCs w:val="18"/>
              </w:rPr>
            </w:pPr>
            <w:r>
              <w:rPr>
                <w:rFonts w:ascii="宋体" w:hAnsi="宋体" w:cs="宋体" w:eastAsia="宋体" w:hint="default"/>
                <w:sz w:val="18"/>
                <w:szCs w:val="18"/>
              </w:rPr>
              <w:t>报告期 内已行 权股数</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135" w:right="133" w:firstLine="24"/>
              <w:jc w:val="both"/>
              <w:rPr>
                <w:rFonts w:ascii="宋体" w:hAnsi="宋体" w:cs="宋体" w:eastAsia="宋体" w:hint="default"/>
                <w:sz w:val="18"/>
                <w:szCs w:val="18"/>
              </w:rPr>
            </w:pPr>
            <w:r>
              <w:rPr>
                <w:rFonts w:ascii="宋体" w:hAnsi="宋体" w:cs="宋体" w:eastAsia="宋体" w:hint="default"/>
                <w:sz w:val="18"/>
                <w:szCs w:val="18"/>
              </w:rPr>
              <w:t>报告期 内已行 权股数 行权价 格（元</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股）</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60" w:right="157"/>
              <w:jc w:val="left"/>
              <w:rPr>
                <w:rFonts w:ascii="宋体" w:hAnsi="宋体" w:cs="宋体" w:eastAsia="宋体" w:hint="default"/>
                <w:sz w:val="18"/>
                <w:szCs w:val="18"/>
              </w:rPr>
            </w:pPr>
            <w:r>
              <w:rPr>
                <w:rFonts w:ascii="宋体" w:hAnsi="宋体" w:cs="宋体" w:eastAsia="宋体" w:hint="default"/>
                <w:sz w:val="18"/>
                <w:szCs w:val="18"/>
              </w:rPr>
              <w:t>报告期 末市价</w:t>
            </w:r>
          </w:p>
          <w:p>
            <w:pPr>
              <w:pStyle w:val="TableParagraph"/>
              <w:spacing w:line="300" w:lineRule="auto" w:before="19"/>
              <w:ind w:left="249" w:right="223" w:hanging="24"/>
              <w:jc w:val="left"/>
              <w:rPr>
                <w:rFonts w:ascii="宋体" w:hAnsi="宋体" w:cs="宋体" w:eastAsia="宋体" w:hint="default"/>
                <w:sz w:val="18"/>
                <w:szCs w:val="18"/>
              </w:rPr>
            </w:pP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股）</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59" w:right="159"/>
              <w:jc w:val="both"/>
              <w:rPr>
                <w:rFonts w:ascii="宋体" w:hAnsi="宋体" w:cs="宋体" w:eastAsia="宋体" w:hint="default"/>
                <w:sz w:val="18"/>
                <w:szCs w:val="18"/>
              </w:rPr>
            </w:pPr>
            <w:r>
              <w:rPr>
                <w:rFonts w:ascii="宋体" w:hAnsi="宋体" w:cs="宋体" w:eastAsia="宋体" w:hint="default"/>
                <w:sz w:val="18"/>
                <w:szCs w:val="18"/>
              </w:rPr>
              <w:t>期初持 有限制 性股票 数量</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160" w:right="157"/>
              <w:jc w:val="both"/>
              <w:rPr>
                <w:rFonts w:ascii="宋体" w:hAnsi="宋体" w:cs="宋体" w:eastAsia="宋体" w:hint="default"/>
                <w:sz w:val="18"/>
                <w:szCs w:val="18"/>
              </w:rPr>
            </w:pPr>
            <w:r>
              <w:rPr>
                <w:rFonts w:ascii="宋体" w:hAnsi="宋体" w:cs="宋体" w:eastAsia="宋体" w:hint="default"/>
                <w:sz w:val="18"/>
                <w:szCs w:val="18"/>
              </w:rPr>
              <w:t>本期已 解锁股 份数量</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59" w:right="159"/>
              <w:jc w:val="center"/>
              <w:rPr>
                <w:rFonts w:ascii="宋体" w:hAnsi="宋体" w:cs="宋体" w:eastAsia="宋体" w:hint="default"/>
                <w:sz w:val="18"/>
                <w:szCs w:val="18"/>
              </w:rPr>
            </w:pPr>
            <w:r>
              <w:rPr>
                <w:rFonts w:ascii="宋体" w:hAnsi="宋体" w:cs="宋体" w:eastAsia="宋体" w:hint="default"/>
                <w:sz w:val="18"/>
                <w:szCs w:val="18"/>
              </w:rPr>
              <w:t>报告期 新授予 限制性 股票数 量</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4" w:lineRule="auto"/>
              <w:ind w:left="134" w:right="134" w:firstLine="26"/>
              <w:jc w:val="both"/>
              <w:rPr>
                <w:rFonts w:ascii="宋体" w:hAnsi="宋体" w:cs="宋体" w:eastAsia="宋体" w:hint="default"/>
                <w:sz w:val="18"/>
                <w:szCs w:val="18"/>
              </w:rPr>
            </w:pPr>
            <w:r>
              <w:rPr>
                <w:rFonts w:ascii="宋体" w:hAnsi="宋体" w:cs="宋体" w:eastAsia="宋体" w:hint="default"/>
                <w:sz w:val="18"/>
                <w:szCs w:val="18"/>
              </w:rPr>
              <w:t>限制性 股票的 授予价 格（元</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股）</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59" w:right="159"/>
              <w:jc w:val="both"/>
              <w:rPr>
                <w:rFonts w:ascii="宋体" w:hAnsi="宋体" w:cs="宋体" w:eastAsia="宋体" w:hint="default"/>
                <w:sz w:val="18"/>
                <w:szCs w:val="18"/>
              </w:rPr>
            </w:pPr>
            <w:r>
              <w:rPr>
                <w:rFonts w:ascii="宋体" w:hAnsi="宋体" w:cs="宋体" w:eastAsia="宋体" w:hint="default"/>
                <w:sz w:val="18"/>
                <w:szCs w:val="18"/>
              </w:rPr>
              <w:t>期末持 有限制 性股票 数量</w:t>
            </w:r>
          </w:p>
        </w:tc>
      </w:tr>
      <w:tr>
        <w:trPr>
          <w:trHeight w:val="402"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75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52" w:right="0"/>
              <w:jc w:val="left"/>
              <w:rPr>
                <w:rFonts w:ascii="Times New Roman" w:hAnsi="Times New Roman" w:cs="Times New Roman" w:eastAsia="Times New Roman" w:hint="default"/>
                <w:sz w:val="18"/>
                <w:szCs w:val="18"/>
              </w:rPr>
            </w:pPr>
            <w:r>
              <w:rPr>
                <w:rFonts w:ascii="Times New Roman"/>
                <w:sz w:val="18"/>
              </w:rPr>
              <w:t>19.15</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张吕峥</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45"/>
              <w:jc w:val="left"/>
              <w:rPr>
                <w:rFonts w:ascii="宋体" w:hAnsi="宋体" w:cs="宋体" w:eastAsia="宋体" w:hint="default"/>
                <w:sz w:val="18"/>
                <w:szCs w:val="18"/>
              </w:rPr>
            </w:pPr>
            <w:r>
              <w:rPr>
                <w:rFonts w:ascii="宋体" w:hAnsi="宋体" w:cs="宋体" w:eastAsia="宋体" w:hint="default"/>
                <w:sz w:val="18"/>
                <w:szCs w:val="18"/>
              </w:rPr>
              <w:t>董事、总 经理</w:t>
            </w:r>
          </w:p>
        </w:tc>
        <w:tc>
          <w:tcPr>
            <w:tcW w:w="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 w:right="0"/>
              <w:jc w:val="center"/>
              <w:rPr>
                <w:rFonts w:ascii="Times New Roman" w:hAnsi="Times New Roman" w:cs="Times New Roman" w:eastAsia="Times New Roman" w:hint="default"/>
                <w:sz w:val="18"/>
                <w:szCs w:val="18"/>
              </w:rPr>
            </w:pPr>
            <w:r>
              <w:rPr>
                <w:rFonts w:ascii="Times New Roman"/>
                <w:sz w:val="18"/>
              </w:rPr>
              <w:t>15,000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2" w:right="0"/>
              <w:jc w:val="left"/>
              <w:rPr>
                <w:rFonts w:ascii="Times New Roman" w:hAnsi="Times New Roman" w:cs="Times New Roman" w:eastAsia="Times New Roman" w:hint="default"/>
                <w:sz w:val="18"/>
                <w:szCs w:val="18"/>
              </w:rPr>
            </w:pPr>
            <w:r>
              <w:rPr>
                <w:rFonts w:ascii="Times New Roman"/>
                <w:sz w:val="18"/>
              </w:rPr>
              <w:t>19.15</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37,500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8.24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0" w:right="0"/>
              <w:jc w:val="center"/>
              <w:rPr>
                <w:rFonts w:ascii="Times New Roman" w:hAnsi="Times New Roman" w:cs="Times New Roman" w:eastAsia="Times New Roman" w:hint="default"/>
                <w:sz w:val="18"/>
                <w:szCs w:val="18"/>
              </w:rPr>
            </w:pPr>
            <w:r>
              <w:rPr>
                <w:rFonts w:ascii="Times New Roman"/>
                <w:sz w:val="18"/>
              </w:rPr>
              <w:t>75,000</w:t>
            </w:r>
          </w:p>
        </w:tc>
      </w:tr>
      <w:tr>
        <w:trPr>
          <w:trHeight w:val="402"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李寒穷</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5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52" w:right="0"/>
              <w:jc w:val="left"/>
              <w:rPr>
                <w:rFonts w:ascii="Times New Roman" w:hAnsi="Times New Roman" w:cs="Times New Roman" w:eastAsia="Times New Roman" w:hint="default"/>
                <w:sz w:val="18"/>
                <w:szCs w:val="18"/>
              </w:rPr>
            </w:pPr>
            <w:r>
              <w:rPr>
                <w:rFonts w:ascii="Times New Roman"/>
                <w:sz w:val="18"/>
              </w:rPr>
              <w:t>19.15</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胡燕</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45"/>
              <w:jc w:val="left"/>
              <w:rPr>
                <w:rFonts w:ascii="宋体" w:hAnsi="宋体" w:cs="宋体" w:eastAsia="宋体" w:hint="default"/>
                <w:sz w:val="18"/>
                <w:szCs w:val="18"/>
              </w:rPr>
            </w:pPr>
            <w:r>
              <w:rPr>
                <w:rFonts w:ascii="宋体" w:hAnsi="宋体" w:cs="宋体" w:eastAsia="宋体" w:hint="default"/>
                <w:sz w:val="18"/>
                <w:szCs w:val="18"/>
              </w:rPr>
              <w:t>董事、董 事会秘书</w:t>
            </w:r>
          </w:p>
        </w:tc>
        <w:tc>
          <w:tcPr>
            <w:tcW w:w="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 w:right="0"/>
              <w:jc w:val="center"/>
              <w:rPr>
                <w:rFonts w:ascii="Times New Roman" w:hAnsi="Times New Roman" w:cs="Times New Roman" w:eastAsia="Times New Roman" w:hint="default"/>
                <w:sz w:val="18"/>
                <w:szCs w:val="18"/>
              </w:rPr>
            </w:pPr>
            <w:r>
              <w:rPr>
                <w:rFonts w:ascii="Times New Roman"/>
                <w:sz w:val="18"/>
              </w:rPr>
              <w:t>15,000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2" w:right="0"/>
              <w:jc w:val="left"/>
              <w:rPr>
                <w:rFonts w:ascii="Times New Roman" w:hAnsi="Times New Roman" w:cs="Times New Roman" w:eastAsia="Times New Roman" w:hint="default"/>
                <w:sz w:val="18"/>
                <w:szCs w:val="18"/>
              </w:rPr>
            </w:pPr>
            <w:r>
              <w:rPr>
                <w:rFonts w:ascii="Times New Roman"/>
                <w:sz w:val="18"/>
              </w:rPr>
              <w:t>19.15</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8.24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0" w:right="0"/>
              <w:jc w:val="center"/>
              <w:rPr>
                <w:rFonts w:ascii="Times New Roman" w:hAnsi="Times New Roman" w:cs="Times New Roman" w:eastAsia="Times New Roman" w:hint="default"/>
                <w:sz w:val="18"/>
                <w:szCs w:val="18"/>
              </w:rPr>
            </w:pPr>
            <w:r>
              <w:rPr>
                <w:rFonts w:ascii="Times New Roman"/>
                <w:sz w:val="18"/>
              </w:rPr>
              <w:t>60,000</w:t>
            </w:r>
          </w:p>
        </w:tc>
      </w:tr>
      <w:tr>
        <w:trPr>
          <w:trHeight w:val="402"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赵晔</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5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52" w:right="0"/>
              <w:jc w:val="left"/>
              <w:rPr>
                <w:rFonts w:ascii="Times New Roman" w:hAnsi="Times New Roman" w:cs="Times New Roman" w:eastAsia="Times New Roman" w:hint="default"/>
                <w:sz w:val="18"/>
                <w:szCs w:val="18"/>
              </w:rPr>
            </w:pPr>
            <w:r>
              <w:rPr>
                <w:rFonts w:ascii="Times New Roman"/>
                <w:sz w:val="18"/>
              </w:rPr>
              <w:t>19.15</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应晶</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5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2" w:right="0"/>
              <w:jc w:val="left"/>
              <w:rPr>
                <w:rFonts w:ascii="Times New Roman" w:hAnsi="Times New Roman" w:cs="Times New Roman" w:eastAsia="Times New Roman" w:hint="default"/>
                <w:sz w:val="18"/>
                <w:szCs w:val="18"/>
              </w:rPr>
            </w:pPr>
            <w:r>
              <w:rPr>
                <w:rFonts w:ascii="Times New Roman"/>
                <w:sz w:val="18"/>
              </w:rPr>
              <w:t>19.15</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江乾坤</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5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52" w:right="0"/>
              <w:jc w:val="left"/>
              <w:rPr>
                <w:rFonts w:ascii="Times New Roman" w:hAnsi="Times New Roman" w:cs="Times New Roman" w:eastAsia="Times New Roman" w:hint="default"/>
                <w:sz w:val="18"/>
                <w:szCs w:val="18"/>
              </w:rPr>
            </w:pPr>
            <w:r>
              <w:rPr>
                <w:rFonts w:ascii="Times New Roman"/>
                <w:sz w:val="18"/>
              </w:rPr>
              <w:t>19.15</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凌云</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5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2" w:right="0"/>
              <w:jc w:val="left"/>
              <w:rPr>
                <w:rFonts w:ascii="Times New Roman" w:hAnsi="Times New Roman" w:cs="Times New Roman" w:eastAsia="Times New Roman" w:hint="default"/>
                <w:sz w:val="18"/>
                <w:szCs w:val="18"/>
              </w:rPr>
            </w:pPr>
            <w:r>
              <w:rPr>
                <w:rFonts w:ascii="Times New Roman"/>
                <w:sz w:val="18"/>
              </w:rPr>
              <w:t>19.15</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杨建刚</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5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52" w:right="0"/>
              <w:jc w:val="left"/>
              <w:rPr>
                <w:rFonts w:ascii="Times New Roman" w:hAnsi="Times New Roman" w:cs="Times New Roman" w:eastAsia="Times New Roman" w:hint="default"/>
                <w:sz w:val="18"/>
                <w:szCs w:val="18"/>
              </w:rPr>
            </w:pPr>
            <w:r>
              <w:rPr>
                <w:rFonts w:ascii="Times New Roman"/>
                <w:sz w:val="18"/>
              </w:rPr>
              <w:t>19.15</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郁燕萍</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75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2" w:right="0"/>
              <w:jc w:val="left"/>
              <w:rPr>
                <w:rFonts w:ascii="Times New Roman" w:hAnsi="Times New Roman" w:cs="Times New Roman" w:eastAsia="Times New Roman" w:hint="default"/>
                <w:sz w:val="18"/>
                <w:szCs w:val="18"/>
              </w:rPr>
            </w:pPr>
            <w:r>
              <w:rPr>
                <w:rFonts w:ascii="Times New Roman"/>
                <w:sz w:val="18"/>
              </w:rPr>
              <w:t>19.15</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8.24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120,000</w:t>
            </w:r>
          </w:p>
        </w:tc>
      </w:tr>
      <w:tr>
        <w:trPr>
          <w:trHeight w:val="1026"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1" w:right="0"/>
              <w:jc w:val="left"/>
              <w:rPr>
                <w:rFonts w:ascii="宋体" w:hAnsi="宋体" w:cs="宋体" w:eastAsia="宋体" w:hint="default"/>
                <w:sz w:val="18"/>
                <w:szCs w:val="18"/>
              </w:rPr>
            </w:pPr>
            <w:r>
              <w:rPr>
                <w:rFonts w:ascii="宋体" w:hAnsi="宋体" w:cs="宋体" w:eastAsia="宋体" w:hint="default"/>
                <w:sz w:val="18"/>
                <w:szCs w:val="18"/>
              </w:rPr>
              <w:t>高春蓉</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145"/>
              <w:jc w:val="left"/>
              <w:rPr>
                <w:rFonts w:ascii="宋体" w:hAnsi="宋体" w:cs="宋体" w:eastAsia="宋体" w:hint="default"/>
                <w:sz w:val="18"/>
                <w:szCs w:val="18"/>
              </w:rPr>
            </w:pPr>
            <w:r>
              <w:rPr>
                <w:rFonts w:ascii="宋体" w:hAnsi="宋体" w:cs="宋体" w:eastAsia="宋体" w:hint="default"/>
                <w:sz w:val="18"/>
                <w:szCs w:val="18"/>
              </w:rPr>
              <w:t>副总经 理、总工 程师</w:t>
            </w:r>
          </w:p>
        </w:tc>
        <w:tc>
          <w:tcPr>
            <w:tcW w:w="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7" w:right="0"/>
              <w:jc w:val="center"/>
              <w:rPr>
                <w:rFonts w:ascii="Times New Roman" w:hAnsi="Times New Roman" w:cs="Times New Roman" w:eastAsia="Times New Roman" w:hint="default"/>
                <w:sz w:val="18"/>
                <w:szCs w:val="18"/>
              </w:rPr>
            </w:pPr>
            <w:r>
              <w:rPr>
                <w:rFonts w:ascii="Times New Roman"/>
                <w:sz w:val="18"/>
              </w:rPr>
              <w:t>15,000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352" w:right="0"/>
              <w:jc w:val="left"/>
              <w:rPr>
                <w:rFonts w:ascii="Times New Roman" w:hAnsi="Times New Roman" w:cs="Times New Roman" w:eastAsia="Times New Roman" w:hint="default"/>
                <w:sz w:val="18"/>
                <w:szCs w:val="18"/>
              </w:rPr>
            </w:pPr>
            <w:r>
              <w:rPr>
                <w:rFonts w:ascii="Times New Roman"/>
                <w:sz w:val="18"/>
              </w:rPr>
              <w:t>19.15</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方宝林</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 w:right="0"/>
              <w:jc w:val="center"/>
              <w:rPr>
                <w:rFonts w:ascii="Times New Roman" w:hAnsi="Times New Roman" w:cs="Times New Roman" w:eastAsia="Times New Roman" w:hint="default"/>
                <w:sz w:val="18"/>
                <w:szCs w:val="18"/>
              </w:rPr>
            </w:pPr>
            <w:r>
              <w:rPr>
                <w:rFonts w:ascii="Times New Roman"/>
                <w:sz w:val="18"/>
              </w:rPr>
              <w:t>15,000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2" w:right="0"/>
              <w:jc w:val="left"/>
              <w:rPr>
                <w:rFonts w:ascii="Times New Roman" w:hAnsi="Times New Roman" w:cs="Times New Roman" w:eastAsia="Times New Roman" w:hint="default"/>
                <w:sz w:val="18"/>
                <w:szCs w:val="18"/>
              </w:rPr>
            </w:pPr>
            <w:r>
              <w:rPr>
                <w:rFonts w:ascii="Times New Roman"/>
                <w:sz w:val="18"/>
              </w:rPr>
              <w:t>19.15</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8.24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0" w:right="0"/>
              <w:jc w:val="center"/>
              <w:rPr>
                <w:rFonts w:ascii="Times New Roman" w:hAnsi="Times New Roman" w:cs="Times New Roman" w:eastAsia="Times New Roman" w:hint="default"/>
                <w:sz w:val="18"/>
                <w:szCs w:val="18"/>
              </w:rPr>
            </w:pPr>
            <w:r>
              <w:rPr>
                <w:rFonts w:ascii="Times New Roman"/>
                <w:sz w:val="18"/>
              </w:rPr>
              <w:t>60,000</w:t>
            </w:r>
          </w:p>
        </w:tc>
      </w:tr>
      <w:tr>
        <w:trPr>
          <w:trHeight w:val="402"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张崧</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75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52" w:right="0"/>
              <w:jc w:val="left"/>
              <w:rPr>
                <w:rFonts w:ascii="Times New Roman" w:hAnsi="Times New Roman" w:cs="Times New Roman" w:eastAsia="Times New Roman" w:hint="default"/>
                <w:sz w:val="18"/>
                <w:szCs w:val="18"/>
              </w:rPr>
            </w:pPr>
            <w:r>
              <w:rPr>
                <w:rFonts w:ascii="Times New Roman"/>
                <w:sz w:val="18"/>
              </w:rPr>
              <w:t>19.15</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8.24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69" w:right="0"/>
              <w:jc w:val="center"/>
              <w:rPr>
                <w:rFonts w:ascii="Times New Roman" w:hAnsi="Times New Roman" w:cs="Times New Roman" w:eastAsia="Times New Roman" w:hint="default"/>
                <w:sz w:val="18"/>
                <w:szCs w:val="18"/>
              </w:rPr>
            </w:pPr>
            <w:r>
              <w:rPr>
                <w:rFonts w:ascii="Times New Roman"/>
                <w:sz w:val="18"/>
              </w:rPr>
              <w:t>120,000</w:t>
            </w:r>
          </w:p>
        </w:tc>
      </w:tr>
      <w:tr>
        <w:trPr>
          <w:trHeight w:val="402"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陈东</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75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2" w:right="0"/>
              <w:jc w:val="left"/>
              <w:rPr>
                <w:rFonts w:ascii="Times New Roman" w:hAnsi="Times New Roman" w:cs="Times New Roman" w:eastAsia="Times New Roman" w:hint="default"/>
                <w:sz w:val="18"/>
                <w:szCs w:val="18"/>
              </w:rPr>
            </w:pPr>
            <w:r>
              <w:rPr>
                <w:rFonts w:ascii="Times New Roman"/>
                <w:sz w:val="18"/>
              </w:rPr>
              <w:t>19.15</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孙烈峰</w:t>
            </w:r>
          </w:p>
        </w:tc>
        <w:tc>
          <w:tcPr>
            <w:tcW w:w="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759"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52" w:right="0"/>
              <w:jc w:val="left"/>
              <w:rPr>
                <w:rFonts w:ascii="Times New Roman" w:hAnsi="Times New Roman" w:cs="Times New Roman" w:eastAsia="Times New Roman" w:hint="default"/>
                <w:sz w:val="18"/>
                <w:szCs w:val="18"/>
              </w:rPr>
            </w:pPr>
            <w:r>
              <w:rPr>
                <w:rFonts w:ascii="Times New Roman"/>
                <w:sz w:val="18"/>
              </w:rPr>
              <w:t>19.15</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8.24</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0" w:right="0"/>
              <w:jc w:val="center"/>
              <w:rPr>
                <w:rFonts w:ascii="Times New Roman" w:hAnsi="Times New Roman" w:cs="Times New Roman" w:eastAsia="Times New Roman" w:hint="default"/>
                <w:sz w:val="18"/>
                <w:szCs w:val="18"/>
              </w:rPr>
            </w:pPr>
            <w:r>
              <w:rPr>
                <w:rFonts w:ascii="Times New Roman"/>
                <w:sz w:val="18"/>
              </w:rPr>
              <w:t>60,000</w:t>
            </w:r>
          </w:p>
        </w:tc>
      </w:tr>
      <w:tr>
        <w:trPr>
          <w:trHeight w:val="402" w:hRule="exact"/>
        </w:trPr>
        <w:tc>
          <w:tcPr>
            <w:tcW w:w="8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 w:right="0"/>
              <w:jc w:val="center"/>
              <w:rPr>
                <w:rFonts w:ascii="Times New Roman" w:hAnsi="Times New Roman" w:cs="Times New Roman" w:eastAsia="Times New Roman" w:hint="default"/>
                <w:sz w:val="18"/>
                <w:szCs w:val="18"/>
              </w:rPr>
            </w:pPr>
            <w:r>
              <w:rPr>
                <w:rFonts w:ascii="Times New Roman"/>
                <w:sz w:val="18"/>
              </w:rPr>
              <w:t>60,000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71" w:right="0"/>
              <w:jc w:val="left"/>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247,500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495,000</w:t>
            </w:r>
          </w:p>
        </w:tc>
      </w:tr>
    </w:tbl>
    <w:p>
      <w:pPr>
        <w:spacing w:line="240" w:lineRule="auto" w:before="2"/>
        <w:rPr>
          <w:rFonts w:ascii="宋体" w:hAnsi="宋体" w:cs="宋体" w:eastAsia="宋体" w:hint="default"/>
          <w:sz w:val="18"/>
          <w:szCs w:val="18"/>
        </w:rPr>
      </w:pPr>
    </w:p>
    <w:p>
      <w:pPr>
        <w:pStyle w:val="Heading2"/>
        <w:spacing w:line="240" w:lineRule="auto" w:before="26"/>
        <w:ind w:right="0"/>
        <w:jc w:val="left"/>
        <w:rPr>
          <w:b w:val="0"/>
          <w:bCs w:val="0"/>
        </w:rPr>
      </w:pPr>
      <w:bookmarkStart w:name="五、公司员工情况" w:id="138"/>
      <w:bookmarkEnd w:id="138"/>
      <w:r>
        <w:rPr>
          <w:b w:val="0"/>
          <w:bCs w:val="0"/>
        </w:rPr>
      </w:r>
      <w:r>
        <w:rPr/>
        <w:t>五、公司员工情况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员工数量、专业构成及教育程度" w:id="139"/>
      <w:bookmarkEnd w:id="139"/>
      <w:r>
        <w:rPr>
          <w:b w:val="0"/>
          <w:bCs w:val="0"/>
        </w:rPr>
      </w:r>
      <w:r>
        <w:rPr>
          <w:rFonts w:ascii="Times New Roman" w:hAnsi="Times New Roman" w:cs="Times New Roman" w:eastAsia="Times New Roman" w:hint="default"/>
        </w:rPr>
        <w:t>1</w:t>
      </w:r>
      <w:r>
        <w:rPr/>
        <w:t>、员工数量、专业构成及教育程度</w:t>
      </w:r>
      <w:r>
        <w:rPr>
          <w:b w:val="0"/>
          <w:bCs w:val="0"/>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4784"/>
        <w:gridCol w:w="4784"/>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1,991</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z w:val="18"/>
              </w:rPr>
              <w:t>1,066</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3,057</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z w:val="18"/>
              </w:rPr>
              <w:t>3,057</w:t>
            </w:r>
          </w:p>
        </w:tc>
      </w:tr>
      <w:tr>
        <w:trPr>
          <w:trHeight w:val="400"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4784"/>
        <w:gridCol w:w="4784"/>
      </w:tblGrid>
      <w:tr>
        <w:trPr>
          <w:trHeight w:val="402"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7"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1,725</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265</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880</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35</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152</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3,057</w:t>
            </w:r>
          </w:p>
        </w:tc>
      </w:tr>
      <w:tr>
        <w:trPr>
          <w:trHeight w:val="402"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博士</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4</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硕士</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77</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本科</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1,584</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本科以下</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z w:val="18"/>
              </w:rPr>
              <w:t>1,392</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3,057</w:t>
            </w:r>
          </w:p>
        </w:tc>
      </w:tr>
    </w:tbl>
    <w:p>
      <w:pPr>
        <w:spacing w:line="240" w:lineRule="auto" w:before="4"/>
        <w:rPr>
          <w:rFonts w:ascii="宋体" w:hAnsi="宋体" w:cs="宋体" w:eastAsia="宋体" w:hint="default"/>
          <w:b/>
          <w:bCs/>
          <w:sz w:val="19"/>
          <w:szCs w:val="19"/>
        </w:rPr>
      </w:pPr>
    </w:p>
    <w:p>
      <w:pPr>
        <w:pStyle w:val="Heading3"/>
        <w:spacing w:line="240" w:lineRule="auto" w:before="34"/>
        <w:ind w:right="0"/>
        <w:jc w:val="left"/>
        <w:rPr>
          <w:b w:val="0"/>
          <w:bCs w:val="0"/>
        </w:rPr>
      </w:pPr>
      <w:bookmarkStart w:name="2、薪酬政策" w:id="140"/>
      <w:bookmarkEnd w:id="140"/>
      <w:r>
        <w:rPr>
          <w:b w:val="0"/>
          <w:bCs w:val="0"/>
        </w:rPr>
      </w:r>
      <w:r>
        <w:rPr>
          <w:rFonts w:ascii="Times New Roman" w:hAnsi="Times New Roman" w:cs="Times New Roman" w:eastAsia="Times New Roman" w:hint="default"/>
        </w:rPr>
        <w:t>2</w:t>
      </w:r>
      <w:r>
        <w:rPr/>
        <w:t>、薪酬政策</w:t>
      </w:r>
      <w:r>
        <w:rPr>
          <w:b w:val="0"/>
          <w:bCs w:val="0"/>
        </w:rPr>
      </w:r>
    </w:p>
    <w:p>
      <w:pPr>
        <w:spacing w:line="240" w:lineRule="auto" w:before="7"/>
        <w:rPr>
          <w:rFonts w:ascii="宋体" w:hAnsi="宋体" w:cs="宋体" w:eastAsia="宋体" w:hint="default"/>
          <w:b/>
          <w:bCs/>
          <w:sz w:val="26"/>
          <w:szCs w:val="26"/>
        </w:rPr>
      </w:pPr>
    </w:p>
    <w:p>
      <w:pPr>
        <w:pStyle w:val="BodyText"/>
        <w:spacing w:line="338" w:lineRule="auto"/>
        <w:ind w:right="0" w:firstLine="360"/>
        <w:jc w:val="left"/>
      </w:pPr>
      <w:r>
        <w:rPr>
          <w:spacing w:val="-2"/>
        </w:rPr>
        <w:t>公司薪酬政策坚持与岗位价值相匹配的基本原则，同时兼顾技术与专业化能力的差别化对待，根据不同类别岗位职级制</w:t>
      </w:r>
      <w:r>
        <w:rPr/>
        <w:t> 定相应的薪酬等级体系，在每个岗位职级内根据其技术能力、专业化能力水平确定对应的薪酬。 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号——上市公司从事软件与信息技术服务业务》的披露要求</w:t>
      </w:r>
    </w:p>
    <w:p>
      <w:pPr>
        <w:pStyle w:val="BodyText"/>
        <w:spacing w:line="240" w:lineRule="auto" w:before="22"/>
        <w:ind w:left="472" w:right="0"/>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3"/>
        </w:rPr>
        <w:t> </w:t>
      </w:r>
      <w:r>
        <w:rPr/>
        <w:t>年度公司计入成本部分的职工薪酬总额</w:t>
      </w:r>
      <w:r>
        <w:rPr>
          <w:spacing w:val="-47"/>
        </w:rPr>
        <w:t> </w:t>
      </w:r>
      <w:r>
        <w:rPr>
          <w:rFonts w:ascii="Times New Roman" w:hAnsi="Times New Roman" w:cs="Times New Roman" w:eastAsia="Times New Roman" w:hint="default"/>
        </w:rPr>
        <w:t>17,421.16</w:t>
      </w:r>
      <w:r>
        <w:rPr>
          <w:rFonts w:ascii="Times New Roman" w:hAnsi="Times New Roman" w:cs="Times New Roman" w:eastAsia="Times New Roman" w:hint="default"/>
          <w:spacing w:val="-3"/>
        </w:rPr>
        <w:t> </w:t>
      </w:r>
      <w:r>
        <w:rPr/>
        <w:t>万元，占公司本期营业成本的</w:t>
      </w:r>
      <w:r>
        <w:rPr>
          <w:spacing w:val="-49"/>
        </w:rPr>
        <w:t> </w:t>
      </w:r>
      <w:r>
        <w:rPr>
          <w:rFonts w:ascii="Times New Roman" w:hAnsi="Times New Roman" w:cs="Times New Roman" w:eastAsia="Times New Roman" w:hint="default"/>
        </w:rPr>
        <w:t>26.87%</w:t>
      </w:r>
      <w:r>
        <w:rPr/>
        <w:t>。</w:t>
      </w:r>
      <w:r>
        <w:rPr>
          <w:rFonts w:ascii="Times New Roman" w:hAnsi="Times New Roman" w:cs="Times New Roman" w:eastAsia="Times New Roman" w:hint="default"/>
        </w:rPr>
        <w:t>2018</w:t>
      </w:r>
      <w:r>
        <w:rPr>
          <w:rFonts w:ascii="Times New Roman" w:hAnsi="Times New Roman" w:cs="Times New Roman" w:eastAsia="Times New Roman" w:hint="default"/>
          <w:spacing w:val="-3"/>
        </w:rPr>
        <w:t> </w:t>
      </w:r>
      <w:r>
        <w:rPr/>
        <w:t>年末公司技术人员</w:t>
      </w:r>
    </w:p>
    <w:p>
      <w:pPr>
        <w:pStyle w:val="BodyText"/>
        <w:spacing w:line="240" w:lineRule="auto" w:before="63"/>
        <w:ind w:right="0"/>
        <w:jc w:val="left"/>
      </w:pPr>
      <w:r>
        <w:rPr/>
        <w:t>数量</w:t>
      </w:r>
      <w:r>
        <w:rPr>
          <w:spacing w:val="-46"/>
        </w:rPr>
        <w:t> </w:t>
      </w:r>
      <w:r>
        <w:rPr>
          <w:rFonts w:ascii="Times New Roman" w:hAnsi="Times New Roman" w:cs="Times New Roman" w:eastAsia="Times New Roman" w:hint="default"/>
        </w:rPr>
        <w:t>880</w:t>
      </w:r>
      <w:r>
        <w:rPr>
          <w:rFonts w:ascii="Times New Roman" w:hAnsi="Times New Roman" w:cs="Times New Roman" w:eastAsia="Times New Roman" w:hint="default"/>
          <w:spacing w:val="-2"/>
        </w:rPr>
        <w:t> </w:t>
      </w:r>
      <w:r>
        <w:rPr/>
        <w:t>人，与上年同期相比无重大变动。</w:t>
      </w:r>
    </w:p>
    <w:p>
      <w:pPr>
        <w:spacing w:line="240" w:lineRule="auto" w:before="13"/>
        <w:rPr>
          <w:rFonts w:ascii="宋体" w:hAnsi="宋体" w:cs="宋体" w:eastAsia="宋体" w:hint="default"/>
          <w:sz w:val="25"/>
          <w:szCs w:val="25"/>
        </w:rPr>
      </w:pPr>
    </w:p>
    <w:p>
      <w:pPr>
        <w:pStyle w:val="Heading3"/>
        <w:spacing w:line="240" w:lineRule="auto"/>
        <w:ind w:right="0"/>
        <w:jc w:val="left"/>
        <w:rPr>
          <w:b w:val="0"/>
          <w:bCs w:val="0"/>
        </w:rPr>
      </w:pPr>
      <w:bookmarkStart w:name="3、培训计划" w:id="141"/>
      <w:bookmarkEnd w:id="141"/>
      <w:r>
        <w:rPr>
          <w:b w:val="0"/>
          <w:bCs w:val="0"/>
        </w:rPr>
      </w:r>
      <w:r>
        <w:rPr>
          <w:rFonts w:ascii="Times New Roman" w:hAnsi="Times New Roman" w:cs="Times New Roman" w:eastAsia="Times New Roman" w:hint="default"/>
        </w:rPr>
        <w:t>3</w:t>
      </w:r>
      <w:r>
        <w:rPr/>
        <w:t>、培训计划</w:t>
      </w:r>
      <w:r>
        <w:rPr>
          <w:b w:val="0"/>
          <w:bCs w:val="0"/>
        </w:rPr>
      </w:r>
    </w:p>
    <w:p>
      <w:pPr>
        <w:spacing w:line="240" w:lineRule="auto" w:before="4"/>
        <w:rPr>
          <w:rFonts w:ascii="宋体" w:hAnsi="宋体" w:cs="宋体" w:eastAsia="宋体" w:hint="default"/>
          <w:b/>
          <w:bCs/>
          <w:sz w:val="26"/>
          <w:szCs w:val="26"/>
        </w:rPr>
      </w:pPr>
    </w:p>
    <w:p>
      <w:pPr>
        <w:pStyle w:val="BodyText"/>
        <w:spacing w:line="316" w:lineRule="auto"/>
        <w:ind w:right="1034" w:firstLine="360"/>
        <w:jc w:val="left"/>
      </w:pPr>
      <w:r>
        <w:rPr>
          <w:spacing w:val="-2"/>
        </w:rPr>
        <w:t>人力资源一直是公司的核心战略资源，公司坚持“以人为本”的人才方针，不断完善人力资源管理体系建设。公司始终</w:t>
      </w:r>
      <w:r>
        <w:rPr/>
        <w:t> 非常重视企业员工的发展，每年根据各部门自身情况，经过需求调查以及往年的培训结果反馈，编制各部门年度培训计划， 并报人力资源部备案。公司人力资源部每年根据需求制定对相关岗位人员的年度培训计划，报公司批准后执行。</w:t>
      </w:r>
    </w:p>
    <w:p>
      <w:pPr>
        <w:spacing w:line="240" w:lineRule="auto" w:before="8"/>
        <w:rPr>
          <w:rFonts w:ascii="宋体" w:hAnsi="宋体" w:cs="宋体" w:eastAsia="宋体" w:hint="default"/>
          <w:sz w:val="22"/>
          <w:szCs w:val="22"/>
        </w:rPr>
      </w:pPr>
    </w:p>
    <w:p>
      <w:pPr>
        <w:pStyle w:val="Heading3"/>
        <w:spacing w:line="240" w:lineRule="auto"/>
        <w:ind w:right="0"/>
        <w:jc w:val="left"/>
        <w:rPr>
          <w:b w:val="0"/>
          <w:bCs w:val="0"/>
        </w:rPr>
      </w:pPr>
      <w:bookmarkStart w:name="4、劳务外包情况" w:id="142"/>
      <w:bookmarkEnd w:id="142"/>
      <w:r>
        <w:rPr>
          <w:b w:val="0"/>
          <w:bCs w:val="0"/>
        </w:rPr>
      </w:r>
      <w:r>
        <w:rPr>
          <w:rFonts w:ascii="Times New Roman" w:hAnsi="Times New Roman" w:cs="Times New Roman" w:eastAsia="Times New Roman" w:hint="default"/>
        </w:rPr>
        <w:t>4</w:t>
      </w:r>
      <w:r>
        <w:rPr/>
        <w:t>、劳务外包情况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204" w:right="0"/>
        <w:jc w:val="left"/>
      </w:pPr>
      <w:r>
        <w:rPr/>
        <w:t>□ 适用  √</w:t>
      </w:r>
      <w:r>
        <w:rPr>
          <w:spacing w:val="-1"/>
        </w:rPr>
        <w:t> </w:t>
      </w:r>
      <w:r>
        <w:rPr/>
        <w:t>不适用</w:t>
      </w:r>
    </w:p>
    <w:p>
      <w:pPr>
        <w:spacing w:after="0" w:line="240" w:lineRule="auto"/>
        <w:jc w:val="left"/>
        <w:sectPr>
          <w:pgSz w:w="11910" w:h="16840"/>
          <w:pgMar w:header="907" w:footer="1016"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right="3297"/>
        <w:jc w:val="center"/>
        <w:rPr>
          <w:b w:val="0"/>
          <w:bCs w:val="0"/>
        </w:rPr>
      </w:pPr>
      <w:bookmarkStart w:name="第九节公司治理" w:id="143"/>
      <w:bookmarkEnd w:id="143"/>
      <w:r>
        <w:rPr>
          <w:b w:val="0"/>
          <w:bCs w:val="0"/>
        </w:rPr>
      </w:r>
      <w:bookmarkStart w:name="_bookmark7" w:id="144"/>
      <w:bookmarkEnd w:id="144"/>
      <w:r>
        <w:rPr>
          <w:b w:val="0"/>
          <w:bCs w:val="0"/>
        </w:rPr>
      </w:r>
      <w:r>
        <w:rPr/>
        <w:t>第九节公司治理</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pStyle w:val="Heading2"/>
        <w:spacing w:line="240" w:lineRule="auto" w:before="26"/>
        <w:ind w:right="0"/>
        <w:jc w:val="both"/>
        <w:rPr>
          <w:b w:val="0"/>
          <w:bCs w:val="0"/>
        </w:rPr>
      </w:pPr>
      <w:bookmarkStart w:name="一、公司治理的基本状况" w:id="145"/>
      <w:bookmarkEnd w:id="145"/>
      <w:r>
        <w:rPr>
          <w:b w:val="0"/>
          <w:bCs w:val="0"/>
        </w:rPr>
      </w:r>
      <w:r>
        <w:rPr/>
        <w:t>一、公司治理的基本状况</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1132" w:firstLine="360"/>
        <w:jc w:val="both"/>
      </w:pPr>
      <w:r>
        <w:rPr>
          <w:spacing w:val="-12"/>
        </w:rPr>
        <w:t>公司严格按照《公司法》、《证券法》、《深圳证券交易所创业板股票上市规则》、《深圳证券交易所创业板上市公司规范运</w:t>
      </w:r>
      <w:r>
        <w:rPr/>
        <w:t> </w:t>
      </w:r>
      <w:r>
        <w:rPr>
          <w:spacing w:val="-2"/>
        </w:rPr>
        <w:t>作指引》等相关法律、法规和规范性文件的要求，不断完善公司的法人治理结构，建立健全公司内部管理和控制制度，持续</w:t>
      </w:r>
      <w:r>
        <w:rPr>
          <w:spacing w:val="-65"/>
        </w:rPr>
        <w:t> </w:t>
      </w:r>
      <w:r>
        <w:rPr>
          <w:spacing w:val="-65"/>
        </w:rPr>
      </w:r>
      <w:r>
        <w:rPr>
          <w:spacing w:val="-2"/>
        </w:rPr>
        <w:t>深入开展公司治理活动，促进公司规范运作，提高公司治理水平。报告期内，公司股东大会、董事会、监事会依法运作，公</w:t>
      </w:r>
      <w:r>
        <w:rPr>
          <w:spacing w:val="-64"/>
        </w:rPr>
        <w:t> </w:t>
      </w:r>
      <w:r>
        <w:rPr>
          <w:spacing w:val="-64"/>
        </w:rPr>
      </w:r>
      <w:r>
        <w:rPr/>
        <w:t>司治理的实际情况符合中国证监会、深圳证券交易所等发布的法律法规和规范性文件的要求。</w:t>
      </w:r>
    </w:p>
    <w:p>
      <w:pPr>
        <w:pStyle w:val="BodyText"/>
        <w:spacing w:line="316" w:lineRule="auto" w:before="19"/>
        <w:ind w:right="1132" w:firstLine="360"/>
        <w:jc w:val="both"/>
      </w:pPr>
      <w:r>
        <w:rPr/>
        <w:t>截止目前</w:t>
      </w:r>
      <w:r>
        <w:rPr>
          <w:spacing w:val="-20"/>
        </w:rPr>
        <w:t>，</w:t>
      </w:r>
      <w:r>
        <w:rPr/>
        <w:t>公司依据监管部门和公司实际情况在治理方面制定了各项规章制度</w:t>
      </w:r>
      <w:r>
        <w:rPr>
          <w:spacing w:val="-22"/>
        </w:rPr>
        <w:t>，</w:t>
      </w:r>
      <w:r>
        <w:rPr/>
        <w:t>主要</w:t>
      </w:r>
      <w:r>
        <w:rPr>
          <w:spacing w:val="-20"/>
        </w:rPr>
        <w:t>有</w:t>
      </w:r>
      <w:r>
        <w:rPr/>
        <w:t>《公司章程</w:t>
      </w:r>
      <w:r>
        <w:rPr>
          <w:spacing w:val="-92"/>
        </w:rPr>
        <w:t>》</w:t>
      </w:r>
      <w:r>
        <w:rPr>
          <w:spacing w:val="-111"/>
        </w:rPr>
        <w:t>、</w:t>
      </w:r>
      <w:r>
        <w:rPr/>
        <w:t>《股东大会议事规</w:t>
      </w:r>
      <w:r>
        <w:rPr/>
        <w:t> 则</w:t>
      </w:r>
      <w:r>
        <w:rPr>
          <w:spacing w:val="-89"/>
        </w:rPr>
        <w:t>》</w:t>
      </w:r>
      <w:r>
        <w:rPr>
          <w:spacing w:val="-104"/>
        </w:rPr>
        <w:t>、</w:t>
      </w:r>
      <w:r>
        <w:rPr/>
        <w:t>《董事会议事规则</w:t>
      </w:r>
      <w:r>
        <w:rPr>
          <w:spacing w:val="-92"/>
        </w:rPr>
        <w:t>》</w:t>
      </w:r>
      <w:r>
        <w:rPr>
          <w:spacing w:val="-104"/>
        </w:rPr>
        <w:t>、</w:t>
      </w:r>
      <w:r>
        <w:rPr/>
        <w:t>《监事会议事规则</w:t>
      </w:r>
      <w:r>
        <w:rPr>
          <w:spacing w:val="-92"/>
        </w:rPr>
        <w:t>》</w:t>
      </w:r>
      <w:r>
        <w:rPr>
          <w:spacing w:val="-104"/>
        </w:rPr>
        <w:t>、</w:t>
      </w:r>
      <w:r>
        <w:rPr/>
        <w:t>《独立董事工作制度</w:t>
      </w:r>
      <w:r>
        <w:rPr>
          <w:spacing w:val="-89"/>
        </w:rPr>
        <w:t>》</w:t>
      </w:r>
      <w:r>
        <w:rPr>
          <w:spacing w:val="-104"/>
        </w:rPr>
        <w:t>、</w:t>
      </w:r>
      <w:r>
        <w:rPr/>
        <w:t>《战略委员会工作规则</w:t>
      </w:r>
      <w:r>
        <w:rPr>
          <w:spacing w:val="-92"/>
        </w:rPr>
        <w:t>》</w:t>
      </w:r>
      <w:r>
        <w:rPr>
          <w:spacing w:val="-104"/>
        </w:rPr>
        <w:t>、</w:t>
      </w:r>
      <w:r>
        <w:rPr/>
        <w:t>《审计委员会工作规则</w:t>
      </w:r>
      <w:r>
        <w:rPr>
          <w:spacing w:val="-92"/>
        </w:rPr>
        <w:t>》</w:t>
      </w:r>
      <w:r>
        <w:rPr>
          <w:spacing w:val="-104"/>
        </w:rPr>
        <w:t>、</w:t>
      </w:r>
      <w:r>
        <w:rPr/>
        <w:t>《提</w:t>
      </w:r>
      <w:r>
        <w:rPr/>
        <w:t> 名委员会工作规则</w:t>
      </w:r>
      <w:r>
        <w:rPr>
          <w:spacing w:val="-89"/>
        </w:rPr>
        <w:t>》</w:t>
      </w:r>
      <w:r>
        <w:rPr>
          <w:spacing w:val="-92"/>
        </w:rPr>
        <w:t>、</w:t>
      </w:r>
      <w:r>
        <w:rPr/>
        <w:t>《薪酬与考核委员会工作规则</w:t>
      </w:r>
      <w:r>
        <w:rPr>
          <w:spacing w:val="-89"/>
        </w:rPr>
        <w:t>》</w:t>
      </w:r>
      <w:r>
        <w:rPr>
          <w:spacing w:val="-92"/>
        </w:rPr>
        <w:t>、</w:t>
      </w:r>
      <w:r>
        <w:rPr/>
        <w:t>《总经理工作细则</w:t>
      </w:r>
      <w:r>
        <w:rPr>
          <w:spacing w:val="-89"/>
        </w:rPr>
        <w:t>》</w:t>
      </w:r>
      <w:r>
        <w:rPr>
          <w:spacing w:val="-92"/>
        </w:rPr>
        <w:t>、</w:t>
      </w:r>
      <w:r>
        <w:rPr/>
        <w:t>《董事会秘书工作细则</w:t>
      </w:r>
      <w:r>
        <w:rPr>
          <w:spacing w:val="-89"/>
        </w:rPr>
        <w:t>》</w:t>
      </w:r>
      <w:r>
        <w:rPr>
          <w:spacing w:val="-92"/>
        </w:rPr>
        <w:t>、</w:t>
      </w:r>
      <w:r>
        <w:rPr/>
        <w:t>《对外投资管理制度</w:t>
      </w:r>
      <w:r>
        <w:rPr>
          <w:spacing w:val="-89"/>
        </w:rPr>
        <w:t>》</w:t>
      </w:r>
      <w:r>
        <w:rPr/>
        <w:t>、</w:t>
      </w:r>
    </w:p>
    <w:p>
      <w:pPr>
        <w:pStyle w:val="BodyText"/>
        <w:spacing w:line="316" w:lineRule="auto" w:before="19"/>
        <w:ind w:right="1132"/>
        <w:jc w:val="both"/>
      </w:pPr>
      <w:r>
        <w:rPr>
          <w:spacing w:val="-12"/>
        </w:rPr>
        <w:t>《对外担保管理制度》《关联交易决策制度》、《募集资金管理制度》、《内部审计制度》、《内部控制制度》等规章制度。通过</w:t>
      </w:r>
      <w:r>
        <w:rPr>
          <w:spacing w:val="-38"/>
        </w:rPr>
        <w:t> </w:t>
      </w:r>
      <w:r>
        <w:rPr>
          <w:spacing w:val="-38"/>
        </w:rPr>
      </w:r>
      <w:r>
        <w:rPr>
          <w:spacing w:val="-2"/>
        </w:rPr>
        <w:t>一系列制度的制定，搭建了较为完善的公司法人治理结构的制度平台，从制度上明确了股东大会、董事会、监事会及管理层</w:t>
      </w:r>
      <w:r>
        <w:rPr>
          <w:spacing w:val="-66"/>
        </w:rPr>
        <w:t> </w:t>
      </w:r>
      <w:r>
        <w:rPr>
          <w:spacing w:val="-66"/>
        </w:rPr>
      </w:r>
      <w:r>
        <w:rPr/>
        <w:t>各自应履行的职责和议事规程，从而为公司的规范运作提供了制度保障。</w:t>
      </w:r>
    </w:p>
    <w:p>
      <w:pPr>
        <w:pStyle w:val="BodyText"/>
        <w:spacing w:line="316" w:lineRule="auto" w:before="19"/>
        <w:ind w:left="472" w:right="0"/>
        <w:jc w:val="left"/>
      </w:pPr>
      <w:r>
        <w:rPr/>
        <w:t>（一）关于股东和股东大会 </w:t>
      </w:r>
      <w:r>
        <w:rPr>
          <w:spacing w:val="-12"/>
        </w:rPr>
        <w:t>公司严格按照《公司法》、《上市公司股东大会规则》、《公司章程》、《股东大会议事规则》等相关法律、法规和规范性文</w:t>
      </w:r>
    </w:p>
    <w:p>
      <w:pPr>
        <w:pStyle w:val="BodyText"/>
        <w:spacing w:line="316" w:lineRule="auto" w:before="19"/>
        <w:ind w:right="0"/>
        <w:jc w:val="left"/>
      </w:pPr>
      <w:r>
        <w:rPr>
          <w:spacing w:val="-4"/>
        </w:rPr>
        <w:t>件的要求召开股东大会，规范股东大会的召集、召开及表决程序。报告期内，公司召开的股东大会均有公司董事会召集召开，</w:t>
      </w:r>
      <w:r>
        <w:rPr>
          <w:spacing w:val="-43"/>
        </w:rPr>
        <w:t> </w:t>
      </w:r>
      <w:r>
        <w:rPr>
          <w:spacing w:val="-43"/>
        </w:rPr>
      </w:r>
      <w:r>
        <w:rPr>
          <w:spacing w:val="-2"/>
        </w:rPr>
        <w:t>董事长主持，公司聘请的法律顾问对股东大会现场会议进行了见证并出具了法律意见书。在股东大会上能够保证各位股东有</w:t>
      </w:r>
      <w:r>
        <w:rPr>
          <w:spacing w:val="-64"/>
        </w:rPr>
        <w:t> </w:t>
      </w:r>
      <w:r>
        <w:rPr>
          <w:spacing w:val="-64"/>
        </w:rPr>
      </w:r>
      <w:r>
        <w:rPr/>
        <w:t>充分的发言权，确保全体股东特别是中小股东享有平等地位，充分行使自己的权利。</w:t>
      </w:r>
    </w:p>
    <w:p>
      <w:pPr>
        <w:pStyle w:val="BodyText"/>
        <w:spacing w:line="312" w:lineRule="auto" w:before="19"/>
        <w:ind w:right="1132" w:firstLine="360"/>
        <w:jc w:val="both"/>
      </w:pPr>
      <w:r>
        <w:rPr>
          <w:spacing w:val="-2"/>
        </w:rPr>
        <w:t>报告期内，本公司召开的股东大会不存在违反《上市公司股东大会规则》的情形，公司未发生独立或合计持有本公司有</w:t>
      </w:r>
      <w:r>
        <w:rPr/>
        <w:t> </w:t>
      </w:r>
      <w:r>
        <w:rPr>
          <w:spacing w:val="-5"/>
        </w:rPr>
        <w:t>表决权股份总额</w:t>
      </w:r>
      <w:r>
        <w:rPr>
          <w:rFonts w:ascii="Times New Roman" w:hAnsi="Times New Roman" w:cs="Times New Roman" w:eastAsia="Times New Roman" w:hint="default"/>
          <w:spacing w:val="-5"/>
        </w:rPr>
        <w:t>10%</w:t>
      </w:r>
      <w:r>
        <w:rPr>
          <w:spacing w:val="-5"/>
        </w:rPr>
        <w:t>以上的股东请求召开临时股东大会的情形，也不存在监事会提议召开的股东大会。按照《公司法》、《公</w:t>
      </w:r>
      <w:r>
        <w:rPr>
          <w:spacing w:val="-45"/>
        </w:rPr>
        <w:t> </w:t>
      </w:r>
      <w:r>
        <w:rPr>
          <w:spacing w:val="-45"/>
        </w:rPr>
      </w:r>
      <w:r>
        <w:rPr>
          <w:spacing w:val="-2"/>
        </w:rPr>
        <w:t>司章程》的规定应由股东大会审议的重大事项，本公司均通过股东大会审议，不存在绕过股东大会的情况，也不存在先实施</w:t>
      </w:r>
      <w:r>
        <w:rPr>
          <w:spacing w:val="-66"/>
        </w:rPr>
        <w:t> </w:t>
      </w:r>
      <w:r>
        <w:rPr>
          <w:spacing w:val="-66"/>
        </w:rPr>
      </w:r>
      <w:r>
        <w:rPr/>
        <w:t>后审议的情况。</w:t>
      </w:r>
    </w:p>
    <w:p>
      <w:pPr>
        <w:pStyle w:val="BodyText"/>
        <w:spacing w:line="316" w:lineRule="auto" w:before="22"/>
        <w:ind w:left="472" w:right="0"/>
        <w:jc w:val="left"/>
      </w:pPr>
      <w:r>
        <w:rPr/>
        <w:t>（二）关于公司与控股股东 </w:t>
      </w:r>
      <w:r>
        <w:rPr>
          <w:spacing w:val="-9"/>
        </w:rPr>
        <w:t>公司控股股东、实际控制人葛航先生严格按照《上市公司治理准则》、《深圳证券交易所创业板上市规则》、《深证证券交</w:t>
      </w:r>
    </w:p>
    <w:p>
      <w:pPr>
        <w:pStyle w:val="BodyText"/>
        <w:spacing w:line="316" w:lineRule="auto" w:before="19"/>
        <w:ind w:right="1132"/>
        <w:jc w:val="both"/>
      </w:pPr>
      <w:r>
        <w:rPr>
          <w:spacing w:val="-5"/>
        </w:rPr>
        <w:t>易所创业板规范运作指引》、《公司章程》等的规定和要求，不存在超越公司股东大会直接或间接干预公司的决策和经营活动</w:t>
      </w:r>
      <w:r>
        <w:rPr>
          <w:spacing w:val="-78"/>
        </w:rPr>
        <w:t> </w:t>
      </w:r>
      <w:r>
        <w:rPr>
          <w:spacing w:val="-78"/>
        </w:rPr>
      </w:r>
      <w:r>
        <w:rPr/>
        <w:t>的行为，未损害公司及其他股东的利益，不存在控股股东占用公司资金的现象，公司不存在为控股股东提供担保的情况。</w:t>
      </w:r>
    </w:p>
    <w:p>
      <w:pPr>
        <w:pStyle w:val="BodyText"/>
        <w:spacing w:line="316" w:lineRule="auto" w:before="19"/>
        <w:ind w:left="472" w:right="1119"/>
        <w:jc w:val="left"/>
      </w:pPr>
      <w:r>
        <w:rPr/>
        <w:t>（三）关于董事和董事会 </w:t>
      </w:r>
      <w:r>
        <w:rPr>
          <w:spacing w:val="-5"/>
        </w:rPr>
        <w:t>董事会的人数及人员构成符合法律、法规和《公司章程》的规定。各位董事能够依照《董事会议事规则》、《独立董事工</w:t>
      </w:r>
    </w:p>
    <w:p>
      <w:pPr>
        <w:pStyle w:val="BodyText"/>
        <w:spacing w:line="316" w:lineRule="auto" w:before="19"/>
        <w:ind w:right="1041"/>
        <w:jc w:val="both"/>
      </w:pPr>
      <w:r>
        <w:rPr>
          <w:spacing w:val="-5"/>
        </w:rPr>
        <w:t>作制度》、《深圳证券交易所创业板上市公司规范运作指引》等相关规定开展工作，出席董事会、董事会专门委员会和股东大</w:t>
      </w:r>
      <w:r>
        <w:rPr>
          <w:spacing w:val="-79"/>
        </w:rPr>
        <w:t> </w:t>
      </w:r>
      <w:r>
        <w:rPr>
          <w:spacing w:val="-79"/>
        </w:rPr>
      </w:r>
      <w:r>
        <w:rPr>
          <w:spacing w:val="-4"/>
        </w:rPr>
        <w:t>会，勤勉尽责地履行职责和义务，同时各位董事均积极参加相关培训，熟悉相关法律法规，切实提高了履行董事职责的能力。</w:t>
      </w:r>
    </w:p>
    <w:p>
      <w:pPr>
        <w:pStyle w:val="BodyText"/>
        <w:spacing w:line="316" w:lineRule="auto" w:before="19"/>
        <w:ind w:right="1132" w:firstLine="360"/>
        <w:jc w:val="both"/>
      </w:pPr>
      <w:r>
        <w:rPr>
          <w:spacing w:val="-2"/>
        </w:rPr>
        <w:t>公司按照《深圳证券交易所创业板上市公司规范运作指引》的规定，下设有审计委员会、战略委员会、薪酬与考核委员</w:t>
      </w:r>
      <w:r>
        <w:rPr/>
        <w:t> </w:t>
      </w:r>
      <w:r>
        <w:rPr>
          <w:spacing w:val="-2"/>
        </w:rPr>
        <w:t>会和提名委员会四个专门委员会。专门委员会成员全部由董事组成，除战略委员会由董事长担任召集人以外，其他专门委员</w:t>
      </w:r>
      <w:r>
        <w:rPr>
          <w:spacing w:val="-65"/>
        </w:rPr>
        <w:t> </w:t>
      </w:r>
      <w:r>
        <w:rPr>
          <w:spacing w:val="-65"/>
        </w:rPr>
      </w:r>
      <w:r>
        <w:rPr>
          <w:spacing w:val="-2"/>
        </w:rPr>
        <w:t>会均有独立董事担任召集人，为董事会的决策提供了科学和专业的意见。各委员会依据《公司章程》和董事会专门委员会工</w:t>
      </w:r>
      <w:r>
        <w:rPr>
          <w:spacing w:val="-66"/>
        </w:rPr>
        <w:t> </w:t>
      </w:r>
      <w:r>
        <w:rPr>
          <w:spacing w:val="-66"/>
        </w:rPr>
      </w:r>
      <w:r>
        <w:rPr/>
        <w:t>作规则的规定履行职责，不受公司任何其他部门和个人干预。</w:t>
      </w:r>
    </w:p>
    <w:p>
      <w:pPr>
        <w:pStyle w:val="BodyText"/>
        <w:spacing w:line="316" w:lineRule="auto" w:before="19"/>
        <w:ind w:left="472" w:right="1119"/>
        <w:jc w:val="left"/>
      </w:pPr>
      <w:r>
        <w:rPr/>
        <w:t>（四）关于监事与监事会 </w:t>
      </w:r>
      <w:r>
        <w:rPr>
          <w:spacing w:val="-5"/>
        </w:rPr>
        <w:t>公司监事会设监事三名，其中职工监事一名，监事会的人数和人员构成符合相关规定。报告期内所有监事均能够按照《公</w:t>
      </w:r>
    </w:p>
    <w:p>
      <w:pPr>
        <w:pStyle w:val="BodyText"/>
        <w:spacing w:line="316" w:lineRule="auto" w:before="19"/>
        <w:ind w:right="1132"/>
        <w:jc w:val="both"/>
      </w:pPr>
      <w:r>
        <w:rPr>
          <w:spacing w:val="-5"/>
        </w:rPr>
        <w:t>司章程》、《监事会议事规则》以及相关法律、法规和规范性文件的要求，认真履行自己的职责，对公司重大事项、财务状况</w:t>
      </w:r>
      <w:r>
        <w:rPr>
          <w:spacing w:val="-80"/>
        </w:rPr>
        <w:t> </w:t>
      </w:r>
      <w:r>
        <w:rPr>
          <w:spacing w:val="-80"/>
        </w:rPr>
      </w:r>
      <w:r>
        <w:rPr>
          <w:spacing w:val="-2"/>
        </w:rPr>
        <w:t>以及董事、高级管理人员履行职责的合法合规性进行监督。同时，公司监事积极参加相关培训，通过进一步的学习，熟悉有</w:t>
      </w:r>
      <w:r>
        <w:rPr>
          <w:spacing w:val="-65"/>
        </w:rPr>
        <w:t> </w:t>
      </w:r>
      <w:r>
        <w:rPr>
          <w:spacing w:val="-65"/>
        </w:rPr>
      </w:r>
      <w:r>
        <w:rPr/>
        <w:t>关法律法规，切实提高了履行监事职责的能力。</w:t>
      </w:r>
    </w:p>
    <w:p>
      <w:pPr>
        <w:pStyle w:val="BodyText"/>
        <w:spacing w:line="316" w:lineRule="auto" w:before="19"/>
        <w:ind w:left="472" w:right="1138"/>
        <w:jc w:val="left"/>
      </w:pPr>
      <w:r>
        <w:rPr/>
        <w:t>（五）关于信息披露与透明度 </w:t>
      </w:r>
      <w:r>
        <w:rPr>
          <w:spacing w:val="-2"/>
        </w:rPr>
        <w:t>公司高度重视信息披露与投资者关系管理工作，严格按照《上市公司信息披露管理办法》、深圳证券交易所创业板上市</w:t>
      </w:r>
    </w:p>
    <w:p>
      <w:pPr>
        <w:spacing w:after="0" w:line="316"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right="1034"/>
        <w:jc w:val="left"/>
      </w:pPr>
      <w:r>
        <w:rPr/>
        <w:t>公司的信息披露格式指引等规定以及公司制定的《信息披露制度》等操作性文件的要求，真实准确、完整及时的披露信息。 </w:t>
      </w:r>
      <w:r>
        <w:rPr>
          <w:spacing w:val="-2"/>
        </w:rPr>
        <w:t>同时，明确董事长为公司信息披露第一责任人，董事会秘书为信息披露负责人，证券部负责信息披露的日常事务。公司指定</w:t>
      </w:r>
    </w:p>
    <w:p>
      <w:pPr>
        <w:pStyle w:val="BodyText"/>
        <w:spacing w:line="316" w:lineRule="auto" w:before="19"/>
        <w:ind w:right="1132"/>
        <w:jc w:val="both"/>
      </w:pPr>
      <w:r>
        <w:rPr>
          <w:spacing w:val="-11"/>
        </w:rPr>
        <w:t>《证券时报》、《证券日报》、《中国证券报》、《上海证券报》为公司信息披露报纸，巨潮资讯网为公司信息披露网站。公司上</w:t>
      </w:r>
      <w:r>
        <w:rPr/>
        <w:t> </w:t>
      </w:r>
      <w:r>
        <w:rPr>
          <w:spacing w:val="-2"/>
        </w:rPr>
        <w:t>市以来，不断尝试更加有效的方式开展投资者关系管理工作，设立了互动易、投资者关系管理微信公众号、电话专线、专用</w:t>
      </w:r>
      <w:r>
        <w:rPr>
          <w:spacing w:val="-65"/>
        </w:rPr>
        <w:t> </w:t>
      </w:r>
      <w:r>
        <w:rPr>
          <w:spacing w:val="-65"/>
        </w:rPr>
      </w:r>
      <w:r>
        <w:rPr/>
        <w:t>邮箱等多种渠道与投资者进行沟通和交流。</w:t>
      </w:r>
    </w:p>
    <w:p>
      <w:pPr>
        <w:pStyle w:val="BodyText"/>
        <w:spacing w:line="316" w:lineRule="auto" w:before="19"/>
        <w:ind w:left="472" w:right="0"/>
        <w:jc w:val="left"/>
      </w:pPr>
      <w:r>
        <w:rPr/>
        <w:t>（六）关于相关利益者 </w:t>
      </w:r>
      <w:r>
        <w:rPr>
          <w:spacing w:val="-4"/>
        </w:rPr>
        <w:t>公司充分尊重和维护相关利益者的合法权益，重视公司的社会责任，积极与相关利益者合作，加强与各方的沟通和交流，</w:t>
      </w:r>
    </w:p>
    <w:p>
      <w:pPr>
        <w:pStyle w:val="BodyText"/>
        <w:spacing w:line="240" w:lineRule="auto" w:before="19"/>
        <w:ind w:right="0"/>
        <w:jc w:val="left"/>
      </w:pPr>
      <w:r>
        <w:rPr/>
        <w:t>实现股东、员工、社会等各方利益的协调平衡，共同推动公司持续、健康的发展。</w:t>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4"/>
          <w:szCs w:val="14"/>
        </w:rPr>
      </w:pPr>
    </w:p>
    <w:p>
      <w:pPr>
        <w:pStyle w:val="BodyText"/>
        <w:spacing w:line="240" w:lineRule="auto"/>
        <w:ind w:right="0"/>
        <w:jc w:val="left"/>
      </w:pPr>
      <w:r>
        <w:rPr/>
        <w:t>公司治理的实际状况与中国证监会发布的有关上市公司治理的规范性文件是否存在重大差异</w:t>
      </w:r>
    </w:p>
    <w:p>
      <w:pPr>
        <w:pStyle w:val="BodyText"/>
        <w:spacing w:line="360" w:lineRule="auto" w:before="117"/>
        <w:ind w:right="3554" w:firstLine="91"/>
        <w:jc w:val="left"/>
      </w:pPr>
      <w:r>
        <w:rPr/>
        <w:t>□是 √否 公司治理的实际状况与中国证监会发布的有关上市公司治理的规范性文件不存在重大差异。</w:t>
      </w:r>
    </w:p>
    <w:p>
      <w:pPr>
        <w:spacing w:line="240" w:lineRule="auto" w:before="2"/>
        <w:rPr>
          <w:rFonts w:ascii="宋体" w:hAnsi="宋体" w:cs="宋体" w:eastAsia="宋体" w:hint="default"/>
          <w:sz w:val="18"/>
          <w:szCs w:val="18"/>
        </w:rPr>
      </w:pPr>
    </w:p>
    <w:p>
      <w:pPr>
        <w:pStyle w:val="Heading2"/>
        <w:spacing w:line="240" w:lineRule="auto"/>
        <w:ind w:right="0"/>
        <w:jc w:val="left"/>
        <w:rPr>
          <w:b w:val="0"/>
          <w:bCs w:val="0"/>
        </w:rPr>
      </w:pPr>
      <w:bookmarkStart w:name="二、公司相对于控股股东在业务、人员、资产、机构、财务等方面的独立情况" w:id="146"/>
      <w:bookmarkEnd w:id="146"/>
      <w:r>
        <w:rPr>
          <w:b w:val="0"/>
          <w:bCs w:val="0"/>
        </w:rPr>
      </w:r>
      <w:r>
        <w:rPr/>
        <w:t>二、公司相对于控股股东在业务、人员、资产、机构、财务等方面的独立情况</w:t>
      </w:r>
      <w:r>
        <w:rPr>
          <w:b w:val="0"/>
          <w:bCs w:val="0"/>
        </w:rPr>
      </w:r>
    </w:p>
    <w:p>
      <w:pPr>
        <w:spacing w:line="240" w:lineRule="auto" w:before="6"/>
        <w:rPr>
          <w:rFonts w:ascii="宋体" w:hAnsi="宋体" w:cs="宋体" w:eastAsia="宋体" w:hint="default"/>
          <w:b/>
          <w:bCs/>
          <w:sz w:val="26"/>
          <w:szCs w:val="26"/>
        </w:rPr>
      </w:pPr>
    </w:p>
    <w:p>
      <w:pPr>
        <w:pStyle w:val="BodyText"/>
        <w:spacing w:line="300" w:lineRule="auto"/>
        <w:ind w:left="472" w:right="1154"/>
        <w:jc w:val="left"/>
      </w:pPr>
      <w:r>
        <w:rPr>
          <w:rFonts w:ascii="Times New Roman" w:hAnsi="Times New Roman" w:cs="Times New Roman" w:eastAsia="Times New Roman" w:hint="default"/>
        </w:rPr>
        <w:t>1</w:t>
      </w:r>
      <w:r>
        <w:rPr/>
        <w:t>、业务独立情况 公司拥有独立完整的业务体系和面向市场的独立经营能力。公司实际控制人及持有公司</w:t>
      </w:r>
      <w:r>
        <w:rPr>
          <w:rFonts w:ascii="Times New Roman" w:hAnsi="Times New Roman" w:cs="Times New Roman" w:eastAsia="Times New Roman" w:hint="default"/>
        </w:rPr>
        <w:t>5%</w:t>
      </w:r>
      <w:r>
        <w:rPr/>
        <w:t>以上股份的股东已向本公司</w:t>
      </w:r>
    </w:p>
    <w:p>
      <w:pPr>
        <w:pStyle w:val="BodyText"/>
        <w:spacing w:line="316" w:lineRule="auto" w:before="13"/>
        <w:ind w:right="0"/>
        <w:jc w:val="left"/>
      </w:pPr>
      <w:r>
        <w:rPr>
          <w:spacing w:val="-7"/>
        </w:rPr>
        <w:t>出具了《关于避免同业竞争的承诺函》，承诺不从事与本公司形成竞争关系的相关业务。公司严格按照《公司法》、《证券法》</w:t>
      </w:r>
      <w:r>
        <w:rPr>
          <w:spacing w:val="-51"/>
        </w:rPr>
        <w:t> </w:t>
      </w:r>
      <w:r>
        <w:rPr>
          <w:spacing w:val="-51"/>
        </w:rPr>
      </w:r>
      <w:r>
        <w:rPr>
          <w:spacing w:val="-2"/>
        </w:rPr>
        <w:t>等有关法律、法规和《公司章程》的要求规范运作，建立健全了公司法人治理结构，在业务、资产、人员、机构、财务等方</w:t>
      </w:r>
      <w:r>
        <w:rPr>
          <w:spacing w:val="-68"/>
        </w:rPr>
        <w:t> </w:t>
      </w:r>
      <w:r>
        <w:rPr>
          <w:spacing w:val="-68"/>
        </w:rPr>
      </w:r>
      <w:r>
        <w:rPr/>
        <w:t>面均独立于实际控制人及其控制的其他企业，公司具有独立、完整的资产和业务体系，具备面向市场独立经营的能力。</w:t>
      </w:r>
    </w:p>
    <w:p>
      <w:pPr>
        <w:pStyle w:val="BodyText"/>
        <w:spacing w:line="312" w:lineRule="auto" w:before="19"/>
        <w:ind w:right="0" w:firstLine="360"/>
        <w:jc w:val="left"/>
      </w:pPr>
      <w:r>
        <w:rPr>
          <w:rFonts w:ascii="Times New Roman" w:hAnsi="Times New Roman" w:cs="Times New Roman" w:eastAsia="Times New Roman" w:hint="default"/>
        </w:rPr>
        <w:t>2</w:t>
      </w:r>
      <w:r>
        <w:rPr/>
        <w:t>、人员独立情况 </w:t>
      </w:r>
      <w:r>
        <w:rPr>
          <w:spacing w:val="-4"/>
        </w:rPr>
        <w:t>公司董事、监事及高级管理人员严格按照《公司法》、《公司章程》的有关规定产生；公司总经理、副总经理、财务负责人、</w:t>
      </w:r>
      <w:r>
        <w:rPr>
          <w:spacing w:val="-51"/>
        </w:rPr>
        <w:t> </w:t>
      </w:r>
      <w:r>
        <w:rPr>
          <w:spacing w:val="-51"/>
        </w:rPr>
      </w:r>
      <w:r>
        <w:rPr>
          <w:spacing w:val="-2"/>
        </w:rPr>
        <w:t>董事会秘书等高级管理人员均专职在公司工作并领取薪酬；公司的人事及工资管理完全独立，在地方社保部门办理了独立的</w:t>
      </w:r>
      <w:r>
        <w:rPr>
          <w:spacing w:val="-64"/>
        </w:rPr>
        <w:t> </w:t>
      </w:r>
      <w:r>
        <w:rPr>
          <w:spacing w:val="-64"/>
        </w:rPr>
      </w:r>
      <w:r>
        <w:rPr/>
        <w:t>社保登记，并根据《劳动法》和公司劳动管理制度等有关规定与公司员工签订劳动合同。</w:t>
      </w:r>
    </w:p>
    <w:p>
      <w:pPr>
        <w:pStyle w:val="BodyText"/>
        <w:spacing w:line="300" w:lineRule="auto" w:before="22"/>
        <w:ind w:left="472" w:right="0"/>
        <w:jc w:val="left"/>
      </w:pPr>
      <w:r>
        <w:rPr>
          <w:rFonts w:ascii="Times New Roman" w:hAnsi="Times New Roman" w:cs="Times New Roman" w:eastAsia="Times New Roman" w:hint="default"/>
        </w:rPr>
        <w:t>3</w:t>
      </w:r>
      <w:r>
        <w:rPr/>
        <w:t>、资产完整情况 </w:t>
      </w:r>
      <w:r>
        <w:rPr>
          <w:spacing w:val="-2"/>
        </w:rPr>
        <w:t>公司合法拥有与生产经营有关的资产，拥有独立完整的生产系统、辅助生产系统和配套设施，具有独立的原料采购和产</w:t>
      </w:r>
    </w:p>
    <w:p>
      <w:pPr>
        <w:pStyle w:val="BodyText"/>
        <w:spacing w:line="316" w:lineRule="auto" w:before="31"/>
        <w:ind w:right="1132"/>
        <w:jc w:val="both"/>
      </w:pPr>
      <w:r>
        <w:rPr>
          <w:spacing w:val="-2"/>
        </w:rPr>
        <w:t>品销售系统。公司拥有与经营有关的研发、生产、销售和技术服务体系及房屋所有权、土地使用权、商标、专利权及专利申</w:t>
      </w:r>
      <w:r>
        <w:rPr>
          <w:spacing w:val="-66"/>
        </w:rPr>
        <w:t> </w:t>
      </w:r>
      <w:r>
        <w:rPr>
          <w:spacing w:val="-66"/>
        </w:rPr>
      </w:r>
      <w:r>
        <w:rPr>
          <w:spacing w:val="-2"/>
        </w:rPr>
        <w:t>请权、车辆、办公设施等相关资产，上述资产不存在与他人共有的情形。报告期内，公司不存在以其资产、权益或信用为关</w:t>
      </w:r>
      <w:r>
        <w:rPr>
          <w:spacing w:val="-66"/>
        </w:rPr>
        <w:t> </w:t>
      </w:r>
      <w:r>
        <w:rPr>
          <w:spacing w:val="-66"/>
        </w:rPr>
      </w:r>
      <w:r>
        <w:rPr>
          <w:spacing w:val="-2"/>
        </w:rPr>
        <w:t>联方提供担保的情形，也不存在公司的资产或资源被公司股东、实际控制人及其控制的其他企业使用或占用的情形，公司对</w:t>
      </w:r>
      <w:r>
        <w:rPr>
          <w:spacing w:val="-65"/>
        </w:rPr>
        <w:t> </w:t>
      </w:r>
      <w:r>
        <w:rPr>
          <w:spacing w:val="-65"/>
        </w:rPr>
      </w:r>
      <w:r>
        <w:rPr/>
        <w:t>所有资产均拥有完整的控制和支配权。</w:t>
      </w:r>
    </w:p>
    <w:p>
      <w:pPr>
        <w:pStyle w:val="BodyText"/>
        <w:spacing w:line="300" w:lineRule="auto" w:before="19"/>
        <w:ind w:left="472" w:right="0"/>
        <w:jc w:val="left"/>
      </w:pPr>
      <w:r>
        <w:rPr>
          <w:rFonts w:ascii="Times New Roman" w:hAnsi="Times New Roman" w:cs="Times New Roman" w:eastAsia="Times New Roman" w:hint="default"/>
        </w:rPr>
        <w:t>4</w:t>
      </w:r>
      <w:r>
        <w:rPr/>
        <w:t>、机构独立情况 </w:t>
      </w:r>
      <w:r>
        <w:rPr>
          <w:spacing w:val="-2"/>
        </w:rPr>
        <w:t>公司按《公司法》与《公司章程》的要求建立健全了股东大会、董事会、监事会和经营管理层的组织结构体系，独立行</w:t>
      </w:r>
    </w:p>
    <w:p>
      <w:pPr>
        <w:pStyle w:val="BodyText"/>
        <w:spacing w:line="309" w:lineRule="auto" w:before="31"/>
        <w:ind w:left="472" w:right="1034" w:hanging="360"/>
        <w:jc w:val="left"/>
      </w:pPr>
      <w:r>
        <w:rPr/>
        <w:t>使经营管理职权。公司设有职能部门和分支机构，不存在与实际控制人及其控制的其他企业间机构混同的情形。 </w:t>
      </w:r>
      <w:r>
        <w:rPr>
          <w:rFonts w:ascii="Times New Roman" w:hAnsi="Times New Roman" w:cs="Times New Roman" w:eastAsia="Times New Roman" w:hint="default"/>
        </w:rPr>
        <w:t>5</w:t>
      </w:r>
      <w:r>
        <w:rPr/>
        <w:t>、财务独立情况 公司设有独立的财务部门，建立了独立的会计核算体系、规范的财务管理制度和对子公司、分支机构的财务管理制度，</w:t>
      </w:r>
    </w:p>
    <w:p>
      <w:pPr>
        <w:pStyle w:val="BodyText"/>
        <w:spacing w:line="316" w:lineRule="auto" w:before="24"/>
        <w:ind w:right="0"/>
        <w:jc w:val="left"/>
      </w:pPr>
      <w:r>
        <w:rPr>
          <w:spacing w:val="-2"/>
        </w:rPr>
        <w:t>能够独立进行财务决策；财务负责人和财务人员均专职在本公司工作；在银行独立开立账户，并依法独立进行纳税申报和履</w:t>
      </w:r>
      <w:r>
        <w:rPr>
          <w:spacing w:val="-65"/>
        </w:rPr>
        <w:t> </w:t>
      </w:r>
      <w:r>
        <w:rPr>
          <w:spacing w:val="-65"/>
        </w:rPr>
      </w:r>
      <w:r>
        <w:rPr/>
        <w:t>行纳税义务；独立对外签订合同，不存在与股东共用银行账户或混合纳税现象。</w:t>
      </w:r>
    </w:p>
    <w:p>
      <w:pPr>
        <w:spacing w:line="240" w:lineRule="auto" w:before="9"/>
        <w:rPr>
          <w:rFonts w:ascii="宋体" w:hAnsi="宋体" w:cs="宋体" w:eastAsia="宋体" w:hint="default"/>
          <w:sz w:val="20"/>
          <w:szCs w:val="20"/>
        </w:rPr>
      </w:pPr>
    </w:p>
    <w:p>
      <w:pPr>
        <w:pStyle w:val="Heading2"/>
        <w:spacing w:line="240" w:lineRule="auto"/>
        <w:ind w:right="0"/>
        <w:jc w:val="left"/>
        <w:rPr>
          <w:b w:val="0"/>
          <w:bCs w:val="0"/>
        </w:rPr>
      </w:pPr>
      <w:bookmarkStart w:name="三、同业竞争情况" w:id="147"/>
      <w:bookmarkEnd w:id="147"/>
      <w:r>
        <w:rPr>
          <w:b w:val="0"/>
          <w:bCs w:val="0"/>
        </w:rPr>
      </w:r>
      <w:r>
        <w:rPr/>
        <w:t>三、同业竞争情况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204" w:right="0"/>
        <w:jc w:val="left"/>
      </w:pPr>
      <w:r>
        <w:rPr/>
        <w:t>□ 适用  √</w:t>
      </w:r>
      <w:r>
        <w:rPr>
          <w:spacing w:val="-1"/>
        </w:rPr>
        <w:t> </w:t>
      </w:r>
      <w:r>
        <w:rPr/>
        <w:t>不适用</w:t>
      </w:r>
    </w:p>
    <w:p>
      <w:pPr>
        <w:spacing w:after="0" w:line="240" w:lineRule="auto"/>
        <w:jc w:val="left"/>
        <w:sectPr>
          <w:pgSz w:w="11910" w:h="16840"/>
          <w:pgMar w:header="907" w:footer="1016" w:top="1100" w:bottom="1200" w:left="1020" w:right="0"/>
        </w:sectPr>
      </w:pPr>
    </w:p>
    <w:p>
      <w:pPr>
        <w:spacing w:line="240" w:lineRule="auto" w:before="9"/>
        <w:rPr>
          <w:rFonts w:ascii="宋体" w:hAnsi="宋体" w:cs="宋体" w:eastAsia="宋体" w:hint="default"/>
          <w:sz w:val="20"/>
          <w:szCs w:val="20"/>
        </w:rPr>
      </w:pPr>
    </w:p>
    <w:p>
      <w:pPr>
        <w:pStyle w:val="Heading2"/>
        <w:spacing w:line="240" w:lineRule="auto" w:before="26"/>
        <w:ind w:right="0"/>
        <w:jc w:val="left"/>
        <w:rPr>
          <w:b w:val="0"/>
          <w:bCs w:val="0"/>
        </w:rPr>
      </w:pPr>
      <w:bookmarkStart w:name="四、报告期内召开的年度股东大会和临时股东大会的有关情况" w:id="148"/>
      <w:bookmarkEnd w:id="148"/>
      <w:r>
        <w:rPr>
          <w:b w:val="0"/>
          <w:bCs w:val="0"/>
        </w:rPr>
      </w:r>
      <w:r>
        <w:rPr/>
        <w:t>四、报告期内召开的年度股东大会和临时股东大会的有关情况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本报告期股东大会情况" w:id="149"/>
      <w:bookmarkEnd w:id="149"/>
      <w:r>
        <w:rPr>
          <w:b w:val="0"/>
          <w:bCs w:val="0"/>
        </w:rPr>
      </w:r>
      <w:r>
        <w:rPr>
          <w:rFonts w:ascii="Times New Roman" w:hAnsi="Times New Roman" w:cs="Times New Roman" w:eastAsia="Times New Roman" w:hint="default"/>
        </w:rPr>
        <w:t>1</w:t>
      </w:r>
      <w:r>
        <w:rPr/>
        <w:t>、本报告期股东大会情况</w:t>
      </w:r>
      <w:r>
        <w:rPr>
          <w:b w:val="0"/>
          <w:bCs w:val="0"/>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596"/>
        <w:gridCol w:w="1594"/>
        <w:gridCol w:w="1594"/>
        <w:gridCol w:w="1594"/>
        <w:gridCol w:w="1594"/>
        <w:gridCol w:w="1594"/>
      </w:tblGrid>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3"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会议类型</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投资者参与比例</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召开日期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1026"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0"/>
              <w:ind w:left="140" w:right="13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年第一次临 时股东大会决议 的公告</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2" w:right="0"/>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57.31%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24</w:t>
            </w:r>
          </w:p>
          <w:p>
            <w:pPr>
              <w:pStyle w:val="TableParagraph"/>
              <w:spacing w:line="240" w:lineRule="auto" w:before="63"/>
              <w:ind w:right="1"/>
              <w:jc w:val="center"/>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p>
          <w:p>
            <w:pPr>
              <w:pStyle w:val="TableParagraph"/>
              <w:spacing w:line="240" w:lineRule="auto" w:before="63"/>
              <w:ind w:left="2"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362" w:lineRule="auto"/>
              <w:ind w:left="530" w:right="109" w:hanging="416"/>
              <w:jc w:val="left"/>
              <w:rPr>
                <w:rFonts w:ascii="Times New Roman" w:hAnsi="Times New Roman" w:cs="Times New Roman" w:eastAsia="Times New Roman" w:hint="default"/>
                <w:sz w:val="18"/>
                <w:szCs w:val="18"/>
              </w:rPr>
            </w:pPr>
            <w:r>
              <w:rPr>
                <w:rFonts w:ascii="Times New Roman"/>
                <w:spacing w:val="-2"/>
                <w:sz w:val="18"/>
              </w:rPr>
              <w:t>http://www.cninfo.</w:t>
            </w:r>
            <w:r>
              <w:rPr>
                <w:rFonts w:ascii="Times New Roman"/>
                <w:spacing w:val="-30"/>
                <w:sz w:val="18"/>
              </w:rPr>
              <w:t> </w:t>
            </w:r>
            <w:r>
              <w:rPr>
                <w:rFonts w:ascii="Times New Roman"/>
                <w:spacing w:val="-30"/>
                <w:sz w:val="18"/>
              </w:rPr>
            </w:r>
            <w:r>
              <w:rPr>
                <w:rFonts w:ascii="Times New Roman"/>
                <w:sz w:val="18"/>
              </w:rPr>
              <w:t>com.cn</w:t>
            </w:r>
          </w:p>
        </w:tc>
      </w:tr>
      <w:tr>
        <w:trPr>
          <w:trHeight w:val="71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62" w:right="138" w:hanging="22"/>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年年度股东 大会决议的公告</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年度股东大会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55.87%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right="1"/>
              <w:jc w:val="center"/>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p>
          <w:p>
            <w:pPr>
              <w:pStyle w:val="TableParagraph"/>
              <w:spacing w:line="240" w:lineRule="auto" w:before="63"/>
              <w:ind w:left="2"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530" w:right="109" w:hanging="416"/>
              <w:jc w:val="left"/>
              <w:rPr>
                <w:rFonts w:ascii="Times New Roman" w:hAnsi="Times New Roman" w:cs="Times New Roman" w:eastAsia="Times New Roman" w:hint="default"/>
                <w:sz w:val="18"/>
                <w:szCs w:val="18"/>
              </w:rPr>
            </w:pPr>
            <w:r>
              <w:rPr>
                <w:rFonts w:ascii="Times New Roman"/>
                <w:spacing w:val="-2"/>
                <w:sz w:val="18"/>
              </w:rPr>
              <w:t>http://www.cninfo.</w:t>
            </w:r>
            <w:r>
              <w:rPr>
                <w:rFonts w:ascii="Times New Roman"/>
                <w:spacing w:val="-30"/>
                <w:sz w:val="18"/>
              </w:rPr>
              <w:t> </w:t>
            </w:r>
            <w:r>
              <w:rPr>
                <w:rFonts w:ascii="Times New Roman"/>
                <w:spacing w:val="-30"/>
                <w:sz w:val="18"/>
              </w:rPr>
            </w:r>
            <w:r>
              <w:rPr>
                <w:rFonts w:ascii="Times New Roman"/>
                <w:sz w:val="18"/>
              </w:rPr>
              <w:t>com.cn</w:t>
            </w:r>
          </w:p>
        </w:tc>
      </w:tr>
      <w:tr>
        <w:trPr>
          <w:trHeight w:val="1026"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0"/>
              <w:ind w:left="140" w:right="13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年第二次临 时股东大会决议 的公告</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2" w:right="0"/>
              <w:jc w:val="center"/>
              <w:rPr>
                <w:rFonts w:ascii="宋体" w:hAnsi="宋体" w:cs="宋体" w:eastAsia="宋体" w:hint="default"/>
                <w:sz w:val="18"/>
                <w:szCs w:val="18"/>
              </w:rPr>
            </w:pPr>
            <w:r>
              <w:rPr>
                <w:rFonts w:ascii="宋体" w:hAnsi="宋体" w:cs="宋体" w:eastAsia="宋体" w:hint="default"/>
                <w:sz w:val="18"/>
                <w:szCs w:val="18"/>
              </w:rPr>
              <w:t>临时股东大会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51.92%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26</w:t>
            </w:r>
          </w:p>
          <w:p>
            <w:pPr>
              <w:pStyle w:val="TableParagraph"/>
              <w:spacing w:line="240" w:lineRule="auto" w:before="63"/>
              <w:ind w:right="1"/>
              <w:jc w:val="center"/>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p>
          <w:p>
            <w:pPr>
              <w:pStyle w:val="TableParagraph"/>
              <w:spacing w:line="240" w:lineRule="auto" w:before="63"/>
              <w:ind w:left="2"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362" w:lineRule="auto"/>
              <w:ind w:left="530" w:right="109" w:hanging="416"/>
              <w:jc w:val="left"/>
              <w:rPr>
                <w:rFonts w:ascii="Times New Roman" w:hAnsi="Times New Roman" w:cs="Times New Roman" w:eastAsia="Times New Roman" w:hint="default"/>
                <w:sz w:val="18"/>
                <w:szCs w:val="18"/>
              </w:rPr>
            </w:pPr>
            <w:r>
              <w:rPr>
                <w:rFonts w:ascii="Times New Roman"/>
                <w:spacing w:val="-2"/>
                <w:sz w:val="18"/>
              </w:rPr>
              <w:t>http://www.cninfo.</w:t>
            </w:r>
            <w:r>
              <w:rPr>
                <w:rFonts w:ascii="Times New Roman"/>
                <w:spacing w:val="-30"/>
                <w:sz w:val="18"/>
              </w:rPr>
              <w:t> </w:t>
            </w:r>
            <w:r>
              <w:rPr>
                <w:rFonts w:ascii="Times New Roman"/>
                <w:spacing w:val="-30"/>
                <w:sz w:val="18"/>
              </w:rPr>
            </w:r>
            <w:r>
              <w:rPr>
                <w:rFonts w:ascii="Times New Roman"/>
                <w:sz w:val="18"/>
              </w:rPr>
              <w:t>com.cn</w:t>
            </w:r>
          </w:p>
        </w:tc>
      </w:tr>
    </w:tbl>
    <w:p>
      <w:pPr>
        <w:spacing w:line="240" w:lineRule="auto" w:before="3"/>
        <w:rPr>
          <w:rFonts w:ascii="宋体" w:hAnsi="宋体" w:cs="宋体" w:eastAsia="宋体" w:hint="default"/>
          <w:b/>
          <w:bCs/>
          <w:sz w:val="19"/>
          <w:szCs w:val="19"/>
        </w:rPr>
      </w:pPr>
    </w:p>
    <w:p>
      <w:pPr>
        <w:pStyle w:val="Heading3"/>
        <w:spacing w:line="240" w:lineRule="auto" w:before="34"/>
        <w:ind w:right="0"/>
        <w:jc w:val="left"/>
        <w:rPr>
          <w:b w:val="0"/>
          <w:bCs w:val="0"/>
        </w:rPr>
      </w:pPr>
      <w:bookmarkStart w:name="2、表决权恢复的优先股股东请求召开临时股东大会" w:id="150"/>
      <w:bookmarkEnd w:id="150"/>
      <w:r>
        <w:rPr>
          <w:b w:val="0"/>
          <w:bCs w:val="0"/>
        </w:rPr>
      </w:r>
      <w:r>
        <w:rPr>
          <w:rFonts w:ascii="Times New Roman" w:hAnsi="Times New Roman" w:cs="Times New Roman" w:eastAsia="Times New Roman" w:hint="default"/>
        </w:rPr>
        <w:t>2</w:t>
      </w:r>
      <w:r>
        <w:rPr/>
        <w:t>、表决权恢复的优先股股东请求召开临时股东大会</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204" w:right="0"/>
        <w:jc w:val="left"/>
      </w:pPr>
      <w:r>
        <w:rPr/>
        <w:t>□ 适用  √</w:t>
      </w:r>
      <w:r>
        <w:rPr>
          <w:spacing w:val="-1"/>
        </w:rPr>
        <w:t> </w:t>
      </w:r>
      <w:r>
        <w:rPr/>
        <w:t>不适用</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bookmarkStart w:name="五、报告期内独立董事履行职责的情况" w:id="151"/>
      <w:bookmarkEnd w:id="151"/>
      <w:r>
        <w:rPr>
          <w:b w:val="0"/>
          <w:bCs w:val="0"/>
        </w:rPr>
      </w:r>
      <w:r>
        <w:rPr/>
        <w:t>五、报告期内独立董事履行职责的情况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独立董事出席董事会及股东大会的情况" w:id="152"/>
      <w:bookmarkEnd w:id="152"/>
      <w:r>
        <w:rPr>
          <w:b w:val="0"/>
          <w:bCs w:val="0"/>
        </w:rPr>
      </w: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427"/>
        <w:gridCol w:w="1164"/>
        <w:gridCol w:w="1164"/>
        <w:gridCol w:w="1163"/>
        <w:gridCol w:w="1163"/>
        <w:gridCol w:w="1163"/>
        <w:gridCol w:w="1163"/>
        <w:gridCol w:w="1163"/>
      </w:tblGrid>
      <w:tr>
        <w:trPr>
          <w:trHeight w:val="402" w:hRule="exact"/>
        </w:trPr>
        <w:tc>
          <w:tcPr>
            <w:tcW w:w="9570"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1339"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独立董事姓名</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126" w:right="125"/>
              <w:jc w:val="center"/>
              <w:rPr>
                <w:rFonts w:ascii="宋体" w:hAnsi="宋体" w:cs="宋体" w:eastAsia="宋体" w:hint="default"/>
                <w:sz w:val="18"/>
                <w:szCs w:val="18"/>
              </w:rPr>
            </w:pPr>
            <w:r>
              <w:rPr>
                <w:rFonts w:ascii="宋体" w:hAnsi="宋体" w:cs="宋体" w:eastAsia="宋体" w:hint="default"/>
                <w:sz w:val="18"/>
                <w:szCs w:val="18"/>
              </w:rPr>
              <w:t>本报告期应 参加董事会 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8"/>
              <w:ind w:left="218" w:right="125" w:hanging="92"/>
              <w:jc w:val="left"/>
              <w:rPr>
                <w:rFonts w:ascii="宋体" w:hAnsi="宋体" w:cs="宋体" w:eastAsia="宋体" w:hint="default"/>
                <w:sz w:val="18"/>
                <w:szCs w:val="18"/>
              </w:rPr>
            </w:pPr>
            <w:r>
              <w:rPr>
                <w:rFonts w:ascii="宋体" w:hAnsi="宋体" w:cs="宋体" w:eastAsia="宋体" w:hint="default"/>
                <w:sz w:val="18"/>
                <w:szCs w:val="18"/>
              </w:rPr>
              <w:t>现场出席董 事会次数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126" w:right="124"/>
              <w:jc w:val="center"/>
              <w:rPr>
                <w:rFonts w:ascii="宋体" w:hAnsi="宋体" w:cs="宋体" w:eastAsia="宋体" w:hint="default"/>
                <w:sz w:val="18"/>
                <w:szCs w:val="18"/>
              </w:rPr>
            </w:pPr>
            <w:r>
              <w:rPr>
                <w:rFonts w:ascii="宋体" w:hAnsi="宋体" w:cs="宋体" w:eastAsia="宋体" w:hint="default"/>
                <w:sz w:val="18"/>
                <w:szCs w:val="18"/>
              </w:rPr>
              <w:t>以通讯方式 参加董事会 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8"/>
              <w:ind w:left="216" w:right="125" w:hanging="92"/>
              <w:jc w:val="left"/>
              <w:rPr>
                <w:rFonts w:ascii="宋体" w:hAnsi="宋体" w:cs="宋体" w:eastAsia="宋体" w:hint="default"/>
                <w:sz w:val="18"/>
                <w:szCs w:val="18"/>
              </w:rPr>
            </w:pPr>
            <w:r>
              <w:rPr>
                <w:rFonts w:ascii="宋体" w:hAnsi="宋体" w:cs="宋体" w:eastAsia="宋体" w:hint="default"/>
                <w:sz w:val="18"/>
                <w:szCs w:val="18"/>
              </w:rPr>
              <w:t>委托出席董 事会次数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8"/>
              <w:ind w:left="395" w:right="124" w:hanging="269"/>
              <w:jc w:val="left"/>
              <w:rPr>
                <w:rFonts w:ascii="宋体" w:hAnsi="宋体" w:cs="宋体" w:eastAsia="宋体" w:hint="default"/>
                <w:sz w:val="18"/>
                <w:szCs w:val="18"/>
              </w:rPr>
            </w:pPr>
            <w:r>
              <w:rPr>
                <w:rFonts w:ascii="宋体" w:hAnsi="宋体" w:cs="宋体" w:eastAsia="宋体" w:hint="default"/>
                <w:sz w:val="18"/>
                <w:szCs w:val="18"/>
              </w:rPr>
              <w:t>缺席董事会 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25" w:right="126"/>
              <w:jc w:val="center"/>
              <w:rPr>
                <w:rFonts w:ascii="宋体" w:hAnsi="宋体" w:cs="宋体" w:eastAsia="宋体" w:hint="default"/>
                <w:sz w:val="18"/>
                <w:szCs w:val="18"/>
              </w:rPr>
            </w:pPr>
            <w:r>
              <w:rPr>
                <w:rFonts w:ascii="宋体" w:hAnsi="宋体" w:cs="宋体" w:eastAsia="宋体" w:hint="default"/>
                <w:sz w:val="18"/>
                <w:szCs w:val="18"/>
              </w:rPr>
              <w:t>是否连续两 次未亲自参 加董事会会 议</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8"/>
              <w:ind w:left="306" w:right="125" w:hanging="180"/>
              <w:jc w:val="left"/>
              <w:rPr>
                <w:rFonts w:ascii="宋体" w:hAnsi="宋体" w:cs="宋体" w:eastAsia="宋体" w:hint="default"/>
                <w:sz w:val="18"/>
                <w:szCs w:val="18"/>
              </w:rPr>
            </w:pPr>
            <w:r>
              <w:rPr>
                <w:rFonts w:ascii="宋体" w:hAnsi="宋体" w:cs="宋体" w:eastAsia="宋体" w:hint="default"/>
                <w:sz w:val="18"/>
                <w:szCs w:val="18"/>
              </w:rPr>
              <w:t>出席股东大 会次数</w:t>
            </w:r>
          </w:p>
        </w:tc>
      </w:tr>
      <w:tr>
        <w:trPr>
          <w:trHeight w:val="403"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江乾坤</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86" w:right="0"/>
              <w:jc w:val="left"/>
              <w:rPr>
                <w:rFonts w:ascii="Times New Roman" w:hAnsi="Times New Roman" w:cs="Times New Roman" w:eastAsia="Times New Roman" w:hint="default"/>
                <w:sz w:val="18"/>
                <w:szCs w:val="18"/>
              </w:rPr>
            </w:pPr>
            <w:r>
              <w:rPr>
                <w:rFonts w:ascii="Times New Roman"/>
                <w:sz w:val="18"/>
              </w:rPr>
              <w:t>12</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12</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
              <w:jc w:val="center"/>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31" w:right="0"/>
              <w:jc w:val="lef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3</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凌云</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486" w:right="0"/>
              <w:jc w:val="left"/>
              <w:rPr>
                <w:rFonts w:ascii="Times New Roman" w:hAnsi="Times New Roman" w:cs="Times New Roman" w:eastAsia="Times New Roman" w:hint="default"/>
                <w:sz w:val="18"/>
                <w:szCs w:val="18"/>
              </w:rPr>
            </w:pPr>
            <w:r>
              <w:rPr>
                <w:rFonts w:ascii="Times New Roman"/>
                <w:sz w:val="18"/>
              </w:rPr>
              <w:t>12</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0"/>
              <w:jc w:val="center"/>
              <w:rPr>
                <w:rFonts w:ascii="Times New Roman" w:hAnsi="Times New Roman" w:cs="Times New Roman" w:eastAsia="Times New Roman" w:hint="default"/>
                <w:sz w:val="18"/>
                <w:szCs w:val="18"/>
              </w:rPr>
            </w:pPr>
            <w:r>
              <w:rPr>
                <w:rFonts w:ascii="Times New Roman"/>
                <w:sz w:val="18"/>
              </w:rPr>
              <w:t>12</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
              <w:jc w:val="center"/>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531" w:right="0"/>
              <w:jc w:val="lef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 w:right="0"/>
              <w:jc w:val="center"/>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0"/>
              <w:jc w:val="center"/>
              <w:rPr>
                <w:rFonts w:ascii="Times New Roman" w:hAnsi="Times New Roman" w:cs="Times New Roman" w:eastAsia="Times New Roman" w:hint="default"/>
                <w:sz w:val="18"/>
                <w:szCs w:val="18"/>
              </w:rPr>
            </w:pPr>
            <w:r>
              <w:rPr>
                <w:rFonts w:ascii="Times New Roman"/>
                <w:sz w:val="18"/>
              </w:rPr>
              <w:t>3</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杨建刚</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86" w:right="0"/>
              <w:jc w:val="left"/>
              <w:rPr>
                <w:rFonts w:ascii="Times New Roman" w:hAnsi="Times New Roman" w:cs="Times New Roman" w:eastAsia="Times New Roman" w:hint="default"/>
                <w:sz w:val="18"/>
                <w:szCs w:val="18"/>
              </w:rPr>
            </w:pPr>
            <w:r>
              <w:rPr>
                <w:rFonts w:ascii="Times New Roman"/>
                <w:sz w:val="18"/>
              </w:rPr>
              <w:t>12</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12</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
              <w:jc w:val="center"/>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31" w:right="0"/>
              <w:jc w:val="lef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3</w:t>
            </w:r>
          </w:p>
        </w:tc>
      </w:tr>
    </w:tbl>
    <w:p>
      <w:pPr>
        <w:pStyle w:val="BodyText"/>
        <w:spacing w:line="357" w:lineRule="auto" w:before="51"/>
        <w:ind w:right="8054"/>
        <w:jc w:val="left"/>
      </w:pPr>
      <w:r>
        <w:rPr/>
        <w:t>连续两次未亲自出席董事会的说明 不适用</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bookmarkStart w:name="2、独立董事对公司有关事项提出异议的情况" w:id="153"/>
      <w:bookmarkEnd w:id="153"/>
      <w:r>
        <w:rPr>
          <w:b w:val="0"/>
          <w:bCs w:val="0"/>
        </w:rPr>
      </w: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独立董事对公司有关事项是否提出异议</w:t>
      </w:r>
    </w:p>
    <w:p>
      <w:pPr>
        <w:pStyle w:val="BodyText"/>
        <w:spacing w:line="360" w:lineRule="auto" w:before="115"/>
        <w:ind w:right="6974" w:firstLine="91"/>
        <w:jc w:val="left"/>
      </w:pPr>
      <w:r>
        <w:rPr/>
        <w:t>□是</w:t>
      </w:r>
      <w:r>
        <w:rPr>
          <w:spacing w:val="90"/>
        </w:rPr>
        <w:t> </w:t>
      </w:r>
      <w:r>
        <w:rPr/>
        <w:t>√否 报告期内独立董事对公司有关事项未提出异议。</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3、独立董事履行职责的其他说明" w:id="154"/>
      <w:bookmarkEnd w:id="154"/>
      <w:r>
        <w:rPr>
          <w:b w:val="0"/>
          <w:bCs w:val="0"/>
        </w:rPr>
      </w:r>
      <w:r>
        <w:rPr>
          <w:rFonts w:ascii="Times New Roman" w:hAnsi="Times New Roman" w:cs="Times New Roman" w:eastAsia="Times New Roman" w:hint="default"/>
        </w:rPr>
        <w:t>3</w:t>
      </w:r>
      <w:r>
        <w:rPr/>
        <w:t>、独立董事履行职责的其他说明</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独立董事对公司有关建议是否被采纳</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57" w:lineRule="auto" w:before="44"/>
        <w:ind w:right="6794" w:firstLine="91"/>
        <w:jc w:val="left"/>
      </w:pPr>
      <w:r>
        <w:rPr/>
        <w:t>□是</w:t>
      </w:r>
      <w:r>
        <w:rPr>
          <w:spacing w:val="90"/>
        </w:rPr>
        <w:t> </w:t>
      </w:r>
      <w:r>
        <w:rPr/>
        <w:t>√否 独立董事对公司有关建议被采纳或未被采纳的说明 报告期内独立董事对公司有关事项未提出异议。</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2"/>
        <w:spacing w:line="240" w:lineRule="auto" w:before="121"/>
        <w:ind w:right="0"/>
        <w:jc w:val="left"/>
        <w:rPr>
          <w:b w:val="0"/>
          <w:bCs w:val="0"/>
        </w:rPr>
      </w:pPr>
      <w:bookmarkStart w:name="六、董事会下设专门委员会在报告期内履行职责情况" w:id="155"/>
      <w:bookmarkEnd w:id="155"/>
      <w:r>
        <w:rPr>
          <w:b w:val="0"/>
          <w:bCs w:val="0"/>
        </w:rPr>
      </w:r>
      <w:r>
        <w:rPr/>
        <w:t>六、董事会下设专门委员会在报告期内履行职责情况</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1119" w:firstLine="360"/>
        <w:jc w:val="left"/>
      </w:pPr>
      <w:r>
        <w:rPr>
          <w:spacing w:val="-5"/>
        </w:rPr>
        <w:t>根据《公司法》、《公司章程》等相关法律法规的规定，公司董事会下设审计委员会、战略委员会、提名委员会和薪酬与</w:t>
      </w:r>
      <w:r>
        <w:rPr/>
        <w:t> 考核委员会四个专门委员会。</w:t>
      </w:r>
    </w:p>
    <w:p>
      <w:pPr>
        <w:pStyle w:val="BodyText"/>
        <w:spacing w:line="240" w:lineRule="auto" w:before="19"/>
        <w:ind w:left="472" w:right="0"/>
        <w:jc w:val="left"/>
      </w:pPr>
      <w:r>
        <w:rPr>
          <w:rFonts w:ascii="Times New Roman" w:hAnsi="Times New Roman" w:cs="Times New Roman" w:eastAsia="Times New Roman" w:hint="default"/>
        </w:rPr>
        <w:t>1</w:t>
      </w:r>
      <w:r>
        <w:rPr/>
        <w:t>、审计委员会委员：江乾坤、凌云、应晶</w:t>
      </w:r>
    </w:p>
    <w:p>
      <w:pPr>
        <w:pStyle w:val="BodyText"/>
        <w:spacing w:line="240" w:lineRule="auto" w:before="63"/>
        <w:ind w:left="472" w:right="0"/>
        <w:jc w:val="left"/>
      </w:pPr>
      <w:r>
        <w:rPr>
          <w:rFonts w:ascii="Times New Roman" w:hAnsi="Times New Roman" w:cs="Times New Roman" w:eastAsia="Times New Roman" w:hint="default"/>
        </w:rPr>
        <w:t>2</w:t>
      </w:r>
      <w:r>
        <w:rPr/>
        <w:t>、战略委员会委员：葛航、张吕峥、应晶</w:t>
      </w:r>
    </w:p>
    <w:p>
      <w:pPr>
        <w:pStyle w:val="BodyText"/>
        <w:spacing w:line="240" w:lineRule="auto" w:before="63"/>
        <w:ind w:left="472" w:right="0"/>
        <w:jc w:val="left"/>
      </w:pPr>
      <w:r>
        <w:rPr>
          <w:rFonts w:ascii="Times New Roman" w:hAnsi="Times New Roman" w:cs="Times New Roman" w:eastAsia="Times New Roman" w:hint="default"/>
        </w:rPr>
        <w:t>3</w:t>
      </w:r>
      <w:r>
        <w:rPr/>
        <w:t>、提名委员会委员：凌云、杨建刚、葛航</w:t>
      </w:r>
    </w:p>
    <w:p>
      <w:pPr>
        <w:pStyle w:val="BodyText"/>
        <w:spacing w:line="240" w:lineRule="auto" w:before="63"/>
        <w:ind w:left="472" w:right="0"/>
        <w:jc w:val="left"/>
      </w:pPr>
      <w:r>
        <w:rPr>
          <w:rFonts w:ascii="Times New Roman" w:hAnsi="Times New Roman" w:cs="Times New Roman" w:eastAsia="Times New Roman" w:hint="default"/>
        </w:rPr>
        <w:t>4</w:t>
      </w:r>
      <w:r>
        <w:rPr/>
        <w:t>、薪酬与考核委员会委员：杨建刚、江乾坤、李寒穷（已离任）</w:t>
      </w:r>
    </w:p>
    <w:p>
      <w:pPr>
        <w:pStyle w:val="BodyText"/>
        <w:spacing w:line="316" w:lineRule="auto" w:before="63"/>
        <w:ind w:left="472" w:right="1034"/>
        <w:jc w:val="left"/>
      </w:pPr>
      <w:r>
        <w:rPr/>
        <w:t>（一）审计委员会在报告期内的履行职责情况 本公司的审计委员会是董事会按照股东大会决议设立的专门工作机构，对董事会负责，其主要职责是根据《公司章程》</w:t>
      </w:r>
    </w:p>
    <w:p>
      <w:pPr>
        <w:pStyle w:val="BodyText"/>
        <w:spacing w:line="316" w:lineRule="auto" w:before="19"/>
        <w:ind w:left="472" w:right="0" w:hanging="360"/>
        <w:jc w:val="left"/>
      </w:pPr>
      <w:r>
        <w:rPr/>
        <w:t>的规定对公司内部控制、财务信息和内部审计等进行监督、检查和评价等。 </w:t>
      </w:r>
      <w:r>
        <w:rPr>
          <w:spacing w:val="-2"/>
        </w:rPr>
        <w:t>本公司审计委员会的委员中，江乾坤、凌云为本公司独立董事，江乾坤为会计专业人士。本公司审计委员会的设立，为</w:t>
      </w:r>
    </w:p>
    <w:p>
      <w:pPr>
        <w:pStyle w:val="BodyText"/>
        <w:spacing w:line="316" w:lineRule="auto" w:before="19"/>
        <w:ind w:left="472" w:right="1124" w:hanging="360"/>
        <w:jc w:val="left"/>
        <w:rPr>
          <w:rFonts w:ascii="Times New Roman" w:hAnsi="Times New Roman" w:cs="Times New Roman" w:eastAsia="Times New Roman" w:hint="default"/>
        </w:rPr>
      </w:pPr>
      <w:r>
        <w:rPr/>
        <w:t>强化董事会决策作用，确保董事会对高级管理人员的有效监督，完善了公司治理结构。 本报告期内，审计委员会共计召开</w:t>
      </w:r>
      <w:r>
        <w:rPr>
          <w:rFonts w:ascii="Times New Roman" w:hAnsi="Times New Roman" w:cs="Times New Roman" w:eastAsia="Times New Roman" w:hint="default"/>
        </w:rPr>
        <w:t>4</w:t>
      </w:r>
      <w:r>
        <w:rPr/>
        <w:t>次会议，对公司内部控制自我评价报告、续聘财务审计机构的议案、关于公司</w:t>
      </w:r>
      <w:r>
        <w:rPr>
          <w:rFonts w:ascii="Times New Roman" w:hAnsi="Times New Roman" w:cs="Times New Roman" w:eastAsia="Times New Roman" w:hint="default"/>
        </w:rPr>
        <w:t>2018</w:t>
      </w:r>
    </w:p>
    <w:p>
      <w:pPr>
        <w:pStyle w:val="BodyText"/>
        <w:spacing w:line="316" w:lineRule="auto"/>
        <w:ind w:right="1120"/>
        <w:jc w:val="left"/>
      </w:pPr>
      <w:r>
        <w:rPr>
          <w:spacing w:val="-2"/>
        </w:rPr>
        <w:t>年第一季度报告、半年度报告、第三季度报告相关事项的议案等方面的议案及内部审计部门提交的工作计划和报告进行了审</w:t>
      </w:r>
      <w:r>
        <w:rPr>
          <w:spacing w:val="-64"/>
        </w:rPr>
        <w:t> </w:t>
      </w:r>
      <w:r>
        <w:rPr>
          <w:spacing w:val="-64"/>
        </w:rPr>
      </w:r>
      <w:r>
        <w:rPr/>
        <w:t>议。</w:t>
      </w:r>
    </w:p>
    <w:p>
      <w:pPr>
        <w:pStyle w:val="BodyText"/>
        <w:spacing w:line="316" w:lineRule="auto" w:before="19"/>
        <w:ind w:right="0" w:firstLine="360"/>
        <w:jc w:val="left"/>
      </w:pPr>
      <w:r>
        <w:rPr>
          <w:spacing w:val="-2"/>
        </w:rPr>
        <w:t>审计委员会自设立以来按照《公司章程》及《审计委员会工作规则》规范运作，运行情况良好，保证了公司内部审计制</w:t>
      </w:r>
      <w:r>
        <w:rPr/>
        <w:t> 度的有效实施以及与外部审计机构的有效沟通。</w:t>
      </w:r>
    </w:p>
    <w:p>
      <w:pPr>
        <w:pStyle w:val="BodyText"/>
        <w:spacing w:line="316" w:lineRule="auto" w:before="19"/>
        <w:ind w:left="472" w:right="0"/>
        <w:jc w:val="left"/>
      </w:pPr>
      <w:r>
        <w:rPr/>
        <w:t>（二）战略委员会在报告期内的履行职责情况 </w:t>
      </w:r>
      <w:r>
        <w:rPr>
          <w:spacing w:val="-2"/>
        </w:rPr>
        <w:t>公司战略委员会是董事会按照股东大会决议设立的董事会专门工作机构，对董事会负责，主要职责是对公司中长期发展</w:t>
      </w:r>
    </w:p>
    <w:p>
      <w:pPr>
        <w:pStyle w:val="BodyText"/>
        <w:spacing w:line="316" w:lineRule="auto" w:before="19"/>
        <w:ind w:left="472" w:right="1124" w:hanging="360"/>
        <w:jc w:val="left"/>
      </w:pPr>
      <w:r>
        <w:rPr/>
        <w:t>战略和重大投资决策进行研究并提出建议，在其职责权限范围内协助董事会开展相关工作。 本报告期内，公司战略委员会共计召开</w:t>
      </w:r>
      <w:r>
        <w:rPr>
          <w:rFonts w:ascii="Times New Roman" w:hAnsi="Times New Roman" w:cs="Times New Roman" w:eastAsia="Times New Roman" w:hint="default"/>
        </w:rPr>
        <w:t>4</w:t>
      </w:r>
      <w:r>
        <w:rPr/>
        <w:t>次会议，研究公司的发展战略并提出建议。本报告期内审议了关于收购控股子</w:t>
      </w:r>
    </w:p>
    <w:p>
      <w:pPr>
        <w:pStyle w:val="BodyText"/>
        <w:spacing w:line="309" w:lineRule="auto"/>
        <w:ind w:right="1132"/>
        <w:jc w:val="both"/>
      </w:pPr>
      <w:r>
        <w:rPr>
          <w:spacing w:val="-1"/>
        </w:rPr>
        <w:t>公司杭州美诺泰科科技有限公司剩余</w:t>
      </w:r>
      <w:r>
        <w:rPr>
          <w:rFonts w:ascii="Times New Roman" w:hAnsi="Times New Roman" w:cs="Times New Roman" w:eastAsia="Times New Roman" w:hint="default"/>
          <w:spacing w:val="-1"/>
        </w:rPr>
        <w:t>49%</w:t>
      </w:r>
      <w:r>
        <w:rPr>
          <w:spacing w:val="-1"/>
        </w:rPr>
        <w:t>股权的议案、关于参与投资设立产业投资基金的议案、关于终止公司创业板非公开</w:t>
      </w:r>
      <w:r>
        <w:rPr/>
        <w:t> </w:t>
      </w:r>
      <w:r>
        <w:rPr>
          <w:spacing w:val="-2"/>
        </w:rPr>
        <w:t>发行股票事项并撤回申请文件的议案、对外投资设立杭州安丰创健创业投资合伙企业的议案、关于拟变更公司名称、证券简</w:t>
      </w:r>
      <w:r>
        <w:rPr>
          <w:spacing w:val="-65"/>
        </w:rPr>
        <w:t> </w:t>
      </w:r>
      <w:r>
        <w:rPr>
          <w:spacing w:val="-65"/>
        </w:rPr>
      </w:r>
      <w:r>
        <w:rPr/>
        <w:t>称、新增经营范围并修改</w:t>
      </w:r>
      <w:r>
        <w:rPr>
          <w:rFonts w:ascii="Times New Roman" w:hAnsi="Times New Roman" w:cs="Times New Roman" w:eastAsia="Times New Roman" w:hint="default"/>
        </w:rPr>
        <w:t>&lt;</w:t>
      </w:r>
      <w:r>
        <w:rPr/>
        <w:t>公司章程</w:t>
      </w:r>
      <w:r>
        <w:rPr>
          <w:rFonts w:ascii="Times New Roman" w:hAnsi="Times New Roman" w:cs="Times New Roman" w:eastAsia="Times New Roman" w:hint="default"/>
        </w:rPr>
        <w:t>&gt;</w:t>
      </w:r>
      <w:r>
        <w:rPr/>
        <w:t>的议案等公司重要决策。</w:t>
      </w:r>
    </w:p>
    <w:p>
      <w:pPr>
        <w:pStyle w:val="BodyText"/>
        <w:spacing w:line="240" w:lineRule="auto" w:before="5"/>
        <w:ind w:left="472" w:right="0"/>
        <w:jc w:val="left"/>
      </w:pPr>
      <w:r>
        <w:rPr/>
        <w:t>公司战略委员会严格按照其既定议事规则履行职责，自设立以来有效运作。</w:t>
      </w:r>
    </w:p>
    <w:p>
      <w:pPr>
        <w:pStyle w:val="BodyText"/>
        <w:spacing w:line="316" w:lineRule="auto" w:before="76"/>
        <w:ind w:left="472" w:right="0"/>
        <w:jc w:val="left"/>
      </w:pPr>
      <w:r>
        <w:rPr/>
        <w:t>（三）提名委员会在报告期内的履行职责情况 </w:t>
      </w:r>
      <w:r>
        <w:rPr>
          <w:spacing w:val="-2"/>
        </w:rPr>
        <w:t>公司提名委员会是董事会按照股东大会决议设立的专门工作机构，对董事会负责，其主要职责是对公司董事和经理人员</w:t>
      </w:r>
    </w:p>
    <w:p>
      <w:pPr>
        <w:pStyle w:val="BodyText"/>
        <w:spacing w:line="316" w:lineRule="auto" w:before="19"/>
        <w:ind w:left="472" w:right="1124" w:hanging="360"/>
        <w:jc w:val="left"/>
      </w:pPr>
      <w:r>
        <w:rPr/>
        <w:t>的选拔标准和程序搜寻人选，进行选择并提出建议。 本报告期内，公司提名委员会设立以来共召开了</w:t>
      </w:r>
      <w:r>
        <w:rPr>
          <w:rFonts w:ascii="Times New Roman" w:hAnsi="Times New Roman" w:cs="Times New Roman" w:eastAsia="Times New Roman" w:hint="default"/>
        </w:rPr>
        <w:t>1</w:t>
      </w:r>
      <w:r>
        <w:rPr/>
        <w:t>次提名委员会，会议就现在董事、高级管理人员的任职情况，发表了</w:t>
      </w:r>
    </w:p>
    <w:p>
      <w:pPr>
        <w:pStyle w:val="BodyText"/>
        <w:spacing w:line="316" w:lineRule="auto"/>
        <w:ind w:left="472" w:right="4454" w:hanging="360"/>
        <w:jc w:val="left"/>
      </w:pPr>
      <w:r>
        <w:rPr/>
        <w:t>相关审查意见。 公司提名委员会严格按照其既定议事规则履行职责，自设立以来有效运作。</w:t>
      </w:r>
    </w:p>
    <w:p>
      <w:pPr>
        <w:pStyle w:val="BodyText"/>
        <w:spacing w:line="316" w:lineRule="auto" w:before="19"/>
        <w:ind w:left="472" w:right="0"/>
        <w:jc w:val="left"/>
      </w:pPr>
      <w:r>
        <w:rPr/>
        <w:t>（四）薪酬与考核委员会在报告期内的履行职责情况 </w:t>
      </w:r>
      <w:r>
        <w:rPr>
          <w:spacing w:val="-2"/>
        </w:rPr>
        <w:t>薪酬与考核委员会是董事会按照股东大会决议设立的专门工作机构，对董事会负责，其主要职责是审议并监督执行具有</w:t>
      </w:r>
    </w:p>
    <w:p>
      <w:pPr>
        <w:pStyle w:val="BodyText"/>
        <w:spacing w:line="316" w:lineRule="auto" w:before="19"/>
        <w:ind w:right="0"/>
        <w:jc w:val="left"/>
      </w:pPr>
      <w:r>
        <w:rPr>
          <w:spacing w:val="-2"/>
        </w:rPr>
        <w:t>有效激励与约束作用的薪酬制度和绩效考核制度，就本公司董事、监事、高级管理人员的薪酬制度、绩效考核制度以及激励</w:t>
      </w:r>
      <w:r>
        <w:rPr>
          <w:spacing w:val="-66"/>
        </w:rPr>
        <w:t> </w:t>
      </w:r>
      <w:r>
        <w:rPr>
          <w:spacing w:val="-66"/>
        </w:rPr>
      </w:r>
      <w:r>
        <w:rPr/>
        <w:t>方案向董事会建议，并对董事和高级管理人员的业绩和行为进行评估。</w:t>
      </w:r>
    </w:p>
    <w:p>
      <w:pPr>
        <w:pStyle w:val="BodyText"/>
        <w:spacing w:line="300" w:lineRule="auto" w:before="19"/>
        <w:ind w:right="1132" w:firstLine="360"/>
        <w:jc w:val="both"/>
      </w:pPr>
      <w:r>
        <w:rPr/>
        <w:t>本报告期内，公司薪酬与考核委员会共计召开</w:t>
      </w:r>
      <w:r>
        <w:rPr>
          <w:rFonts w:ascii="Times New Roman" w:hAnsi="Times New Roman" w:cs="Times New Roman" w:eastAsia="Times New Roman" w:hint="default"/>
        </w:rPr>
        <w:t>3</w:t>
      </w:r>
      <w:r>
        <w:rPr/>
        <w:t>次薪酬与考核委员会会议，会议就董事、监事及高级管理人员</w:t>
      </w:r>
      <w:r>
        <w:rPr>
          <w:rFonts w:ascii="Times New Roman" w:hAnsi="Times New Roman" w:cs="Times New Roman" w:eastAsia="Times New Roman" w:hint="default"/>
        </w:rPr>
        <w:t>2017</w:t>
      </w:r>
      <w:r>
        <w:rPr/>
        <w:t>年度 </w:t>
      </w:r>
      <w:r>
        <w:rPr>
          <w:spacing w:val="-2"/>
        </w:rPr>
        <w:t>绩效薪酬和</w:t>
      </w:r>
      <w:r>
        <w:rPr>
          <w:rFonts w:ascii="Times New Roman" w:hAnsi="Times New Roman" w:cs="Times New Roman" w:eastAsia="Times New Roman" w:hint="default"/>
          <w:spacing w:val="-2"/>
        </w:rPr>
        <w:t>2018</w:t>
      </w:r>
      <w:r>
        <w:rPr>
          <w:spacing w:val="-2"/>
        </w:rPr>
        <w:t>年度绩效薪酬、调整独立董事津贴、公司《股票期权与限制性股票激励计划》授予、注销、解锁等事项进行</w:t>
      </w:r>
      <w:r>
        <w:rPr>
          <w:spacing w:val="-64"/>
        </w:rPr>
        <w:t> </w:t>
      </w:r>
      <w:r>
        <w:rPr>
          <w:spacing w:val="-64"/>
        </w:rPr>
      </w:r>
      <w:r>
        <w:rPr/>
        <w:t>了沟通、讨论，发表了相关意见。</w:t>
      </w:r>
    </w:p>
    <w:p>
      <w:pPr>
        <w:spacing w:after="0" w:line="300" w:lineRule="auto"/>
        <w:jc w:val="both"/>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left="472" w:right="0"/>
        <w:jc w:val="left"/>
      </w:pPr>
      <w:r>
        <w:rPr/>
        <w:t>公司薪酬与考核委员会严格按照其既定议事规则履行职责，自设立以来有效运作。</w:t>
      </w:r>
    </w:p>
    <w:p>
      <w:pPr>
        <w:spacing w:line="240" w:lineRule="auto" w:before="1"/>
        <w:rPr>
          <w:rFonts w:ascii="宋体" w:hAnsi="宋体" w:cs="宋体" w:eastAsia="宋体" w:hint="default"/>
          <w:sz w:val="25"/>
          <w:szCs w:val="25"/>
        </w:rPr>
      </w:pPr>
    </w:p>
    <w:p>
      <w:pPr>
        <w:pStyle w:val="Heading2"/>
        <w:spacing w:line="240" w:lineRule="auto"/>
        <w:ind w:right="0"/>
        <w:jc w:val="left"/>
        <w:rPr>
          <w:b w:val="0"/>
          <w:bCs w:val="0"/>
        </w:rPr>
      </w:pPr>
      <w:bookmarkStart w:name="七、监事会工作情况" w:id="156"/>
      <w:bookmarkEnd w:id="156"/>
      <w:r>
        <w:rPr>
          <w:b w:val="0"/>
          <w:bCs w:val="0"/>
        </w:rPr>
      </w:r>
      <w:r>
        <w:rPr/>
        <w:t>七、监事会工作情况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监事会在报告期内的监督活动中发现公司是否存在风险</w:t>
      </w:r>
    </w:p>
    <w:p>
      <w:pPr>
        <w:pStyle w:val="BodyText"/>
        <w:spacing w:line="357" w:lineRule="auto" w:before="117"/>
        <w:ind w:right="7334" w:firstLine="91"/>
        <w:jc w:val="left"/>
      </w:pPr>
      <w:r>
        <w:rPr/>
        <w:t>□是</w:t>
      </w:r>
      <w:r>
        <w:rPr>
          <w:spacing w:val="90"/>
        </w:rPr>
        <w:t> </w:t>
      </w:r>
      <w:r>
        <w:rPr/>
        <w:t>√否 公司监事会对报告期内的监督事项无异议。</w:t>
      </w:r>
    </w:p>
    <w:p>
      <w:pPr>
        <w:spacing w:line="240" w:lineRule="auto" w:before="7"/>
        <w:rPr>
          <w:rFonts w:ascii="宋体" w:hAnsi="宋体" w:cs="宋体" w:eastAsia="宋体" w:hint="default"/>
          <w:sz w:val="18"/>
          <w:szCs w:val="18"/>
        </w:rPr>
      </w:pPr>
    </w:p>
    <w:p>
      <w:pPr>
        <w:pStyle w:val="Heading2"/>
        <w:spacing w:line="240" w:lineRule="auto"/>
        <w:ind w:right="0"/>
        <w:jc w:val="left"/>
        <w:rPr>
          <w:b w:val="0"/>
          <w:bCs w:val="0"/>
        </w:rPr>
      </w:pPr>
      <w:bookmarkStart w:name="八、高级管理人员的考评及激励情况" w:id="157"/>
      <w:bookmarkEnd w:id="157"/>
      <w:r>
        <w:rPr>
          <w:b w:val="0"/>
          <w:bCs w:val="0"/>
        </w:rPr>
      </w:r>
      <w:r>
        <w:rPr/>
        <w:t>八、高级管理人员的考评及激励情况</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1132" w:firstLine="360"/>
        <w:jc w:val="both"/>
      </w:pPr>
      <w:r>
        <w:rPr>
          <w:spacing w:val="-2"/>
        </w:rPr>
        <w:t>公司建立了完善的高级管理人员绩效考评体系和薪酬制度，高级管理人员的工作绩效与其收入直接挂钩。高级管理人员</w:t>
      </w:r>
      <w:r>
        <w:rPr/>
        <w:t> </w:t>
      </w:r>
      <w:r>
        <w:rPr>
          <w:spacing w:val="-2"/>
        </w:rPr>
        <w:t>的聘任公开、透明，符合法律、法规的规定。公司董事会下设薪酬和考核委员会协同公司人力资源部负责对公司董事、监事</w:t>
      </w:r>
      <w:r>
        <w:rPr>
          <w:spacing w:val="-65"/>
        </w:rPr>
        <w:t> </w:t>
      </w:r>
      <w:r>
        <w:rPr>
          <w:spacing w:val="-65"/>
        </w:rPr>
      </w:r>
      <w:r>
        <w:rPr/>
        <w:t>及高级管理人员进行绩效考核的实施。</w:t>
      </w:r>
    </w:p>
    <w:p>
      <w:pPr>
        <w:spacing w:line="240" w:lineRule="auto" w:before="9"/>
        <w:rPr>
          <w:rFonts w:ascii="宋体" w:hAnsi="宋体" w:cs="宋体" w:eastAsia="宋体" w:hint="default"/>
          <w:sz w:val="20"/>
          <w:szCs w:val="20"/>
        </w:rPr>
      </w:pPr>
    </w:p>
    <w:p>
      <w:pPr>
        <w:pStyle w:val="Heading2"/>
        <w:spacing w:line="240" w:lineRule="auto"/>
        <w:ind w:right="0"/>
        <w:jc w:val="left"/>
        <w:rPr>
          <w:b w:val="0"/>
          <w:bCs w:val="0"/>
        </w:rPr>
      </w:pPr>
      <w:bookmarkStart w:name="九、内部控制评价报告" w:id="158"/>
      <w:bookmarkEnd w:id="158"/>
      <w:r>
        <w:rPr>
          <w:b w:val="0"/>
          <w:bCs w:val="0"/>
        </w:rPr>
      </w:r>
      <w:r>
        <w:rPr/>
        <w:t>九、内部控制评价报告</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报告期内发现的内部控制重大缺陷的具体情况" w:id="159"/>
      <w:bookmarkEnd w:id="159"/>
      <w:r>
        <w:rPr>
          <w:b w:val="0"/>
          <w:bCs w:val="0"/>
        </w:rPr>
      </w: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204" w:right="0"/>
        <w:jc w:val="left"/>
      </w:pPr>
      <w:r>
        <w:rPr/>
        <w:t>□是  √否</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2、内控自我评价报告" w:id="160"/>
      <w:bookmarkEnd w:id="160"/>
      <w:r>
        <w:rPr>
          <w:b w:val="0"/>
          <w:bCs w:val="0"/>
        </w:rPr>
      </w:r>
      <w:r>
        <w:rPr>
          <w:rFonts w:ascii="Times New Roman" w:hAnsi="Times New Roman" w:cs="Times New Roman" w:eastAsia="Times New Roman" w:hint="default"/>
        </w:rPr>
        <w:t>2</w:t>
      </w:r>
      <w:r>
        <w:rPr/>
        <w:t>、内控自我评价报告</w:t>
      </w:r>
      <w:r>
        <w:rPr>
          <w:b w:val="0"/>
          <w:bCs w:val="0"/>
        </w:rPr>
      </w:r>
    </w:p>
    <w:p>
      <w:pPr>
        <w:spacing w:line="240" w:lineRule="auto" w:before="8"/>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194"/>
        <w:gridCol w:w="3323"/>
        <w:gridCol w:w="3051"/>
      </w:tblGrid>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714"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2" w:right="101"/>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年度内部控制自我评价报告》详见刊登于中国证监会指定的创业板信息 披露网站（巨潮网）</w:t>
            </w:r>
          </w:p>
        </w:tc>
      </w:tr>
      <w:tr>
        <w:trPr>
          <w:trHeight w:val="715"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200"/>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 并财务报表资产总额的比例</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715"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200"/>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 并财务报表营业收入的比例</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2" w:hRule="exact"/>
        </w:trPr>
        <w:tc>
          <w:tcPr>
            <w:tcW w:w="956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3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1338"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323"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102" w:right="43"/>
              <w:jc w:val="left"/>
              <w:rPr>
                <w:rFonts w:ascii="宋体" w:hAnsi="宋体" w:cs="宋体" w:eastAsia="宋体" w:hint="default"/>
                <w:sz w:val="18"/>
                <w:szCs w:val="18"/>
              </w:rPr>
            </w:pPr>
            <w:r>
              <w:rPr>
                <w:rFonts w:ascii="宋体" w:hAnsi="宋体" w:cs="宋体" w:eastAsia="宋体" w:hint="default"/>
                <w:sz w:val="18"/>
                <w:szCs w:val="18"/>
              </w:rPr>
              <w:t>重大缺陷：错报金额≥资产总额的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 重要缺陷：资产总额的</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≤错报金额</w:t>
            </w:r>
          </w:p>
          <w:p>
            <w:pPr>
              <w:pStyle w:val="TableParagraph"/>
              <w:spacing w:line="240" w:lineRule="auto" w:before="13"/>
              <w:ind w:left="10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&lt;</w:t>
            </w:r>
            <w:r>
              <w:rPr>
                <w:rFonts w:ascii="宋体" w:hAnsi="宋体" w:cs="宋体" w:eastAsia="宋体" w:hint="default"/>
                <w:sz w:val="18"/>
                <w:szCs w:val="18"/>
              </w:rPr>
              <w:t>资产总额的</w:t>
            </w:r>
            <w:r>
              <w:rPr>
                <w:rFonts w:ascii="宋体" w:hAnsi="宋体" w:cs="宋体" w:eastAsia="宋体" w:hint="default"/>
                <w:spacing w:val="-39"/>
                <w:sz w:val="18"/>
                <w:szCs w:val="18"/>
              </w:rPr>
              <w:t> </w:t>
            </w:r>
            <w:r>
              <w:rPr>
                <w:rFonts w:ascii="Times New Roman" w:hAnsi="Times New Roman" w:cs="Times New Roman" w:eastAsia="Times New Roman" w:hint="default"/>
                <w:spacing w:val="-7"/>
                <w:sz w:val="18"/>
                <w:szCs w:val="18"/>
              </w:rPr>
              <w:t>1%</w:t>
            </w:r>
            <w:r>
              <w:rPr>
                <w:rFonts w:ascii="宋体" w:hAnsi="宋体" w:cs="宋体" w:eastAsia="宋体" w:hint="default"/>
                <w:spacing w:val="-7"/>
                <w:sz w:val="18"/>
                <w:szCs w:val="18"/>
              </w:rPr>
              <w:t>；一般缺陷：错报金额</w:t>
            </w:r>
            <w:r>
              <w:rPr>
                <w:rFonts w:ascii="Times New Roman" w:hAnsi="Times New Roman" w:cs="Times New Roman" w:eastAsia="Times New Roman" w:hint="default"/>
                <w:spacing w:val="-7"/>
                <w:sz w:val="18"/>
                <w:szCs w:val="18"/>
              </w:rPr>
              <w:t>&lt;</w:t>
            </w:r>
          </w:p>
          <w:p>
            <w:pPr>
              <w:pStyle w:val="TableParagraph"/>
              <w:spacing w:line="240" w:lineRule="auto" w:before="63"/>
              <w:ind w:left="102" w:right="0"/>
              <w:jc w:val="left"/>
              <w:rPr>
                <w:rFonts w:ascii="宋体" w:hAnsi="宋体" w:cs="宋体" w:eastAsia="宋体" w:hint="default"/>
                <w:sz w:val="18"/>
                <w:szCs w:val="18"/>
              </w:rPr>
            </w:pPr>
            <w:r>
              <w:rPr>
                <w:rFonts w:ascii="宋体" w:hAnsi="宋体" w:cs="宋体" w:eastAsia="宋体" w:hint="default"/>
                <w:sz w:val="18"/>
                <w:szCs w:val="18"/>
              </w:rPr>
              <w:t>资产总额的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56"/>
              <w:jc w:val="left"/>
              <w:rPr>
                <w:rFonts w:ascii="宋体" w:hAnsi="宋体" w:cs="宋体" w:eastAsia="宋体" w:hint="default"/>
                <w:sz w:val="18"/>
                <w:szCs w:val="18"/>
              </w:rPr>
            </w:pPr>
            <w:r>
              <w:rPr>
                <w:rFonts w:ascii="宋体" w:hAnsi="宋体" w:cs="宋体" w:eastAsia="宋体" w:hint="default"/>
                <w:sz w:val="18"/>
                <w:szCs w:val="18"/>
              </w:rPr>
              <w:t>公司根据缺陷造成直接财产损失占 公司资产总额的比率确定非财务报 </w:t>
            </w:r>
            <w:r>
              <w:rPr>
                <w:rFonts w:ascii="宋体" w:hAnsi="宋体" w:cs="宋体" w:eastAsia="宋体" w:hint="default"/>
                <w:spacing w:val="-3"/>
                <w:sz w:val="18"/>
                <w:szCs w:val="18"/>
              </w:rPr>
              <w:t>告内部控制缺陷评价的定量标准，标</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准参照财务报告内控缺陷定量标准。</w:t>
            </w:r>
          </w:p>
        </w:tc>
      </w:tr>
      <w:tr>
        <w:trPr>
          <w:trHeight w:val="223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4"/>
                <w:szCs w:val="1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pacing w:val="-3"/>
                <w:sz w:val="18"/>
                <w:szCs w:val="18"/>
              </w:rPr>
              <w:t>①公司董事、监事和高级管理人员舞弊；</w:t>
            </w:r>
          </w:p>
          <w:p>
            <w:pPr>
              <w:pStyle w:val="TableParagraph"/>
              <w:spacing w:line="316" w:lineRule="auto" w:before="76"/>
              <w:ind w:left="102" w:right="149"/>
              <w:jc w:val="left"/>
              <w:rPr>
                <w:rFonts w:ascii="宋体" w:hAnsi="宋体" w:cs="宋体" w:eastAsia="宋体" w:hint="default"/>
                <w:sz w:val="18"/>
                <w:szCs w:val="18"/>
              </w:rPr>
            </w:pPr>
            <w:r>
              <w:rPr>
                <w:rFonts w:ascii="宋体" w:hAnsi="宋体" w:cs="宋体" w:eastAsia="宋体" w:hint="default"/>
                <w:sz w:val="18"/>
                <w:szCs w:val="18"/>
              </w:rPr>
              <w:t>②公司更正已公布的财务报告；③注册 会计师发现当期财务报告存在重大错 报，而内部控制在运行过程中未能发现 该错报；④董事会及相关机构对内部控 制的监督无效。</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101"/>
              <w:jc w:val="left"/>
              <w:rPr>
                <w:rFonts w:ascii="宋体" w:hAnsi="宋体" w:cs="宋体" w:eastAsia="宋体" w:hint="default"/>
                <w:sz w:val="18"/>
                <w:szCs w:val="18"/>
              </w:rPr>
            </w:pPr>
            <w:r>
              <w:rPr>
                <w:rFonts w:ascii="宋体" w:hAnsi="宋体" w:cs="宋体" w:eastAsia="宋体" w:hint="default"/>
                <w:sz w:val="18"/>
                <w:szCs w:val="18"/>
              </w:rPr>
              <w:t>定性标准即涉及业务性质的严重程 </w:t>
            </w:r>
            <w:r>
              <w:rPr>
                <w:rFonts w:ascii="宋体" w:hAnsi="宋体" w:cs="宋体" w:eastAsia="宋体" w:hint="default"/>
                <w:spacing w:val="-3"/>
                <w:sz w:val="18"/>
                <w:szCs w:val="18"/>
              </w:rPr>
              <w:t>度，公司根据其直接或潜在负面影响</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的性质、影响的范围等因素确定的非</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财务报告内部控制缺陷评价的定性 </w:t>
            </w:r>
            <w:r>
              <w:rPr>
                <w:rFonts w:ascii="宋体" w:hAnsi="宋体" w:cs="宋体" w:eastAsia="宋体" w:hint="default"/>
                <w:spacing w:val="-3"/>
                <w:sz w:val="18"/>
                <w:szCs w:val="18"/>
              </w:rPr>
              <w:t>标准如下：下列迹象表明非财务报告</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内部控制可能存在重大缺陷：①公司</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重大决策缺乏决策程序或程序严重</w:t>
            </w:r>
          </w:p>
        </w:tc>
      </w:tr>
    </w:tbl>
    <w:p>
      <w:pPr>
        <w:spacing w:after="0" w:line="316"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194"/>
        <w:gridCol w:w="3323"/>
        <w:gridCol w:w="3051"/>
      </w:tblGrid>
      <w:tr>
        <w:trPr>
          <w:trHeight w:val="318" w:hRule="exact"/>
        </w:trPr>
        <w:tc>
          <w:tcPr>
            <w:tcW w:w="3194" w:type="dxa"/>
            <w:vMerge w:val="restart"/>
            <w:tcBorders>
              <w:top w:val="single" w:sz="4" w:space="0" w:color="000000"/>
              <w:left w:val="single" w:sz="4" w:space="0" w:color="000000"/>
              <w:right w:val="single" w:sz="4" w:space="0" w:color="000000"/>
            </w:tcBorders>
            <w:shd w:val="clear" w:color="auto" w:fill="D2D2D2"/>
          </w:tcPr>
          <w:p>
            <w:pPr/>
          </w:p>
        </w:tc>
        <w:tc>
          <w:tcPr>
            <w:tcW w:w="3323" w:type="dxa"/>
            <w:vMerge w:val="restart"/>
            <w:tcBorders>
              <w:top w:val="single" w:sz="4" w:space="0" w:color="000000"/>
              <w:left w:val="single" w:sz="4" w:space="0" w:color="000000"/>
              <w:right w:val="single" w:sz="4" w:space="0" w:color="000000"/>
            </w:tcBorders>
          </w:tcPr>
          <w:p>
            <w:pPr/>
          </w:p>
        </w:tc>
        <w:tc>
          <w:tcPr>
            <w:tcW w:w="305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pacing w:val="-3"/>
                <w:sz w:val="18"/>
                <w:szCs w:val="18"/>
              </w:rPr>
              <w:t>不合理且造成重大损失；②公司人员</w:t>
            </w:r>
          </w:p>
        </w:tc>
      </w:tr>
      <w:tr>
        <w:trPr>
          <w:trHeight w:val="312" w:hRule="exact"/>
        </w:trPr>
        <w:tc>
          <w:tcPr>
            <w:tcW w:w="3194" w:type="dxa"/>
            <w:vMerge/>
            <w:tcBorders>
              <w:left w:val="single" w:sz="4" w:space="0" w:color="000000"/>
              <w:right w:val="single" w:sz="4" w:space="0" w:color="000000"/>
            </w:tcBorders>
            <w:shd w:val="clear" w:color="auto" w:fill="D2D2D2"/>
          </w:tcPr>
          <w:p>
            <w:pPr/>
          </w:p>
        </w:tc>
        <w:tc>
          <w:tcPr>
            <w:tcW w:w="3323" w:type="dxa"/>
            <w:vMerge/>
            <w:tcBorders>
              <w:left w:val="single" w:sz="4" w:space="0" w:color="000000"/>
              <w:right w:val="single" w:sz="4" w:space="0" w:color="000000"/>
            </w:tcBorders>
          </w:tcPr>
          <w:p>
            <w:pP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因内部控制原因违犯国家法律、法</w:t>
            </w:r>
          </w:p>
        </w:tc>
      </w:tr>
      <w:tr>
        <w:trPr>
          <w:trHeight w:val="312" w:hRule="exact"/>
        </w:trPr>
        <w:tc>
          <w:tcPr>
            <w:tcW w:w="3194" w:type="dxa"/>
            <w:vMerge/>
            <w:tcBorders>
              <w:left w:val="single" w:sz="4" w:space="0" w:color="000000"/>
              <w:right w:val="single" w:sz="4" w:space="0" w:color="000000"/>
            </w:tcBorders>
            <w:shd w:val="clear" w:color="auto" w:fill="D2D2D2"/>
          </w:tcPr>
          <w:p>
            <w:pPr/>
          </w:p>
        </w:tc>
        <w:tc>
          <w:tcPr>
            <w:tcW w:w="3323" w:type="dxa"/>
            <w:vMerge/>
            <w:tcBorders>
              <w:left w:val="single" w:sz="4" w:space="0" w:color="000000"/>
              <w:right w:val="single" w:sz="4" w:space="0" w:color="000000"/>
            </w:tcBorders>
          </w:tcPr>
          <w:p>
            <w:pP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3"/>
                <w:sz w:val="18"/>
                <w:szCs w:val="18"/>
              </w:rPr>
              <w:t>规，并给公司造成重大损失和严重不</w:t>
            </w:r>
          </w:p>
        </w:tc>
      </w:tr>
      <w:tr>
        <w:trPr>
          <w:trHeight w:val="312" w:hRule="exact"/>
        </w:trPr>
        <w:tc>
          <w:tcPr>
            <w:tcW w:w="3194" w:type="dxa"/>
            <w:vMerge/>
            <w:tcBorders>
              <w:left w:val="single" w:sz="4" w:space="0" w:color="000000"/>
              <w:right w:val="single" w:sz="4" w:space="0" w:color="000000"/>
            </w:tcBorders>
            <w:shd w:val="clear" w:color="auto" w:fill="D2D2D2"/>
          </w:tcPr>
          <w:p>
            <w:pPr/>
          </w:p>
        </w:tc>
        <w:tc>
          <w:tcPr>
            <w:tcW w:w="3323" w:type="dxa"/>
            <w:vMerge/>
            <w:tcBorders>
              <w:left w:val="single" w:sz="4" w:space="0" w:color="000000"/>
              <w:right w:val="single" w:sz="4" w:space="0" w:color="000000"/>
            </w:tcBorders>
          </w:tcPr>
          <w:p>
            <w:pP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3"/>
                <w:sz w:val="18"/>
                <w:szCs w:val="18"/>
              </w:rPr>
              <w:t>利影响；③公司经营活动严重违反国</w:t>
            </w:r>
          </w:p>
        </w:tc>
      </w:tr>
      <w:tr>
        <w:trPr>
          <w:trHeight w:val="316" w:hRule="exact"/>
        </w:trPr>
        <w:tc>
          <w:tcPr>
            <w:tcW w:w="3194" w:type="dxa"/>
            <w:vMerge/>
            <w:tcBorders>
              <w:left w:val="single" w:sz="4" w:space="0" w:color="000000"/>
              <w:right w:val="single" w:sz="4" w:space="0" w:color="000000"/>
            </w:tcBorders>
            <w:shd w:val="clear" w:color="auto" w:fill="D2D2D2"/>
          </w:tcPr>
          <w:p>
            <w:pPr/>
          </w:p>
        </w:tc>
        <w:tc>
          <w:tcPr>
            <w:tcW w:w="3323" w:type="dxa"/>
            <w:vMerge/>
            <w:tcBorders>
              <w:left w:val="single" w:sz="4" w:space="0" w:color="000000"/>
              <w:right w:val="single" w:sz="4" w:space="0" w:color="000000"/>
            </w:tcBorders>
          </w:tcPr>
          <w:p>
            <w:pP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家法律法规</w:t>
            </w:r>
            <w:r>
              <w:rPr>
                <w:rFonts w:ascii="Times New Roman" w:hAnsi="Times New Roman" w:cs="Times New Roman" w:eastAsia="Times New Roman" w:hint="default"/>
                <w:sz w:val="18"/>
                <w:szCs w:val="18"/>
              </w:rPr>
              <w:t>;</w:t>
            </w:r>
            <w:r>
              <w:rPr>
                <w:rFonts w:ascii="宋体" w:hAnsi="宋体" w:cs="宋体" w:eastAsia="宋体" w:hint="default"/>
                <w:sz w:val="18"/>
                <w:szCs w:val="18"/>
              </w:rPr>
              <w:t>④重要业务长期缺乏制</w:t>
            </w:r>
          </w:p>
        </w:tc>
      </w:tr>
      <w:tr>
        <w:trPr>
          <w:trHeight w:val="308" w:hRule="exact"/>
        </w:trPr>
        <w:tc>
          <w:tcPr>
            <w:tcW w:w="3194" w:type="dxa"/>
            <w:vMerge/>
            <w:tcBorders>
              <w:left w:val="single" w:sz="4" w:space="0" w:color="000000"/>
              <w:right w:val="single" w:sz="4" w:space="0" w:color="000000"/>
            </w:tcBorders>
            <w:shd w:val="clear" w:color="auto" w:fill="D2D2D2"/>
          </w:tcPr>
          <w:p>
            <w:pPr/>
          </w:p>
        </w:tc>
        <w:tc>
          <w:tcPr>
            <w:tcW w:w="3323" w:type="dxa"/>
            <w:vMerge/>
            <w:tcBorders>
              <w:left w:val="single" w:sz="4" w:space="0" w:color="000000"/>
              <w:right w:val="single" w:sz="4" w:space="0" w:color="000000"/>
            </w:tcBorders>
          </w:tcPr>
          <w:p>
            <w:pP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pacing w:val="-3"/>
                <w:sz w:val="18"/>
                <w:szCs w:val="18"/>
              </w:rPr>
              <w:t>度控制或制度系统性失效；⑤内部控</w:t>
            </w:r>
          </w:p>
        </w:tc>
      </w:tr>
      <w:tr>
        <w:trPr>
          <w:trHeight w:val="312" w:hRule="exact"/>
        </w:trPr>
        <w:tc>
          <w:tcPr>
            <w:tcW w:w="3194" w:type="dxa"/>
            <w:vMerge/>
            <w:tcBorders>
              <w:left w:val="single" w:sz="4" w:space="0" w:color="000000"/>
              <w:right w:val="single" w:sz="4" w:space="0" w:color="000000"/>
            </w:tcBorders>
            <w:shd w:val="clear" w:color="auto" w:fill="D2D2D2"/>
          </w:tcPr>
          <w:p>
            <w:pPr/>
          </w:p>
        </w:tc>
        <w:tc>
          <w:tcPr>
            <w:tcW w:w="3323" w:type="dxa"/>
            <w:vMerge/>
            <w:tcBorders>
              <w:left w:val="single" w:sz="4" w:space="0" w:color="000000"/>
              <w:right w:val="single" w:sz="4" w:space="0" w:color="000000"/>
            </w:tcBorders>
          </w:tcPr>
          <w:p>
            <w:pPr/>
          </w:p>
        </w:tc>
        <w:tc>
          <w:tcPr>
            <w:tcW w:w="30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制评价的结果是重大缺陷但未得到</w:t>
            </w:r>
          </w:p>
        </w:tc>
      </w:tr>
      <w:tr>
        <w:trPr>
          <w:trHeight w:val="356" w:hRule="exact"/>
        </w:trPr>
        <w:tc>
          <w:tcPr>
            <w:tcW w:w="3194" w:type="dxa"/>
            <w:vMerge/>
            <w:tcBorders>
              <w:left w:val="single" w:sz="4" w:space="0" w:color="000000"/>
              <w:bottom w:val="single" w:sz="4" w:space="0" w:color="000000"/>
              <w:right w:val="single" w:sz="4" w:space="0" w:color="000000"/>
            </w:tcBorders>
            <w:shd w:val="clear" w:color="auto" w:fill="D2D2D2"/>
          </w:tcPr>
          <w:p>
            <w:pPr/>
          </w:p>
        </w:tc>
        <w:tc>
          <w:tcPr>
            <w:tcW w:w="3323" w:type="dxa"/>
            <w:vMerge/>
            <w:tcBorders>
              <w:left w:val="single" w:sz="4" w:space="0" w:color="000000"/>
              <w:bottom w:val="single" w:sz="4" w:space="0" w:color="000000"/>
              <w:right w:val="single" w:sz="4" w:space="0" w:color="000000"/>
            </w:tcBorders>
          </w:tcPr>
          <w:p>
            <w:pPr/>
          </w:p>
        </w:tc>
        <w:tc>
          <w:tcPr>
            <w:tcW w:w="305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整改。</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bookmarkStart w:name="十、内部控制审计报告或鉴证报告" w:id="161"/>
      <w:bookmarkEnd w:id="161"/>
      <w:r>
        <w:rPr>
          <w:b w:val="0"/>
          <w:bCs w:val="0"/>
        </w:rPr>
      </w:r>
      <w:r>
        <w:rPr/>
        <w:t>十、内部控制审计报告或鉴证报告</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内部控制审计报告</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662"/>
        <w:gridCol w:w="6906"/>
      </w:tblGrid>
      <w:tr>
        <w:trPr>
          <w:trHeight w:val="402" w:hRule="exact"/>
        </w:trPr>
        <w:tc>
          <w:tcPr>
            <w:tcW w:w="956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内部控制审计报告中的审议意见段</w:t>
            </w:r>
          </w:p>
        </w:tc>
      </w:tr>
      <w:tr>
        <w:trPr>
          <w:trHeight w:val="714" w:hRule="exact"/>
        </w:trPr>
        <w:tc>
          <w:tcPr>
            <w:tcW w:w="9568"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1" w:right="183"/>
              <w:jc w:val="left"/>
              <w:rPr>
                <w:rFonts w:ascii="宋体" w:hAnsi="宋体" w:cs="宋体" w:eastAsia="宋体" w:hint="default"/>
                <w:sz w:val="18"/>
                <w:szCs w:val="18"/>
              </w:rPr>
            </w:pPr>
            <w:r>
              <w:rPr>
                <w:rFonts w:ascii="宋体" w:hAnsi="宋体" w:cs="宋体" w:eastAsia="宋体" w:hint="default"/>
                <w:sz w:val="18"/>
                <w:szCs w:val="18"/>
              </w:rPr>
              <w:t>我们认为，创业慧康公司按照深圳证券交易所《创业板上市公司规范运作指引》规定于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日在所有重大 方面保持了有效的财务报告内部控制。本结论是在受到审计报告中指出的固有限制的条件下形成的。</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内控审计报告披露情况</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披露</w:t>
            </w:r>
          </w:p>
        </w:tc>
      </w:tr>
      <w:tr>
        <w:trPr>
          <w:trHeight w:val="714"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208"/>
              <w:jc w:val="left"/>
              <w:rPr>
                <w:rFonts w:ascii="宋体" w:hAnsi="宋体" w:cs="宋体" w:eastAsia="宋体" w:hint="default"/>
                <w:sz w:val="18"/>
                <w:szCs w:val="18"/>
              </w:rPr>
            </w:pPr>
            <w:r>
              <w:rPr>
                <w:rFonts w:ascii="宋体" w:hAnsi="宋体" w:cs="宋体" w:eastAsia="宋体" w:hint="default"/>
                <w:sz w:val="18"/>
                <w:szCs w:val="18"/>
              </w:rPr>
              <w:t>内部控制审计报告全文披露日 期</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r>
      <w:tr>
        <w:trPr>
          <w:trHeight w:val="714"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1" w:right="208"/>
              <w:jc w:val="left"/>
              <w:rPr>
                <w:rFonts w:ascii="宋体" w:hAnsi="宋体" w:cs="宋体" w:eastAsia="宋体" w:hint="default"/>
                <w:sz w:val="18"/>
                <w:szCs w:val="18"/>
              </w:rPr>
            </w:pPr>
            <w:r>
              <w:rPr>
                <w:rFonts w:ascii="宋体" w:hAnsi="宋体" w:cs="宋体" w:eastAsia="宋体" w:hint="default"/>
                <w:sz w:val="18"/>
                <w:szCs w:val="18"/>
              </w:rPr>
              <w:t>内部控制审计报告全文披露索 引</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hyperlink r:id="rId15">
              <w:r>
                <w:rPr>
                  <w:rFonts w:ascii="Times New Roman"/>
                  <w:sz w:val="18"/>
                </w:rPr>
                <w:t>www.cninfo.com.cn</w:t>
              </w:r>
            </w:hyperlink>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内控审计报告意见类型</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标准无保留意见</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非财务报告是否存在重大缺陷</w:t>
            </w:r>
          </w:p>
        </w:tc>
        <w:tc>
          <w:tcPr>
            <w:tcW w:w="69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pStyle w:val="BodyText"/>
        <w:spacing w:line="240" w:lineRule="auto" w:before="51"/>
        <w:ind w:right="0"/>
        <w:jc w:val="left"/>
      </w:pPr>
      <w:r>
        <w:rPr/>
        <w:t>会计师事务所是否出具非标准意见的内部控制审计报告</w:t>
      </w:r>
    </w:p>
    <w:p>
      <w:pPr>
        <w:pStyle w:val="BodyText"/>
        <w:spacing w:line="357" w:lineRule="auto" w:before="117"/>
        <w:ind w:right="4634" w:firstLine="91"/>
        <w:jc w:val="left"/>
      </w:pPr>
      <w:r>
        <w:rPr/>
        <w:t>□是 √否 会计师事务所出具的内部控制审计报告与董事会的自我评价报告意见是否一致</w:t>
      </w:r>
    </w:p>
    <w:p>
      <w:pPr>
        <w:pStyle w:val="BodyText"/>
        <w:spacing w:line="240" w:lineRule="auto" w:before="29"/>
        <w:ind w:right="0"/>
        <w:jc w:val="left"/>
      </w:pPr>
      <w:r>
        <w:rPr/>
        <w:t>√是  □否</w:t>
      </w:r>
    </w:p>
    <w:p>
      <w:pPr>
        <w:spacing w:after="0" w:line="240" w:lineRule="auto"/>
        <w:jc w:val="left"/>
        <w:sectPr>
          <w:footerReference w:type="default" r:id="rId38"/>
          <w:pgSz w:w="11910" w:h="16840"/>
          <w:pgMar w:footer="1016" w:header="907" w:top="1100" w:bottom="1200" w:left="1020" w:right="0"/>
          <w:pgNumType w:start="9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Heading1"/>
        <w:spacing w:line="240" w:lineRule="auto"/>
        <w:ind w:left="3168" w:right="0"/>
        <w:jc w:val="left"/>
        <w:rPr>
          <w:b w:val="0"/>
          <w:bCs w:val="0"/>
        </w:rPr>
      </w:pPr>
      <w:bookmarkStart w:name="第十节公司债券相关情况" w:id="162"/>
      <w:bookmarkEnd w:id="162"/>
      <w:r>
        <w:rPr>
          <w:b w:val="0"/>
          <w:bCs w:val="0"/>
        </w:rPr>
      </w:r>
      <w:bookmarkStart w:name="_bookmark8" w:id="163"/>
      <w:bookmarkEnd w:id="163"/>
      <w:r>
        <w:rPr>
          <w:b w:val="0"/>
          <w:bCs w:val="0"/>
        </w:rPr>
      </w:r>
      <w:r>
        <w:rPr/>
        <w:t>第十节公司债券相关情况</w:t>
      </w:r>
      <w:r>
        <w:rPr>
          <w:b w:val="0"/>
          <w:bCs w:val="0"/>
        </w:rPr>
      </w:r>
    </w:p>
    <w:p>
      <w:pPr>
        <w:spacing w:line="240" w:lineRule="auto" w:before="6"/>
        <w:rPr>
          <w:rFonts w:ascii="宋体" w:hAnsi="宋体" w:cs="宋体" w:eastAsia="宋体" w:hint="default"/>
          <w:b/>
          <w:bCs/>
          <w:sz w:val="42"/>
          <w:szCs w:val="42"/>
        </w:rPr>
      </w:pPr>
    </w:p>
    <w:p>
      <w:pPr>
        <w:pStyle w:val="BodyText"/>
        <w:spacing w:line="360" w:lineRule="auto"/>
        <w:ind w:right="2114"/>
        <w:jc w:val="left"/>
      </w:pPr>
      <w:r>
        <w:rPr/>
        <w:t>公司是否存在公开发行并在证券交易所上市，且在年度报告批准报出日未到期或到期未能全额兑付的公司债券 否</w:t>
      </w:r>
    </w:p>
    <w:p>
      <w:pPr>
        <w:spacing w:after="0" w:line="360" w:lineRule="auto"/>
        <w:jc w:val="left"/>
        <w:sectPr>
          <w:pgSz w:w="11910" w:h="16840"/>
          <w:pgMar w:header="907" w:footer="1016" w:top="110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p>
      <w:pPr>
        <w:pStyle w:val="Heading1"/>
        <w:spacing w:line="240" w:lineRule="auto"/>
        <w:ind w:right="3297"/>
        <w:jc w:val="center"/>
        <w:rPr>
          <w:b w:val="0"/>
          <w:bCs w:val="0"/>
        </w:rPr>
      </w:pPr>
      <w:bookmarkStart w:name="第十一节财务报告" w:id="164"/>
      <w:bookmarkEnd w:id="164"/>
      <w:r>
        <w:rPr>
          <w:b w:val="0"/>
          <w:bCs w:val="0"/>
        </w:rPr>
      </w:r>
      <w:bookmarkStart w:name="_bookmark9" w:id="165"/>
      <w:bookmarkEnd w:id="165"/>
      <w:r>
        <w:rPr>
          <w:b w:val="0"/>
          <w:bCs w:val="0"/>
        </w:rPr>
      </w:r>
      <w:r>
        <w:rPr/>
        <w:t>第十一节财务报告</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pStyle w:val="Heading2"/>
        <w:spacing w:line="240" w:lineRule="auto" w:before="26"/>
        <w:ind w:right="0"/>
        <w:jc w:val="left"/>
        <w:rPr>
          <w:b w:val="0"/>
          <w:bCs w:val="0"/>
        </w:rPr>
      </w:pPr>
      <w:bookmarkStart w:name="一、审计报告" w:id="166"/>
      <w:bookmarkEnd w:id="166"/>
      <w:r>
        <w:rPr>
          <w:b w:val="0"/>
          <w:bCs w:val="0"/>
        </w:rPr>
      </w:r>
      <w:r>
        <w:rPr/>
        <w:t>一、审计报告</w:t>
      </w:r>
      <w:r>
        <w:rPr>
          <w:b w:val="0"/>
          <w:bCs w:val="0"/>
        </w:rPr>
      </w:r>
    </w:p>
    <w:p>
      <w:pPr>
        <w:spacing w:line="240" w:lineRule="auto" w:before="10"/>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4783"/>
        <w:gridCol w:w="4785"/>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天健会计师事务所（特殊普通合伙）</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天健审〔</w:t>
            </w:r>
            <w:r>
              <w:rPr>
                <w:rFonts w:ascii="Times New Roman" w:hAnsi="Times New Roman" w:cs="Times New Roman" w:eastAsia="Times New Roman" w:hint="default"/>
                <w:sz w:val="18"/>
                <w:szCs w:val="18"/>
              </w:rPr>
              <w:t>2019</w:t>
            </w:r>
            <w:r>
              <w:rPr>
                <w:rFonts w:ascii="宋体" w:hAnsi="宋体" w:cs="宋体" w:eastAsia="宋体" w:hint="default"/>
                <w:sz w:val="18"/>
                <w:szCs w:val="18"/>
              </w:rPr>
              <w:t>〕</w:t>
            </w:r>
            <w:r>
              <w:rPr>
                <w:rFonts w:ascii="Times New Roman" w:hAnsi="Times New Roman" w:cs="Times New Roman" w:eastAsia="Times New Roman" w:hint="default"/>
                <w:sz w:val="18"/>
                <w:szCs w:val="18"/>
              </w:rPr>
              <w:t>3928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号</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王强、李鸿霞</w:t>
            </w:r>
          </w:p>
        </w:tc>
      </w:tr>
    </w:tbl>
    <w:p>
      <w:pPr>
        <w:pStyle w:val="BodyText"/>
        <w:spacing w:line="240" w:lineRule="auto" w:before="49"/>
        <w:ind w:left="2276" w:right="3297"/>
        <w:jc w:val="center"/>
      </w:pPr>
      <w:r>
        <w:rPr/>
        <w:t>审计报告正文</w:t>
      </w:r>
    </w:p>
    <w:p>
      <w:pPr>
        <w:pStyle w:val="Heading5"/>
        <w:spacing w:line="240" w:lineRule="auto" w:before="117"/>
        <w:ind w:left="472" w:right="0"/>
        <w:jc w:val="left"/>
        <w:rPr>
          <w:b w:val="0"/>
          <w:bCs w:val="0"/>
        </w:rPr>
      </w:pPr>
      <w:r>
        <w:rPr/>
        <w:t>一、审计意见</w:t>
      </w:r>
      <w:r>
        <w:rPr>
          <w:b w:val="0"/>
          <w:bCs w:val="0"/>
        </w:rPr>
      </w:r>
    </w:p>
    <w:p>
      <w:pPr>
        <w:pStyle w:val="BodyText"/>
        <w:spacing w:line="316" w:lineRule="auto" w:before="76"/>
        <w:ind w:right="0" w:firstLine="360"/>
        <w:jc w:val="left"/>
      </w:pPr>
      <w:r>
        <w:rPr>
          <w:spacing w:val="-2"/>
        </w:rPr>
        <w:t>我们审计了创业慧康科技股份有限公司（2019年1月更名自创业软件股份有限公司，以下简称创业慧康公司）财务报表，</w:t>
      </w:r>
      <w:r>
        <w:rPr/>
        <w:t> </w:t>
      </w:r>
      <w:r>
        <w:rPr>
          <w:spacing w:val="-2"/>
        </w:rPr>
        <w:t>包括2018年12月31日的合并及母公司资产负债表，2018年度的合并及母公司利润表、合并及母公司现金流量表、合并及母公</w:t>
      </w:r>
      <w:r>
        <w:rPr>
          <w:spacing w:val="-57"/>
        </w:rPr>
        <w:t> </w:t>
      </w:r>
      <w:r>
        <w:rPr>
          <w:spacing w:val="-57"/>
        </w:rPr>
      </w:r>
      <w:r>
        <w:rPr/>
        <w:t>司所有者权益变动表，以及相关财务报表附注。</w:t>
      </w:r>
    </w:p>
    <w:p>
      <w:pPr>
        <w:pStyle w:val="BodyText"/>
        <w:spacing w:line="316" w:lineRule="auto" w:before="19"/>
        <w:ind w:right="0" w:firstLine="360"/>
        <w:jc w:val="left"/>
      </w:pPr>
      <w:r>
        <w:rPr>
          <w:spacing w:val="-2"/>
        </w:rPr>
        <w:t>我们认为，后附的财务报表在所有重大方面按照企业会计准则的规定编制，公允反映了创业慧康公司2018年12月31日的</w:t>
      </w:r>
      <w:r>
        <w:rPr/>
        <w:t> 合并及母公司财务状况，以及2018年度的合并及母公司经营成果和现金流量。</w:t>
      </w:r>
    </w:p>
    <w:p>
      <w:pPr>
        <w:pStyle w:val="BodyText"/>
        <w:spacing w:line="316" w:lineRule="auto" w:before="19"/>
        <w:ind w:left="472" w:right="0"/>
        <w:jc w:val="left"/>
      </w:pPr>
      <w:r>
        <w:rPr>
          <w:rFonts w:ascii="宋体" w:hAnsi="宋体" w:cs="宋体" w:eastAsia="宋体" w:hint="default"/>
          <w:b/>
          <w:bCs/>
        </w:rPr>
        <w:t>二、形成审计意见的基础</w:t>
      </w:r>
      <w:r>
        <w:rPr>
          <w:rFonts w:ascii="宋体" w:hAnsi="宋体" w:cs="宋体" w:eastAsia="宋体" w:hint="default"/>
          <w:b/>
          <w:bCs/>
          <w:w w:val="99"/>
        </w:rPr>
        <w:t> </w:t>
      </w:r>
      <w:r>
        <w:rPr>
          <w:spacing w:val="-2"/>
        </w:rPr>
        <w:t>我们按照中国注册会计师审计准则的规定执行了审计工作。审计报告的“注册会计师对财务报表审计的责任”部分进一</w:t>
      </w:r>
    </w:p>
    <w:p>
      <w:pPr>
        <w:pStyle w:val="BodyText"/>
        <w:spacing w:line="316" w:lineRule="auto" w:before="19"/>
        <w:ind w:right="0"/>
        <w:jc w:val="left"/>
      </w:pPr>
      <w:r>
        <w:rPr>
          <w:spacing w:val="-2"/>
        </w:rPr>
        <w:t>步阐述了我们在这些准则下的责任。按照中国注册会计师职业道德守则，我们独立于创业慧康公司，并履行了职业道德方面</w:t>
      </w:r>
      <w:r>
        <w:rPr>
          <w:spacing w:val="-63"/>
        </w:rPr>
        <w:t> </w:t>
      </w:r>
      <w:r>
        <w:rPr>
          <w:spacing w:val="-63"/>
        </w:rPr>
      </w:r>
      <w:r>
        <w:rPr/>
        <w:t>的其他责任。我们相信，我们获取的审计证据是充分、适当的，为发表审计意见提供了基础。</w:t>
      </w:r>
    </w:p>
    <w:p>
      <w:pPr>
        <w:pStyle w:val="BodyText"/>
        <w:spacing w:line="316" w:lineRule="auto" w:before="19"/>
        <w:ind w:left="472" w:right="0"/>
        <w:jc w:val="left"/>
      </w:pPr>
      <w:r>
        <w:rPr>
          <w:rFonts w:ascii="宋体" w:hAnsi="宋体" w:cs="宋体" w:eastAsia="宋体" w:hint="default"/>
          <w:b/>
          <w:bCs/>
        </w:rPr>
        <w:t>三、关键审计事项</w:t>
      </w:r>
      <w:r>
        <w:rPr>
          <w:rFonts w:ascii="宋体" w:hAnsi="宋体" w:cs="宋体" w:eastAsia="宋体" w:hint="default"/>
          <w:b/>
          <w:bCs/>
          <w:w w:val="99"/>
        </w:rPr>
        <w:t> </w:t>
      </w:r>
      <w:r>
        <w:rPr>
          <w:spacing w:val="-2"/>
        </w:rPr>
        <w:t>关键审计事项是我们根据职业判断，认为对本期财务报表审计最为重要的事项。这些事项的应对以对财务报表整体进行</w:t>
      </w:r>
    </w:p>
    <w:p>
      <w:pPr>
        <w:pStyle w:val="BodyText"/>
        <w:spacing w:line="316" w:lineRule="auto" w:before="19"/>
        <w:ind w:left="472" w:right="5714" w:hanging="360"/>
        <w:jc w:val="left"/>
      </w:pPr>
      <w:r>
        <w:rPr/>
        <w:t>审计并形成审计意见为背景，我们不对这些事项单独发表意见。 (一)收入确认</w:t>
      </w:r>
    </w:p>
    <w:p>
      <w:pPr>
        <w:pStyle w:val="BodyText"/>
        <w:spacing w:line="316" w:lineRule="auto" w:before="19"/>
        <w:ind w:left="472" w:right="5624"/>
        <w:jc w:val="left"/>
      </w:pPr>
      <w:r>
        <w:rPr/>
        <w:t>1.事项描述 相关信息披露详见财务报表附注三（二十二）及五（二）1。</w:t>
      </w:r>
    </w:p>
    <w:p>
      <w:pPr>
        <w:pStyle w:val="BodyText"/>
        <w:spacing w:line="316" w:lineRule="auto" w:before="19"/>
        <w:ind w:right="0" w:firstLine="360"/>
        <w:jc w:val="left"/>
      </w:pPr>
      <w:r>
        <w:rPr>
          <w:spacing w:val="-2"/>
        </w:rPr>
        <w:t>创业慧康公司的营业收入主要来自于软件销售、系统集成和技术服务等。2018年度，创业慧康公司财务报表所示营业收</w:t>
      </w:r>
      <w:r>
        <w:rPr/>
        <w:t> 入项目金额为人民币129,028.84万元。</w:t>
      </w:r>
    </w:p>
    <w:p>
      <w:pPr>
        <w:pStyle w:val="BodyText"/>
        <w:spacing w:line="316" w:lineRule="auto" w:before="19"/>
        <w:ind w:left="472" w:right="0"/>
        <w:jc w:val="left"/>
      </w:pPr>
      <w:r>
        <w:rPr/>
        <w:t>根据创业慧康公司与其客户的销售合同约定，创业慧康公司制定了收入确认的具体方法。 </w:t>
      </w:r>
      <w:r>
        <w:rPr>
          <w:spacing w:val="-2"/>
        </w:rPr>
        <w:t>由于营业收入是创业慧康公司关键业绩指标之一，可能存在管理层通过不恰当的收入确认以达到特定目标或预期的固有</w:t>
      </w:r>
    </w:p>
    <w:p>
      <w:pPr>
        <w:pStyle w:val="BodyText"/>
        <w:spacing w:line="316" w:lineRule="auto" w:before="19"/>
        <w:ind w:left="472" w:right="6614" w:hanging="360"/>
        <w:jc w:val="left"/>
      </w:pPr>
      <w:r>
        <w:rPr/>
        <w:t>风险，因此，我们将收入确认确定为关键审计事项。 2.审计应对 针对收入确认，我们实施的审计程序主要包括：</w:t>
      </w:r>
    </w:p>
    <w:p>
      <w:pPr>
        <w:pStyle w:val="BodyText"/>
        <w:spacing w:line="316" w:lineRule="auto" w:before="19"/>
        <w:ind w:right="1124" w:firstLine="360"/>
        <w:jc w:val="left"/>
      </w:pPr>
      <w:r>
        <w:rPr/>
        <w:t>(1)了解与收入确认相关的关键内部控制，评价这些控制的设计，确定其是否得到执行，并测试相关内部控制的运行有 效性；</w:t>
      </w:r>
    </w:p>
    <w:p>
      <w:pPr>
        <w:pStyle w:val="BodyText"/>
        <w:spacing w:line="316" w:lineRule="auto" w:before="19"/>
        <w:ind w:left="472" w:right="1124"/>
        <w:jc w:val="left"/>
      </w:pPr>
      <w:r>
        <w:rPr/>
        <w:t>(2)检查主要的销售合同，评价收入确认政策是否符合企业会计准则的规定； (3)对营业收入及毛利率按月度、项目等实施实质性分析程序，识别是否存在重大或异常波动，并查明波动原因； (4)以抽样方式检查与收入确认相关的支持性文件，包括销售合同、完工进度表、客户验收单等；同时，以抽样方式向</w:t>
      </w:r>
    </w:p>
    <w:p>
      <w:pPr>
        <w:pStyle w:val="BodyText"/>
        <w:spacing w:line="240" w:lineRule="auto" w:before="19"/>
        <w:ind w:right="0"/>
        <w:jc w:val="left"/>
      </w:pPr>
      <w:r>
        <w:rPr/>
        <w:t>主要客户函证项目收入及完工进度；</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right="1124" w:firstLine="360"/>
        <w:jc w:val="left"/>
      </w:pPr>
      <w:r>
        <w:rPr/>
        <w:t>(5)以抽样方式对资产负债表日前后确认的营业收入核对至客户签收单等支持性文件，评价营业收入是否在恰当期间确 认；</w:t>
      </w:r>
    </w:p>
    <w:p>
      <w:pPr>
        <w:pStyle w:val="BodyText"/>
        <w:spacing w:line="316" w:lineRule="auto" w:before="19"/>
        <w:ind w:left="472" w:right="4544"/>
        <w:jc w:val="left"/>
      </w:pPr>
      <w:r>
        <w:rPr/>
        <w:t>(6)检查与营业收入相关的信息是否已在财务报表中作出恰当列报和披露。 (二)商誉减值</w:t>
      </w:r>
    </w:p>
    <w:p>
      <w:pPr>
        <w:pStyle w:val="BodyText"/>
        <w:spacing w:line="316" w:lineRule="auto" w:before="19"/>
        <w:ind w:left="472" w:right="5714"/>
        <w:jc w:val="left"/>
      </w:pPr>
      <w:r>
        <w:rPr/>
        <w:t>1.事项描述 相关信息披露详见财务报表附注三（十八）及五（一）15。</w:t>
      </w:r>
    </w:p>
    <w:p>
      <w:pPr>
        <w:pStyle w:val="BodyText"/>
        <w:spacing w:line="316" w:lineRule="auto" w:before="19"/>
        <w:ind w:left="472" w:right="0"/>
        <w:jc w:val="left"/>
      </w:pPr>
      <w:r>
        <w:rPr/>
        <w:t>截至2018年12月31日，创业慧康公司财务报表所示商誉项目账面价值为人民币110,800.44万元。 </w:t>
      </w:r>
      <w:r>
        <w:rPr>
          <w:spacing w:val="-2"/>
        </w:rPr>
        <w:t>管理层于每年年度终了对企业合并所形成的商誉进行减值测试。管理层将商誉结合与其相关的资产组或者资产组组合进</w:t>
      </w:r>
    </w:p>
    <w:p>
      <w:pPr>
        <w:pStyle w:val="BodyText"/>
        <w:spacing w:line="316" w:lineRule="auto" w:before="19"/>
        <w:ind w:right="1132"/>
        <w:jc w:val="both"/>
      </w:pPr>
      <w:r>
        <w:rPr>
          <w:spacing w:val="-2"/>
        </w:rPr>
        <w:t>行减值测试，相关资产组或资产组组合的可收回金额按照预计未来现金流量现值计算确定。减值测试中采用的关键假设包括</w:t>
      </w:r>
      <w:r>
        <w:rPr>
          <w:spacing w:val="-64"/>
        </w:rPr>
        <w:t> </w:t>
      </w:r>
      <w:r>
        <w:rPr>
          <w:spacing w:val="-64"/>
        </w:rPr>
      </w:r>
      <w:r>
        <w:rPr/>
        <w:t>预测期收入增长率、永续预测期增长率、毛利率、折现率等。</w:t>
      </w:r>
    </w:p>
    <w:p>
      <w:pPr>
        <w:pStyle w:val="BodyText"/>
        <w:spacing w:line="316" w:lineRule="auto" w:before="19"/>
        <w:ind w:left="472" w:right="2114"/>
        <w:jc w:val="left"/>
      </w:pPr>
      <w:r>
        <w:rPr/>
        <w:t>由于商誉金额重大，且商誉减值测试涉及重大管理层判断，因此，我们将商誉减值确定为关键审计事项。 2.审计应对</w:t>
      </w:r>
    </w:p>
    <w:p>
      <w:pPr>
        <w:pStyle w:val="BodyText"/>
        <w:spacing w:line="316" w:lineRule="auto" w:before="19"/>
        <w:ind w:left="472" w:right="1124"/>
        <w:jc w:val="left"/>
      </w:pPr>
      <w:r>
        <w:rPr/>
        <w:t>针对商誉减值，我们实施的审计程序主要包括： (1)了解与商誉减值相关的关键内部控制，评价这些控制的设计，确定其是否得到执行，并测试相关内部控制的运行有</w:t>
      </w:r>
    </w:p>
    <w:p>
      <w:pPr>
        <w:pStyle w:val="BodyText"/>
        <w:spacing w:line="240" w:lineRule="auto" w:before="19"/>
        <w:ind w:right="0"/>
        <w:jc w:val="left"/>
      </w:pPr>
      <w:r>
        <w:rPr/>
        <w:t>效性；</w:t>
      </w:r>
    </w:p>
    <w:p>
      <w:pPr>
        <w:pStyle w:val="BodyText"/>
        <w:spacing w:line="316" w:lineRule="auto" w:before="76"/>
        <w:ind w:left="472" w:right="1124"/>
        <w:jc w:val="left"/>
      </w:pPr>
      <w:r>
        <w:rPr/>
        <w:t>(2)复核管理层以前年度对未来现金流量现值的预测和实际经营结果，评价管理层过往预测的准确性； (3)了解并评价管理层聘用的外部估值专家的胜任能力、专业素质和客观性； (4)评价管理层在减值测试中使用方法的合理性和一致性； (5)评价管理层在减值测试中采用的关键假设的合理性，复核相关假设是否与总体经济环境、行业状况、经营情况、历</w:t>
      </w:r>
    </w:p>
    <w:p>
      <w:pPr>
        <w:pStyle w:val="BodyText"/>
        <w:spacing w:line="316" w:lineRule="auto" w:before="19"/>
        <w:ind w:left="472" w:right="1124" w:hanging="360"/>
        <w:jc w:val="left"/>
      </w:pPr>
      <w:r>
        <w:rPr/>
        <w:t>史经验、管理层使用的与财务报表相关的其他假设等相符； (6)复核管理层对关键假设执行的敏感性分析，评价关键假设的变化对减值测试结果的影响，识别在选择关键假设时可</w:t>
      </w:r>
    </w:p>
    <w:p>
      <w:pPr>
        <w:pStyle w:val="BodyText"/>
        <w:spacing w:line="316" w:lineRule="auto" w:before="19"/>
        <w:ind w:left="472" w:right="1664" w:hanging="360"/>
        <w:jc w:val="left"/>
      </w:pPr>
      <w:r>
        <w:rPr/>
        <w:t>能存在的管理层偏向的迹象； (7)测试管理层在减值测试中使用数据的准确性、完整性和相关性，并复核减值测试中有关信息的内在一致性； (8)测试管理层对预计未来现金流量现值的计算是否准确； (9)检查与商誉减值相关的信息是否已在财务报表中作出恰当列报和披露。</w:t>
      </w:r>
    </w:p>
    <w:p>
      <w:pPr>
        <w:pStyle w:val="BodyText"/>
        <w:spacing w:line="316" w:lineRule="auto" w:before="19"/>
        <w:ind w:left="472" w:right="1120"/>
        <w:jc w:val="left"/>
      </w:pPr>
      <w:r>
        <w:rPr>
          <w:rFonts w:ascii="宋体" w:hAnsi="宋体" w:cs="宋体" w:eastAsia="宋体" w:hint="default"/>
          <w:b/>
          <w:bCs/>
        </w:rPr>
        <w:t>四、其他信息</w:t>
      </w:r>
      <w:r>
        <w:rPr>
          <w:rFonts w:ascii="宋体" w:hAnsi="宋体" w:cs="宋体" w:eastAsia="宋体" w:hint="default"/>
          <w:b/>
          <w:bCs/>
          <w:w w:val="99"/>
        </w:rPr>
        <w:t> </w:t>
      </w:r>
      <w:r>
        <w:rPr>
          <w:spacing w:val="-2"/>
        </w:rPr>
        <w:t>创业慧康公司管理层（以下简称管理层）对其他信息负责。其他信息包括年度报告中涵盖的信息，但不包括财务报表和</w:t>
      </w:r>
    </w:p>
    <w:p>
      <w:pPr>
        <w:pStyle w:val="BodyText"/>
        <w:spacing w:line="316" w:lineRule="auto" w:before="19"/>
        <w:ind w:left="472" w:right="2654" w:hanging="360"/>
        <w:jc w:val="left"/>
      </w:pPr>
      <w:r>
        <w:rPr/>
        <w:t>我们的审计报告。 我们对财务报表发表的审计意见不涵盖其他信息，我们也不对其他信息发表任何形式的鉴证结论。</w:t>
      </w:r>
    </w:p>
    <w:p>
      <w:pPr>
        <w:pStyle w:val="BodyText"/>
        <w:spacing w:line="316" w:lineRule="auto" w:before="19"/>
        <w:ind w:right="0" w:firstLine="360"/>
        <w:jc w:val="left"/>
      </w:pPr>
      <w:r>
        <w:rPr>
          <w:spacing w:val="-2"/>
        </w:rPr>
        <w:t>结合我们对财务报表的审计，我们的责任是阅读其他信息，在此过程中，考虑其他信息是否与财务报表或我们在审计过</w:t>
      </w:r>
      <w:r>
        <w:rPr/>
        <w:t> 程中了解到的情况存在重大不一致或者似乎存在重大错报。</w:t>
      </w:r>
    </w:p>
    <w:p>
      <w:pPr>
        <w:pStyle w:val="BodyText"/>
        <w:spacing w:line="316" w:lineRule="auto" w:before="19"/>
        <w:ind w:right="1120" w:firstLine="360"/>
        <w:jc w:val="left"/>
      </w:pPr>
      <w:r>
        <w:rPr>
          <w:spacing w:val="-2"/>
        </w:rPr>
        <w:t>基于我们已执行的工作，如果我们确定其他信息存在重大错报，我们应当报告该事实。在这方面，我们无任何事项需要</w:t>
      </w:r>
      <w:r>
        <w:rPr/>
        <w:t> 报告。</w:t>
      </w:r>
    </w:p>
    <w:p>
      <w:pPr>
        <w:spacing w:line="316" w:lineRule="auto" w:before="19"/>
        <w:ind w:left="472" w:right="0" w:firstLine="0"/>
        <w:jc w:val="left"/>
        <w:rPr>
          <w:rFonts w:ascii="宋体" w:hAnsi="宋体" w:cs="宋体" w:eastAsia="宋体" w:hint="default"/>
          <w:sz w:val="18"/>
          <w:szCs w:val="18"/>
        </w:rPr>
      </w:pPr>
      <w:r>
        <w:rPr>
          <w:rFonts w:ascii="宋体" w:hAnsi="宋体" w:cs="宋体" w:eastAsia="宋体" w:hint="default"/>
          <w:b/>
          <w:bCs/>
          <w:sz w:val="18"/>
          <w:szCs w:val="18"/>
        </w:rPr>
        <w:t>五、管理层和治理层对财务报表的责任</w:t>
      </w:r>
      <w:r>
        <w:rPr>
          <w:rFonts w:ascii="宋体" w:hAnsi="宋体" w:cs="宋体" w:eastAsia="宋体" w:hint="default"/>
          <w:b/>
          <w:bCs/>
          <w:w w:val="99"/>
          <w:sz w:val="18"/>
          <w:szCs w:val="18"/>
        </w:rPr>
        <w:t> </w:t>
      </w:r>
      <w:r>
        <w:rPr>
          <w:rFonts w:ascii="宋体" w:hAnsi="宋体" w:cs="宋体" w:eastAsia="宋体" w:hint="default"/>
          <w:spacing w:val="-2"/>
          <w:sz w:val="18"/>
          <w:szCs w:val="18"/>
        </w:rPr>
        <w:t>管理层负责按照企业会计准则的规定编制财务报表，使其实现公允反映，并设计、执行和维护必要的内部控制，以使财</w:t>
      </w:r>
    </w:p>
    <w:p>
      <w:pPr>
        <w:pStyle w:val="BodyText"/>
        <w:spacing w:line="316" w:lineRule="auto" w:before="19"/>
        <w:ind w:left="472" w:right="0" w:hanging="360"/>
        <w:jc w:val="left"/>
      </w:pPr>
      <w:r>
        <w:rPr/>
        <w:t>务报表不存在由于舞弊或错误导致的重大错报。 </w:t>
      </w:r>
      <w:r>
        <w:rPr>
          <w:spacing w:val="-2"/>
        </w:rPr>
        <w:t>在编制财务报表时，管理层负责评估创业慧康公司的持续经营能力，披露与持续经营相关的事项（如适用），并运用持</w:t>
      </w:r>
    </w:p>
    <w:p>
      <w:pPr>
        <w:pStyle w:val="BodyText"/>
        <w:spacing w:line="316" w:lineRule="auto" w:before="19"/>
        <w:ind w:left="472" w:right="1120" w:hanging="360"/>
        <w:jc w:val="left"/>
      </w:pPr>
      <w:r>
        <w:rPr/>
        <w:t>续经营假设，除非计划进行清算、终止运营或别无其他现实的选择。 创业慧康公司治理层（以下简称治理层）负责监督创业慧康公司的财务报告过程。 </w:t>
      </w:r>
      <w:r>
        <w:rPr>
          <w:rFonts w:ascii="宋体" w:hAnsi="宋体" w:cs="宋体" w:eastAsia="宋体" w:hint="default"/>
          <w:b/>
          <w:bCs/>
        </w:rPr>
        <w:t>六、注册会计师对财务报表审计的责任</w:t>
      </w:r>
      <w:r>
        <w:rPr>
          <w:rFonts w:ascii="宋体" w:hAnsi="宋体" w:cs="宋体" w:eastAsia="宋体" w:hint="default"/>
          <w:b/>
          <w:bCs/>
          <w:w w:val="99"/>
        </w:rPr>
        <w:t> </w:t>
      </w:r>
      <w:r>
        <w:rPr>
          <w:spacing w:val="-2"/>
        </w:rPr>
        <w:t>我们的目标是对财务报表整体是否不存在由于舞弊或错误导致的重大错报获取合理保证，并出具包含审计意见的审计报</w:t>
      </w:r>
    </w:p>
    <w:p>
      <w:pPr>
        <w:pStyle w:val="BodyText"/>
        <w:spacing w:line="316" w:lineRule="auto" w:before="19"/>
        <w:ind w:right="1130"/>
        <w:jc w:val="both"/>
      </w:pPr>
      <w:r>
        <w:rPr>
          <w:spacing w:val="-2"/>
        </w:rPr>
        <w:t>告。合理保证是高水平的保证，但并不能保证按照审计准则执行的审计在某一重大错报存在时总能发现。错报可能由于舞弊</w:t>
      </w:r>
      <w:r>
        <w:rPr>
          <w:spacing w:val="-63"/>
        </w:rPr>
        <w:t> </w:t>
      </w:r>
      <w:r>
        <w:rPr>
          <w:spacing w:val="-63"/>
        </w:rPr>
      </w:r>
      <w:r>
        <w:rPr>
          <w:spacing w:val="-2"/>
        </w:rPr>
        <w:t>或错误导致，如果合理预期错报单独或汇总起来可能影响财务报表使用者依据财务报表作出的经济决策，则通常认为错报是</w:t>
      </w:r>
      <w:r>
        <w:rPr>
          <w:spacing w:val="-64"/>
        </w:rPr>
        <w:t> </w:t>
      </w:r>
      <w:r>
        <w:rPr>
          <w:spacing w:val="-64"/>
        </w:rPr>
      </w:r>
      <w:r>
        <w:rPr/>
        <w:t>重大的。</w:t>
      </w:r>
    </w:p>
    <w:p>
      <w:pPr>
        <w:spacing w:after="0" w:line="316" w:lineRule="auto"/>
        <w:jc w:val="both"/>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left="472" w:right="0"/>
        <w:jc w:val="left"/>
      </w:pPr>
      <w:r>
        <w:rPr/>
        <w:t>在按照审计准则执行审计工作的过程中，我们运用职业判断，并保持职业怀疑。同时，我们也执行以下工作： </w:t>
      </w:r>
      <w:r>
        <w:rPr>
          <w:spacing w:val="-2"/>
        </w:rPr>
        <w:t>(一)识别和评估由于舞弊或错误导致的财务报表重大错报风险，设计和实施审计程序以应对这些风险，并获取充分、适</w:t>
      </w:r>
    </w:p>
    <w:p>
      <w:pPr>
        <w:pStyle w:val="BodyText"/>
        <w:spacing w:line="316" w:lineRule="auto" w:before="19"/>
        <w:ind w:right="1130"/>
        <w:jc w:val="both"/>
      </w:pPr>
      <w:r>
        <w:rPr>
          <w:spacing w:val="-2"/>
        </w:rPr>
        <w:t>当的审计证据，作为发表审计意见的基础。由于舞弊可能涉及串通、伪造、故意遗漏、虚假陈述或凌驾于内部控制之上，未</w:t>
      </w:r>
      <w:r>
        <w:rPr>
          <w:spacing w:val="-63"/>
        </w:rPr>
        <w:t> </w:t>
      </w:r>
      <w:r>
        <w:rPr>
          <w:spacing w:val="-63"/>
        </w:rPr>
      </w:r>
      <w:r>
        <w:rPr/>
        <w:t>能发现由于舞弊导致的重大错报的风险高于未能发现由于错误导致的重大错报的风险。</w:t>
      </w:r>
    </w:p>
    <w:p>
      <w:pPr>
        <w:pStyle w:val="BodyText"/>
        <w:spacing w:line="314" w:lineRule="auto" w:before="7"/>
        <w:ind w:left="472" w:right="0"/>
        <w:jc w:val="left"/>
      </w:pPr>
      <w:r>
        <w:rPr/>
        <w:t>(二)了解与审计相关的内部控制，以设计恰当的审计程序</w:t>
      </w:r>
      <w:r>
        <w:rPr>
          <w:rFonts w:ascii="宋体" w:hAnsi="宋体" w:cs="宋体" w:eastAsia="宋体" w:hint="default"/>
          <w:i/>
          <w:sz w:val="19"/>
          <w:szCs w:val="19"/>
        </w:rPr>
        <w:t>，</w:t>
      </w:r>
      <w:r>
        <w:rPr/>
        <w:t>但目的并非对内部控制的有效性发表意见。 (三)评价管理层选用会计政策的恰当性和作出会计估计及相关披露的合理性。 </w:t>
      </w:r>
      <w:r>
        <w:rPr>
          <w:spacing w:val="-2"/>
        </w:rPr>
        <w:t>(四)对管理层使用持续经营假设的恰当性得出结论。同时，根据获取的审计证据，就可能导致对创业慧康公司持续经营</w:t>
      </w:r>
    </w:p>
    <w:p>
      <w:pPr>
        <w:pStyle w:val="BodyText"/>
        <w:spacing w:line="316" w:lineRule="auto" w:before="20"/>
        <w:ind w:right="1130"/>
        <w:jc w:val="both"/>
      </w:pPr>
      <w:r>
        <w:rPr>
          <w:spacing w:val="-2"/>
        </w:rPr>
        <w:t>能力产生重大疑虑的事项或情况是否存在重大不确定性得出结论。如果我们得出结论认为存在重大不确定性，审计准则要求</w:t>
      </w:r>
      <w:r>
        <w:rPr>
          <w:spacing w:val="-64"/>
        </w:rPr>
        <w:t> </w:t>
      </w:r>
      <w:r>
        <w:rPr>
          <w:spacing w:val="-64"/>
        </w:rPr>
      </w:r>
      <w:r>
        <w:rPr>
          <w:spacing w:val="-2"/>
        </w:rPr>
        <w:t>我们在审计报告中提请报表使用者注意财务报表中的相关披露；如果披露不充分，我们应当发表非无保留意见。我们的结论</w:t>
      </w:r>
      <w:r>
        <w:rPr>
          <w:spacing w:val="-63"/>
        </w:rPr>
        <w:t> </w:t>
      </w:r>
      <w:r>
        <w:rPr>
          <w:spacing w:val="-63"/>
        </w:rPr>
      </w:r>
      <w:r>
        <w:rPr/>
        <w:t>基于截至审计报告日可获得的信息。然而，未来的事项或情况可能导致创业慧康公司不能持续经营。</w:t>
      </w:r>
    </w:p>
    <w:p>
      <w:pPr>
        <w:pStyle w:val="BodyText"/>
        <w:spacing w:line="316" w:lineRule="auto" w:before="19"/>
        <w:ind w:left="472" w:right="0"/>
        <w:jc w:val="left"/>
      </w:pPr>
      <w:r>
        <w:rPr>
          <w:spacing w:val="-2"/>
        </w:rPr>
        <w:t>(五)评价财务报表的总体列报、结构和内容（包括披露），并评价财务报表是否公允反映相关交易和事项。</w:t>
      </w:r>
      <w:r>
        <w:rPr>
          <w:spacing w:val="-84"/>
        </w:rPr>
        <w:t> </w:t>
      </w:r>
      <w:r>
        <w:rPr>
          <w:spacing w:val="-84"/>
        </w:rPr>
      </w:r>
      <w:r>
        <w:rPr>
          <w:spacing w:val="-2"/>
        </w:rPr>
        <w:t>(六)就创业慧康公司中实体或业务活动的财务信息获取充分、适当的审计证据，以对财务报表发表审计意见。我们负责</w:t>
      </w:r>
    </w:p>
    <w:p>
      <w:pPr>
        <w:pStyle w:val="BodyText"/>
        <w:spacing w:line="240" w:lineRule="auto" w:before="19"/>
        <w:ind w:right="0"/>
        <w:jc w:val="both"/>
      </w:pPr>
      <w:r>
        <w:rPr/>
        <w:t>指导、监督和执行集团审计，并对审计意见承担全部责任。</w:t>
      </w:r>
    </w:p>
    <w:p>
      <w:pPr>
        <w:spacing w:line="240" w:lineRule="auto" w:before="0"/>
        <w:rPr>
          <w:rFonts w:ascii="宋体" w:hAnsi="宋体" w:cs="宋体" w:eastAsia="宋体" w:hint="default"/>
          <w:sz w:val="18"/>
          <w:szCs w:val="18"/>
        </w:rPr>
      </w:pPr>
    </w:p>
    <w:p>
      <w:pPr>
        <w:pStyle w:val="BodyText"/>
        <w:spacing w:line="316" w:lineRule="auto" w:before="153"/>
        <w:ind w:right="1132" w:firstLine="360"/>
        <w:jc w:val="both"/>
      </w:pPr>
      <w:r>
        <w:rPr>
          <w:spacing w:val="-2"/>
        </w:rPr>
        <w:t>我们与治理层就计划的审计范围、时间安排和重大审计发现等事项进行沟通，包括沟通我们在审计中识别出的值得关注</w:t>
      </w:r>
      <w:r>
        <w:rPr/>
        <w:t> 的内部控制缺陷。</w:t>
      </w:r>
    </w:p>
    <w:p>
      <w:pPr>
        <w:pStyle w:val="BodyText"/>
        <w:spacing w:line="316" w:lineRule="auto" w:before="19"/>
        <w:ind w:right="1132" w:firstLine="360"/>
        <w:jc w:val="both"/>
      </w:pPr>
      <w:r>
        <w:rPr/>
        <w:t>我们还就已遵守与独立性相关的职业道德要求向治理层提供声明</w:t>
      </w:r>
      <w:r>
        <w:rPr>
          <w:spacing w:val="-82"/>
        </w:rPr>
        <w:t>，</w:t>
      </w:r>
      <w:r>
        <w:rPr/>
        <w:t>并与治理层沟通可能被合理认为影响我们独立性的所</w:t>
      </w:r>
      <w:r>
        <w:rPr/>
        <w:t> 有关系和其他事项，以及相关的防范措施（如适用</w:t>
      </w:r>
      <w:r>
        <w:rPr>
          <w:spacing w:val="-89"/>
        </w:rPr>
        <w:t>）</w:t>
      </w:r>
      <w:r>
        <w:rPr/>
        <w:t>。</w:t>
      </w:r>
    </w:p>
    <w:p>
      <w:pPr>
        <w:pStyle w:val="BodyText"/>
        <w:spacing w:line="316" w:lineRule="auto" w:before="19"/>
        <w:ind w:right="1130" w:firstLine="360"/>
        <w:jc w:val="both"/>
      </w:pPr>
      <w:r>
        <w:rPr>
          <w:spacing w:val="-2"/>
        </w:rPr>
        <w:t>从与治理层沟通过的事项中，我们确定哪些事项对本期财务报表审计最为重要，因而构成关键审计事项。我们在审计报</w:t>
      </w:r>
      <w:r>
        <w:rPr/>
        <w:t> </w:t>
      </w:r>
      <w:r>
        <w:rPr>
          <w:spacing w:val="-2"/>
        </w:rPr>
        <w:t>告中描述这些事项，除非法律法规禁止公开披露这些事项，或在极少数情形下，如果合理预期在审计报告中沟通某事项造成</w:t>
      </w:r>
      <w:r>
        <w:rPr>
          <w:spacing w:val="-63"/>
        </w:rPr>
        <w:t> </w:t>
      </w:r>
      <w:r>
        <w:rPr>
          <w:spacing w:val="-63"/>
        </w:rPr>
      </w:r>
      <w:r>
        <w:rPr/>
        <w:t>的负面后果超过在公众利益方面产生的益处，我们确定不应在审计报告中沟通该事项。</w:t>
      </w:r>
    </w:p>
    <w:p>
      <w:pPr>
        <w:spacing w:line="240" w:lineRule="auto" w:before="9"/>
        <w:rPr>
          <w:rFonts w:ascii="宋体" w:hAnsi="宋体" w:cs="宋体" w:eastAsia="宋体" w:hint="default"/>
          <w:sz w:val="20"/>
          <w:szCs w:val="20"/>
        </w:rPr>
      </w:pPr>
    </w:p>
    <w:p>
      <w:pPr>
        <w:pStyle w:val="Heading2"/>
        <w:spacing w:line="240" w:lineRule="auto"/>
        <w:ind w:right="0"/>
        <w:jc w:val="both"/>
        <w:rPr>
          <w:b w:val="0"/>
          <w:bCs w:val="0"/>
        </w:rPr>
      </w:pPr>
      <w:bookmarkStart w:name="二、财务报表" w:id="167"/>
      <w:bookmarkEnd w:id="167"/>
      <w:r>
        <w:rPr>
          <w:b w:val="0"/>
          <w:bCs w:val="0"/>
        </w:rPr>
      </w:r>
      <w:r>
        <w:rPr/>
        <w:t>二、财务报表</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both"/>
      </w:pPr>
      <w:r>
        <w:rPr/>
        <w:t>财务附注中报表的单位为：人民币元</w:t>
      </w:r>
    </w:p>
    <w:p>
      <w:pPr>
        <w:spacing w:line="240" w:lineRule="auto" w:before="0"/>
        <w:rPr>
          <w:rFonts w:ascii="宋体" w:hAnsi="宋体" w:cs="宋体" w:eastAsia="宋体" w:hint="default"/>
          <w:sz w:val="18"/>
          <w:szCs w:val="18"/>
        </w:rPr>
      </w:pPr>
    </w:p>
    <w:p>
      <w:pPr>
        <w:pStyle w:val="Heading3"/>
        <w:spacing w:line="240" w:lineRule="auto" w:before="118"/>
        <w:ind w:right="0"/>
        <w:jc w:val="both"/>
        <w:rPr>
          <w:b w:val="0"/>
          <w:bCs w:val="0"/>
        </w:rPr>
      </w:pPr>
      <w:bookmarkStart w:name="1、合并资产负债表" w:id="168"/>
      <w:bookmarkEnd w:id="168"/>
      <w:r>
        <w:rPr>
          <w:b w:val="0"/>
          <w:bCs w:val="0"/>
        </w:rPr>
      </w:r>
      <w:r>
        <w:rPr>
          <w:rFonts w:ascii="Times New Roman" w:hAnsi="Times New Roman" w:cs="Times New Roman" w:eastAsia="Times New Roman" w:hint="default"/>
        </w:rPr>
        <w:t>1</w:t>
      </w:r>
      <w:r>
        <w:rPr/>
        <w:t>、合并资产负债表</w:t>
      </w:r>
      <w:r>
        <w:rPr>
          <w:b w:val="0"/>
          <w:bCs w:val="0"/>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907" w:footer="1016" w:top="1100" w:bottom="1200" w:left="1020" w:right="0"/>
        </w:sectPr>
      </w:pPr>
    </w:p>
    <w:p>
      <w:pPr>
        <w:pStyle w:val="BodyText"/>
        <w:spacing w:line="240" w:lineRule="auto" w:before="44"/>
        <w:ind w:right="-20"/>
        <w:jc w:val="left"/>
      </w:pPr>
      <w:r>
        <w:rPr/>
        <w:t>编制单位：创业慧康科技股份有限公司</w:t>
      </w:r>
    </w:p>
    <w:p>
      <w:pPr>
        <w:spacing w:line="240" w:lineRule="auto" w:before="0"/>
        <w:rPr>
          <w:rFonts w:ascii="宋体" w:hAnsi="宋体" w:cs="宋体" w:eastAsia="宋体" w:hint="default"/>
          <w:sz w:val="18"/>
          <w:szCs w:val="18"/>
        </w:rPr>
      </w:pPr>
      <w:r>
        <w:rPr/>
        <w:br w:type="column"/>
      </w:r>
      <w:r>
        <w:rPr>
          <w:rFonts w:ascii="宋体"/>
          <w:sz w:val="18"/>
        </w:rPr>
      </w:r>
    </w:p>
    <w:p>
      <w:pPr>
        <w:pStyle w:val="BodyText"/>
        <w:spacing w:line="240" w:lineRule="auto" w:before="161"/>
        <w:ind w:right="-14"/>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47"/>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100" w:bottom="1200" w:left="1020" w:right="0"/>
          <w:cols w:num="3" w:equalWidth="0">
            <w:col w:w="3173" w:space="904"/>
            <w:col w:w="1599" w:space="3242"/>
            <w:col w:w="1972"/>
          </w:cols>
        </w:sectPr>
      </w:pP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4"/>
        <w:gridCol w:w="3406"/>
        <w:gridCol w:w="2968"/>
      </w:tblGrid>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4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40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468,367,664.95</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361,081,959.81</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200"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期损益的金融资产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580,675,277.73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447,674,875.18</w:t>
            </w:r>
          </w:p>
        </w:tc>
      </w:tr>
      <w:tr>
        <w:trPr>
          <w:trHeight w:val="400"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42" w:right="0"/>
              <w:jc w:val="left"/>
              <w:rPr>
                <w:rFonts w:ascii="宋体" w:hAnsi="宋体" w:cs="宋体" w:eastAsia="宋体" w:hint="default"/>
                <w:sz w:val="18"/>
                <w:szCs w:val="18"/>
              </w:rPr>
            </w:pPr>
            <w:r>
              <w:rPr>
                <w:rFonts w:ascii="宋体" w:hAnsi="宋体" w:cs="宋体" w:eastAsia="宋体" w:hint="default"/>
                <w:sz w:val="18"/>
                <w:szCs w:val="18"/>
              </w:rPr>
              <w:t>其中：应收票据</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1,154,448.73</w:t>
            </w:r>
          </w:p>
        </w:tc>
        <w:tc>
          <w:tcPr>
            <w:tcW w:w="2968"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3194"/>
        <w:gridCol w:w="3406"/>
        <w:gridCol w:w="2968"/>
      </w:tblGrid>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98"/>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579,520,829.00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447,674,875.18</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23,800,116.13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17,340,006.86</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46,845,184.54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41,735,381.28</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98"/>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87,484,101.22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89,824,846.34</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4,632,718.53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30,097,549.08</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1,211,805,063.10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987,754,618.55</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40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发放贷款和垫款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118,600,000.00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166,000,000.00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15,000,000.00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174,191,056.66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42,169,001.69</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3,469,909.40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3,691,834.64</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300,209,659.68</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310,211,428.25</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59,837,374.74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35,404,389.82</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53,662,512.60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23,154,125.90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4,795,473.91</w:t>
            </w: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1,108,004,441.03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1,108,004,441.03</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2"/>
                <w:sz w:val="18"/>
              </w:rPr>
              <w:t>19,119,574.04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517,859.85</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9,853,267.74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7,082,924.78</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1,866,743,269.80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1,711,236,005.96</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3,078,548,332.90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2,698,990,624.51</w:t>
            </w:r>
          </w:p>
        </w:tc>
      </w:tr>
      <w:tr>
        <w:trPr>
          <w:trHeight w:val="400"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40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3194"/>
        <w:gridCol w:w="3406"/>
        <w:gridCol w:w="2968"/>
      </w:tblGrid>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177,500,000.00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100,000,000.00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200"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期损益的金融负债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231,590,017.95</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161,413,972.08</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151,174,479.72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172,059,602.87</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45,089,388.06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50,158,388.89</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45,649,502.65</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42,924,691.75</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59,760,398.83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79,972,449.13</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2"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263,113.28</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183,333.33</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98"/>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380,001.60</w:t>
            </w: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710,763,787.21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606,529,104.72</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40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78"/>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9,786,967.28</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20,643,883.64</w:t>
            </w:r>
          </w:p>
        </w:tc>
      </w:tr>
      <w:tr>
        <w:trPr>
          <w:trHeight w:val="400"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3194"/>
        <w:gridCol w:w="3406"/>
        <w:gridCol w:w="2968"/>
      </w:tblGrid>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9,786,967.28</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20,643,883.64</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720,550,754.49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627,172,988.36</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40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485,456,398.00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242,801,887.00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78"/>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1,200,827,298.56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1,499,628,425.90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30,481,062.21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181,364,667.79</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65,681,002.18</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41,516,879.72</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599,584,088.72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435,329,536.63</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2,321,067,725.25</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2,037,912,061.46</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36,929,853.16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33,905,574.69</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2,357,997,578.41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2,071,817,636.15</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3,078,548,332.90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2,698,990,624.51</w:t>
            </w:r>
          </w:p>
        </w:tc>
      </w:tr>
    </w:tbl>
    <w:p>
      <w:pPr>
        <w:spacing w:line="240" w:lineRule="auto" w:before="1"/>
        <w:rPr>
          <w:rFonts w:ascii="Times New Roman" w:hAnsi="Times New Roman" w:cs="Times New Roman" w:eastAsia="Times New Roman" w:hint="default"/>
          <w:sz w:val="23"/>
          <w:szCs w:val="23"/>
        </w:rPr>
      </w:pPr>
    </w:p>
    <w:p>
      <w:pPr>
        <w:pStyle w:val="BodyText"/>
        <w:spacing w:line="240" w:lineRule="auto" w:before="44"/>
        <w:ind w:right="0"/>
        <w:jc w:val="left"/>
      </w:pPr>
      <w:r>
        <w:rPr/>
        <w:t>法定代表人：葛航主管会计工作负责人：郁燕萍会计机构负责人：李军</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2、母公司资产负债表" w:id="169"/>
      <w:bookmarkEnd w:id="169"/>
      <w:r>
        <w:rPr>
          <w:b w:val="0"/>
          <w:bCs w:val="0"/>
        </w:rPr>
      </w:r>
      <w:r>
        <w:rPr>
          <w:rFonts w:ascii="Times New Roman" w:hAnsi="Times New Roman" w:cs="Times New Roman" w:eastAsia="Times New Roman" w:hint="default"/>
        </w:rPr>
        <w:t>2</w:t>
      </w:r>
      <w:r>
        <w:rPr/>
        <w:t>、母公司资产负债表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01"/>
        <w:gridCol w:w="3301"/>
        <w:gridCol w:w="2966"/>
      </w:tblGrid>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114,034,048.46</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212,513,366.05</w:t>
            </w:r>
          </w:p>
        </w:tc>
      </w:tr>
      <w:tr>
        <w:trPr>
          <w:trHeight w:val="714"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27"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 损益的金融资产</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450,350,619.78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318,133,654.51</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其中：应收票据</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1,154,448.73</w:t>
            </w: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5"/>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449,196,171.05</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318,133,654.51</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18,350,593.64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12,732,708.23</w:t>
            </w:r>
          </w:p>
        </w:tc>
      </w:tr>
      <w:tr>
        <w:trPr>
          <w:trHeight w:val="400"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51,452,558.84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40,190,395.45</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3301"/>
        <w:gridCol w:w="3301"/>
        <w:gridCol w:w="2966"/>
      </w:tblGrid>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5"/>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71,841,220.35</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74,202,381.39</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706,029,041.07</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657,772,505.63</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118,600,000.00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166,000,000.00</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15,000,000.00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2"/>
                <w:sz w:val="18"/>
              </w:rPr>
              <w:t>1,713,891,111.02</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1,495,214,885.62</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214,581,651.51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209,741,472.95</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60,573,272.67</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34,139,644.11</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37,423,074.16</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5,918,700.65</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4,795,473.91</w:t>
            </w: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1,274,163.43</w:t>
            </w: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8,034,726.97</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5,953,354.68</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2,174,173,473.67</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1,931,968,058.01</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2,880,202,514.74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2,589,740,563.64</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177,500,000.00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100,000,000.00</w:t>
            </w:r>
          </w:p>
        </w:tc>
      </w:tr>
      <w:tr>
        <w:trPr>
          <w:trHeight w:val="714"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27"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 损益的金融负债</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184,400,143.71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140,444,831.41</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108,841,969.43</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110,691,273.51</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27,692,509.44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16,471,987.55</w:t>
            </w:r>
          </w:p>
        </w:tc>
      </w:tr>
      <w:tr>
        <w:trPr>
          <w:trHeight w:val="400"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32,816,736.91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26,924,937.29</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3301"/>
        <w:gridCol w:w="3301"/>
        <w:gridCol w:w="2966"/>
      </w:tblGrid>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57,417,799.26</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244,219,878.19</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2"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2"/>
                <w:sz w:val="18"/>
              </w:rPr>
              <w:t>263,113.28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183,333.33</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05"/>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380,001.60</w:t>
            </w: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588,669,158.75</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638,752,907.95</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85"/>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8,888,167.28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19,745,083.64</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8,888,167.28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19,745,083.64</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597,557,326.03</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658,497,991.59</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485,456,398.00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242,801,887.00</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2"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385"/>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1,240,114,143.15</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1,499,628,425.90</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30,481,062.21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181,364,667.79</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01"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65,681,002.18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41,516,879.72</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521,874,707.59</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328,660,047.22</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2,282,645,188.71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1,931,242,572.05</w:t>
            </w:r>
          </w:p>
        </w:tc>
      </w:tr>
      <w:tr>
        <w:trPr>
          <w:trHeight w:val="402" w:hRule="exact"/>
        </w:trPr>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2,880,202,514.74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2,589,740,563.64</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9"/>
        <w:rPr>
          <w:rFonts w:ascii="Times New Roman" w:hAnsi="Times New Roman" w:cs="Times New Roman" w:eastAsia="Times New Roman" w:hint="default"/>
          <w:sz w:val="24"/>
          <w:szCs w:val="24"/>
        </w:rPr>
      </w:pPr>
    </w:p>
    <w:p>
      <w:pPr>
        <w:pStyle w:val="Heading3"/>
        <w:spacing w:line="240" w:lineRule="auto" w:before="34"/>
        <w:ind w:right="0"/>
        <w:jc w:val="left"/>
        <w:rPr>
          <w:b w:val="0"/>
          <w:bCs w:val="0"/>
        </w:rPr>
      </w:pPr>
      <w:bookmarkStart w:name="3、合并利润表" w:id="170"/>
      <w:bookmarkEnd w:id="170"/>
      <w:r>
        <w:rPr>
          <w:b w:val="0"/>
          <w:bCs w:val="0"/>
        </w:rPr>
      </w:r>
      <w:r>
        <w:rPr>
          <w:rFonts w:ascii="Times New Roman" w:hAnsi="Times New Roman" w:cs="Times New Roman" w:eastAsia="Times New Roman" w:hint="default"/>
        </w:rPr>
        <w:t>3</w:t>
      </w:r>
      <w:r>
        <w:rPr/>
        <w:t>、合并利润表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967"/>
        <w:gridCol w:w="3300"/>
        <w:gridCol w:w="3301"/>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1,290,288,361.43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1,152,952,938.09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2"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1,290,288,361.43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1,152,952,938.09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31"/>
              <w:jc w:val="center"/>
              <w:rPr>
                <w:rFonts w:ascii="宋体" w:hAnsi="宋体" w:cs="宋体" w:eastAsia="宋体" w:hint="default"/>
                <w:sz w:val="18"/>
                <w:szCs w:val="18"/>
              </w:rPr>
            </w:pPr>
            <w:r>
              <w:rPr>
                <w:rFonts w:ascii="宋体" w:hAnsi="宋体" w:cs="宋体" w:eastAsia="宋体" w:hint="default"/>
                <w:sz w:val="18"/>
                <w:szCs w:val="18"/>
              </w:rPr>
              <w:t>利息收入</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231"/>
              <w:jc w:val="center"/>
              <w:rPr>
                <w:rFonts w:ascii="宋体" w:hAnsi="宋体" w:cs="宋体" w:eastAsia="宋体" w:hint="default"/>
                <w:sz w:val="18"/>
                <w:szCs w:val="18"/>
              </w:rPr>
            </w:pPr>
            <w:r>
              <w:rPr>
                <w:rFonts w:ascii="宋体" w:hAnsi="宋体" w:cs="宋体" w:eastAsia="宋体" w:hint="default"/>
                <w:sz w:val="18"/>
                <w:szCs w:val="18"/>
              </w:rPr>
              <w:t>已赚保费</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13"/>
              <w:jc w:val="righ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1,101,769,516.43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994,508,932.07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648,313,702.28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588,727,892.03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231"/>
              <w:jc w:val="center"/>
              <w:rPr>
                <w:rFonts w:ascii="宋体" w:hAnsi="宋体" w:cs="宋体" w:eastAsia="宋体" w:hint="default"/>
                <w:sz w:val="18"/>
                <w:szCs w:val="18"/>
              </w:rPr>
            </w:pPr>
            <w:r>
              <w:rPr>
                <w:rFonts w:ascii="宋体" w:hAnsi="宋体" w:cs="宋体" w:eastAsia="宋体" w:hint="default"/>
                <w:sz w:val="18"/>
                <w:szCs w:val="18"/>
              </w:rPr>
              <w:t>利息支出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13"/>
              <w:jc w:val="righ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11"/>
              <w:jc w:val="center"/>
              <w:rPr>
                <w:rFonts w:ascii="宋体" w:hAnsi="宋体" w:cs="宋体" w:eastAsia="宋体" w:hint="default"/>
                <w:sz w:val="18"/>
                <w:szCs w:val="18"/>
              </w:rPr>
            </w:pPr>
            <w:r>
              <w:rPr>
                <w:rFonts w:ascii="宋体" w:hAnsi="宋体" w:cs="宋体" w:eastAsia="宋体" w:hint="default"/>
                <w:sz w:val="18"/>
                <w:szCs w:val="18"/>
              </w:rPr>
              <w:t>退保金</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2"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02" w:right="0"/>
              <w:jc w:val="left"/>
              <w:rPr>
                <w:rFonts w:ascii="宋体" w:hAnsi="宋体" w:cs="宋体" w:eastAsia="宋体" w:hint="default"/>
                <w:sz w:val="18"/>
                <w:szCs w:val="18"/>
              </w:rPr>
            </w:pPr>
            <w:r>
              <w:rPr>
                <w:rFonts w:ascii="宋体" w:hAnsi="宋体" w:cs="宋体" w:eastAsia="宋体" w:hint="default"/>
                <w:sz w:val="18"/>
                <w:szCs w:val="18"/>
              </w:rPr>
              <w:t>提取保险合同准备金净</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2"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231"/>
              <w:jc w:val="center"/>
              <w:rPr>
                <w:rFonts w:ascii="宋体" w:hAnsi="宋体" w:cs="宋体" w:eastAsia="宋体" w:hint="default"/>
                <w:sz w:val="18"/>
                <w:szCs w:val="18"/>
              </w:rPr>
            </w:pPr>
            <w:r>
              <w:rPr>
                <w:rFonts w:ascii="宋体" w:hAnsi="宋体" w:cs="宋体" w:eastAsia="宋体" w:hint="default"/>
                <w:sz w:val="18"/>
                <w:szCs w:val="18"/>
              </w:rPr>
              <w:t>分保费用</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1"/>
              <w:jc w:val="center"/>
              <w:rPr>
                <w:rFonts w:ascii="宋体" w:hAnsi="宋体" w:cs="宋体" w:eastAsia="宋体" w:hint="default"/>
                <w:sz w:val="18"/>
                <w:szCs w:val="18"/>
              </w:rPr>
            </w:pPr>
            <w:r>
              <w:rPr>
                <w:rFonts w:ascii="宋体" w:hAnsi="宋体" w:cs="宋体" w:eastAsia="宋体" w:hint="default"/>
                <w:sz w:val="18"/>
                <w:szCs w:val="18"/>
              </w:rPr>
              <w:t>税金及附加</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14,151,380.49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12,959,030.08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231"/>
              <w:jc w:val="center"/>
              <w:rPr>
                <w:rFonts w:ascii="宋体" w:hAnsi="宋体" w:cs="宋体" w:eastAsia="宋体" w:hint="default"/>
                <w:sz w:val="18"/>
                <w:szCs w:val="18"/>
              </w:rPr>
            </w:pPr>
            <w:r>
              <w:rPr>
                <w:rFonts w:ascii="宋体" w:hAnsi="宋体" w:cs="宋体" w:eastAsia="宋体" w:hint="default"/>
                <w:sz w:val="18"/>
                <w:szCs w:val="18"/>
              </w:rPr>
              <w:t>销售费用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119,474,828.74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108,188,001.84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31"/>
              <w:jc w:val="center"/>
              <w:rPr>
                <w:rFonts w:ascii="宋体" w:hAnsi="宋体" w:cs="宋体" w:eastAsia="宋体" w:hint="default"/>
                <w:sz w:val="18"/>
                <w:szCs w:val="18"/>
              </w:rPr>
            </w:pPr>
            <w:r>
              <w:rPr>
                <w:rFonts w:ascii="宋体" w:hAnsi="宋体" w:cs="宋体" w:eastAsia="宋体" w:hint="default"/>
                <w:sz w:val="18"/>
                <w:szCs w:val="18"/>
              </w:rPr>
              <w:t>管理费用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151,709,086.59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152,415,963.38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231"/>
              <w:jc w:val="center"/>
              <w:rPr>
                <w:rFonts w:ascii="宋体" w:hAnsi="宋体" w:cs="宋体" w:eastAsia="宋体" w:hint="default"/>
                <w:sz w:val="18"/>
                <w:szCs w:val="18"/>
              </w:rPr>
            </w:pPr>
            <w:r>
              <w:rPr>
                <w:rFonts w:ascii="宋体" w:hAnsi="宋体" w:cs="宋体" w:eastAsia="宋体" w:hint="default"/>
                <w:sz w:val="18"/>
                <w:szCs w:val="18"/>
              </w:rPr>
              <w:t>研发费用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129,852,419.99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115,725,190.48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31"/>
              <w:jc w:val="center"/>
              <w:rPr>
                <w:rFonts w:ascii="宋体" w:hAnsi="宋体" w:cs="宋体" w:eastAsia="宋体" w:hint="default"/>
                <w:sz w:val="18"/>
                <w:szCs w:val="18"/>
              </w:rPr>
            </w:pPr>
            <w:r>
              <w:rPr>
                <w:rFonts w:ascii="宋体" w:hAnsi="宋体" w:cs="宋体" w:eastAsia="宋体" w:hint="default"/>
                <w:sz w:val="18"/>
                <w:szCs w:val="18"/>
              </w:rPr>
              <w:t>财务费用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7,544,515.68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-1,984,408.58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513"/>
              <w:jc w:val="right"/>
              <w:rPr>
                <w:rFonts w:ascii="宋体" w:hAnsi="宋体" w:cs="宋体" w:eastAsia="宋体" w:hint="default"/>
                <w:sz w:val="18"/>
                <w:szCs w:val="18"/>
              </w:rPr>
            </w:pPr>
            <w:r>
              <w:rPr>
                <w:rFonts w:ascii="宋体" w:hAnsi="宋体" w:cs="宋体" w:eastAsia="宋体" w:hint="default"/>
                <w:sz w:val="18"/>
                <w:szCs w:val="18"/>
              </w:rPr>
              <w:t>其中：利息费用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10,841,985.69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2,951,816.52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13"/>
              <w:jc w:val="right"/>
              <w:rPr>
                <w:rFonts w:ascii="宋体" w:hAnsi="宋体" w:cs="宋体" w:eastAsia="宋体" w:hint="default"/>
                <w:sz w:val="18"/>
                <w:szCs w:val="18"/>
              </w:rPr>
            </w:pPr>
            <w:r>
              <w:rPr>
                <w:rFonts w:ascii="宋体" w:hAnsi="宋体" w:cs="宋体" w:eastAsia="宋体" w:hint="default"/>
                <w:sz w:val="18"/>
                <w:szCs w:val="18"/>
              </w:rPr>
              <w:t>利息收入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3,840,898.82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5,131,741.59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02"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30,723,582.66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18,477,262.84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48,154,522.33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37,623,937.23</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1" w:right="153" w:firstLine="720"/>
              <w:jc w:val="left"/>
              <w:rPr>
                <w:rFonts w:ascii="宋体" w:hAnsi="宋体" w:cs="宋体" w:eastAsia="宋体" w:hint="default"/>
                <w:sz w:val="18"/>
                <w:szCs w:val="18"/>
              </w:rPr>
            </w:pPr>
            <w:r>
              <w:rPr>
                <w:rFonts w:ascii="宋体" w:hAnsi="宋体" w:cs="宋体" w:eastAsia="宋体" w:hint="default"/>
                <w:sz w:val="18"/>
                <w:szCs w:val="18"/>
              </w:rPr>
              <w:t>投资收益（损失以“－” 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8,729,415.78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4,729,484.05</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3"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 企业的投资收益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6,022,054.97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3,568,415.05</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1" w:right="153" w:firstLine="720"/>
              <w:jc w:val="left"/>
              <w:rPr>
                <w:rFonts w:ascii="宋体" w:hAnsi="宋体" w:cs="宋体" w:eastAsia="宋体" w:hint="default"/>
                <w:sz w:val="18"/>
                <w:szCs w:val="18"/>
              </w:rPr>
            </w:pPr>
            <w:r>
              <w:rPr>
                <w:rFonts w:ascii="宋体" w:hAnsi="宋体" w:cs="宋体" w:eastAsia="宋体" w:hint="default"/>
                <w:sz w:val="18"/>
                <w:szCs w:val="18"/>
              </w:rPr>
              <w:t>公允价值变动收益（损失 以“－”号填列）</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2"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39"/>
          <w:pgSz w:w="11910" w:h="16840"/>
          <w:pgMar w:footer="1016" w:header="907" w:top="1100" w:bottom="1200" w:left="1020" w:right="0"/>
          <w:pgNumType w:start="10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967"/>
        <w:gridCol w:w="3300"/>
        <w:gridCol w:w="3301"/>
      </w:tblGrid>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1" w:firstLine="720"/>
              <w:jc w:val="left"/>
              <w:rPr>
                <w:rFonts w:ascii="宋体" w:hAnsi="宋体" w:cs="宋体" w:eastAsia="宋体" w:hint="default"/>
                <w:sz w:val="18"/>
                <w:szCs w:val="18"/>
              </w:rPr>
            </w:pPr>
            <w:r>
              <w:rPr>
                <w:rFonts w:ascii="宋体" w:hAnsi="宋体" w:cs="宋体" w:eastAsia="宋体" w:hint="default"/>
                <w:spacing w:val="-8"/>
                <w:sz w:val="18"/>
                <w:szCs w:val="18"/>
              </w:rPr>
              <w:t>资产处置收益（损失以“</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w:t>
            </w:r>
            <w:r>
              <w:rPr>
                <w:rFonts w:ascii="宋体" w:hAnsi="宋体" w:cs="宋体" w:eastAsia="宋体" w:hint="default"/>
                <w:sz w:val="18"/>
                <w:szCs w:val="18"/>
              </w:rPr>
              <w:t> 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1,466,690.47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431,148.34</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3"/>
              <w:jc w:val="left"/>
              <w:rPr>
                <w:rFonts w:ascii="宋体" w:hAnsi="宋体" w:cs="宋体" w:eastAsia="宋体" w:hint="default"/>
                <w:sz w:val="18"/>
                <w:szCs w:val="18"/>
              </w:rPr>
            </w:pPr>
            <w:r>
              <w:rPr>
                <w:rFonts w:ascii="宋体" w:hAnsi="宋体" w:cs="宋体" w:eastAsia="宋体" w:hint="default"/>
                <w:sz w:val="18"/>
                <w:szCs w:val="18"/>
              </w:rPr>
              <w:t>三、营业利润（亏损以“－”号填 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246,869,473.58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201,228,575.64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1,399.47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428,596.70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880,823.74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1,016,434.78</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3"/>
              <w:jc w:val="left"/>
              <w:rPr>
                <w:rFonts w:ascii="宋体" w:hAnsi="宋体" w:cs="宋体" w:eastAsia="宋体" w:hint="default"/>
                <w:sz w:val="18"/>
                <w:szCs w:val="18"/>
              </w:rPr>
            </w:pPr>
            <w:r>
              <w:rPr>
                <w:rFonts w:ascii="宋体" w:hAnsi="宋体" w:cs="宋体" w:eastAsia="宋体" w:hint="default"/>
                <w:sz w:val="18"/>
                <w:szCs w:val="18"/>
              </w:rPr>
              <w:t>四、利润总额（亏损总额以“－” 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245,990,049.31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200,640,737.56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25,901,499.16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31,856,162.47</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3"/>
              <w:jc w:val="left"/>
              <w:rPr>
                <w:rFonts w:ascii="宋体" w:hAnsi="宋体" w:cs="宋体" w:eastAsia="宋体" w:hint="default"/>
                <w:sz w:val="18"/>
                <w:szCs w:val="18"/>
              </w:rPr>
            </w:pPr>
            <w:r>
              <w:rPr>
                <w:rFonts w:ascii="宋体" w:hAnsi="宋体" w:cs="宋体" w:eastAsia="宋体" w:hint="default"/>
                <w:sz w:val="18"/>
                <w:szCs w:val="18"/>
              </w:rPr>
              <w:t>五、净利润（净亏损以“－”号填 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220,088,550.15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168,784,575.09</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3"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 损以“－”号填列）</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220,088,550.15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168,784,575.09</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3"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 损以“－”号填列）</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212,681,116.27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163,244,227.81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7,407,433.88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5,540,347.28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3" w:firstLine="180"/>
              <w:jc w:val="left"/>
              <w:rPr>
                <w:rFonts w:ascii="宋体" w:hAnsi="宋体" w:cs="宋体" w:eastAsia="宋体" w:hint="default"/>
                <w:sz w:val="18"/>
                <w:szCs w:val="18"/>
              </w:rPr>
            </w:pPr>
            <w:r>
              <w:rPr>
                <w:rFonts w:ascii="宋体" w:hAnsi="宋体" w:cs="宋体" w:eastAsia="宋体" w:hint="default"/>
                <w:sz w:val="18"/>
                <w:szCs w:val="18"/>
              </w:rPr>
              <w:t>归属母公司所有者的其他综合收 益的税后净额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3" w:firstLine="360"/>
              <w:jc w:val="left"/>
              <w:rPr>
                <w:rFonts w:ascii="宋体" w:hAnsi="宋体" w:cs="宋体" w:eastAsia="宋体" w:hint="default"/>
                <w:sz w:val="18"/>
                <w:szCs w:val="18"/>
              </w:rPr>
            </w:pPr>
            <w:r>
              <w:rPr>
                <w:rFonts w:ascii="宋体" w:hAnsi="宋体" w:cs="宋体" w:eastAsia="宋体" w:hint="default"/>
                <w:sz w:val="18"/>
                <w:szCs w:val="18"/>
              </w:rPr>
              <w:t>（一）不能重分类进损益的其 他综合收益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划变动额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9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 的其他综合收益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3" w:firstLine="360"/>
              <w:jc w:val="left"/>
              <w:rPr>
                <w:rFonts w:ascii="宋体" w:hAnsi="宋体" w:cs="宋体" w:eastAsia="宋体" w:hint="default"/>
                <w:sz w:val="18"/>
                <w:szCs w:val="18"/>
              </w:rPr>
            </w:pPr>
            <w:r>
              <w:rPr>
                <w:rFonts w:ascii="宋体" w:hAnsi="宋体" w:cs="宋体" w:eastAsia="宋体" w:hint="default"/>
                <w:sz w:val="18"/>
                <w:szCs w:val="18"/>
              </w:rPr>
              <w:t>（二）将重分类进损益的其他 综合收益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9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 其他综合收益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9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 允价值变动损益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9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 类为可供出售金融资产损益</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有效部分</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967"/>
        <w:gridCol w:w="3300"/>
        <w:gridCol w:w="3301"/>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454"/>
              <w:jc w:val="center"/>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3" w:firstLine="18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 的税后净额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220,088,550.15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168,784,575.09</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3" w:firstLine="360"/>
              <w:jc w:val="left"/>
              <w:rPr>
                <w:rFonts w:ascii="宋体" w:hAnsi="宋体" w:cs="宋体" w:eastAsia="宋体" w:hint="default"/>
                <w:sz w:val="18"/>
                <w:szCs w:val="18"/>
              </w:rPr>
            </w:pPr>
            <w:r>
              <w:rPr>
                <w:rFonts w:ascii="宋体" w:hAnsi="宋体" w:cs="宋体" w:eastAsia="宋体" w:hint="default"/>
                <w:sz w:val="18"/>
                <w:szCs w:val="18"/>
              </w:rPr>
              <w:t>归属于母公司所有者的综合收 益总额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212,681,116.27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163,244,227.81</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7,407,433.88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5,540,347.28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873"/>
              <w:jc w:val="right"/>
              <w:rPr>
                <w:rFonts w:ascii="宋体" w:hAnsi="宋体" w:cs="宋体" w:eastAsia="宋体" w:hint="default"/>
                <w:sz w:val="18"/>
                <w:szCs w:val="18"/>
              </w:rPr>
            </w:pPr>
            <w:r>
              <w:rPr>
                <w:rFonts w:ascii="宋体" w:hAnsi="宋体" w:cs="宋体" w:eastAsia="宋体" w:hint="default"/>
                <w:sz w:val="18"/>
                <w:szCs w:val="18"/>
              </w:rPr>
              <w:t>（一）基本每股收益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0.45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0.35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873"/>
              <w:jc w:val="right"/>
              <w:rPr>
                <w:rFonts w:ascii="宋体" w:hAnsi="宋体" w:cs="宋体" w:eastAsia="宋体" w:hint="default"/>
                <w:sz w:val="18"/>
                <w:szCs w:val="18"/>
              </w:rPr>
            </w:pPr>
            <w:r>
              <w:rPr>
                <w:rFonts w:ascii="宋体" w:hAnsi="宋体" w:cs="宋体" w:eastAsia="宋体" w:hint="default"/>
                <w:sz w:val="18"/>
                <w:szCs w:val="18"/>
              </w:rPr>
              <w:t>（二）稀释每股收益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0.44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0.35</w:t>
            </w:r>
          </w:p>
        </w:tc>
      </w:tr>
    </w:tbl>
    <w:p>
      <w:pPr>
        <w:pStyle w:val="BodyText"/>
        <w:spacing w:line="624" w:lineRule="auto" w:before="50"/>
        <w:ind w:right="1934"/>
        <w:jc w:val="left"/>
      </w:pPr>
      <w:r>
        <w:rPr/>
        <w:t>本期发生同一控制下企业合并的，被合并方在合并前实现的净利润为：元，上期被合并方实现的净利润为：元。 法定代表人：葛航主管会计工作负责人：郁燕萍会计机构负责人：李军</w:t>
      </w:r>
    </w:p>
    <w:p>
      <w:pPr>
        <w:pStyle w:val="Heading3"/>
        <w:spacing w:line="240" w:lineRule="auto" w:before="65"/>
        <w:ind w:right="0"/>
        <w:jc w:val="left"/>
        <w:rPr>
          <w:b w:val="0"/>
          <w:bCs w:val="0"/>
        </w:rPr>
      </w:pPr>
      <w:bookmarkStart w:name="4、母公司利润表" w:id="171"/>
      <w:bookmarkEnd w:id="171"/>
      <w:r>
        <w:rPr>
          <w:b w:val="0"/>
          <w:bCs w:val="0"/>
        </w:rPr>
      </w:r>
      <w:r>
        <w:rPr>
          <w:rFonts w:ascii="Times New Roman" w:hAnsi="Times New Roman" w:cs="Times New Roman" w:eastAsia="Times New Roman" w:hint="default"/>
        </w:rPr>
        <w:t>4</w:t>
      </w:r>
      <w:r>
        <w:rPr/>
        <w:t>、母公司利润表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966"/>
        <w:gridCol w:w="3301"/>
        <w:gridCol w:w="3301"/>
      </w:tblGrid>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799,728,116.05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614,624,923.97</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2"/>
                <w:sz w:val="18"/>
              </w:rPr>
              <w:t>402,115,110.77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302,230,264.67</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2"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10,249,157.10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8,417,128.35</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78,614,579.19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72,026,692.11</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112,544,514.88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110,910,237.13</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99,547,414.20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82,606,857.14</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10,239,950.07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537,603.15</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11,040,822.60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2,887,481.70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4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1,263,509.76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2,453,871.84</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29,538,288.08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16,272,837.12</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44,923,088.66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35,735,611.81</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2" w:firstLine="720"/>
              <w:jc w:val="left"/>
              <w:rPr>
                <w:rFonts w:ascii="宋体" w:hAnsi="宋体" w:cs="宋体" w:eastAsia="宋体" w:hint="default"/>
                <w:sz w:val="18"/>
                <w:szCs w:val="18"/>
              </w:rPr>
            </w:pPr>
            <w:r>
              <w:rPr>
                <w:rFonts w:ascii="宋体" w:hAnsi="宋体" w:cs="宋体" w:eastAsia="宋体" w:hint="default"/>
                <w:sz w:val="18"/>
                <w:szCs w:val="18"/>
              </w:rPr>
              <w:t>投资收益（损失以“－” 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147,470,356.34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4,825,913.33</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2"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 企业的投资收益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6,022,054.97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4,592,488.67</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2" w:firstLine="720"/>
              <w:jc w:val="left"/>
              <w:rPr>
                <w:rFonts w:ascii="宋体" w:hAnsi="宋体" w:cs="宋体" w:eastAsia="宋体" w:hint="default"/>
                <w:sz w:val="18"/>
                <w:szCs w:val="18"/>
              </w:rPr>
            </w:pPr>
            <w:r>
              <w:rPr>
                <w:rFonts w:ascii="宋体" w:hAnsi="宋体" w:cs="宋体" w:eastAsia="宋体" w:hint="default"/>
                <w:sz w:val="18"/>
                <w:szCs w:val="18"/>
              </w:rPr>
              <w:t>公允价值变动收益（损失 以“－”号填列）</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0"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0"/>
              <w:ind w:left="822" w:right="0"/>
              <w:jc w:val="left"/>
              <w:rPr>
                <w:rFonts w:ascii="宋体" w:hAnsi="宋体" w:cs="宋体" w:eastAsia="宋体" w:hint="default"/>
                <w:sz w:val="18"/>
                <w:szCs w:val="18"/>
              </w:rPr>
            </w:pPr>
            <w:r>
              <w:rPr>
                <w:rFonts w:ascii="宋体" w:hAnsi="宋体" w:cs="宋体" w:eastAsia="宋体" w:hint="default"/>
                <w:spacing w:val="-8"/>
                <w:sz w:val="18"/>
                <w:szCs w:val="18"/>
              </w:rPr>
              <w:t>资产处置收益（损失以“</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966"/>
        <w:gridCol w:w="3301"/>
        <w:gridCol w:w="3301"/>
      </w:tblGrid>
      <w:tr>
        <w:trPr>
          <w:trHeight w:val="36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2"/>
              <w:jc w:val="left"/>
              <w:rPr>
                <w:rFonts w:ascii="宋体" w:hAnsi="宋体" w:cs="宋体" w:eastAsia="宋体" w:hint="default"/>
                <w:sz w:val="18"/>
                <w:szCs w:val="18"/>
              </w:rPr>
            </w:pPr>
            <w:r>
              <w:rPr>
                <w:rFonts w:ascii="宋体" w:hAnsi="宋体" w:cs="宋体" w:eastAsia="宋体" w:hint="default"/>
                <w:sz w:val="18"/>
                <w:szCs w:val="18"/>
              </w:rPr>
              <w:t>二、营业利润（亏损以“－”号填 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249,272,546.76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62,184,829.44</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409,969.11</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635,853.26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430,800.99</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2"/>
              <w:jc w:val="left"/>
              <w:rPr>
                <w:rFonts w:ascii="宋体" w:hAnsi="宋体" w:cs="宋体" w:eastAsia="宋体" w:hint="default"/>
                <w:sz w:val="18"/>
                <w:szCs w:val="18"/>
              </w:rPr>
            </w:pPr>
            <w:r>
              <w:rPr>
                <w:rFonts w:ascii="宋体" w:hAnsi="宋体" w:cs="宋体" w:eastAsia="宋体" w:hint="default"/>
                <w:sz w:val="18"/>
                <w:szCs w:val="18"/>
              </w:rPr>
              <w:t>三、利润总额（亏损总额以“－” 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248,636,693.50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62,163,997.56</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6,995,468.95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6,170,150.26</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2"/>
              <w:jc w:val="left"/>
              <w:rPr>
                <w:rFonts w:ascii="宋体" w:hAnsi="宋体" w:cs="宋体" w:eastAsia="宋体" w:hint="default"/>
                <w:sz w:val="18"/>
                <w:szCs w:val="18"/>
              </w:rPr>
            </w:pPr>
            <w:r>
              <w:rPr>
                <w:rFonts w:ascii="宋体" w:hAnsi="宋体" w:cs="宋体" w:eastAsia="宋体" w:hint="default"/>
                <w:sz w:val="18"/>
                <w:szCs w:val="18"/>
              </w:rPr>
              <w:t>四、净利润（净亏损以“－”号填 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241,641,224.55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55,993,847.30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2"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 损以“－”号填列）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241,641,224.55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55,993,847.30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2"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 损以“－”号填列）</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2" w:firstLine="360"/>
              <w:jc w:val="left"/>
              <w:rPr>
                <w:rFonts w:ascii="宋体" w:hAnsi="宋体" w:cs="宋体" w:eastAsia="宋体" w:hint="default"/>
                <w:sz w:val="18"/>
                <w:szCs w:val="18"/>
              </w:rPr>
            </w:pPr>
            <w:r>
              <w:rPr>
                <w:rFonts w:ascii="宋体" w:hAnsi="宋体" w:cs="宋体" w:eastAsia="宋体" w:hint="default"/>
                <w:sz w:val="18"/>
                <w:szCs w:val="18"/>
              </w:rPr>
              <w:t>（一）不能重分类进损益的其 他综合收益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划变动额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95"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 的其他综合收益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2" w:firstLine="360"/>
              <w:jc w:val="left"/>
              <w:rPr>
                <w:rFonts w:ascii="宋体" w:hAnsi="宋体" w:cs="宋体" w:eastAsia="宋体" w:hint="default"/>
                <w:sz w:val="18"/>
                <w:szCs w:val="18"/>
              </w:rPr>
            </w:pPr>
            <w:r>
              <w:rPr>
                <w:rFonts w:ascii="宋体" w:hAnsi="宋体" w:cs="宋体" w:eastAsia="宋体" w:hint="default"/>
                <w:sz w:val="18"/>
                <w:szCs w:val="18"/>
              </w:rPr>
              <w:t>（二）将重分类进损益的其他 综合收益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95"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 其他综合收益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95"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 允价值变动损益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95"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 类为可供出售金融资产损益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有效部分</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453"/>
              <w:jc w:val="center"/>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241,641,224.55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55,993,847.30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0"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966"/>
        <w:gridCol w:w="3301"/>
        <w:gridCol w:w="3301"/>
      </w:tblGrid>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1"/>
        <w:rPr>
          <w:rFonts w:ascii="Times New Roman" w:hAnsi="Times New Roman" w:cs="Times New Roman" w:eastAsia="Times New Roman" w:hint="default"/>
          <w:sz w:val="21"/>
          <w:szCs w:val="21"/>
        </w:rPr>
      </w:pPr>
    </w:p>
    <w:p>
      <w:pPr>
        <w:pStyle w:val="Heading3"/>
        <w:spacing w:line="240" w:lineRule="auto" w:before="34"/>
        <w:ind w:right="0"/>
        <w:jc w:val="left"/>
        <w:rPr>
          <w:b w:val="0"/>
          <w:bCs w:val="0"/>
        </w:rPr>
      </w:pPr>
      <w:bookmarkStart w:name="5、合并现金流量表" w:id="172"/>
      <w:bookmarkEnd w:id="172"/>
      <w:r>
        <w:rPr>
          <w:b w:val="0"/>
          <w:bCs w:val="0"/>
        </w:rPr>
      </w:r>
      <w:r>
        <w:rPr>
          <w:rFonts w:ascii="Times New Roman" w:hAnsi="Times New Roman" w:cs="Times New Roman" w:eastAsia="Times New Roman" w:hint="default"/>
        </w:rPr>
        <w:t>5</w:t>
      </w:r>
      <w:r>
        <w:rPr/>
        <w:t>、合并现金流量表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966"/>
        <w:gridCol w:w="3301"/>
        <w:gridCol w:w="3301"/>
      </w:tblGrid>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1,244,333,573.42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1,212,535,026.46</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2" w:firstLine="360"/>
              <w:jc w:val="left"/>
              <w:rPr>
                <w:rFonts w:ascii="宋体" w:hAnsi="宋体" w:cs="宋体" w:eastAsia="宋体" w:hint="default"/>
                <w:sz w:val="18"/>
                <w:szCs w:val="18"/>
              </w:rPr>
            </w:pPr>
            <w:r>
              <w:rPr>
                <w:rFonts w:ascii="宋体" w:hAnsi="宋体" w:cs="宋体" w:eastAsia="宋体" w:hint="default"/>
                <w:sz w:val="18"/>
                <w:szCs w:val="18"/>
              </w:rPr>
              <w:t>客户存款和同业存放款项净增 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2" w:firstLine="360"/>
              <w:jc w:val="left"/>
              <w:rPr>
                <w:rFonts w:ascii="宋体" w:hAnsi="宋体" w:cs="宋体" w:eastAsia="宋体" w:hint="default"/>
                <w:sz w:val="18"/>
                <w:szCs w:val="18"/>
              </w:rPr>
            </w:pPr>
            <w:r>
              <w:rPr>
                <w:rFonts w:ascii="宋体" w:hAnsi="宋体" w:cs="宋体" w:eastAsia="宋体" w:hint="default"/>
                <w:sz w:val="18"/>
                <w:szCs w:val="18"/>
              </w:rPr>
              <w:t>向其他金融机构拆入资金净增 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收到原保险合同保费取得的现</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2" w:firstLine="360"/>
              <w:jc w:val="left"/>
              <w:rPr>
                <w:rFonts w:ascii="宋体" w:hAnsi="宋体" w:cs="宋体" w:eastAsia="宋体" w:hint="default"/>
                <w:sz w:val="18"/>
                <w:szCs w:val="18"/>
              </w:rPr>
            </w:pPr>
            <w:r>
              <w:rPr>
                <w:rFonts w:ascii="宋体" w:hAnsi="宋体" w:cs="宋体" w:eastAsia="宋体" w:hint="default"/>
                <w:sz w:val="18"/>
                <w:szCs w:val="18"/>
              </w:rPr>
              <w:t>处置以公允价值计量且其变动 计入当期损益的金融资产净增加额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收取利息、手续费及佣金的现</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34,861,809.31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28,598,155.36</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23,298,254.33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22,336,299.33</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1,302,493,637.06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1,263,469,481.15</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440,820,991.83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437,960,710.50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2" w:firstLine="360"/>
              <w:jc w:val="left"/>
              <w:rPr>
                <w:rFonts w:ascii="宋体" w:hAnsi="宋体" w:cs="宋体" w:eastAsia="宋体" w:hint="default"/>
                <w:sz w:val="18"/>
                <w:szCs w:val="18"/>
              </w:rPr>
            </w:pPr>
            <w:r>
              <w:rPr>
                <w:rFonts w:ascii="宋体" w:hAnsi="宋体" w:cs="宋体" w:eastAsia="宋体" w:hint="default"/>
                <w:sz w:val="18"/>
                <w:szCs w:val="18"/>
              </w:rPr>
              <w:t>存放中央银行和同业款项净增 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支付原保险合同赔付款项的现</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支付利息、手续费及佣金的现</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966"/>
        <w:gridCol w:w="3301"/>
        <w:gridCol w:w="3301"/>
      </w:tblGrid>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2" w:firstLine="360"/>
              <w:jc w:val="left"/>
              <w:rPr>
                <w:rFonts w:ascii="宋体" w:hAnsi="宋体" w:cs="宋体" w:eastAsia="宋体" w:hint="default"/>
                <w:sz w:val="18"/>
                <w:szCs w:val="18"/>
              </w:rPr>
            </w:pPr>
            <w:r>
              <w:rPr>
                <w:rFonts w:ascii="宋体" w:hAnsi="宋体" w:cs="宋体" w:eastAsia="宋体" w:hint="default"/>
                <w:sz w:val="18"/>
                <w:szCs w:val="18"/>
              </w:rPr>
              <w:t>支付给职工以及为职工支付的 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427,556,194.87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426,784,482.94</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125,236,374.35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105,246,589.66</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139,182,457.93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118,011,356.40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1,132,796,018.98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1,088,003,139.50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169,697,618.08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175,466,341.65</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2,707,360.81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1,161,069.00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2"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 他长期资产收回的现金净额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5,570,196.17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917,284.20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2"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 到的现金净额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25,002,011.62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182,497,438.88</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33,279,568.60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184,575,792.08</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2"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 他长期资产支付的现金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2"/>
                <w:sz w:val="18"/>
              </w:rPr>
              <w:t>111,712,914.62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49,419,287.43</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78,600,000.00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152,500,000.00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2"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 付的现金净额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91,727,950.54</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22,312,373.40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190,312,914.62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315,959,611.37</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-157,033,346.02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-131,383,819.29</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10,930,000.00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61,868,000.00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2" w:firstLine="360"/>
              <w:jc w:val="left"/>
              <w:rPr>
                <w:rFonts w:ascii="宋体" w:hAnsi="宋体" w:cs="宋体" w:eastAsia="宋体" w:hint="default"/>
                <w:sz w:val="18"/>
                <w:szCs w:val="18"/>
              </w:rPr>
            </w:pPr>
            <w:r>
              <w:rPr>
                <w:rFonts w:ascii="宋体" w:hAnsi="宋体" w:cs="宋体" w:eastAsia="宋体" w:hint="default"/>
                <w:sz w:val="18"/>
                <w:szCs w:val="18"/>
              </w:rPr>
              <w:t>其中：子公司吸收少数股东投 资收到的现金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10,930,000.00</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352,500,000.00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130,000,000.00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95,532,402.24</w:t>
            </w:r>
          </w:p>
        </w:tc>
        <w:tc>
          <w:tcPr>
            <w:tcW w:w="330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966"/>
        <w:gridCol w:w="3301"/>
        <w:gridCol w:w="3301"/>
      </w:tblGrid>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458,962,402.24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191,868,000.00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275,000,000.00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37,300,000.00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2"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 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34,644,645.86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27,297,429.26</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2" w:firstLine="360"/>
              <w:jc w:val="left"/>
              <w:rPr>
                <w:rFonts w:ascii="宋体" w:hAnsi="宋体" w:cs="宋体" w:eastAsia="宋体" w:hint="default"/>
                <w:sz w:val="18"/>
                <w:szCs w:val="18"/>
              </w:rPr>
            </w:pPr>
            <w:r>
              <w:rPr>
                <w:rFonts w:ascii="宋体" w:hAnsi="宋体" w:cs="宋体" w:eastAsia="宋体" w:hint="default"/>
                <w:sz w:val="18"/>
                <w:szCs w:val="18"/>
              </w:rPr>
              <w:t>其中：子公司支付给少数股东 的股利、利润</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56,596,070.93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128,347,453.76</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366,240,716.79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192,944,883.02</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92,721,685.45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-1,076,883.02</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2"/>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 的影响</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105,385,957.51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43,005,639.34</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360,288,285.78</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317,282,646.44</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465,674,243.29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360,288,285.78</w:t>
            </w:r>
          </w:p>
        </w:tc>
      </w:tr>
    </w:tbl>
    <w:p>
      <w:pPr>
        <w:spacing w:line="240" w:lineRule="auto" w:before="11"/>
        <w:rPr>
          <w:rFonts w:ascii="Times New Roman" w:hAnsi="Times New Roman" w:cs="Times New Roman" w:eastAsia="Times New Roman" w:hint="default"/>
          <w:sz w:val="21"/>
          <w:szCs w:val="21"/>
        </w:rPr>
      </w:pPr>
    </w:p>
    <w:p>
      <w:pPr>
        <w:pStyle w:val="Heading3"/>
        <w:spacing w:line="240" w:lineRule="auto" w:before="34"/>
        <w:ind w:right="0"/>
        <w:jc w:val="left"/>
        <w:rPr>
          <w:b w:val="0"/>
          <w:bCs w:val="0"/>
        </w:rPr>
      </w:pPr>
      <w:bookmarkStart w:name="6、母公司现金流量表" w:id="173"/>
      <w:bookmarkEnd w:id="173"/>
      <w:r>
        <w:rPr>
          <w:b w:val="0"/>
          <w:bCs w:val="0"/>
        </w:rPr>
      </w:r>
      <w:r>
        <w:rPr>
          <w:rFonts w:ascii="Times New Roman" w:hAnsi="Times New Roman" w:cs="Times New Roman" w:eastAsia="Times New Roman" w:hint="default"/>
        </w:rPr>
        <w:t>6</w:t>
      </w:r>
      <w:r>
        <w:rPr/>
        <w:t>、母公司现金流量表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966"/>
        <w:gridCol w:w="3301"/>
        <w:gridCol w:w="3301"/>
      </w:tblGrid>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722,746,595.99</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632,097,784.08</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32,339,470.51</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26,822,773.45</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7,688,243.34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28,826,876.41</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762,774,309.84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687,747,433.94</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258,420,329.80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213,395,149.69</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2" w:firstLine="360"/>
              <w:jc w:val="left"/>
              <w:rPr>
                <w:rFonts w:ascii="宋体" w:hAnsi="宋体" w:cs="宋体" w:eastAsia="宋体" w:hint="default"/>
                <w:sz w:val="18"/>
                <w:szCs w:val="18"/>
              </w:rPr>
            </w:pPr>
            <w:r>
              <w:rPr>
                <w:rFonts w:ascii="宋体" w:hAnsi="宋体" w:cs="宋体" w:eastAsia="宋体" w:hint="default"/>
                <w:sz w:val="18"/>
                <w:szCs w:val="18"/>
              </w:rPr>
              <w:t>支付给职工以及为职工支付的 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284,319,442.64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262,492,219.29</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75,688,677.25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51,959,752.20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108,236,577.35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82,919,544.04</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726,665,027.04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610,766,665.22</w:t>
            </w:r>
          </w:p>
        </w:tc>
      </w:tr>
      <w:tr>
        <w:trPr>
          <w:trHeight w:val="400"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36,109,282.80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76,980,768.72</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966"/>
        <w:gridCol w:w="3301"/>
        <w:gridCol w:w="3301"/>
      </w:tblGrid>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141,448,301.37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233,424.66</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2"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 他长期资产收回的现金净额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41,779.10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1,640.68</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2"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 到的现金净额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3,229,264.07</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52,060,308.20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144,719,344.54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52,295,373.54</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2"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 他长期资产支付的现金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92,681,490.52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44,127,832.50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176,254,170.43</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157,150,000.00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52"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 付的现金净额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128,528,932.80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9,214,880.15</w:t>
            </w: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278,150,541.10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329,806,765.30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-133,431,196.56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-277,511,391.76</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61,868,000.00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352,500,000.00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130,000,000.00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95,532,402.24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140,000,000.00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448,032,402.24</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331,868,000.00</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275,000,000.00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30,000,000.00</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2"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 付的现金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34,632,715.65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27,142,792.79</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141,456,838.05</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126,247,700.07</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451,089,553.70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183,390,492.86</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-3,057,151.46</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148,477,507.14</w:t>
            </w:r>
          </w:p>
        </w:tc>
      </w:tr>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2"/>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 的影响</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1" w:type="dxa"/>
            <w:tcBorders>
              <w:top w:val="single" w:sz="4" w:space="0" w:color="000000"/>
              <w:left w:val="single" w:sz="4" w:space="0" w:color="000000"/>
              <w:bottom w:val="single" w:sz="4" w:space="0" w:color="000000"/>
              <w:right w:val="single" w:sz="4" w:space="0" w:color="000000"/>
            </w:tcBorders>
          </w:tcPr>
          <w:p>
            <w:pPr/>
          </w:p>
        </w:tc>
      </w:tr>
      <w:tr>
        <w:trPr>
          <w:trHeight w:val="400"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-100,379,065.22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-52,053,115.90</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2966"/>
        <w:gridCol w:w="3301"/>
        <w:gridCol w:w="3301"/>
      </w:tblGrid>
      <w:tr>
        <w:trPr>
          <w:trHeight w:val="714"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211,719,692.02</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263,772,807.92</w:t>
            </w:r>
          </w:p>
        </w:tc>
      </w:tr>
      <w:tr>
        <w:trPr>
          <w:trHeight w:val="402" w:hRule="exact"/>
        </w:trPr>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2"/>
                <w:sz w:val="18"/>
              </w:rPr>
              <w:t>111,340,626.80</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211,719,692.02</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4"/>
        <w:ind w:right="0"/>
        <w:jc w:val="left"/>
        <w:rPr>
          <w:b w:val="0"/>
          <w:bCs w:val="0"/>
        </w:rPr>
      </w:pPr>
      <w:bookmarkStart w:name="7、合并所有者权益变动表" w:id="174"/>
      <w:bookmarkEnd w:id="174"/>
      <w:r>
        <w:rPr>
          <w:b w:val="0"/>
          <w:bCs w:val="0"/>
        </w:rPr>
      </w:r>
      <w:r>
        <w:rPr>
          <w:rFonts w:ascii="Times New Roman" w:hAnsi="Times New Roman" w:cs="Times New Roman" w:eastAsia="Times New Roman" w:hint="default"/>
        </w:rPr>
        <w:t>7</w:t>
      </w:r>
      <w:r>
        <w:rPr/>
        <w:t>、合并所有者权益变动表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本期金额</w:t>
      </w:r>
    </w:p>
    <w:p>
      <w:pPr>
        <w:pStyle w:val="BodyText"/>
        <w:spacing w:line="240" w:lineRule="auto" w:before="117"/>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438"/>
        <w:gridCol w:w="562"/>
        <w:gridCol w:w="531"/>
        <w:gridCol w:w="531"/>
        <w:gridCol w:w="531"/>
        <w:gridCol w:w="664"/>
        <w:gridCol w:w="665"/>
        <w:gridCol w:w="665"/>
        <w:gridCol w:w="665"/>
        <w:gridCol w:w="664"/>
        <w:gridCol w:w="665"/>
        <w:gridCol w:w="665"/>
        <w:gridCol w:w="665"/>
        <w:gridCol w:w="659"/>
      </w:tblGrid>
      <w:tr>
        <w:trPr>
          <w:trHeight w:val="402" w:hRule="exact"/>
        </w:trPr>
        <w:tc>
          <w:tcPr>
            <w:tcW w:w="143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132"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402" w:hRule="exact"/>
        </w:trPr>
        <w:tc>
          <w:tcPr>
            <w:tcW w:w="1438" w:type="dxa"/>
            <w:vMerge/>
            <w:tcBorders>
              <w:left w:val="single" w:sz="4" w:space="0" w:color="000000"/>
              <w:right w:val="single" w:sz="4" w:space="0" w:color="000000"/>
            </w:tcBorders>
            <w:shd w:val="clear" w:color="auto" w:fill="D2D2D2"/>
          </w:tcPr>
          <w:p>
            <w:pPr/>
          </w:p>
        </w:tc>
        <w:tc>
          <w:tcPr>
            <w:tcW w:w="6808"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316" w:lineRule="auto"/>
              <w:ind w:left="147" w:right="145"/>
              <w:jc w:val="both"/>
              <w:rPr>
                <w:rFonts w:ascii="宋体" w:hAnsi="宋体" w:cs="宋体" w:eastAsia="宋体" w:hint="default"/>
                <w:sz w:val="18"/>
                <w:szCs w:val="18"/>
              </w:rPr>
            </w:pPr>
            <w:r>
              <w:rPr>
                <w:rFonts w:ascii="宋体" w:hAnsi="宋体" w:cs="宋体" w:eastAsia="宋体" w:hint="default"/>
                <w:sz w:val="18"/>
                <w:szCs w:val="18"/>
              </w:rPr>
              <w:t>少数 股东 权益</w:t>
            </w:r>
          </w:p>
        </w:tc>
        <w:tc>
          <w:tcPr>
            <w:tcW w:w="65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22"/>
                <w:szCs w:val="22"/>
              </w:rPr>
            </w:pPr>
          </w:p>
          <w:p>
            <w:pPr>
              <w:pStyle w:val="TableParagraph"/>
              <w:spacing w:line="316" w:lineRule="auto"/>
              <w:ind w:left="142" w:right="144"/>
              <w:jc w:val="both"/>
              <w:rPr>
                <w:rFonts w:ascii="宋体" w:hAnsi="宋体" w:cs="宋体" w:eastAsia="宋体" w:hint="default"/>
                <w:sz w:val="18"/>
                <w:szCs w:val="18"/>
              </w:rPr>
            </w:pPr>
            <w:r>
              <w:rPr>
                <w:rFonts w:ascii="宋体" w:hAnsi="宋体" w:cs="宋体" w:eastAsia="宋体" w:hint="default"/>
                <w:sz w:val="18"/>
                <w:szCs w:val="18"/>
              </w:rPr>
              <w:t>所有 者权 益合 计</w:t>
            </w:r>
          </w:p>
        </w:tc>
      </w:tr>
      <w:tr>
        <w:trPr>
          <w:trHeight w:val="402" w:hRule="exact"/>
        </w:trPr>
        <w:tc>
          <w:tcPr>
            <w:tcW w:w="1438" w:type="dxa"/>
            <w:vMerge/>
            <w:tcBorders>
              <w:left w:val="single" w:sz="4" w:space="0" w:color="000000"/>
              <w:right w:val="single" w:sz="4" w:space="0" w:color="000000"/>
            </w:tcBorders>
            <w:shd w:val="clear" w:color="auto" w:fill="D2D2D2"/>
          </w:tcPr>
          <w:p>
            <w:pPr/>
          </w:p>
        </w:tc>
        <w:tc>
          <w:tcPr>
            <w:tcW w:w="5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185" w:right="184"/>
              <w:jc w:val="center"/>
              <w:rPr>
                <w:rFonts w:ascii="宋体" w:hAnsi="宋体" w:cs="宋体" w:eastAsia="宋体" w:hint="default"/>
                <w:sz w:val="18"/>
                <w:szCs w:val="18"/>
              </w:rPr>
            </w:pPr>
            <w:r>
              <w:rPr>
                <w:rFonts w:ascii="宋体" w:hAnsi="宋体" w:cs="宋体" w:eastAsia="宋体" w:hint="default"/>
                <w:sz w:val="18"/>
                <w:szCs w:val="18"/>
              </w:rPr>
              <w:t>股 本</w:t>
            </w:r>
          </w:p>
        </w:tc>
        <w:tc>
          <w:tcPr>
            <w:tcW w:w="159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50"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147" w:right="145"/>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48" w:right="145"/>
              <w:jc w:val="both"/>
              <w:rPr>
                <w:rFonts w:ascii="宋体" w:hAnsi="宋体" w:cs="宋体" w:eastAsia="宋体" w:hint="default"/>
                <w:sz w:val="18"/>
                <w:szCs w:val="18"/>
              </w:rPr>
            </w:pPr>
            <w:r>
              <w:rPr>
                <w:rFonts w:ascii="宋体" w:hAnsi="宋体" w:cs="宋体" w:eastAsia="宋体" w:hint="default"/>
                <w:sz w:val="18"/>
                <w:szCs w:val="18"/>
              </w:rPr>
              <w:t>减： 库存 股</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47" w:right="145"/>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147" w:right="145"/>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66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147" w:right="144"/>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46" w:right="147"/>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48" w:right="145"/>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665"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026" w:hRule="exact"/>
        </w:trPr>
        <w:tc>
          <w:tcPr>
            <w:tcW w:w="1438" w:type="dxa"/>
            <w:vMerge/>
            <w:tcBorders>
              <w:left w:val="single" w:sz="4" w:space="0" w:color="000000"/>
              <w:bottom w:val="single" w:sz="4" w:space="0" w:color="000000"/>
              <w:right w:val="single" w:sz="4" w:space="0" w:color="000000"/>
            </w:tcBorders>
            <w:shd w:val="clear" w:color="auto" w:fill="D2D2D2"/>
          </w:tcPr>
          <w:p>
            <w:pPr/>
          </w:p>
        </w:tc>
        <w:tc>
          <w:tcPr>
            <w:tcW w:w="562" w:type="dxa"/>
            <w:vMerge/>
            <w:tcBorders>
              <w:left w:val="single" w:sz="4" w:space="0" w:color="000000"/>
              <w:bottom w:val="single" w:sz="4" w:space="0" w:color="000000"/>
              <w:right w:val="single" w:sz="4" w:space="0" w:color="000000"/>
            </w:tcBorders>
            <w:shd w:val="clear" w:color="auto" w:fill="D2D2D2"/>
          </w:tcPr>
          <w:p>
            <w:pPr/>
          </w:p>
        </w:tc>
        <w:tc>
          <w:tcPr>
            <w:tcW w:w="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70" w:right="168"/>
              <w:jc w:val="both"/>
              <w:rPr>
                <w:rFonts w:ascii="宋体" w:hAnsi="宋体" w:cs="宋体" w:eastAsia="宋体" w:hint="default"/>
                <w:sz w:val="18"/>
                <w:szCs w:val="18"/>
              </w:rPr>
            </w:pPr>
            <w:r>
              <w:rPr>
                <w:rFonts w:ascii="宋体" w:hAnsi="宋体" w:cs="宋体" w:eastAsia="宋体" w:hint="default"/>
                <w:sz w:val="18"/>
                <w:szCs w:val="18"/>
              </w:rPr>
              <w:t>优 先 股</w:t>
            </w:r>
          </w:p>
        </w:tc>
        <w:tc>
          <w:tcPr>
            <w:tcW w:w="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70" w:right="169"/>
              <w:jc w:val="both"/>
              <w:rPr>
                <w:rFonts w:ascii="宋体" w:hAnsi="宋体" w:cs="宋体" w:eastAsia="宋体" w:hint="default"/>
                <w:sz w:val="18"/>
                <w:szCs w:val="18"/>
              </w:rPr>
            </w:pPr>
            <w:r>
              <w:rPr>
                <w:rFonts w:ascii="宋体" w:hAnsi="宋体" w:cs="宋体" w:eastAsia="宋体" w:hint="default"/>
                <w:sz w:val="18"/>
                <w:szCs w:val="18"/>
              </w:rPr>
              <w:t>永 续 债</w:t>
            </w:r>
          </w:p>
        </w:tc>
        <w:tc>
          <w:tcPr>
            <w:tcW w:w="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69" w:right="169"/>
              <w:jc w:val="left"/>
              <w:rPr>
                <w:rFonts w:ascii="宋体" w:hAnsi="宋体" w:cs="宋体" w:eastAsia="宋体" w:hint="default"/>
                <w:sz w:val="18"/>
                <w:szCs w:val="18"/>
              </w:rPr>
            </w:pPr>
            <w:r>
              <w:rPr>
                <w:rFonts w:ascii="宋体" w:hAnsi="宋体" w:cs="宋体" w:eastAsia="宋体" w:hint="default"/>
                <w:sz w:val="18"/>
                <w:szCs w:val="18"/>
              </w:rPr>
              <w:t>其 他</w:t>
            </w:r>
          </w:p>
        </w:tc>
        <w:tc>
          <w:tcPr>
            <w:tcW w:w="664"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4"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59" w:type="dxa"/>
            <w:vMerge/>
            <w:tcBorders>
              <w:left w:val="single" w:sz="4" w:space="0" w:color="000000"/>
              <w:bottom w:val="single" w:sz="4" w:space="0" w:color="000000"/>
              <w:right w:val="single" w:sz="4" w:space="0" w:color="000000"/>
            </w:tcBorders>
            <w:shd w:val="clear" w:color="auto" w:fill="D2D2D2"/>
          </w:tcPr>
          <w:p>
            <w:pPr/>
          </w:p>
        </w:tc>
      </w:tr>
      <w:tr>
        <w:trPr>
          <w:trHeight w:val="1338"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101" w:right="100"/>
              <w:jc w:val="left"/>
              <w:rPr>
                <w:rFonts w:ascii="宋体" w:hAnsi="宋体" w:cs="宋体" w:eastAsia="宋体" w:hint="default"/>
                <w:sz w:val="18"/>
                <w:szCs w:val="18"/>
              </w:rPr>
            </w:pPr>
            <w:r>
              <w:rPr>
                <w:rFonts w:ascii="宋体" w:hAnsi="宋体" w:cs="宋体" w:eastAsia="宋体" w:hint="default"/>
                <w:spacing w:val="-6"/>
                <w:sz w:val="18"/>
                <w:szCs w:val="18"/>
              </w:rPr>
              <w:t>一、上年期末余</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4" w:right="0"/>
              <w:jc w:val="center"/>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34" w:right="0"/>
              <w:jc w:val="center"/>
              <w:rPr>
                <w:rFonts w:ascii="Times New Roman" w:hAnsi="Times New Roman" w:cs="Times New Roman" w:eastAsia="Times New Roman" w:hint="default"/>
                <w:sz w:val="18"/>
                <w:szCs w:val="18"/>
              </w:rPr>
            </w:pPr>
            <w:r>
              <w:rPr>
                <w:rFonts w:ascii="Times New Roman"/>
                <w:sz w:val="18"/>
              </w:rPr>
              <w:t>801,</w:t>
            </w:r>
          </w:p>
          <w:p>
            <w:pPr>
              <w:pStyle w:val="TableParagraph"/>
              <w:spacing w:line="240" w:lineRule="auto" w:before="105"/>
              <w:ind w:left="34" w:right="0"/>
              <w:jc w:val="center"/>
              <w:rPr>
                <w:rFonts w:ascii="Times New Roman" w:hAnsi="Times New Roman" w:cs="Times New Roman" w:eastAsia="Times New Roman" w:hint="default"/>
                <w:sz w:val="18"/>
                <w:szCs w:val="18"/>
              </w:rPr>
            </w:pPr>
            <w:r>
              <w:rPr>
                <w:rFonts w:ascii="Times New Roman"/>
                <w:sz w:val="18"/>
              </w:rPr>
              <w:t>887.</w:t>
            </w:r>
          </w:p>
          <w:p>
            <w:pPr>
              <w:pStyle w:val="TableParagraph"/>
              <w:spacing w:line="240" w:lineRule="auto" w:before="105"/>
              <w:ind w:left="167" w:right="0"/>
              <w:jc w:val="center"/>
              <w:rPr>
                <w:rFonts w:ascii="Times New Roman" w:hAnsi="Times New Roman" w:cs="Times New Roman" w:eastAsia="Times New Roman" w:hint="default"/>
                <w:sz w:val="18"/>
                <w:szCs w:val="18"/>
              </w:rPr>
            </w:pPr>
            <w:r>
              <w:rPr>
                <w:rFonts w:ascii="Times New Roman"/>
                <w:sz w:val="18"/>
              </w:rPr>
              <w:t>00</w:t>
            </w: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5" w:right="0"/>
              <w:jc w:val="left"/>
              <w:rPr>
                <w:rFonts w:ascii="Times New Roman" w:hAnsi="Times New Roman" w:cs="Times New Roman" w:eastAsia="Times New Roman" w:hint="default"/>
                <w:sz w:val="18"/>
                <w:szCs w:val="18"/>
              </w:rPr>
            </w:pPr>
            <w:r>
              <w:rPr>
                <w:rFonts w:ascii="Times New Roman"/>
                <w:sz w:val="18"/>
              </w:rPr>
              <w:t>1,499</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,628,</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425.9</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181,3</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64,66</w:t>
            </w:r>
          </w:p>
          <w:p>
            <w:pPr>
              <w:pStyle w:val="TableParagraph"/>
              <w:spacing w:line="240" w:lineRule="auto" w:before="105"/>
              <w:ind w:left="236" w:right="0"/>
              <w:jc w:val="left"/>
              <w:rPr>
                <w:rFonts w:ascii="Times New Roman" w:hAnsi="Times New Roman" w:cs="Times New Roman" w:eastAsia="Times New Roman" w:hint="default"/>
                <w:sz w:val="18"/>
                <w:szCs w:val="18"/>
              </w:rPr>
            </w:pPr>
            <w:r>
              <w:rPr>
                <w:rFonts w:ascii="Times New Roman"/>
                <w:sz w:val="18"/>
              </w:rPr>
              <w:t>7.79</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2" w:right="0"/>
              <w:jc w:val="center"/>
              <w:rPr>
                <w:rFonts w:ascii="Times New Roman" w:hAnsi="Times New Roman" w:cs="Times New Roman" w:eastAsia="Times New Roman" w:hint="default"/>
                <w:sz w:val="18"/>
                <w:szCs w:val="18"/>
              </w:rPr>
            </w:pPr>
            <w:r>
              <w:rPr>
                <w:rFonts w:ascii="Times New Roman"/>
                <w:sz w:val="18"/>
              </w:rPr>
              <w:t>41,51</w:t>
            </w:r>
          </w:p>
          <w:p>
            <w:pPr>
              <w:pStyle w:val="TableParagraph"/>
              <w:spacing w:line="240" w:lineRule="auto" w:before="105"/>
              <w:ind w:left="42" w:right="0"/>
              <w:jc w:val="center"/>
              <w:rPr>
                <w:rFonts w:ascii="Times New Roman" w:hAnsi="Times New Roman" w:cs="Times New Roman" w:eastAsia="Times New Roman" w:hint="default"/>
                <w:sz w:val="18"/>
                <w:szCs w:val="18"/>
              </w:rPr>
            </w:pPr>
            <w:r>
              <w:rPr>
                <w:rFonts w:ascii="Times New Roman"/>
                <w:sz w:val="18"/>
              </w:rPr>
              <w:t>6,879</w:t>
            </w:r>
          </w:p>
          <w:p>
            <w:pPr>
              <w:pStyle w:val="TableParagraph"/>
              <w:spacing w:line="240" w:lineRule="auto" w:before="105"/>
              <w:ind w:left="222" w:right="0"/>
              <w:jc w:val="center"/>
              <w:rPr>
                <w:rFonts w:ascii="Times New Roman" w:hAnsi="Times New Roman" w:cs="Times New Roman" w:eastAsia="Times New Roman" w:hint="default"/>
                <w:sz w:val="18"/>
                <w:szCs w:val="18"/>
              </w:rPr>
            </w:pPr>
            <w:r>
              <w:rPr>
                <w:rFonts w:ascii="Times New Roman"/>
                <w:sz w:val="18"/>
              </w:rPr>
              <w:t>.72</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435,3</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29,53</w:t>
            </w:r>
          </w:p>
          <w:p>
            <w:pPr>
              <w:pStyle w:val="TableParagraph"/>
              <w:spacing w:line="240" w:lineRule="auto" w:before="105"/>
              <w:ind w:left="236" w:right="0"/>
              <w:jc w:val="left"/>
              <w:rPr>
                <w:rFonts w:ascii="Times New Roman" w:hAnsi="Times New Roman" w:cs="Times New Roman" w:eastAsia="Times New Roman" w:hint="default"/>
                <w:sz w:val="18"/>
                <w:szCs w:val="18"/>
              </w:rPr>
            </w:pPr>
            <w:r>
              <w:rPr>
                <w:rFonts w:ascii="Times New Roman"/>
                <w:sz w:val="18"/>
              </w:rPr>
              <w:t>6.63</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33,90</w:t>
            </w:r>
          </w:p>
          <w:p>
            <w:pPr>
              <w:pStyle w:val="TableParagraph"/>
              <w:spacing w:line="240" w:lineRule="auto" w:before="105"/>
              <w:ind w:left="44" w:right="0"/>
              <w:jc w:val="center"/>
              <w:rPr>
                <w:rFonts w:ascii="Times New Roman" w:hAnsi="Times New Roman" w:cs="Times New Roman" w:eastAsia="Times New Roman" w:hint="default"/>
                <w:sz w:val="18"/>
                <w:szCs w:val="18"/>
              </w:rPr>
            </w:pPr>
            <w:r>
              <w:rPr>
                <w:rFonts w:ascii="Times New Roman"/>
                <w:sz w:val="18"/>
              </w:rPr>
              <w:t>5,574</w:t>
            </w:r>
          </w:p>
          <w:p>
            <w:pPr>
              <w:pStyle w:val="TableParagraph"/>
              <w:spacing w:line="240" w:lineRule="auto" w:before="105"/>
              <w:ind w:left="224" w:right="0"/>
              <w:jc w:val="center"/>
              <w:rPr>
                <w:rFonts w:ascii="Times New Roman" w:hAnsi="Times New Roman" w:cs="Times New Roman" w:eastAsia="Times New Roman" w:hint="default"/>
                <w:sz w:val="18"/>
                <w:szCs w:val="18"/>
              </w:rPr>
            </w:pPr>
            <w:r>
              <w:rPr>
                <w:rFonts w:ascii="Times New Roman"/>
                <w:sz w:val="18"/>
              </w:rPr>
              <w:t>.69</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0" w:right="0"/>
              <w:jc w:val="left"/>
              <w:rPr>
                <w:rFonts w:ascii="Times New Roman" w:hAnsi="Times New Roman" w:cs="Times New Roman" w:eastAsia="Times New Roman" w:hint="default"/>
                <w:sz w:val="18"/>
                <w:szCs w:val="18"/>
              </w:rPr>
            </w:pPr>
            <w:r>
              <w:rPr>
                <w:rFonts w:ascii="Times New Roman"/>
                <w:sz w:val="18"/>
              </w:rPr>
              <w:t>2,071</w:t>
            </w:r>
          </w:p>
          <w:p>
            <w:pPr>
              <w:pStyle w:val="TableParagraph"/>
              <w:spacing w:line="240" w:lineRule="auto" w:before="105"/>
              <w:ind w:left="186" w:right="0"/>
              <w:jc w:val="left"/>
              <w:rPr>
                <w:rFonts w:ascii="Times New Roman" w:hAnsi="Times New Roman" w:cs="Times New Roman" w:eastAsia="Times New Roman" w:hint="default"/>
                <w:sz w:val="18"/>
                <w:szCs w:val="18"/>
              </w:rPr>
            </w:pPr>
            <w:r>
              <w:rPr>
                <w:rFonts w:ascii="Times New Roman"/>
                <w:sz w:val="18"/>
              </w:rPr>
              <w:t>,817,</w:t>
            </w:r>
          </w:p>
          <w:p>
            <w:pPr>
              <w:pStyle w:val="TableParagraph"/>
              <w:spacing w:line="240" w:lineRule="auto" w:before="105"/>
              <w:ind w:left="140" w:right="0"/>
              <w:jc w:val="left"/>
              <w:rPr>
                <w:rFonts w:ascii="Times New Roman" w:hAnsi="Times New Roman" w:cs="Times New Roman" w:eastAsia="Times New Roman" w:hint="default"/>
                <w:sz w:val="18"/>
                <w:szCs w:val="18"/>
              </w:rPr>
            </w:pPr>
            <w:r>
              <w:rPr>
                <w:rFonts w:ascii="Times New Roman"/>
                <w:sz w:val="18"/>
              </w:rPr>
              <w:t>636.1</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5</w:t>
            </w: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00" w:firstLine="360"/>
              <w:jc w:val="left"/>
              <w:rPr>
                <w:rFonts w:ascii="宋体" w:hAnsi="宋体" w:cs="宋体" w:eastAsia="宋体" w:hint="default"/>
                <w:sz w:val="18"/>
                <w:szCs w:val="18"/>
              </w:rPr>
            </w:pPr>
            <w:r>
              <w:rPr>
                <w:rFonts w:ascii="宋体" w:hAnsi="宋体" w:cs="宋体" w:eastAsia="宋体" w:hint="default"/>
                <w:spacing w:val="-8"/>
                <w:sz w:val="18"/>
                <w:szCs w:val="18"/>
              </w:rPr>
              <w:t>加：会计政</w:t>
            </w:r>
            <w:r>
              <w:rPr>
                <w:rFonts w:ascii="宋体" w:hAnsi="宋体" w:cs="宋体" w:eastAsia="宋体" w:hint="default"/>
                <w:sz w:val="18"/>
                <w:szCs w:val="18"/>
              </w:rPr>
              <w:t> 策变更</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244" w:firstLine="720"/>
              <w:jc w:val="left"/>
              <w:rPr>
                <w:rFonts w:ascii="宋体" w:hAnsi="宋体" w:cs="宋体" w:eastAsia="宋体" w:hint="default"/>
                <w:sz w:val="18"/>
                <w:szCs w:val="18"/>
              </w:rPr>
            </w:pPr>
            <w:r>
              <w:rPr>
                <w:rFonts w:ascii="宋体" w:hAnsi="宋体" w:cs="宋体" w:eastAsia="宋体" w:hint="default"/>
                <w:sz w:val="18"/>
                <w:szCs w:val="18"/>
              </w:rPr>
              <w:t>前期 差错更正</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244" w:firstLine="720"/>
              <w:jc w:val="both"/>
              <w:rPr>
                <w:rFonts w:ascii="宋体" w:hAnsi="宋体" w:cs="宋体" w:eastAsia="宋体" w:hint="default"/>
                <w:sz w:val="18"/>
                <w:szCs w:val="18"/>
              </w:rPr>
            </w:pPr>
            <w:r>
              <w:rPr>
                <w:rFonts w:ascii="宋体" w:hAnsi="宋体" w:cs="宋体" w:eastAsia="宋体" w:hint="default"/>
                <w:sz w:val="18"/>
                <w:szCs w:val="18"/>
              </w:rPr>
              <w:t>同一 控制下企业合 并</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7"/>
              <w:ind w:left="101" w:right="100"/>
              <w:jc w:val="left"/>
              <w:rPr>
                <w:rFonts w:ascii="宋体" w:hAnsi="宋体" w:cs="宋体" w:eastAsia="宋体" w:hint="default"/>
                <w:sz w:val="18"/>
                <w:szCs w:val="18"/>
              </w:rPr>
            </w:pPr>
            <w:r>
              <w:rPr>
                <w:rFonts w:ascii="宋体" w:hAnsi="宋体" w:cs="宋体" w:eastAsia="宋体" w:hint="default"/>
                <w:spacing w:val="-6"/>
                <w:sz w:val="18"/>
                <w:szCs w:val="18"/>
              </w:rPr>
              <w:t>二、本年期初余</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4" w:right="0"/>
              <w:jc w:val="center"/>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34" w:right="0"/>
              <w:jc w:val="center"/>
              <w:rPr>
                <w:rFonts w:ascii="Times New Roman" w:hAnsi="Times New Roman" w:cs="Times New Roman" w:eastAsia="Times New Roman" w:hint="default"/>
                <w:sz w:val="18"/>
                <w:szCs w:val="18"/>
              </w:rPr>
            </w:pPr>
            <w:r>
              <w:rPr>
                <w:rFonts w:ascii="Times New Roman"/>
                <w:sz w:val="18"/>
              </w:rPr>
              <w:t>801,</w:t>
            </w:r>
          </w:p>
          <w:p>
            <w:pPr>
              <w:pStyle w:val="TableParagraph"/>
              <w:spacing w:line="240" w:lineRule="auto" w:before="105"/>
              <w:ind w:left="34" w:right="0"/>
              <w:jc w:val="center"/>
              <w:rPr>
                <w:rFonts w:ascii="Times New Roman" w:hAnsi="Times New Roman" w:cs="Times New Roman" w:eastAsia="Times New Roman" w:hint="default"/>
                <w:sz w:val="18"/>
                <w:szCs w:val="18"/>
              </w:rPr>
            </w:pPr>
            <w:r>
              <w:rPr>
                <w:rFonts w:ascii="Times New Roman"/>
                <w:sz w:val="18"/>
              </w:rPr>
              <w:t>887.</w:t>
            </w:r>
          </w:p>
          <w:p>
            <w:pPr>
              <w:pStyle w:val="TableParagraph"/>
              <w:spacing w:line="240" w:lineRule="auto" w:before="105"/>
              <w:ind w:left="167" w:right="0"/>
              <w:jc w:val="center"/>
              <w:rPr>
                <w:rFonts w:ascii="Times New Roman" w:hAnsi="Times New Roman" w:cs="Times New Roman" w:eastAsia="Times New Roman" w:hint="default"/>
                <w:sz w:val="18"/>
                <w:szCs w:val="18"/>
              </w:rPr>
            </w:pPr>
            <w:r>
              <w:rPr>
                <w:rFonts w:ascii="Times New Roman"/>
                <w:sz w:val="18"/>
              </w:rPr>
              <w:t>00</w:t>
            </w: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5" w:right="0"/>
              <w:jc w:val="left"/>
              <w:rPr>
                <w:rFonts w:ascii="Times New Roman" w:hAnsi="Times New Roman" w:cs="Times New Roman" w:eastAsia="Times New Roman" w:hint="default"/>
                <w:sz w:val="18"/>
                <w:szCs w:val="18"/>
              </w:rPr>
            </w:pPr>
            <w:r>
              <w:rPr>
                <w:rFonts w:ascii="Times New Roman"/>
                <w:sz w:val="18"/>
              </w:rPr>
              <w:t>1,499</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,628,</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425.9</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181,3</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64,66</w:t>
            </w:r>
          </w:p>
          <w:p>
            <w:pPr>
              <w:pStyle w:val="TableParagraph"/>
              <w:spacing w:line="240" w:lineRule="auto" w:before="105"/>
              <w:ind w:left="236" w:right="0"/>
              <w:jc w:val="left"/>
              <w:rPr>
                <w:rFonts w:ascii="Times New Roman" w:hAnsi="Times New Roman" w:cs="Times New Roman" w:eastAsia="Times New Roman" w:hint="default"/>
                <w:sz w:val="18"/>
                <w:szCs w:val="18"/>
              </w:rPr>
            </w:pPr>
            <w:r>
              <w:rPr>
                <w:rFonts w:ascii="Times New Roman"/>
                <w:sz w:val="18"/>
              </w:rPr>
              <w:t>7.79</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2" w:right="0"/>
              <w:jc w:val="center"/>
              <w:rPr>
                <w:rFonts w:ascii="Times New Roman" w:hAnsi="Times New Roman" w:cs="Times New Roman" w:eastAsia="Times New Roman" w:hint="default"/>
                <w:sz w:val="18"/>
                <w:szCs w:val="18"/>
              </w:rPr>
            </w:pPr>
            <w:r>
              <w:rPr>
                <w:rFonts w:ascii="Times New Roman"/>
                <w:sz w:val="18"/>
              </w:rPr>
              <w:t>41,51</w:t>
            </w:r>
          </w:p>
          <w:p>
            <w:pPr>
              <w:pStyle w:val="TableParagraph"/>
              <w:spacing w:line="240" w:lineRule="auto" w:before="105"/>
              <w:ind w:left="42" w:right="0"/>
              <w:jc w:val="center"/>
              <w:rPr>
                <w:rFonts w:ascii="Times New Roman" w:hAnsi="Times New Roman" w:cs="Times New Roman" w:eastAsia="Times New Roman" w:hint="default"/>
                <w:sz w:val="18"/>
                <w:szCs w:val="18"/>
              </w:rPr>
            </w:pPr>
            <w:r>
              <w:rPr>
                <w:rFonts w:ascii="Times New Roman"/>
                <w:sz w:val="18"/>
              </w:rPr>
              <w:t>6,879</w:t>
            </w:r>
          </w:p>
          <w:p>
            <w:pPr>
              <w:pStyle w:val="TableParagraph"/>
              <w:spacing w:line="240" w:lineRule="auto" w:before="105"/>
              <w:ind w:left="222" w:right="0"/>
              <w:jc w:val="center"/>
              <w:rPr>
                <w:rFonts w:ascii="Times New Roman" w:hAnsi="Times New Roman" w:cs="Times New Roman" w:eastAsia="Times New Roman" w:hint="default"/>
                <w:sz w:val="18"/>
                <w:szCs w:val="18"/>
              </w:rPr>
            </w:pPr>
            <w:r>
              <w:rPr>
                <w:rFonts w:ascii="Times New Roman"/>
                <w:sz w:val="18"/>
              </w:rPr>
              <w:t>.72</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435,3</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29,53</w:t>
            </w:r>
          </w:p>
          <w:p>
            <w:pPr>
              <w:pStyle w:val="TableParagraph"/>
              <w:spacing w:line="240" w:lineRule="auto" w:before="105"/>
              <w:ind w:left="236" w:right="0"/>
              <w:jc w:val="left"/>
              <w:rPr>
                <w:rFonts w:ascii="Times New Roman" w:hAnsi="Times New Roman" w:cs="Times New Roman" w:eastAsia="Times New Roman" w:hint="default"/>
                <w:sz w:val="18"/>
                <w:szCs w:val="18"/>
              </w:rPr>
            </w:pPr>
            <w:r>
              <w:rPr>
                <w:rFonts w:ascii="Times New Roman"/>
                <w:sz w:val="18"/>
              </w:rPr>
              <w:t>6.63</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33,90</w:t>
            </w:r>
          </w:p>
          <w:p>
            <w:pPr>
              <w:pStyle w:val="TableParagraph"/>
              <w:spacing w:line="240" w:lineRule="auto" w:before="105"/>
              <w:ind w:left="44" w:right="0"/>
              <w:jc w:val="center"/>
              <w:rPr>
                <w:rFonts w:ascii="Times New Roman" w:hAnsi="Times New Roman" w:cs="Times New Roman" w:eastAsia="Times New Roman" w:hint="default"/>
                <w:sz w:val="18"/>
                <w:szCs w:val="18"/>
              </w:rPr>
            </w:pPr>
            <w:r>
              <w:rPr>
                <w:rFonts w:ascii="Times New Roman"/>
                <w:sz w:val="18"/>
              </w:rPr>
              <w:t>5,574</w:t>
            </w:r>
          </w:p>
          <w:p>
            <w:pPr>
              <w:pStyle w:val="TableParagraph"/>
              <w:spacing w:line="240" w:lineRule="auto" w:before="105"/>
              <w:ind w:left="224" w:right="0"/>
              <w:jc w:val="center"/>
              <w:rPr>
                <w:rFonts w:ascii="Times New Roman" w:hAnsi="Times New Roman" w:cs="Times New Roman" w:eastAsia="Times New Roman" w:hint="default"/>
                <w:sz w:val="18"/>
                <w:szCs w:val="18"/>
              </w:rPr>
            </w:pPr>
            <w:r>
              <w:rPr>
                <w:rFonts w:ascii="Times New Roman"/>
                <w:sz w:val="18"/>
              </w:rPr>
              <w:t>.69</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0" w:right="0"/>
              <w:jc w:val="left"/>
              <w:rPr>
                <w:rFonts w:ascii="Times New Roman" w:hAnsi="Times New Roman" w:cs="Times New Roman" w:eastAsia="Times New Roman" w:hint="default"/>
                <w:sz w:val="18"/>
                <w:szCs w:val="18"/>
              </w:rPr>
            </w:pPr>
            <w:r>
              <w:rPr>
                <w:rFonts w:ascii="Times New Roman"/>
                <w:sz w:val="18"/>
              </w:rPr>
              <w:t>2,071</w:t>
            </w:r>
          </w:p>
          <w:p>
            <w:pPr>
              <w:pStyle w:val="TableParagraph"/>
              <w:spacing w:line="240" w:lineRule="auto" w:before="105"/>
              <w:ind w:left="186" w:right="0"/>
              <w:jc w:val="left"/>
              <w:rPr>
                <w:rFonts w:ascii="Times New Roman" w:hAnsi="Times New Roman" w:cs="Times New Roman" w:eastAsia="Times New Roman" w:hint="default"/>
                <w:sz w:val="18"/>
                <w:szCs w:val="18"/>
              </w:rPr>
            </w:pPr>
            <w:r>
              <w:rPr>
                <w:rFonts w:ascii="Times New Roman"/>
                <w:sz w:val="18"/>
              </w:rPr>
              <w:t>,817,</w:t>
            </w:r>
          </w:p>
          <w:p>
            <w:pPr>
              <w:pStyle w:val="TableParagraph"/>
              <w:spacing w:line="240" w:lineRule="auto" w:before="105"/>
              <w:ind w:left="140" w:right="0"/>
              <w:jc w:val="left"/>
              <w:rPr>
                <w:rFonts w:ascii="Times New Roman" w:hAnsi="Times New Roman" w:cs="Times New Roman" w:eastAsia="Times New Roman" w:hint="default"/>
                <w:sz w:val="18"/>
                <w:szCs w:val="18"/>
              </w:rPr>
            </w:pPr>
            <w:r>
              <w:rPr>
                <w:rFonts w:ascii="Times New Roman"/>
                <w:sz w:val="18"/>
              </w:rPr>
              <w:t>636.1</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5</w:t>
            </w:r>
          </w:p>
        </w:tc>
      </w:tr>
      <w:tr>
        <w:trPr>
          <w:trHeight w:val="1338"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01" w:right="64"/>
              <w:jc w:val="both"/>
              <w:rPr>
                <w:rFonts w:ascii="宋体" w:hAnsi="宋体" w:cs="宋体" w:eastAsia="宋体" w:hint="default"/>
                <w:sz w:val="18"/>
                <w:szCs w:val="18"/>
              </w:rPr>
            </w:pPr>
            <w:r>
              <w:rPr>
                <w:rFonts w:ascii="宋体" w:hAnsi="宋体" w:cs="宋体" w:eastAsia="宋体" w:hint="default"/>
                <w:spacing w:val="-6"/>
                <w:sz w:val="18"/>
                <w:szCs w:val="18"/>
              </w:rPr>
              <w:t>三、本期增减变</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6"/>
                <w:sz w:val="18"/>
                <w:szCs w:val="18"/>
              </w:rPr>
              <w:t>动金额（减少以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“－”号填列）</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4" w:right="0"/>
              <w:jc w:val="center"/>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34" w:right="0"/>
              <w:jc w:val="center"/>
              <w:rPr>
                <w:rFonts w:ascii="Times New Roman" w:hAnsi="Times New Roman" w:cs="Times New Roman" w:eastAsia="Times New Roman" w:hint="default"/>
                <w:sz w:val="18"/>
                <w:szCs w:val="18"/>
              </w:rPr>
            </w:pPr>
            <w:r>
              <w:rPr>
                <w:rFonts w:ascii="Times New Roman"/>
                <w:sz w:val="18"/>
              </w:rPr>
              <w:t>654,</w:t>
            </w:r>
          </w:p>
          <w:p>
            <w:pPr>
              <w:pStyle w:val="TableParagraph"/>
              <w:spacing w:line="240" w:lineRule="auto" w:before="105"/>
              <w:ind w:left="38" w:right="0"/>
              <w:jc w:val="center"/>
              <w:rPr>
                <w:rFonts w:ascii="Times New Roman" w:hAnsi="Times New Roman" w:cs="Times New Roman" w:eastAsia="Times New Roman" w:hint="default"/>
                <w:sz w:val="18"/>
                <w:szCs w:val="18"/>
              </w:rPr>
            </w:pPr>
            <w:r>
              <w:rPr>
                <w:rFonts w:ascii="Times New Roman"/>
                <w:sz w:val="18"/>
              </w:rPr>
              <w:t>511.</w:t>
            </w:r>
          </w:p>
          <w:p>
            <w:pPr>
              <w:pStyle w:val="TableParagraph"/>
              <w:spacing w:line="240" w:lineRule="auto" w:before="105"/>
              <w:ind w:left="167" w:right="0"/>
              <w:jc w:val="center"/>
              <w:rPr>
                <w:rFonts w:ascii="Times New Roman" w:hAnsi="Times New Roman" w:cs="Times New Roman" w:eastAsia="Times New Roman" w:hint="default"/>
                <w:sz w:val="18"/>
                <w:szCs w:val="18"/>
              </w:rPr>
            </w:pPr>
            <w:r>
              <w:rPr>
                <w:rFonts w:ascii="Times New Roman"/>
                <w:sz w:val="18"/>
              </w:rPr>
              <w:t>00</w:t>
            </w: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Times New Roman"/>
                <w:sz w:val="18"/>
              </w:rPr>
              <w:t>-298,</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801,1</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27.34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Times New Roman"/>
                <w:sz w:val="18"/>
              </w:rPr>
              <w:t>-150,</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883,6</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05.58</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2" w:right="0"/>
              <w:jc w:val="center"/>
              <w:rPr>
                <w:rFonts w:ascii="Times New Roman" w:hAnsi="Times New Roman" w:cs="Times New Roman" w:eastAsia="Times New Roman" w:hint="default"/>
                <w:sz w:val="18"/>
                <w:szCs w:val="18"/>
              </w:rPr>
            </w:pPr>
            <w:r>
              <w:rPr>
                <w:rFonts w:ascii="Times New Roman"/>
                <w:sz w:val="18"/>
              </w:rPr>
              <w:t>24,16</w:t>
            </w:r>
          </w:p>
          <w:p>
            <w:pPr>
              <w:pStyle w:val="TableParagraph"/>
              <w:spacing w:line="240" w:lineRule="auto" w:before="105"/>
              <w:ind w:left="42" w:right="0"/>
              <w:jc w:val="center"/>
              <w:rPr>
                <w:rFonts w:ascii="Times New Roman" w:hAnsi="Times New Roman" w:cs="Times New Roman" w:eastAsia="Times New Roman" w:hint="default"/>
                <w:sz w:val="18"/>
                <w:szCs w:val="18"/>
              </w:rPr>
            </w:pPr>
            <w:r>
              <w:rPr>
                <w:rFonts w:ascii="Times New Roman"/>
                <w:sz w:val="18"/>
              </w:rPr>
              <w:t>4,122</w:t>
            </w:r>
          </w:p>
          <w:p>
            <w:pPr>
              <w:pStyle w:val="TableParagraph"/>
              <w:spacing w:line="240" w:lineRule="auto" w:before="105"/>
              <w:ind w:left="222" w:right="0"/>
              <w:jc w:val="center"/>
              <w:rPr>
                <w:rFonts w:ascii="Times New Roman" w:hAnsi="Times New Roman" w:cs="Times New Roman" w:eastAsia="Times New Roman" w:hint="default"/>
                <w:sz w:val="18"/>
                <w:szCs w:val="18"/>
              </w:rPr>
            </w:pPr>
            <w:r>
              <w:rPr>
                <w:rFonts w:ascii="Times New Roman"/>
                <w:sz w:val="18"/>
              </w:rPr>
              <w:t>.46</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164,2</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54,55</w:t>
            </w:r>
          </w:p>
          <w:p>
            <w:pPr>
              <w:pStyle w:val="TableParagraph"/>
              <w:spacing w:line="240" w:lineRule="auto" w:before="105"/>
              <w:ind w:left="236" w:right="0"/>
              <w:jc w:val="left"/>
              <w:rPr>
                <w:rFonts w:ascii="Times New Roman" w:hAnsi="Times New Roman" w:cs="Times New Roman" w:eastAsia="Times New Roman" w:hint="default"/>
                <w:sz w:val="18"/>
                <w:szCs w:val="18"/>
              </w:rPr>
            </w:pPr>
            <w:r>
              <w:rPr>
                <w:rFonts w:ascii="Times New Roman"/>
                <w:sz w:val="18"/>
              </w:rPr>
              <w:t>2.09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47" w:right="0"/>
              <w:jc w:val="left"/>
              <w:rPr>
                <w:rFonts w:ascii="Times New Roman" w:hAnsi="Times New Roman" w:cs="Times New Roman" w:eastAsia="Times New Roman" w:hint="default"/>
                <w:sz w:val="18"/>
                <w:szCs w:val="18"/>
              </w:rPr>
            </w:pPr>
            <w:r>
              <w:rPr>
                <w:rFonts w:ascii="Times New Roman"/>
                <w:sz w:val="18"/>
              </w:rPr>
              <w:t>3,024</w:t>
            </w:r>
          </w:p>
          <w:p>
            <w:pPr>
              <w:pStyle w:val="TableParagraph"/>
              <w:spacing w:line="240" w:lineRule="auto" w:before="105"/>
              <w:ind w:left="88" w:right="0"/>
              <w:jc w:val="center"/>
              <w:rPr>
                <w:rFonts w:ascii="Times New Roman" w:hAnsi="Times New Roman" w:cs="Times New Roman" w:eastAsia="Times New Roman" w:hint="default"/>
                <w:sz w:val="18"/>
                <w:szCs w:val="18"/>
              </w:rPr>
            </w:pPr>
            <w:r>
              <w:rPr>
                <w:rFonts w:ascii="Times New Roman"/>
                <w:sz w:val="18"/>
              </w:rPr>
              <w:t>,278.</w:t>
            </w:r>
          </w:p>
          <w:p>
            <w:pPr>
              <w:pStyle w:val="TableParagraph"/>
              <w:spacing w:line="240" w:lineRule="auto" w:before="105"/>
              <w:ind w:left="268" w:right="0"/>
              <w:jc w:val="center"/>
              <w:rPr>
                <w:rFonts w:ascii="Times New Roman" w:hAnsi="Times New Roman" w:cs="Times New Roman" w:eastAsia="Times New Roman" w:hint="default"/>
                <w:sz w:val="18"/>
                <w:szCs w:val="18"/>
              </w:rPr>
            </w:pPr>
            <w:r>
              <w:rPr>
                <w:rFonts w:ascii="Times New Roman"/>
                <w:sz w:val="18"/>
              </w:rPr>
              <w:t>47</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40" w:right="0"/>
              <w:jc w:val="left"/>
              <w:rPr>
                <w:rFonts w:ascii="Times New Roman" w:hAnsi="Times New Roman" w:cs="Times New Roman" w:eastAsia="Times New Roman" w:hint="default"/>
                <w:sz w:val="18"/>
                <w:szCs w:val="18"/>
              </w:rPr>
            </w:pPr>
            <w:r>
              <w:rPr>
                <w:rFonts w:ascii="Times New Roman"/>
                <w:sz w:val="18"/>
              </w:rPr>
              <w:t>286,1</w:t>
            </w:r>
          </w:p>
          <w:p>
            <w:pPr>
              <w:pStyle w:val="TableParagraph"/>
              <w:spacing w:line="240" w:lineRule="auto" w:before="105"/>
              <w:ind w:left="140" w:right="0"/>
              <w:jc w:val="left"/>
              <w:rPr>
                <w:rFonts w:ascii="Times New Roman" w:hAnsi="Times New Roman" w:cs="Times New Roman" w:eastAsia="Times New Roman" w:hint="default"/>
                <w:sz w:val="18"/>
                <w:szCs w:val="18"/>
              </w:rPr>
            </w:pPr>
            <w:r>
              <w:rPr>
                <w:rFonts w:ascii="Times New Roman"/>
                <w:sz w:val="18"/>
              </w:rPr>
              <w:t>79,94</w:t>
            </w:r>
          </w:p>
          <w:p>
            <w:pPr>
              <w:pStyle w:val="TableParagraph"/>
              <w:spacing w:line="240" w:lineRule="auto" w:before="105"/>
              <w:ind w:left="231" w:right="0"/>
              <w:jc w:val="left"/>
              <w:rPr>
                <w:rFonts w:ascii="Times New Roman" w:hAnsi="Times New Roman" w:cs="Times New Roman" w:eastAsia="Times New Roman" w:hint="default"/>
                <w:sz w:val="18"/>
                <w:szCs w:val="18"/>
              </w:rPr>
            </w:pPr>
            <w:r>
              <w:rPr>
                <w:rFonts w:ascii="Times New Roman"/>
                <w:sz w:val="18"/>
              </w:rPr>
              <w:t>2.26</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1" w:right="100"/>
              <w:jc w:val="left"/>
              <w:rPr>
                <w:rFonts w:ascii="宋体" w:hAnsi="宋体" w:cs="宋体" w:eastAsia="宋体" w:hint="default"/>
                <w:sz w:val="18"/>
                <w:szCs w:val="18"/>
              </w:rPr>
            </w:pPr>
            <w:r>
              <w:rPr>
                <w:rFonts w:ascii="宋体" w:hAnsi="宋体" w:cs="宋体" w:eastAsia="宋体" w:hint="default"/>
                <w:spacing w:val="-6"/>
                <w:sz w:val="18"/>
                <w:szCs w:val="18"/>
              </w:rPr>
              <w:t>（一）综合收益</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总额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8" w:right="0"/>
              <w:jc w:val="left"/>
              <w:rPr>
                <w:rFonts w:ascii="Times New Roman" w:hAnsi="Times New Roman" w:cs="Times New Roman" w:eastAsia="Times New Roman" w:hint="default"/>
                <w:sz w:val="18"/>
                <w:szCs w:val="18"/>
              </w:rPr>
            </w:pPr>
            <w:r>
              <w:rPr>
                <w:rFonts w:ascii="Times New Roman"/>
                <w:sz w:val="18"/>
              </w:rPr>
              <w:t>212,6</w:t>
            </w:r>
          </w:p>
          <w:p>
            <w:pPr>
              <w:pStyle w:val="TableParagraph"/>
              <w:spacing w:line="240" w:lineRule="auto" w:before="105"/>
              <w:ind w:left="152" w:right="0"/>
              <w:jc w:val="left"/>
              <w:rPr>
                <w:rFonts w:ascii="Times New Roman" w:hAnsi="Times New Roman" w:cs="Times New Roman" w:eastAsia="Times New Roman" w:hint="default"/>
                <w:sz w:val="18"/>
                <w:szCs w:val="18"/>
              </w:rPr>
            </w:pPr>
            <w:r>
              <w:rPr>
                <w:rFonts w:ascii="Times New Roman"/>
                <w:sz w:val="18"/>
              </w:rPr>
              <w:t>81,11</w:t>
            </w:r>
          </w:p>
          <w:p>
            <w:pPr>
              <w:pStyle w:val="TableParagraph"/>
              <w:spacing w:line="240" w:lineRule="auto" w:before="105"/>
              <w:ind w:left="236" w:right="0"/>
              <w:jc w:val="left"/>
              <w:rPr>
                <w:rFonts w:ascii="Times New Roman" w:hAnsi="Times New Roman" w:cs="Times New Roman" w:eastAsia="Times New Roman" w:hint="default"/>
                <w:sz w:val="18"/>
                <w:szCs w:val="18"/>
              </w:rPr>
            </w:pPr>
            <w:r>
              <w:rPr>
                <w:rFonts w:ascii="Times New Roman"/>
                <w:sz w:val="18"/>
              </w:rPr>
              <w:t>6.27</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7" w:right="0"/>
              <w:jc w:val="left"/>
              <w:rPr>
                <w:rFonts w:ascii="Times New Roman" w:hAnsi="Times New Roman" w:cs="Times New Roman" w:eastAsia="Times New Roman" w:hint="default"/>
                <w:sz w:val="18"/>
                <w:szCs w:val="18"/>
              </w:rPr>
            </w:pPr>
            <w:r>
              <w:rPr>
                <w:rFonts w:ascii="Times New Roman"/>
                <w:sz w:val="18"/>
              </w:rPr>
              <w:t>7,407</w:t>
            </w:r>
          </w:p>
          <w:p>
            <w:pPr>
              <w:pStyle w:val="TableParagraph"/>
              <w:spacing w:line="240" w:lineRule="auto" w:before="105"/>
              <w:ind w:left="88" w:right="0"/>
              <w:jc w:val="center"/>
              <w:rPr>
                <w:rFonts w:ascii="Times New Roman" w:hAnsi="Times New Roman" w:cs="Times New Roman" w:eastAsia="Times New Roman" w:hint="default"/>
                <w:sz w:val="18"/>
                <w:szCs w:val="18"/>
              </w:rPr>
            </w:pPr>
            <w:r>
              <w:rPr>
                <w:rFonts w:ascii="Times New Roman"/>
                <w:sz w:val="18"/>
              </w:rPr>
              <w:t>,433.</w:t>
            </w:r>
          </w:p>
          <w:p>
            <w:pPr>
              <w:pStyle w:val="TableParagraph"/>
              <w:spacing w:line="240" w:lineRule="auto" w:before="105"/>
              <w:ind w:left="268" w:right="0"/>
              <w:jc w:val="center"/>
              <w:rPr>
                <w:rFonts w:ascii="Times New Roman" w:hAnsi="Times New Roman" w:cs="Times New Roman" w:eastAsia="Times New Roman" w:hint="default"/>
                <w:sz w:val="18"/>
                <w:szCs w:val="18"/>
              </w:rPr>
            </w:pPr>
            <w:r>
              <w:rPr>
                <w:rFonts w:ascii="Times New Roman"/>
                <w:sz w:val="18"/>
              </w:rPr>
              <w:t>88</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0" w:right="0"/>
              <w:jc w:val="left"/>
              <w:rPr>
                <w:rFonts w:ascii="Times New Roman" w:hAnsi="Times New Roman" w:cs="Times New Roman" w:eastAsia="Times New Roman" w:hint="default"/>
                <w:sz w:val="18"/>
                <w:szCs w:val="18"/>
              </w:rPr>
            </w:pPr>
            <w:r>
              <w:rPr>
                <w:rFonts w:ascii="Times New Roman"/>
                <w:sz w:val="18"/>
              </w:rPr>
              <w:t>220,0</w:t>
            </w:r>
          </w:p>
          <w:p>
            <w:pPr>
              <w:pStyle w:val="TableParagraph"/>
              <w:spacing w:line="240" w:lineRule="auto" w:before="105"/>
              <w:ind w:left="140" w:right="0"/>
              <w:jc w:val="left"/>
              <w:rPr>
                <w:rFonts w:ascii="Times New Roman" w:hAnsi="Times New Roman" w:cs="Times New Roman" w:eastAsia="Times New Roman" w:hint="default"/>
                <w:sz w:val="18"/>
                <w:szCs w:val="18"/>
              </w:rPr>
            </w:pPr>
            <w:r>
              <w:rPr>
                <w:rFonts w:ascii="Times New Roman"/>
                <w:sz w:val="18"/>
              </w:rPr>
              <w:t>88,55</w:t>
            </w:r>
          </w:p>
          <w:p>
            <w:pPr>
              <w:pStyle w:val="TableParagraph"/>
              <w:spacing w:line="240" w:lineRule="auto" w:before="105"/>
              <w:ind w:left="231" w:right="0"/>
              <w:jc w:val="left"/>
              <w:rPr>
                <w:rFonts w:ascii="Times New Roman" w:hAnsi="Times New Roman" w:cs="Times New Roman" w:eastAsia="Times New Roman" w:hint="default"/>
                <w:sz w:val="18"/>
                <w:szCs w:val="18"/>
              </w:rPr>
            </w:pPr>
            <w:r>
              <w:rPr>
                <w:rFonts w:ascii="Times New Roman"/>
                <w:sz w:val="18"/>
              </w:rPr>
              <w:t>0.15</w:t>
            </w:r>
          </w:p>
        </w:tc>
      </w:tr>
      <w:tr>
        <w:trPr>
          <w:trHeight w:val="102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01" w:right="100"/>
              <w:jc w:val="left"/>
              <w:rPr>
                <w:rFonts w:ascii="宋体" w:hAnsi="宋体" w:cs="宋体" w:eastAsia="宋体" w:hint="default"/>
                <w:sz w:val="18"/>
                <w:szCs w:val="18"/>
              </w:rPr>
            </w:pPr>
            <w:r>
              <w:rPr>
                <w:rFonts w:ascii="宋体" w:hAnsi="宋体" w:cs="宋体" w:eastAsia="宋体" w:hint="default"/>
                <w:spacing w:val="-6"/>
                <w:sz w:val="18"/>
                <w:szCs w:val="18"/>
              </w:rPr>
              <w:t>（二）所有者投</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入和减少资本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9" w:right="0"/>
              <w:jc w:val="center"/>
              <w:rPr>
                <w:rFonts w:ascii="Times New Roman" w:hAnsi="Times New Roman" w:cs="Times New Roman" w:eastAsia="Times New Roman" w:hint="default"/>
                <w:sz w:val="18"/>
                <w:szCs w:val="18"/>
              </w:rPr>
            </w:pPr>
            <w:r>
              <w:rPr>
                <w:rFonts w:ascii="Times New Roman"/>
                <w:sz w:val="18"/>
              </w:rPr>
              <w:t>-147</w:t>
            </w:r>
          </w:p>
          <w:p>
            <w:pPr>
              <w:pStyle w:val="TableParagraph"/>
              <w:spacing w:line="240" w:lineRule="auto" w:before="105"/>
              <w:ind w:left="135" w:right="0"/>
              <w:jc w:val="left"/>
              <w:rPr>
                <w:rFonts w:ascii="Times New Roman" w:hAnsi="Times New Roman" w:cs="Times New Roman" w:eastAsia="Times New Roman" w:hint="default"/>
                <w:sz w:val="18"/>
                <w:szCs w:val="18"/>
              </w:rPr>
            </w:pPr>
            <w:r>
              <w:rPr>
                <w:rFonts w:ascii="Times New Roman"/>
                <w:sz w:val="18"/>
              </w:rPr>
              <w:t>,376</w:t>
            </w:r>
          </w:p>
          <w:p>
            <w:pPr>
              <w:pStyle w:val="TableParagraph"/>
              <w:spacing w:line="240" w:lineRule="auto" w:before="105"/>
              <w:ind w:left="122" w:right="0"/>
              <w:jc w:val="center"/>
              <w:rPr>
                <w:rFonts w:ascii="Times New Roman" w:hAnsi="Times New Roman" w:cs="Times New Roman" w:eastAsia="Times New Roman" w:hint="default"/>
                <w:sz w:val="18"/>
                <w:szCs w:val="18"/>
              </w:rPr>
            </w:pPr>
            <w:r>
              <w:rPr>
                <w:rFonts w:ascii="Times New Roman"/>
                <w:sz w:val="18"/>
              </w:rPr>
              <w:t>.00</w:t>
            </w: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6" w:right="0"/>
              <w:jc w:val="left"/>
              <w:rPr>
                <w:rFonts w:ascii="Times New Roman" w:hAnsi="Times New Roman" w:cs="Times New Roman" w:eastAsia="Times New Roman" w:hint="default"/>
                <w:sz w:val="18"/>
                <w:szCs w:val="18"/>
              </w:rPr>
            </w:pPr>
            <w:r>
              <w:rPr>
                <w:rFonts w:ascii="Times New Roman"/>
                <w:sz w:val="18"/>
              </w:rPr>
              <w:t>-55,9</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99,24</w:t>
            </w:r>
          </w:p>
          <w:p>
            <w:pPr>
              <w:pStyle w:val="TableParagraph"/>
              <w:spacing w:line="240" w:lineRule="auto" w:before="105"/>
              <w:ind w:left="236" w:right="0"/>
              <w:jc w:val="left"/>
              <w:rPr>
                <w:rFonts w:ascii="Times New Roman" w:hAnsi="Times New Roman" w:cs="Times New Roman" w:eastAsia="Times New Roman" w:hint="default"/>
                <w:sz w:val="18"/>
                <w:szCs w:val="18"/>
              </w:rPr>
            </w:pPr>
            <w:r>
              <w:rPr>
                <w:rFonts w:ascii="Times New Roman"/>
                <w:sz w:val="18"/>
              </w:rPr>
              <w:t>0.34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6" w:right="0"/>
              <w:jc w:val="left"/>
              <w:rPr>
                <w:rFonts w:ascii="Times New Roman" w:hAnsi="Times New Roman" w:cs="Times New Roman" w:eastAsia="Times New Roman" w:hint="default"/>
                <w:sz w:val="18"/>
                <w:szCs w:val="18"/>
              </w:rPr>
            </w:pPr>
            <w:r>
              <w:rPr>
                <w:rFonts w:ascii="Times New Roman"/>
                <w:sz w:val="18"/>
              </w:rPr>
              <w:t>-150,</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883,6</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05.58</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8" w:right="0"/>
              <w:jc w:val="center"/>
              <w:rPr>
                <w:rFonts w:ascii="Times New Roman" w:hAnsi="Times New Roman" w:cs="Times New Roman" w:eastAsia="Times New Roman" w:hint="default"/>
                <w:sz w:val="18"/>
                <w:szCs w:val="18"/>
              </w:rPr>
            </w:pPr>
            <w:r>
              <w:rPr>
                <w:rFonts w:ascii="Times New Roman"/>
                <w:sz w:val="18"/>
              </w:rPr>
              <w:t>-4,38</w:t>
            </w:r>
          </w:p>
          <w:p>
            <w:pPr>
              <w:pStyle w:val="TableParagraph"/>
              <w:spacing w:line="240" w:lineRule="auto" w:before="105"/>
              <w:ind w:left="44" w:right="0"/>
              <w:jc w:val="center"/>
              <w:rPr>
                <w:rFonts w:ascii="Times New Roman" w:hAnsi="Times New Roman" w:cs="Times New Roman" w:eastAsia="Times New Roman" w:hint="default"/>
                <w:sz w:val="18"/>
                <w:szCs w:val="18"/>
              </w:rPr>
            </w:pPr>
            <w:r>
              <w:rPr>
                <w:rFonts w:ascii="Times New Roman"/>
                <w:sz w:val="18"/>
              </w:rPr>
              <w:t>3,155</w:t>
            </w:r>
          </w:p>
          <w:p>
            <w:pPr>
              <w:pStyle w:val="TableParagraph"/>
              <w:spacing w:line="240" w:lineRule="auto" w:before="105"/>
              <w:ind w:left="224" w:right="0"/>
              <w:jc w:val="center"/>
              <w:rPr>
                <w:rFonts w:ascii="Times New Roman" w:hAnsi="Times New Roman" w:cs="Times New Roman" w:eastAsia="Times New Roman" w:hint="default"/>
                <w:sz w:val="18"/>
                <w:szCs w:val="18"/>
              </w:rPr>
            </w:pPr>
            <w:r>
              <w:rPr>
                <w:rFonts w:ascii="Times New Roman"/>
                <w:sz w:val="18"/>
              </w:rPr>
              <w:t>.41</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8" w:right="0"/>
              <w:jc w:val="center"/>
              <w:rPr>
                <w:rFonts w:ascii="Times New Roman" w:hAnsi="Times New Roman" w:cs="Times New Roman" w:eastAsia="Times New Roman" w:hint="default"/>
                <w:sz w:val="18"/>
                <w:szCs w:val="18"/>
              </w:rPr>
            </w:pPr>
            <w:r>
              <w:rPr>
                <w:rFonts w:ascii="Times New Roman"/>
                <w:sz w:val="18"/>
              </w:rPr>
              <w:t>90,35</w:t>
            </w:r>
          </w:p>
          <w:p>
            <w:pPr>
              <w:pStyle w:val="TableParagraph"/>
              <w:spacing w:line="240" w:lineRule="auto" w:before="105"/>
              <w:ind w:left="38" w:right="0"/>
              <w:jc w:val="center"/>
              <w:rPr>
                <w:rFonts w:ascii="Times New Roman" w:hAnsi="Times New Roman" w:cs="Times New Roman" w:eastAsia="Times New Roman" w:hint="default"/>
                <w:sz w:val="18"/>
                <w:szCs w:val="18"/>
              </w:rPr>
            </w:pPr>
            <w:r>
              <w:rPr>
                <w:rFonts w:ascii="Times New Roman"/>
                <w:sz w:val="18"/>
              </w:rPr>
              <w:t>3,833</w:t>
            </w:r>
          </w:p>
          <w:p>
            <w:pPr>
              <w:pStyle w:val="TableParagraph"/>
              <w:spacing w:line="240" w:lineRule="auto" w:before="105"/>
              <w:ind w:left="218" w:right="0"/>
              <w:jc w:val="center"/>
              <w:rPr>
                <w:rFonts w:ascii="Times New Roman" w:hAnsi="Times New Roman" w:cs="Times New Roman" w:eastAsia="Times New Roman" w:hint="default"/>
                <w:sz w:val="18"/>
                <w:szCs w:val="18"/>
              </w:rPr>
            </w:pPr>
            <w:r>
              <w:rPr>
                <w:rFonts w:ascii="Times New Roman"/>
                <w:sz w:val="18"/>
              </w:rPr>
              <w:t>.83</w:t>
            </w:r>
          </w:p>
        </w:tc>
      </w:tr>
    </w:tbl>
    <w:p>
      <w:pPr>
        <w:spacing w:after="0" w:line="240" w:lineRule="auto"/>
        <w:jc w:val="center"/>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438"/>
        <w:gridCol w:w="562"/>
        <w:gridCol w:w="531"/>
        <w:gridCol w:w="531"/>
        <w:gridCol w:w="531"/>
        <w:gridCol w:w="664"/>
        <w:gridCol w:w="665"/>
        <w:gridCol w:w="665"/>
        <w:gridCol w:w="665"/>
        <w:gridCol w:w="664"/>
        <w:gridCol w:w="665"/>
        <w:gridCol w:w="665"/>
        <w:gridCol w:w="665"/>
        <w:gridCol w:w="659"/>
      </w:tblGrid>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00" w:lineRule="auto"/>
              <w:ind w:left="101"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 的普通股</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9" w:right="0"/>
              <w:jc w:val="center"/>
              <w:rPr>
                <w:rFonts w:ascii="Times New Roman" w:hAnsi="Times New Roman" w:cs="Times New Roman" w:eastAsia="Times New Roman" w:hint="default"/>
                <w:sz w:val="18"/>
                <w:szCs w:val="18"/>
              </w:rPr>
            </w:pPr>
            <w:r>
              <w:rPr>
                <w:rFonts w:ascii="Times New Roman"/>
                <w:sz w:val="18"/>
              </w:rPr>
              <w:t>-147</w:t>
            </w:r>
          </w:p>
          <w:p>
            <w:pPr>
              <w:pStyle w:val="TableParagraph"/>
              <w:spacing w:line="240" w:lineRule="auto" w:before="105"/>
              <w:ind w:left="135" w:right="0"/>
              <w:jc w:val="left"/>
              <w:rPr>
                <w:rFonts w:ascii="Times New Roman" w:hAnsi="Times New Roman" w:cs="Times New Roman" w:eastAsia="Times New Roman" w:hint="default"/>
                <w:sz w:val="18"/>
                <w:szCs w:val="18"/>
              </w:rPr>
            </w:pPr>
            <w:r>
              <w:rPr>
                <w:rFonts w:ascii="Times New Roman"/>
                <w:sz w:val="18"/>
              </w:rPr>
              <w:t>,376</w:t>
            </w:r>
          </w:p>
          <w:p>
            <w:pPr>
              <w:pStyle w:val="TableParagraph"/>
              <w:spacing w:line="240" w:lineRule="auto" w:before="105"/>
              <w:ind w:left="122" w:right="0"/>
              <w:jc w:val="center"/>
              <w:rPr>
                <w:rFonts w:ascii="Times New Roman" w:hAnsi="Times New Roman" w:cs="Times New Roman" w:eastAsia="Times New Roman" w:hint="default"/>
                <w:sz w:val="18"/>
                <w:szCs w:val="18"/>
              </w:rPr>
            </w:pPr>
            <w:r>
              <w:rPr>
                <w:rFonts w:ascii="Times New Roman"/>
                <w:sz w:val="18"/>
              </w:rPr>
              <w:t>.00</w:t>
            </w: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3" w:right="0"/>
              <w:jc w:val="center"/>
              <w:rPr>
                <w:rFonts w:ascii="Times New Roman" w:hAnsi="Times New Roman" w:cs="Times New Roman" w:eastAsia="Times New Roman" w:hint="default"/>
                <w:sz w:val="18"/>
                <w:szCs w:val="18"/>
              </w:rPr>
            </w:pPr>
            <w:r>
              <w:rPr>
                <w:rFonts w:ascii="Times New Roman"/>
                <w:sz w:val="18"/>
              </w:rPr>
              <w:t>-1,19</w:t>
            </w:r>
          </w:p>
          <w:p>
            <w:pPr>
              <w:pStyle w:val="TableParagraph"/>
              <w:spacing w:line="240" w:lineRule="auto" w:before="105"/>
              <w:ind w:left="42" w:right="0"/>
              <w:jc w:val="center"/>
              <w:rPr>
                <w:rFonts w:ascii="Times New Roman" w:hAnsi="Times New Roman" w:cs="Times New Roman" w:eastAsia="Times New Roman" w:hint="default"/>
                <w:sz w:val="18"/>
                <w:szCs w:val="18"/>
              </w:rPr>
            </w:pPr>
            <w:r>
              <w:rPr>
                <w:rFonts w:ascii="Times New Roman"/>
                <w:sz w:val="18"/>
              </w:rPr>
              <w:t>5,479</w:t>
            </w:r>
          </w:p>
          <w:p>
            <w:pPr>
              <w:pStyle w:val="TableParagraph"/>
              <w:spacing w:line="240" w:lineRule="auto" w:before="105"/>
              <w:ind w:left="222" w:right="0"/>
              <w:jc w:val="center"/>
              <w:rPr>
                <w:rFonts w:ascii="Times New Roman" w:hAnsi="Times New Roman" w:cs="Times New Roman" w:eastAsia="Times New Roman" w:hint="default"/>
                <w:sz w:val="18"/>
                <w:szCs w:val="18"/>
              </w:rPr>
            </w:pPr>
            <w:r>
              <w:rPr>
                <w:rFonts w:ascii="Times New Roman"/>
                <w:sz w:val="18"/>
              </w:rPr>
              <w:t>.22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6" w:right="0"/>
              <w:jc w:val="left"/>
              <w:rPr>
                <w:rFonts w:ascii="Times New Roman" w:hAnsi="Times New Roman" w:cs="Times New Roman" w:eastAsia="Times New Roman" w:hint="default"/>
                <w:sz w:val="18"/>
                <w:szCs w:val="18"/>
              </w:rPr>
            </w:pPr>
            <w:r>
              <w:rPr>
                <w:rFonts w:ascii="Times New Roman"/>
                <w:sz w:val="18"/>
              </w:rPr>
              <w:t>-150,</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883,6</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05.58</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0" w:right="0"/>
              <w:jc w:val="left"/>
              <w:rPr>
                <w:rFonts w:ascii="Times New Roman" w:hAnsi="Times New Roman" w:cs="Times New Roman" w:eastAsia="Times New Roman" w:hint="default"/>
                <w:sz w:val="18"/>
                <w:szCs w:val="18"/>
              </w:rPr>
            </w:pPr>
            <w:r>
              <w:rPr>
                <w:rFonts w:ascii="Times New Roman"/>
                <w:sz w:val="18"/>
              </w:rPr>
              <w:t>149,5</w:t>
            </w:r>
          </w:p>
          <w:p>
            <w:pPr>
              <w:pStyle w:val="TableParagraph"/>
              <w:spacing w:line="240" w:lineRule="auto" w:before="105"/>
              <w:ind w:left="140" w:right="0"/>
              <w:jc w:val="left"/>
              <w:rPr>
                <w:rFonts w:ascii="Times New Roman" w:hAnsi="Times New Roman" w:cs="Times New Roman" w:eastAsia="Times New Roman" w:hint="default"/>
                <w:sz w:val="18"/>
                <w:szCs w:val="18"/>
              </w:rPr>
            </w:pPr>
            <w:r>
              <w:rPr>
                <w:rFonts w:ascii="Times New Roman"/>
                <w:sz w:val="18"/>
              </w:rPr>
              <w:t>40,75</w:t>
            </w:r>
          </w:p>
          <w:p>
            <w:pPr>
              <w:pStyle w:val="TableParagraph"/>
              <w:spacing w:line="240" w:lineRule="auto" w:before="105"/>
              <w:ind w:left="231" w:right="0"/>
              <w:jc w:val="left"/>
              <w:rPr>
                <w:rFonts w:ascii="Times New Roman" w:hAnsi="Times New Roman" w:cs="Times New Roman" w:eastAsia="Times New Roman" w:hint="default"/>
                <w:sz w:val="18"/>
                <w:szCs w:val="18"/>
              </w:rPr>
            </w:pPr>
            <w:r>
              <w:rPr>
                <w:rFonts w:ascii="Times New Roman"/>
                <w:sz w:val="18"/>
              </w:rPr>
              <w:t>0.36</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1"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 具持有者投入 资本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0"/>
              <w:ind w:left="101"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 入所有者权益 的金额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5" w:right="0"/>
              <w:jc w:val="left"/>
              <w:rPr>
                <w:rFonts w:ascii="Times New Roman" w:hAnsi="Times New Roman" w:cs="Times New Roman" w:eastAsia="Times New Roman" w:hint="default"/>
                <w:sz w:val="18"/>
                <w:szCs w:val="18"/>
              </w:rPr>
            </w:pPr>
            <w:r>
              <w:rPr>
                <w:rFonts w:ascii="Times New Roman"/>
                <w:sz w:val="18"/>
              </w:rPr>
              <w:t>8,350</w:t>
            </w:r>
          </w:p>
          <w:p>
            <w:pPr>
              <w:pStyle w:val="TableParagraph"/>
              <w:spacing w:line="240" w:lineRule="auto" w:before="105"/>
              <w:ind w:left="88" w:right="0"/>
              <w:jc w:val="center"/>
              <w:rPr>
                <w:rFonts w:ascii="Times New Roman" w:hAnsi="Times New Roman" w:cs="Times New Roman" w:eastAsia="Times New Roman" w:hint="default"/>
                <w:sz w:val="18"/>
                <w:szCs w:val="18"/>
              </w:rPr>
            </w:pPr>
            <w:r>
              <w:rPr>
                <w:rFonts w:ascii="Times New Roman"/>
                <w:sz w:val="18"/>
              </w:rPr>
              <w:t>,800.</w:t>
            </w:r>
          </w:p>
          <w:p>
            <w:pPr>
              <w:pStyle w:val="TableParagraph"/>
              <w:spacing w:line="240" w:lineRule="auto" w:before="105"/>
              <w:ind w:left="267" w:right="0"/>
              <w:jc w:val="center"/>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0" w:right="0"/>
              <w:jc w:val="left"/>
              <w:rPr>
                <w:rFonts w:ascii="Times New Roman" w:hAnsi="Times New Roman" w:cs="Times New Roman" w:eastAsia="Times New Roman" w:hint="default"/>
                <w:sz w:val="18"/>
                <w:szCs w:val="18"/>
              </w:rPr>
            </w:pPr>
            <w:r>
              <w:rPr>
                <w:rFonts w:ascii="Times New Roman"/>
                <w:sz w:val="18"/>
              </w:rPr>
              <w:t>8,350</w:t>
            </w:r>
          </w:p>
          <w:p>
            <w:pPr>
              <w:pStyle w:val="TableParagraph"/>
              <w:spacing w:line="240" w:lineRule="auto" w:before="105"/>
              <w:ind w:left="84" w:right="0"/>
              <w:jc w:val="center"/>
              <w:rPr>
                <w:rFonts w:ascii="Times New Roman" w:hAnsi="Times New Roman" w:cs="Times New Roman" w:eastAsia="Times New Roman" w:hint="default"/>
                <w:sz w:val="18"/>
                <w:szCs w:val="18"/>
              </w:rPr>
            </w:pPr>
            <w:r>
              <w:rPr>
                <w:rFonts w:ascii="Times New Roman"/>
                <w:sz w:val="18"/>
              </w:rPr>
              <w:t>,800.</w:t>
            </w:r>
          </w:p>
          <w:p>
            <w:pPr>
              <w:pStyle w:val="TableParagraph"/>
              <w:spacing w:line="240" w:lineRule="auto" w:before="105"/>
              <w:ind w:left="264" w:right="0"/>
              <w:jc w:val="center"/>
              <w:rPr>
                <w:rFonts w:ascii="Times New Roman" w:hAnsi="Times New Roman" w:cs="Times New Roman" w:eastAsia="Times New Roman" w:hint="default"/>
                <w:sz w:val="18"/>
                <w:szCs w:val="18"/>
              </w:rPr>
            </w:pPr>
            <w:r>
              <w:rPr>
                <w:rFonts w:ascii="Times New Roman"/>
                <w:sz w:val="18"/>
              </w:rPr>
              <w:t>00</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76" w:right="0"/>
              <w:jc w:val="left"/>
              <w:rPr>
                <w:rFonts w:ascii="Times New Roman" w:hAnsi="Times New Roman" w:cs="Times New Roman" w:eastAsia="Times New Roman" w:hint="default"/>
                <w:sz w:val="18"/>
                <w:szCs w:val="18"/>
              </w:rPr>
            </w:pPr>
            <w:r>
              <w:rPr>
                <w:rFonts w:ascii="Times New Roman"/>
                <w:sz w:val="18"/>
              </w:rPr>
              <w:t>-63,1</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54,56</w:t>
            </w:r>
          </w:p>
          <w:p>
            <w:pPr>
              <w:pStyle w:val="TableParagraph"/>
              <w:spacing w:line="240" w:lineRule="auto" w:before="105"/>
              <w:ind w:left="236" w:right="0"/>
              <w:jc w:val="left"/>
              <w:rPr>
                <w:rFonts w:ascii="Times New Roman" w:hAnsi="Times New Roman" w:cs="Times New Roman" w:eastAsia="Times New Roman" w:hint="default"/>
                <w:sz w:val="18"/>
                <w:szCs w:val="18"/>
              </w:rPr>
            </w:pPr>
            <w:r>
              <w:rPr>
                <w:rFonts w:ascii="Times New Roman"/>
                <w:sz w:val="18"/>
              </w:rPr>
              <w:t>1.12</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8" w:right="0"/>
              <w:jc w:val="center"/>
              <w:rPr>
                <w:rFonts w:ascii="Times New Roman" w:hAnsi="Times New Roman" w:cs="Times New Roman" w:eastAsia="Times New Roman" w:hint="default"/>
                <w:sz w:val="18"/>
                <w:szCs w:val="18"/>
              </w:rPr>
            </w:pPr>
            <w:r>
              <w:rPr>
                <w:rFonts w:ascii="Times New Roman"/>
                <w:sz w:val="18"/>
              </w:rPr>
              <w:t>-4,38</w:t>
            </w:r>
          </w:p>
          <w:p>
            <w:pPr>
              <w:pStyle w:val="TableParagraph"/>
              <w:spacing w:line="240" w:lineRule="auto" w:before="105"/>
              <w:ind w:left="44" w:right="0"/>
              <w:jc w:val="center"/>
              <w:rPr>
                <w:rFonts w:ascii="Times New Roman" w:hAnsi="Times New Roman" w:cs="Times New Roman" w:eastAsia="Times New Roman" w:hint="default"/>
                <w:sz w:val="18"/>
                <w:szCs w:val="18"/>
              </w:rPr>
            </w:pPr>
            <w:r>
              <w:rPr>
                <w:rFonts w:ascii="Times New Roman"/>
                <w:sz w:val="18"/>
              </w:rPr>
              <w:t>3,155</w:t>
            </w:r>
          </w:p>
          <w:p>
            <w:pPr>
              <w:pStyle w:val="TableParagraph"/>
              <w:spacing w:line="240" w:lineRule="auto" w:before="105"/>
              <w:ind w:left="224" w:right="0"/>
              <w:jc w:val="center"/>
              <w:rPr>
                <w:rFonts w:ascii="Times New Roman" w:hAnsi="Times New Roman" w:cs="Times New Roman" w:eastAsia="Times New Roman" w:hint="default"/>
                <w:sz w:val="18"/>
                <w:szCs w:val="18"/>
              </w:rPr>
            </w:pPr>
            <w:r>
              <w:rPr>
                <w:rFonts w:ascii="Times New Roman"/>
                <w:sz w:val="18"/>
              </w:rPr>
              <w:t>.41</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71" w:right="0"/>
              <w:jc w:val="left"/>
              <w:rPr>
                <w:rFonts w:ascii="Times New Roman" w:hAnsi="Times New Roman" w:cs="Times New Roman" w:eastAsia="Times New Roman" w:hint="default"/>
                <w:sz w:val="18"/>
                <w:szCs w:val="18"/>
              </w:rPr>
            </w:pPr>
            <w:r>
              <w:rPr>
                <w:rFonts w:ascii="Times New Roman"/>
                <w:sz w:val="18"/>
              </w:rPr>
              <w:t>-67,5</w:t>
            </w:r>
          </w:p>
          <w:p>
            <w:pPr>
              <w:pStyle w:val="TableParagraph"/>
              <w:spacing w:line="240" w:lineRule="auto" w:before="105"/>
              <w:ind w:left="140" w:right="0"/>
              <w:jc w:val="left"/>
              <w:rPr>
                <w:rFonts w:ascii="Times New Roman" w:hAnsi="Times New Roman" w:cs="Times New Roman" w:eastAsia="Times New Roman" w:hint="default"/>
                <w:sz w:val="18"/>
                <w:szCs w:val="18"/>
              </w:rPr>
            </w:pPr>
            <w:r>
              <w:rPr>
                <w:rFonts w:ascii="Times New Roman"/>
                <w:sz w:val="18"/>
              </w:rPr>
              <w:t>37,71</w:t>
            </w:r>
          </w:p>
          <w:p>
            <w:pPr>
              <w:pStyle w:val="TableParagraph"/>
              <w:spacing w:line="240" w:lineRule="auto" w:before="105"/>
              <w:ind w:left="231" w:right="0"/>
              <w:jc w:val="left"/>
              <w:rPr>
                <w:rFonts w:ascii="Times New Roman" w:hAnsi="Times New Roman" w:cs="Times New Roman" w:eastAsia="Times New Roman" w:hint="default"/>
                <w:sz w:val="18"/>
                <w:szCs w:val="18"/>
              </w:rPr>
            </w:pPr>
            <w:r>
              <w:rPr>
                <w:rFonts w:ascii="Times New Roman"/>
                <w:sz w:val="18"/>
              </w:rPr>
              <w:t>6.53</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left="101" w:right="0"/>
              <w:jc w:val="left"/>
              <w:rPr>
                <w:rFonts w:ascii="宋体" w:hAnsi="宋体" w:cs="宋体" w:eastAsia="宋体" w:hint="default"/>
                <w:sz w:val="18"/>
                <w:szCs w:val="18"/>
              </w:rPr>
            </w:pPr>
            <w:r>
              <w:rPr>
                <w:rFonts w:ascii="宋体" w:hAnsi="宋体" w:cs="宋体" w:eastAsia="宋体" w:hint="default"/>
                <w:spacing w:val="-6"/>
                <w:sz w:val="18"/>
                <w:szCs w:val="18"/>
              </w:rPr>
              <w:t>（三）利润分配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2" w:right="0"/>
              <w:jc w:val="center"/>
              <w:rPr>
                <w:rFonts w:ascii="Times New Roman" w:hAnsi="Times New Roman" w:cs="Times New Roman" w:eastAsia="Times New Roman" w:hint="default"/>
                <w:sz w:val="18"/>
                <w:szCs w:val="18"/>
              </w:rPr>
            </w:pPr>
            <w:r>
              <w:rPr>
                <w:rFonts w:ascii="Times New Roman"/>
                <w:sz w:val="18"/>
              </w:rPr>
              <w:t>24,16</w:t>
            </w:r>
          </w:p>
          <w:p>
            <w:pPr>
              <w:pStyle w:val="TableParagraph"/>
              <w:spacing w:line="240" w:lineRule="auto" w:before="105"/>
              <w:ind w:left="42" w:right="0"/>
              <w:jc w:val="center"/>
              <w:rPr>
                <w:rFonts w:ascii="Times New Roman" w:hAnsi="Times New Roman" w:cs="Times New Roman" w:eastAsia="Times New Roman" w:hint="default"/>
                <w:sz w:val="18"/>
                <w:szCs w:val="18"/>
              </w:rPr>
            </w:pPr>
            <w:r>
              <w:rPr>
                <w:rFonts w:ascii="Times New Roman"/>
                <w:sz w:val="18"/>
              </w:rPr>
              <w:t>4,122</w:t>
            </w:r>
          </w:p>
          <w:p>
            <w:pPr>
              <w:pStyle w:val="TableParagraph"/>
              <w:spacing w:line="240" w:lineRule="auto" w:before="105"/>
              <w:ind w:left="222" w:right="0"/>
              <w:jc w:val="center"/>
              <w:rPr>
                <w:rFonts w:ascii="Times New Roman" w:hAnsi="Times New Roman" w:cs="Times New Roman" w:eastAsia="Times New Roman" w:hint="default"/>
                <w:sz w:val="18"/>
                <w:szCs w:val="18"/>
              </w:rPr>
            </w:pPr>
            <w:r>
              <w:rPr>
                <w:rFonts w:ascii="Times New Roman"/>
                <w:sz w:val="18"/>
              </w:rPr>
              <w:t>.46</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6" w:right="0"/>
              <w:jc w:val="left"/>
              <w:rPr>
                <w:rFonts w:ascii="Times New Roman" w:hAnsi="Times New Roman" w:cs="Times New Roman" w:eastAsia="Times New Roman" w:hint="default"/>
                <w:sz w:val="18"/>
                <w:szCs w:val="18"/>
              </w:rPr>
            </w:pPr>
            <w:r>
              <w:rPr>
                <w:rFonts w:ascii="Times New Roman"/>
                <w:sz w:val="18"/>
              </w:rPr>
              <w:t>-48,4</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26,56</w:t>
            </w:r>
          </w:p>
          <w:p>
            <w:pPr>
              <w:pStyle w:val="TableParagraph"/>
              <w:spacing w:line="240" w:lineRule="auto" w:before="105"/>
              <w:ind w:left="236" w:right="0"/>
              <w:jc w:val="left"/>
              <w:rPr>
                <w:rFonts w:ascii="Times New Roman" w:hAnsi="Times New Roman" w:cs="Times New Roman" w:eastAsia="Times New Roman" w:hint="default"/>
                <w:sz w:val="18"/>
                <w:szCs w:val="18"/>
              </w:rPr>
            </w:pPr>
            <w:r>
              <w:rPr>
                <w:rFonts w:ascii="Times New Roman"/>
                <w:sz w:val="18"/>
              </w:rPr>
              <w:t>4.18</w:t>
            </w: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1" w:right="0"/>
              <w:jc w:val="left"/>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140" w:right="0"/>
              <w:jc w:val="left"/>
              <w:rPr>
                <w:rFonts w:ascii="Times New Roman" w:hAnsi="Times New Roman" w:cs="Times New Roman" w:eastAsia="Times New Roman" w:hint="default"/>
                <w:sz w:val="18"/>
                <w:szCs w:val="18"/>
              </w:rPr>
            </w:pPr>
            <w:r>
              <w:rPr>
                <w:rFonts w:ascii="Times New Roman"/>
                <w:sz w:val="18"/>
              </w:rPr>
              <w:t>62,44</w:t>
            </w:r>
          </w:p>
          <w:p>
            <w:pPr>
              <w:pStyle w:val="TableParagraph"/>
              <w:spacing w:line="240" w:lineRule="auto" w:before="105"/>
              <w:ind w:left="231" w:right="0"/>
              <w:jc w:val="left"/>
              <w:rPr>
                <w:rFonts w:ascii="Times New Roman" w:hAnsi="Times New Roman" w:cs="Times New Roman" w:eastAsia="Times New Roman" w:hint="default"/>
                <w:sz w:val="18"/>
                <w:szCs w:val="18"/>
              </w:rPr>
            </w:pPr>
            <w:r>
              <w:rPr>
                <w:rFonts w:ascii="Times New Roman"/>
                <w:sz w:val="18"/>
              </w:rPr>
              <w:t>1.72</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ind w:left="101"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 积</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2" w:right="0"/>
              <w:jc w:val="center"/>
              <w:rPr>
                <w:rFonts w:ascii="Times New Roman" w:hAnsi="Times New Roman" w:cs="Times New Roman" w:eastAsia="Times New Roman" w:hint="default"/>
                <w:sz w:val="18"/>
                <w:szCs w:val="18"/>
              </w:rPr>
            </w:pPr>
            <w:r>
              <w:rPr>
                <w:rFonts w:ascii="Times New Roman"/>
                <w:sz w:val="18"/>
              </w:rPr>
              <w:t>24,16</w:t>
            </w:r>
          </w:p>
          <w:p>
            <w:pPr>
              <w:pStyle w:val="TableParagraph"/>
              <w:spacing w:line="240" w:lineRule="auto" w:before="105"/>
              <w:ind w:left="42" w:right="0"/>
              <w:jc w:val="center"/>
              <w:rPr>
                <w:rFonts w:ascii="Times New Roman" w:hAnsi="Times New Roman" w:cs="Times New Roman" w:eastAsia="Times New Roman" w:hint="default"/>
                <w:sz w:val="18"/>
                <w:szCs w:val="18"/>
              </w:rPr>
            </w:pPr>
            <w:r>
              <w:rPr>
                <w:rFonts w:ascii="Times New Roman"/>
                <w:sz w:val="18"/>
              </w:rPr>
              <w:t>4,122</w:t>
            </w:r>
          </w:p>
          <w:p>
            <w:pPr>
              <w:pStyle w:val="TableParagraph"/>
              <w:spacing w:line="240" w:lineRule="auto" w:before="105"/>
              <w:ind w:left="222" w:right="0"/>
              <w:jc w:val="center"/>
              <w:rPr>
                <w:rFonts w:ascii="Times New Roman" w:hAnsi="Times New Roman" w:cs="Times New Roman" w:eastAsia="Times New Roman" w:hint="default"/>
                <w:sz w:val="18"/>
                <w:szCs w:val="18"/>
              </w:rPr>
            </w:pPr>
            <w:r>
              <w:rPr>
                <w:rFonts w:ascii="Times New Roman"/>
                <w:sz w:val="18"/>
              </w:rPr>
              <w:t>.46</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76" w:right="0"/>
              <w:jc w:val="left"/>
              <w:rPr>
                <w:rFonts w:ascii="Times New Roman" w:hAnsi="Times New Roman" w:cs="Times New Roman" w:eastAsia="Times New Roman" w:hint="default"/>
                <w:sz w:val="18"/>
                <w:szCs w:val="18"/>
              </w:rPr>
            </w:pPr>
            <w:r>
              <w:rPr>
                <w:rFonts w:ascii="Times New Roman"/>
                <w:sz w:val="18"/>
              </w:rPr>
              <w:t>-24,1</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64,12</w:t>
            </w:r>
          </w:p>
          <w:p>
            <w:pPr>
              <w:pStyle w:val="TableParagraph"/>
              <w:spacing w:line="240" w:lineRule="auto" w:before="105"/>
              <w:ind w:left="236" w:right="0"/>
              <w:jc w:val="left"/>
              <w:rPr>
                <w:rFonts w:ascii="Times New Roman" w:hAnsi="Times New Roman" w:cs="Times New Roman" w:eastAsia="Times New Roman" w:hint="default"/>
                <w:sz w:val="18"/>
                <w:szCs w:val="18"/>
              </w:rPr>
            </w:pPr>
            <w:r>
              <w:rPr>
                <w:rFonts w:ascii="Times New Roman"/>
                <w:sz w:val="18"/>
              </w:rPr>
              <w:t>2.46</w:t>
            </w: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 险准备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ind w:left="101" w:right="100"/>
              <w:jc w:val="left"/>
              <w:rPr>
                <w:rFonts w:ascii="宋体" w:hAnsi="宋体" w:cs="宋体" w:eastAsia="宋体" w:hint="default"/>
                <w:sz w:val="18"/>
                <w:szCs w:val="18"/>
              </w:rPr>
            </w:pPr>
            <w:r>
              <w:rPr>
                <w:rFonts w:ascii="Times New Roman" w:hAnsi="Times New Roman" w:cs="Times New Roman" w:eastAsia="Times New Roman" w:hint="default"/>
                <w:spacing w:val="-16"/>
                <w:sz w:val="18"/>
                <w:szCs w:val="18"/>
              </w:rPr>
              <w:t>3</w:t>
            </w:r>
            <w:r>
              <w:rPr>
                <w:rFonts w:ascii="宋体" w:hAnsi="宋体" w:cs="宋体" w:eastAsia="宋体" w:hint="default"/>
                <w:spacing w:val="-16"/>
                <w:sz w:val="18"/>
                <w:szCs w:val="18"/>
              </w:rPr>
              <w:t>．对所有者（或</w:t>
            </w:r>
            <w:r>
              <w:rPr>
                <w:rFonts w:ascii="宋体" w:hAnsi="宋体" w:cs="宋体" w:eastAsia="宋体" w:hint="default"/>
                <w:sz w:val="18"/>
                <w:szCs w:val="18"/>
              </w:rPr>
              <w:t> 股东）的分配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76" w:right="0"/>
              <w:jc w:val="left"/>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62,44</w:t>
            </w:r>
          </w:p>
          <w:p>
            <w:pPr>
              <w:pStyle w:val="TableParagraph"/>
              <w:spacing w:line="240" w:lineRule="auto" w:before="105"/>
              <w:ind w:left="236" w:right="0"/>
              <w:jc w:val="left"/>
              <w:rPr>
                <w:rFonts w:ascii="Times New Roman" w:hAnsi="Times New Roman" w:cs="Times New Roman" w:eastAsia="Times New Roman" w:hint="default"/>
                <w:sz w:val="18"/>
                <w:szCs w:val="18"/>
              </w:rPr>
            </w:pPr>
            <w:r>
              <w:rPr>
                <w:rFonts w:ascii="Times New Roman"/>
                <w:sz w:val="18"/>
              </w:rPr>
              <w:t>1.72</w:t>
            </w: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71" w:right="0"/>
              <w:jc w:val="left"/>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140" w:right="0"/>
              <w:jc w:val="left"/>
              <w:rPr>
                <w:rFonts w:ascii="Times New Roman" w:hAnsi="Times New Roman" w:cs="Times New Roman" w:eastAsia="Times New Roman" w:hint="default"/>
                <w:sz w:val="18"/>
                <w:szCs w:val="18"/>
              </w:rPr>
            </w:pPr>
            <w:r>
              <w:rPr>
                <w:rFonts w:ascii="Times New Roman"/>
                <w:sz w:val="18"/>
              </w:rPr>
              <w:t>62,44</w:t>
            </w:r>
          </w:p>
          <w:p>
            <w:pPr>
              <w:pStyle w:val="TableParagraph"/>
              <w:spacing w:line="240" w:lineRule="auto" w:before="105"/>
              <w:ind w:left="231" w:right="0"/>
              <w:jc w:val="left"/>
              <w:rPr>
                <w:rFonts w:ascii="Times New Roman" w:hAnsi="Times New Roman" w:cs="Times New Roman" w:eastAsia="Times New Roman" w:hint="default"/>
                <w:sz w:val="18"/>
                <w:szCs w:val="18"/>
              </w:rPr>
            </w:pPr>
            <w:r>
              <w:rPr>
                <w:rFonts w:ascii="Times New Roman"/>
                <w:sz w:val="18"/>
              </w:rPr>
              <w:t>1.72</w:t>
            </w: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1" w:right="100"/>
              <w:jc w:val="left"/>
              <w:rPr>
                <w:rFonts w:ascii="宋体" w:hAnsi="宋体" w:cs="宋体" w:eastAsia="宋体" w:hint="default"/>
                <w:sz w:val="18"/>
                <w:szCs w:val="18"/>
              </w:rPr>
            </w:pPr>
            <w:r>
              <w:rPr>
                <w:rFonts w:ascii="宋体" w:hAnsi="宋体" w:cs="宋体" w:eastAsia="宋体" w:hint="default"/>
                <w:spacing w:val="-6"/>
                <w:sz w:val="18"/>
                <w:szCs w:val="18"/>
              </w:rPr>
              <w:t>（四）所有者权</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益内部结转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4" w:right="0"/>
              <w:jc w:val="center"/>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34" w:right="0"/>
              <w:jc w:val="center"/>
              <w:rPr>
                <w:rFonts w:ascii="Times New Roman" w:hAnsi="Times New Roman" w:cs="Times New Roman" w:eastAsia="Times New Roman" w:hint="default"/>
                <w:sz w:val="18"/>
                <w:szCs w:val="18"/>
              </w:rPr>
            </w:pPr>
            <w:r>
              <w:rPr>
                <w:rFonts w:ascii="Times New Roman"/>
                <w:sz w:val="18"/>
              </w:rPr>
              <w:t>801,</w:t>
            </w:r>
          </w:p>
          <w:p>
            <w:pPr>
              <w:pStyle w:val="TableParagraph"/>
              <w:spacing w:line="240" w:lineRule="auto" w:before="105"/>
              <w:ind w:left="34" w:right="0"/>
              <w:jc w:val="center"/>
              <w:rPr>
                <w:rFonts w:ascii="Times New Roman" w:hAnsi="Times New Roman" w:cs="Times New Roman" w:eastAsia="Times New Roman" w:hint="default"/>
                <w:sz w:val="18"/>
                <w:szCs w:val="18"/>
              </w:rPr>
            </w:pPr>
            <w:r>
              <w:rPr>
                <w:rFonts w:ascii="Times New Roman"/>
                <w:sz w:val="18"/>
              </w:rPr>
              <w:t>887.</w:t>
            </w:r>
          </w:p>
          <w:p>
            <w:pPr>
              <w:pStyle w:val="TableParagraph"/>
              <w:spacing w:line="240" w:lineRule="auto" w:before="105"/>
              <w:ind w:left="167" w:right="0"/>
              <w:jc w:val="center"/>
              <w:rPr>
                <w:rFonts w:ascii="Times New Roman" w:hAnsi="Times New Roman" w:cs="Times New Roman" w:eastAsia="Times New Roman" w:hint="default"/>
                <w:sz w:val="18"/>
                <w:szCs w:val="18"/>
              </w:rPr>
            </w:pPr>
            <w:r>
              <w:rPr>
                <w:rFonts w:ascii="Times New Roman"/>
                <w:sz w:val="18"/>
              </w:rPr>
              <w:t>00</w:t>
            </w: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801,8</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87.00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09" w:lineRule="auto"/>
              <w:ind w:left="101"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 增资本（或股 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4" w:right="0"/>
              <w:jc w:val="center"/>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34" w:right="0"/>
              <w:jc w:val="center"/>
              <w:rPr>
                <w:rFonts w:ascii="Times New Roman" w:hAnsi="Times New Roman" w:cs="Times New Roman" w:eastAsia="Times New Roman" w:hint="default"/>
                <w:sz w:val="18"/>
                <w:szCs w:val="18"/>
              </w:rPr>
            </w:pPr>
            <w:r>
              <w:rPr>
                <w:rFonts w:ascii="Times New Roman"/>
                <w:sz w:val="18"/>
              </w:rPr>
              <w:t>801,</w:t>
            </w:r>
          </w:p>
          <w:p>
            <w:pPr>
              <w:pStyle w:val="TableParagraph"/>
              <w:spacing w:line="240" w:lineRule="auto" w:before="105"/>
              <w:ind w:left="34" w:right="0"/>
              <w:jc w:val="center"/>
              <w:rPr>
                <w:rFonts w:ascii="Times New Roman" w:hAnsi="Times New Roman" w:cs="Times New Roman" w:eastAsia="Times New Roman" w:hint="default"/>
                <w:sz w:val="18"/>
                <w:szCs w:val="18"/>
              </w:rPr>
            </w:pPr>
            <w:r>
              <w:rPr>
                <w:rFonts w:ascii="Times New Roman"/>
                <w:sz w:val="18"/>
              </w:rPr>
              <w:t>887.</w:t>
            </w:r>
          </w:p>
          <w:p>
            <w:pPr>
              <w:pStyle w:val="TableParagraph"/>
              <w:spacing w:line="240" w:lineRule="auto" w:before="105"/>
              <w:ind w:left="167" w:right="0"/>
              <w:jc w:val="center"/>
              <w:rPr>
                <w:rFonts w:ascii="Times New Roman" w:hAnsi="Times New Roman" w:cs="Times New Roman" w:eastAsia="Times New Roman" w:hint="default"/>
                <w:sz w:val="18"/>
                <w:szCs w:val="18"/>
              </w:rPr>
            </w:pPr>
            <w:r>
              <w:rPr>
                <w:rFonts w:ascii="Times New Roman"/>
                <w:sz w:val="18"/>
              </w:rPr>
              <w:t>00</w:t>
            </w: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801,8</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87.00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1"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 增资本（或股 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 补亏损</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1"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 划变动额结转 留存收益</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438"/>
        <w:gridCol w:w="562"/>
        <w:gridCol w:w="531"/>
        <w:gridCol w:w="531"/>
        <w:gridCol w:w="531"/>
        <w:gridCol w:w="664"/>
        <w:gridCol w:w="665"/>
        <w:gridCol w:w="665"/>
        <w:gridCol w:w="665"/>
        <w:gridCol w:w="664"/>
        <w:gridCol w:w="665"/>
        <w:gridCol w:w="665"/>
        <w:gridCol w:w="665"/>
        <w:gridCol w:w="659"/>
      </w:tblGrid>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pacing w:val="-6"/>
                <w:sz w:val="18"/>
                <w:szCs w:val="18"/>
              </w:rPr>
              <w:t>（五）专项储备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1" w:right="100"/>
              <w:jc w:val="left"/>
              <w:rPr>
                <w:rFonts w:ascii="宋体" w:hAnsi="宋体" w:cs="宋体" w:eastAsia="宋体" w:hint="default"/>
                <w:sz w:val="18"/>
                <w:szCs w:val="18"/>
              </w:rPr>
            </w:pPr>
            <w:r>
              <w:rPr>
                <w:rFonts w:ascii="宋体" w:hAnsi="宋体" w:cs="宋体" w:eastAsia="宋体" w:hint="default"/>
                <w:spacing w:val="-6"/>
                <w:sz w:val="18"/>
                <w:szCs w:val="18"/>
              </w:rPr>
              <w:t>四、本期期末余</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4" w:right="0"/>
              <w:jc w:val="center"/>
              <w:rPr>
                <w:rFonts w:ascii="Times New Roman" w:hAnsi="Times New Roman" w:cs="Times New Roman" w:eastAsia="Times New Roman" w:hint="default"/>
                <w:sz w:val="18"/>
                <w:szCs w:val="18"/>
              </w:rPr>
            </w:pPr>
            <w:r>
              <w:rPr>
                <w:rFonts w:ascii="Times New Roman"/>
                <w:sz w:val="18"/>
              </w:rPr>
              <w:t>485,</w:t>
            </w:r>
          </w:p>
          <w:p>
            <w:pPr>
              <w:pStyle w:val="TableParagraph"/>
              <w:spacing w:line="240" w:lineRule="auto" w:before="105"/>
              <w:ind w:left="34" w:right="0"/>
              <w:jc w:val="center"/>
              <w:rPr>
                <w:rFonts w:ascii="Times New Roman" w:hAnsi="Times New Roman" w:cs="Times New Roman" w:eastAsia="Times New Roman" w:hint="default"/>
                <w:sz w:val="18"/>
                <w:szCs w:val="18"/>
              </w:rPr>
            </w:pPr>
            <w:r>
              <w:rPr>
                <w:rFonts w:ascii="Times New Roman"/>
                <w:sz w:val="18"/>
              </w:rPr>
              <w:t>456,</w:t>
            </w:r>
          </w:p>
          <w:p>
            <w:pPr>
              <w:pStyle w:val="TableParagraph"/>
              <w:spacing w:line="240" w:lineRule="auto" w:before="105"/>
              <w:ind w:left="34" w:right="0"/>
              <w:jc w:val="center"/>
              <w:rPr>
                <w:rFonts w:ascii="Times New Roman" w:hAnsi="Times New Roman" w:cs="Times New Roman" w:eastAsia="Times New Roman" w:hint="default"/>
                <w:sz w:val="18"/>
                <w:szCs w:val="18"/>
              </w:rPr>
            </w:pPr>
            <w:r>
              <w:rPr>
                <w:rFonts w:ascii="Times New Roman"/>
                <w:sz w:val="18"/>
              </w:rPr>
              <w:t>398.</w:t>
            </w:r>
          </w:p>
          <w:p>
            <w:pPr>
              <w:pStyle w:val="TableParagraph"/>
              <w:spacing w:line="240" w:lineRule="auto" w:before="105"/>
              <w:ind w:left="167" w:right="0"/>
              <w:jc w:val="center"/>
              <w:rPr>
                <w:rFonts w:ascii="Times New Roman" w:hAnsi="Times New Roman" w:cs="Times New Roman" w:eastAsia="Times New Roman" w:hint="default"/>
                <w:sz w:val="18"/>
                <w:szCs w:val="18"/>
              </w:rPr>
            </w:pPr>
            <w:r>
              <w:rPr>
                <w:rFonts w:ascii="Times New Roman"/>
                <w:sz w:val="18"/>
              </w:rPr>
              <w:t>00</w:t>
            </w: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45" w:right="0"/>
              <w:jc w:val="left"/>
              <w:rPr>
                <w:rFonts w:ascii="Times New Roman" w:hAnsi="Times New Roman" w:cs="Times New Roman" w:eastAsia="Times New Roman" w:hint="default"/>
                <w:sz w:val="18"/>
                <w:szCs w:val="18"/>
              </w:rPr>
            </w:pPr>
            <w:r>
              <w:rPr>
                <w:rFonts w:ascii="Times New Roman"/>
                <w:sz w:val="18"/>
              </w:rPr>
              <w:t>1,200</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,827,</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298.5</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5" w:right="0"/>
              <w:jc w:val="center"/>
              <w:rPr>
                <w:rFonts w:ascii="Times New Roman" w:hAnsi="Times New Roman" w:cs="Times New Roman" w:eastAsia="Times New Roman" w:hint="default"/>
                <w:sz w:val="18"/>
                <w:szCs w:val="18"/>
              </w:rPr>
            </w:pPr>
            <w:r>
              <w:rPr>
                <w:rFonts w:ascii="Times New Roman"/>
                <w:sz w:val="18"/>
              </w:rPr>
              <w:t>30,48</w:t>
            </w:r>
          </w:p>
          <w:p>
            <w:pPr>
              <w:pStyle w:val="TableParagraph"/>
              <w:spacing w:line="240" w:lineRule="auto" w:before="105"/>
              <w:ind w:left="45" w:right="0"/>
              <w:jc w:val="center"/>
              <w:rPr>
                <w:rFonts w:ascii="Times New Roman" w:hAnsi="Times New Roman" w:cs="Times New Roman" w:eastAsia="Times New Roman" w:hint="default"/>
                <w:sz w:val="18"/>
                <w:szCs w:val="18"/>
              </w:rPr>
            </w:pPr>
            <w:r>
              <w:rPr>
                <w:rFonts w:ascii="Times New Roman"/>
                <w:sz w:val="18"/>
              </w:rPr>
              <w:t>1,062</w:t>
            </w:r>
          </w:p>
          <w:p>
            <w:pPr>
              <w:pStyle w:val="TableParagraph"/>
              <w:spacing w:line="240" w:lineRule="auto" w:before="105"/>
              <w:ind w:left="225" w:right="0"/>
              <w:jc w:val="center"/>
              <w:rPr>
                <w:rFonts w:ascii="Times New Roman" w:hAnsi="Times New Roman" w:cs="Times New Roman" w:eastAsia="Times New Roman" w:hint="default"/>
                <w:sz w:val="18"/>
                <w:szCs w:val="18"/>
              </w:rPr>
            </w:pPr>
            <w:r>
              <w:rPr>
                <w:rFonts w:ascii="Times New Roman"/>
                <w:sz w:val="18"/>
              </w:rPr>
              <w:t>.21</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2" w:right="0"/>
              <w:jc w:val="center"/>
              <w:rPr>
                <w:rFonts w:ascii="Times New Roman" w:hAnsi="Times New Roman" w:cs="Times New Roman" w:eastAsia="Times New Roman" w:hint="default"/>
                <w:sz w:val="18"/>
                <w:szCs w:val="18"/>
              </w:rPr>
            </w:pPr>
            <w:r>
              <w:rPr>
                <w:rFonts w:ascii="Times New Roman"/>
                <w:sz w:val="18"/>
              </w:rPr>
              <w:t>65,68</w:t>
            </w:r>
          </w:p>
          <w:p>
            <w:pPr>
              <w:pStyle w:val="TableParagraph"/>
              <w:spacing w:line="240" w:lineRule="auto" w:before="105"/>
              <w:ind w:left="42" w:right="0"/>
              <w:jc w:val="center"/>
              <w:rPr>
                <w:rFonts w:ascii="Times New Roman" w:hAnsi="Times New Roman" w:cs="Times New Roman" w:eastAsia="Times New Roman" w:hint="default"/>
                <w:sz w:val="18"/>
                <w:szCs w:val="18"/>
              </w:rPr>
            </w:pPr>
            <w:r>
              <w:rPr>
                <w:rFonts w:ascii="Times New Roman"/>
                <w:sz w:val="18"/>
              </w:rPr>
              <w:t>1,002</w:t>
            </w:r>
          </w:p>
          <w:p>
            <w:pPr>
              <w:pStyle w:val="TableParagraph"/>
              <w:spacing w:line="240" w:lineRule="auto" w:before="105"/>
              <w:ind w:left="222" w:right="0"/>
              <w:jc w:val="center"/>
              <w:rPr>
                <w:rFonts w:ascii="Times New Roman" w:hAnsi="Times New Roman" w:cs="Times New Roman" w:eastAsia="Times New Roman" w:hint="default"/>
                <w:sz w:val="18"/>
                <w:szCs w:val="18"/>
              </w:rPr>
            </w:pPr>
            <w:r>
              <w:rPr>
                <w:rFonts w:ascii="Times New Roman"/>
                <w:sz w:val="18"/>
              </w:rPr>
              <w:t>.18</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599,5</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84,08</w:t>
            </w:r>
          </w:p>
          <w:p>
            <w:pPr>
              <w:pStyle w:val="TableParagraph"/>
              <w:spacing w:line="240" w:lineRule="auto" w:before="105"/>
              <w:ind w:left="236" w:right="0"/>
              <w:jc w:val="left"/>
              <w:rPr>
                <w:rFonts w:ascii="Times New Roman" w:hAnsi="Times New Roman" w:cs="Times New Roman" w:eastAsia="Times New Roman" w:hint="default"/>
                <w:sz w:val="18"/>
                <w:szCs w:val="18"/>
              </w:rPr>
            </w:pPr>
            <w:r>
              <w:rPr>
                <w:rFonts w:ascii="Times New Roman"/>
                <w:sz w:val="18"/>
              </w:rPr>
              <w:t>8.72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36,92</w:t>
            </w:r>
          </w:p>
          <w:p>
            <w:pPr>
              <w:pStyle w:val="TableParagraph"/>
              <w:spacing w:line="240" w:lineRule="auto" w:before="105"/>
              <w:ind w:left="44" w:right="0"/>
              <w:jc w:val="center"/>
              <w:rPr>
                <w:rFonts w:ascii="Times New Roman" w:hAnsi="Times New Roman" w:cs="Times New Roman" w:eastAsia="Times New Roman" w:hint="default"/>
                <w:sz w:val="18"/>
                <w:szCs w:val="18"/>
              </w:rPr>
            </w:pPr>
            <w:r>
              <w:rPr>
                <w:rFonts w:ascii="Times New Roman"/>
                <w:sz w:val="18"/>
              </w:rPr>
              <w:t>9,853</w:t>
            </w:r>
          </w:p>
          <w:p>
            <w:pPr>
              <w:pStyle w:val="TableParagraph"/>
              <w:spacing w:line="240" w:lineRule="auto" w:before="105"/>
              <w:ind w:left="224" w:right="0"/>
              <w:jc w:val="center"/>
              <w:rPr>
                <w:rFonts w:ascii="Times New Roman" w:hAnsi="Times New Roman" w:cs="Times New Roman" w:eastAsia="Times New Roman" w:hint="default"/>
                <w:sz w:val="18"/>
                <w:szCs w:val="18"/>
              </w:rPr>
            </w:pPr>
            <w:r>
              <w:rPr>
                <w:rFonts w:ascii="Times New Roman"/>
                <w:sz w:val="18"/>
              </w:rPr>
              <w:t>.16</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40" w:right="0"/>
              <w:jc w:val="left"/>
              <w:rPr>
                <w:rFonts w:ascii="Times New Roman" w:hAnsi="Times New Roman" w:cs="Times New Roman" w:eastAsia="Times New Roman" w:hint="default"/>
                <w:sz w:val="18"/>
                <w:szCs w:val="18"/>
              </w:rPr>
            </w:pPr>
            <w:r>
              <w:rPr>
                <w:rFonts w:ascii="Times New Roman"/>
                <w:sz w:val="18"/>
              </w:rPr>
              <w:t>2,357</w:t>
            </w:r>
          </w:p>
          <w:p>
            <w:pPr>
              <w:pStyle w:val="TableParagraph"/>
              <w:spacing w:line="240" w:lineRule="auto" w:before="105"/>
              <w:ind w:left="186" w:right="0"/>
              <w:jc w:val="left"/>
              <w:rPr>
                <w:rFonts w:ascii="Times New Roman" w:hAnsi="Times New Roman" w:cs="Times New Roman" w:eastAsia="Times New Roman" w:hint="default"/>
                <w:sz w:val="18"/>
                <w:szCs w:val="18"/>
              </w:rPr>
            </w:pPr>
            <w:r>
              <w:rPr>
                <w:rFonts w:ascii="Times New Roman"/>
                <w:sz w:val="18"/>
              </w:rPr>
              <w:t>,997,</w:t>
            </w:r>
          </w:p>
          <w:p>
            <w:pPr>
              <w:pStyle w:val="TableParagraph"/>
              <w:spacing w:line="240" w:lineRule="auto" w:before="105"/>
              <w:ind w:left="140" w:right="0"/>
              <w:jc w:val="left"/>
              <w:rPr>
                <w:rFonts w:ascii="Times New Roman" w:hAnsi="Times New Roman" w:cs="Times New Roman" w:eastAsia="Times New Roman" w:hint="default"/>
                <w:sz w:val="18"/>
                <w:szCs w:val="18"/>
              </w:rPr>
            </w:pPr>
            <w:r>
              <w:rPr>
                <w:rFonts w:ascii="Times New Roman"/>
                <w:sz w:val="18"/>
              </w:rPr>
              <w:t>578.4</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1</w:t>
            </w:r>
          </w:p>
        </w:tc>
      </w:tr>
    </w:tbl>
    <w:p>
      <w:pPr>
        <w:pStyle w:val="BodyText"/>
        <w:spacing w:line="240" w:lineRule="auto" w:before="50"/>
        <w:ind w:right="0"/>
        <w:jc w:val="left"/>
      </w:pPr>
      <w:r>
        <w:rPr/>
        <w:t>上期金额</w:t>
      </w:r>
    </w:p>
    <w:p>
      <w:pPr>
        <w:pStyle w:val="BodyText"/>
        <w:spacing w:line="240" w:lineRule="auto" w:before="117"/>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437"/>
        <w:gridCol w:w="562"/>
        <w:gridCol w:w="531"/>
        <w:gridCol w:w="531"/>
        <w:gridCol w:w="531"/>
        <w:gridCol w:w="664"/>
        <w:gridCol w:w="665"/>
        <w:gridCol w:w="665"/>
        <w:gridCol w:w="665"/>
        <w:gridCol w:w="664"/>
        <w:gridCol w:w="665"/>
        <w:gridCol w:w="678"/>
        <w:gridCol w:w="652"/>
        <w:gridCol w:w="659"/>
      </w:tblGrid>
      <w:tr>
        <w:trPr>
          <w:trHeight w:val="402" w:hRule="exact"/>
        </w:trPr>
        <w:tc>
          <w:tcPr>
            <w:tcW w:w="143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132"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1437" w:type="dxa"/>
            <w:vMerge/>
            <w:tcBorders>
              <w:left w:val="single" w:sz="4" w:space="0" w:color="000000"/>
              <w:right w:val="single" w:sz="4" w:space="0" w:color="000000"/>
            </w:tcBorders>
            <w:shd w:val="clear" w:color="auto" w:fill="D2D2D2"/>
          </w:tcPr>
          <w:p>
            <w:pPr/>
          </w:p>
        </w:tc>
        <w:tc>
          <w:tcPr>
            <w:tcW w:w="6821"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5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6"/>
                <w:szCs w:val="16"/>
              </w:rPr>
            </w:pPr>
          </w:p>
          <w:p>
            <w:pPr>
              <w:pStyle w:val="TableParagraph"/>
              <w:spacing w:line="316" w:lineRule="auto"/>
              <w:ind w:left="140" w:right="139"/>
              <w:jc w:val="both"/>
              <w:rPr>
                <w:rFonts w:ascii="宋体" w:hAnsi="宋体" w:cs="宋体" w:eastAsia="宋体" w:hint="default"/>
                <w:sz w:val="18"/>
                <w:szCs w:val="18"/>
              </w:rPr>
            </w:pPr>
            <w:r>
              <w:rPr>
                <w:rFonts w:ascii="宋体" w:hAnsi="宋体" w:cs="宋体" w:eastAsia="宋体" w:hint="default"/>
                <w:sz w:val="18"/>
                <w:szCs w:val="18"/>
              </w:rPr>
              <w:t>少数 股东 权益</w:t>
            </w:r>
          </w:p>
        </w:tc>
        <w:tc>
          <w:tcPr>
            <w:tcW w:w="65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22"/>
                <w:szCs w:val="22"/>
              </w:rPr>
            </w:pPr>
          </w:p>
          <w:p>
            <w:pPr>
              <w:pStyle w:val="TableParagraph"/>
              <w:spacing w:line="316" w:lineRule="auto"/>
              <w:ind w:left="143" w:right="143"/>
              <w:jc w:val="both"/>
              <w:rPr>
                <w:rFonts w:ascii="宋体" w:hAnsi="宋体" w:cs="宋体" w:eastAsia="宋体" w:hint="default"/>
                <w:sz w:val="18"/>
                <w:szCs w:val="18"/>
              </w:rPr>
            </w:pPr>
            <w:r>
              <w:rPr>
                <w:rFonts w:ascii="宋体" w:hAnsi="宋体" w:cs="宋体" w:eastAsia="宋体" w:hint="default"/>
                <w:sz w:val="18"/>
                <w:szCs w:val="18"/>
              </w:rPr>
              <w:t>所有 者权 益合 计</w:t>
            </w:r>
          </w:p>
        </w:tc>
      </w:tr>
      <w:tr>
        <w:trPr>
          <w:trHeight w:val="402" w:hRule="exact"/>
        </w:trPr>
        <w:tc>
          <w:tcPr>
            <w:tcW w:w="1437" w:type="dxa"/>
            <w:vMerge/>
            <w:tcBorders>
              <w:left w:val="single" w:sz="4" w:space="0" w:color="000000"/>
              <w:right w:val="single" w:sz="4" w:space="0" w:color="000000"/>
            </w:tcBorders>
            <w:shd w:val="clear" w:color="auto" w:fill="D2D2D2"/>
          </w:tcPr>
          <w:p>
            <w:pPr/>
          </w:p>
        </w:tc>
        <w:tc>
          <w:tcPr>
            <w:tcW w:w="5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186" w:right="183"/>
              <w:jc w:val="center"/>
              <w:rPr>
                <w:rFonts w:ascii="宋体" w:hAnsi="宋体" w:cs="宋体" w:eastAsia="宋体" w:hint="default"/>
                <w:sz w:val="18"/>
                <w:szCs w:val="18"/>
              </w:rPr>
            </w:pPr>
            <w:r>
              <w:rPr>
                <w:rFonts w:ascii="宋体" w:hAnsi="宋体" w:cs="宋体" w:eastAsia="宋体" w:hint="default"/>
                <w:sz w:val="18"/>
                <w:szCs w:val="18"/>
              </w:rPr>
              <w:t>股 本</w:t>
            </w:r>
          </w:p>
        </w:tc>
        <w:tc>
          <w:tcPr>
            <w:tcW w:w="159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50"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145" w:right="146"/>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46" w:right="146"/>
              <w:jc w:val="both"/>
              <w:rPr>
                <w:rFonts w:ascii="宋体" w:hAnsi="宋体" w:cs="宋体" w:eastAsia="宋体" w:hint="default"/>
                <w:sz w:val="18"/>
                <w:szCs w:val="18"/>
              </w:rPr>
            </w:pPr>
            <w:r>
              <w:rPr>
                <w:rFonts w:ascii="宋体" w:hAnsi="宋体" w:cs="宋体" w:eastAsia="宋体" w:hint="default"/>
                <w:sz w:val="18"/>
                <w:szCs w:val="18"/>
              </w:rPr>
              <w:t>减： 库存 股</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46" w:right="146"/>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146" w:right="147"/>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66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316" w:lineRule="auto"/>
              <w:ind w:left="146" w:right="146"/>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47" w:right="146"/>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67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153" w:right="152"/>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652"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026" w:hRule="exact"/>
        </w:trPr>
        <w:tc>
          <w:tcPr>
            <w:tcW w:w="1437" w:type="dxa"/>
            <w:vMerge/>
            <w:tcBorders>
              <w:left w:val="single" w:sz="4" w:space="0" w:color="000000"/>
              <w:bottom w:val="single" w:sz="4" w:space="0" w:color="000000"/>
              <w:right w:val="single" w:sz="4" w:space="0" w:color="000000"/>
            </w:tcBorders>
            <w:shd w:val="clear" w:color="auto" w:fill="D2D2D2"/>
          </w:tcPr>
          <w:p>
            <w:pPr/>
          </w:p>
        </w:tc>
        <w:tc>
          <w:tcPr>
            <w:tcW w:w="562" w:type="dxa"/>
            <w:vMerge/>
            <w:tcBorders>
              <w:left w:val="single" w:sz="4" w:space="0" w:color="000000"/>
              <w:bottom w:val="single" w:sz="4" w:space="0" w:color="000000"/>
              <w:right w:val="single" w:sz="4" w:space="0" w:color="000000"/>
            </w:tcBorders>
            <w:shd w:val="clear" w:color="auto" w:fill="D2D2D2"/>
          </w:tcPr>
          <w:p>
            <w:pPr/>
          </w:p>
        </w:tc>
        <w:tc>
          <w:tcPr>
            <w:tcW w:w="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69" w:right="170"/>
              <w:jc w:val="both"/>
              <w:rPr>
                <w:rFonts w:ascii="宋体" w:hAnsi="宋体" w:cs="宋体" w:eastAsia="宋体" w:hint="default"/>
                <w:sz w:val="18"/>
                <w:szCs w:val="18"/>
              </w:rPr>
            </w:pPr>
            <w:r>
              <w:rPr>
                <w:rFonts w:ascii="宋体" w:hAnsi="宋体" w:cs="宋体" w:eastAsia="宋体" w:hint="default"/>
                <w:sz w:val="18"/>
                <w:szCs w:val="18"/>
              </w:rPr>
              <w:t>优 先 股</w:t>
            </w:r>
          </w:p>
        </w:tc>
        <w:tc>
          <w:tcPr>
            <w:tcW w:w="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71" w:right="168"/>
              <w:jc w:val="both"/>
              <w:rPr>
                <w:rFonts w:ascii="宋体" w:hAnsi="宋体" w:cs="宋体" w:eastAsia="宋体" w:hint="default"/>
                <w:sz w:val="18"/>
                <w:szCs w:val="18"/>
              </w:rPr>
            </w:pPr>
            <w:r>
              <w:rPr>
                <w:rFonts w:ascii="宋体" w:hAnsi="宋体" w:cs="宋体" w:eastAsia="宋体" w:hint="default"/>
                <w:sz w:val="18"/>
                <w:szCs w:val="18"/>
              </w:rPr>
              <w:t>永 续 债</w:t>
            </w:r>
          </w:p>
        </w:tc>
        <w:tc>
          <w:tcPr>
            <w:tcW w:w="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70" w:right="168"/>
              <w:jc w:val="left"/>
              <w:rPr>
                <w:rFonts w:ascii="宋体" w:hAnsi="宋体" w:cs="宋体" w:eastAsia="宋体" w:hint="default"/>
                <w:sz w:val="18"/>
                <w:szCs w:val="18"/>
              </w:rPr>
            </w:pPr>
            <w:r>
              <w:rPr>
                <w:rFonts w:ascii="宋体" w:hAnsi="宋体" w:cs="宋体" w:eastAsia="宋体" w:hint="default"/>
                <w:sz w:val="18"/>
                <w:szCs w:val="18"/>
              </w:rPr>
              <w:t>其 他</w:t>
            </w:r>
          </w:p>
        </w:tc>
        <w:tc>
          <w:tcPr>
            <w:tcW w:w="664"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4"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78" w:type="dxa"/>
            <w:vMerge/>
            <w:tcBorders>
              <w:left w:val="single" w:sz="4" w:space="0" w:color="000000"/>
              <w:bottom w:val="single" w:sz="4" w:space="0" w:color="000000"/>
              <w:right w:val="single" w:sz="4" w:space="0" w:color="000000"/>
            </w:tcBorders>
            <w:shd w:val="clear" w:color="auto" w:fill="D2D2D2"/>
          </w:tcPr>
          <w:p>
            <w:pPr/>
          </w:p>
        </w:tc>
        <w:tc>
          <w:tcPr>
            <w:tcW w:w="652" w:type="dxa"/>
            <w:vMerge/>
            <w:tcBorders>
              <w:left w:val="single" w:sz="4" w:space="0" w:color="000000"/>
              <w:bottom w:val="single" w:sz="4" w:space="0" w:color="000000"/>
              <w:right w:val="single" w:sz="4" w:space="0" w:color="000000"/>
            </w:tcBorders>
            <w:shd w:val="clear" w:color="auto" w:fill="D2D2D2"/>
          </w:tcPr>
          <w:p>
            <w:pPr/>
          </w:p>
        </w:tc>
        <w:tc>
          <w:tcPr>
            <w:tcW w:w="659" w:type="dxa"/>
            <w:vMerge/>
            <w:tcBorders>
              <w:left w:val="single" w:sz="4" w:space="0" w:color="000000"/>
              <w:bottom w:val="single" w:sz="4" w:space="0" w:color="000000"/>
              <w:right w:val="single" w:sz="4" w:space="0" w:color="000000"/>
            </w:tcBorders>
            <w:shd w:val="clear" w:color="auto" w:fill="D2D2D2"/>
          </w:tcPr>
          <w:p>
            <w:pPr/>
          </w:p>
        </w:tc>
      </w:tr>
      <w:tr>
        <w:trPr>
          <w:trHeight w:val="1338"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01" w:right="101"/>
              <w:jc w:val="left"/>
              <w:rPr>
                <w:rFonts w:ascii="宋体" w:hAnsi="宋体" w:cs="宋体" w:eastAsia="宋体" w:hint="default"/>
                <w:sz w:val="18"/>
                <w:szCs w:val="18"/>
              </w:rPr>
            </w:pPr>
            <w:r>
              <w:rPr>
                <w:rFonts w:ascii="宋体" w:hAnsi="宋体" w:cs="宋体" w:eastAsia="宋体" w:hint="default"/>
                <w:spacing w:val="-6"/>
                <w:sz w:val="18"/>
                <w:szCs w:val="18"/>
              </w:rPr>
              <w:t>一、上年期末余</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1" w:right="0"/>
              <w:jc w:val="center"/>
              <w:rPr>
                <w:rFonts w:ascii="Times New Roman" w:hAnsi="Times New Roman" w:cs="Times New Roman" w:eastAsia="Times New Roman" w:hint="default"/>
                <w:sz w:val="18"/>
                <w:szCs w:val="18"/>
              </w:rPr>
            </w:pPr>
            <w:r>
              <w:rPr>
                <w:rFonts w:ascii="Times New Roman"/>
                <w:sz w:val="18"/>
              </w:rPr>
              <w:t>210,</w:t>
            </w:r>
          </w:p>
          <w:p>
            <w:pPr>
              <w:pStyle w:val="TableParagraph"/>
              <w:spacing w:line="240" w:lineRule="auto" w:before="105"/>
              <w:ind w:left="31" w:right="0"/>
              <w:jc w:val="center"/>
              <w:rPr>
                <w:rFonts w:ascii="Times New Roman" w:hAnsi="Times New Roman" w:cs="Times New Roman" w:eastAsia="Times New Roman" w:hint="default"/>
                <w:sz w:val="18"/>
                <w:szCs w:val="18"/>
              </w:rPr>
            </w:pPr>
            <w:r>
              <w:rPr>
                <w:rFonts w:ascii="Times New Roman"/>
                <w:sz w:val="18"/>
              </w:rPr>
              <w:t>996,</w:t>
            </w:r>
          </w:p>
          <w:p>
            <w:pPr>
              <w:pStyle w:val="TableParagraph"/>
              <w:spacing w:line="240" w:lineRule="auto" w:before="105"/>
              <w:ind w:left="31" w:right="0"/>
              <w:jc w:val="center"/>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05"/>
              <w:ind w:left="165" w:right="0"/>
              <w:jc w:val="center"/>
              <w:rPr>
                <w:rFonts w:ascii="Times New Roman" w:hAnsi="Times New Roman" w:cs="Times New Roman" w:eastAsia="Times New Roman" w:hint="default"/>
                <w:sz w:val="18"/>
                <w:szCs w:val="18"/>
              </w:rPr>
            </w:pPr>
            <w:r>
              <w:rPr>
                <w:rFonts w:ascii="Times New Roman"/>
                <w:sz w:val="18"/>
              </w:rPr>
              <w:t>00</w:t>
            </w: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273,7</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35,70</w:t>
            </w:r>
          </w:p>
          <w:p>
            <w:pPr>
              <w:pStyle w:val="TableParagraph"/>
              <w:spacing w:line="240" w:lineRule="auto" w:before="105"/>
              <w:ind w:left="237" w:right="0"/>
              <w:jc w:val="left"/>
              <w:rPr>
                <w:rFonts w:ascii="Times New Roman" w:hAnsi="Times New Roman" w:cs="Times New Roman" w:eastAsia="Times New Roman" w:hint="default"/>
                <w:sz w:val="18"/>
                <w:szCs w:val="18"/>
              </w:rPr>
            </w:pPr>
            <w:r>
              <w:rPr>
                <w:rFonts w:ascii="Times New Roman"/>
                <w:sz w:val="18"/>
              </w:rPr>
              <w:t>6.94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97,74</w:t>
            </w:r>
          </w:p>
          <w:p>
            <w:pPr>
              <w:pStyle w:val="TableParagraph"/>
              <w:spacing w:line="240" w:lineRule="auto" w:before="105"/>
              <w:ind w:left="44" w:right="0"/>
              <w:jc w:val="center"/>
              <w:rPr>
                <w:rFonts w:ascii="Times New Roman" w:hAnsi="Times New Roman" w:cs="Times New Roman" w:eastAsia="Times New Roman" w:hint="default"/>
                <w:sz w:val="18"/>
                <w:szCs w:val="18"/>
              </w:rPr>
            </w:pPr>
            <w:r>
              <w:rPr>
                <w:rFonts w:ascii="Times New Roman"/>
                <w:sz w:val="18"/>
              </w:rPr>
              <w:t>7,403</w:t>
            </w:r>
          </w:p>
          <w:p>
            <w:pPr>
              <w:pStyle w:val="TableParagraph"/>
              <w:spacing w:line="240" w:lineRule="auto" w:before="105"/>
              <w:ind w:left="224" w:right="0"/>
              <w:jc w:val="center"/>
              <w:rPr>
                <w:rFonts w:ascii="Times New Roman" w:hAnsi="Times New Roman" w:cs="Times New Roman" w:eastAsia="Times New Roman" w:hint="default"/>
                <w:sz w:val="18"/>
                <w:szCs w:val="18"/>
              </w:rPr>
            </w:pPr>
            <w:r>
              <w:rPr>
                <w:rFonts w:ascii="Times New Roman"/>
                <w:sz w:val="18"/>
              </w:rPr>
              <w:t>.04</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 w:right="0"/>
              <w:jc w:val="center"/>
              <w:rPr>
                <w:rFonts w:ascii="Times New Roman" w:hAnsi="Times New Roman" w:cs="Times New Roman" w:eastAsia="Times New Roman" w:hint="default"/>
                <w:sz w:val="18"/>
                <w:szCs w:val="18"/>
              </w:rPr>
            </w:pPr>
            <w:r>
              <w:rPr>
                <w:rFonts w:ascii="Times New Roman"/>
                <w:sz w:val="18"/>
              </w:rPr>
              <w:t>35,71</w:t>
            </w:r>
          </w:p>
          <w:p>
            <w:pPr>
              <w:pStyle w:val="TableParagraph"/>
              <w:spacing w:line="240" w:lineRule="auto" w:before="105"/>
              <w:ind w:left="44" w:right="0"/>
              <w:jc w:val="center"/>
              <w:rPr>
                <w:rFonts w:ascii="Times New Roman" w:hAnsi="Times New Roman" w:cs="Times New Roman" w:eastAsia="Times New Roman" w:hint="default"/>
                <w:sz w:val="18"/>
                <w:szCs w:val="18"/>
              </w:rPr>
            </w:pPr>
            <w:r>
              <w:rPr>
                <w:rFonts w:ascii="Times New Roman"/>
                <w:sz w:val="18"/>
              </w:rPr>
              <w:t>1,283</w:t>
            </w:r>
          </w:p>
          <w:p>
            <w:pPr>
              <w:pStyle w:val="TableParagraph"/>
              <w:spacing w:line="240" w:lineRule="auto" w:before="105"/>
              <w:ind w:left="224" w:right="0"/>
              <w:jc w:val="center"/>
              <w:rPr>
                <w:rFonts w:ascii="Times New Roman" w:hAnsi="Times New Roman" w:cs="Times New Roman" w:eastAsia="Times New Roman" w:hint="default"/>
                <w:sz w:val="18"/>
                <w:szCs w:val="18"/>
              </w:rPr>
            </w:pPr>
            <w:r>
              <w:rPr>
                <w:rFonts w:ascii="Times New Roman"/>
                <w:sz w:val="18"/>
              </w:rPr>
              <w:t>.22</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1" w:right="0"/>
              <w:jc w:val="left"/>
              <w:rPr>
                <w:rFonts w:ascii="Times New Roman" w:hAnsi="Times New Roman" w:cs="Times New Roman" w:eastAsia="Times New Roman" w:hint="default"/>
                <w:sz w:val="18"/>
                <w:szCs w:val="18"/>
              </w:rPr>
            </w:pPr>
            <w:r>
              <w:rPr>
                <w:rFonts w:ascii="Times New Roman"/>
                <w:sz w:val="18"/>
              </w:rPr>
              <w:t>302,1</w:t>
            </w:r>
          </w:p>
          <w:p>
            <w:pPr>
              <w:pStyle w:val="TableParagraph"/>
              <w:spacing w:line="240" w:lineRule="auto" w:before="105"/>
              <w:ind w:left="161" w:right="0"/>
              <w:jc w:val="left"/>
              <w:rPr>
                <w:rFonts w:ascii="Times New Roman" w:hAnsi="Times New Roman" w:cs="Times New Roman" w:eastAsia="Times New Roman" w:hint="default"/>
                <w:sz w:val="18"/>
                <w:szCs w:val="18"/>
              </w:rPr>
            </w:pPr>
            <w:r>
              <w:rPr>
                <w:rFonts w:ascii="Times New Roman"/>
                <w:sz w:val="18"/>
              </w:rPr>
              <w:t>73,02</w:t>
            </w:r>
          </w:p>
          <w:p>
            <w:pPr>
              <w:pStyle w:val="TableParagraph"/>
              <w:spacing w:line="240" w:lineRule="auto" w:before="105"/>
              <w:ind w:left="250" w:right="0"/>
              <w:jc w:val="left"/>
              <w:rPr>
                <w:rFonts w:ascii="Times New Roman" w:hAnsi="Times New Roman" w:cs="Times New Roman" w:eastAsia="Times New Roman" w:hint="default"/>
                <w:sz w:val="18"/>
                <w:szCs w:val="18"/>
              </w:rPr>
            </w:pPr>
            <w:r>
              <w:rPr>
                <w:rFonts w:ascii="Times New Roman"/>
                <w:sz w:val="18"/>
              </w:rPr>
              <w:t>5.37</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 w:right="0"/>
              <w:jc w:val="center"/>
              <w:rPr>
                <w:rFonts w:ascii="Times New Roman" w:hAnsi="Times New Roman" w:cs="Times New Roman" w:eastAsia="Times New Roman" w:hint="default"/>
                <w:sz w:val="18"/>
                <w:szCs w:val="18"/>
              </w:rPr>
            </w:pPr>
            <w:r>
              <w:rPr>
                <w:rFonts w:ascii="Times New Roman"/>
                <w:sz w:val="18"/>
              </w:rPr>
              <w:t>31,47</w:t>
            </w:r>
          </w:p>
          <w:p>
            <w:pPr>
              <w:pStyle w:val="TableParagraph"/>
              <w:spacing w:line="240" w:lineRule="auto" w:before="105"/>
              <w:ind w:left="31" w:right="0"/>
              <w:jc w:val="center"/>
              <w:rPr>
                <w:rFonts w:ascii="Times New Roman" w:hAnsi="Times New Roman" w:cs="Times New Roman" w:eastAsia="Times New Roman" w:hint="default"/>
                <w:sz w:val="18"/>
                <w:szCs w:val="18"/>
              </w:rPr>
            </w:pPr>
            <w:r>
              <w:rPr>
                <w:rFonts w:ascii="Times New Roman"/>
                <w:sz w:val="18"/>
              </w:rPr>
              <w:t>0,719</w:t>
            </w:r>
          </w:p>
          <w:p>
            <w:pPr>
              <w:pStyle w:val="TableParagraph"/>
              <w:spacing w:line="240" w:lineRule="auto" w:before="105"/>
              <w:ind w:left="211" w:right="0"/>
              <w:jc w:val="center"/>
              <w:rPr>
                <w:rFonts w:ascii="Times New Roman" w:hAnsi="Times New Roman" w:cs="Times New Roman" w:eastAsia="Times New Roman" w:hint="default"/>
                <w:sz w:val="18"/>
                <w:szCs w:val="18"/>
              </w:rPr>
            </w:pPr>
            <w:r>
              <w:rPr>
                <w:rFonts w:ascii="Times New Roman"/>
                <w:sz w:val="18"/>
              </w:rPr>
              <w:t>.65</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1" w:right="0"/>
              <w:jc w:val="left"/>
              <w:rPr>
                <w:rFonts w:ascii="Times New Roman" w:hAnsi="Times New Roman" w:cs="Times New Roman" w:eastAsia="Times New Roman" w:hint="default"/>
                <w:sz w:val="18"/>
                <w:szCs w:val="18"/>
              </w:rPr>
            </w:pPr>
            <w:r>
              <w:rPr>
                <w:rFonts w:ascii="Times New Roman"/>
                <w:sz w:val="18"/>
              </w:rPr>
              <w:t>756,3</w:t>
            </w:r>
          </w:p>
          <w:p>
            <w:pPr>
              <w:pStyle w:val="TableParagraph"/>
              <w:spacing w:line="240" w:lineRule="auto" w:before="105"/>
              <w:ind w:left="141" w:right="0"/>
              <w:jc w:val="left"/>
              <w:rPr>
                <w:rFonts w:ascii="Times New Roman" w:hAnsi="Times New Roman" w:cs="Times New Roman" w:eastAsia="Times New Roman" w:hint="default"/>
                <w:sz w:val="18"/>
                <w:szCs w:val="18"/>
              </w:rPr>
            </w:pPr>
            <w:r>
              <w:rPr>
                <w:rFonts w:ascii="Times New Roman"/>
                <w:sz w:val="18"/>
              </w:rPr>
              <w:t>39,33</w:t>
            </w:r>
          </w:p>
          <w:p>
            <w:pPr>
              <w:pStyle w:val="TableParagraph"/>
              <w:spacing w:line="240" w:lineRule="auto" w:before="105"/>
              <w:ind w:left="230" w:right="0"/>
              <w:jc w:val="left"/>
              <w:rPr>
                <w:rFonts w:ascii="Times New Roman" w:hAnsi="Times New Roman" w:cs="Times New Roman" w:eastAsia="Times New Roman" w:hint="default"/>
                <w:sz w:val="18"/>
                <w:szCs w:val="18"/>
              </w:rPr>
            </w:pPr>
            <w:r>
              <w:rPr>
                <w:rFonts w:ascii="Times New Roman"/>
                <w:sz w:val="18"/>
              </w:rPr>
              <w:t>2.14</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01" w:firstLine="360"/>
              <w:jc w:val="left"/>
              <w:rPr>
                <w:rFonts w:ascii="宋体" w:hAnsi="宋体" w:cs="宋体" w:eastAsia="宋体" w:hint="default"/>
                <w:sz w:val="18"/>
                <w:szCs w:val="18"/>
              </w:rPr>
            </w:pPr>
            <w:r>
              <w:rPr>
                <w:rFonts w:ascii="宋体" w:hAnsi="宋体" w:cs="宋体" w:eastAsia="宋体" w:hint="default"/>
                <w:spacing w:val="-8"/>
                <w:sz w:val="18"/>
                <w:szCs w:val="18"/>
              </w:rPr>
              <w:t>加：会计政</w:t>
            </w:r>
            <w:r>
              <w:rPr>
                <w:rFonts w:ascii="宋体" w:hAnsi="宋体" w:cs="宋体" w:eastAsia="宋体" w:hint="default"/>
                <w:sz w:val="18"/>
                <w:szCs w:val="18"/>
              </w:rPr>
              <w:t> 策变更</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1" w:right="243" w:firstLine="720"/>
              <w:jc w:val="left"/>
              <w:rPr>
                <w:rFonts w:ascii="宋体" w:hAnsi="宋体" w:cs="宋体" w:eastAsia="宋体" w:hint="default"/>
                <w:sz w:val="18"/>
                <w:szCs w:val="18"/>
              </w:rPr>
            </w:pPr>
            <w:r>
              <w:rPr>
                <w:rFonts w:ascii="宋体" w:hAnsi="宋体" w:cs="宋体" w:eastAsia="宋体" w:hint="default"/>
                <w:sz w:val="18"/>
                <w:szCs w:val="18"/>
              </w:rPr>
              <w:t>前期 差错更正</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243" w:firstLine="720"/>
              <w:jc w:val="both"/>
              <w:rPr>
                <w:rFonts w:ascii="宋体" w:hAnsi="宋体" w:cs="宋体" w:eastAsia="宋体" w:hint="default"/>
                <w:sz w:val="18"/>
                <w:szCs w:val="18"/>
              </w:rPr>
            </w:pPr>
            <w:r>
              <w:rPr>
                <w:rFonts w:ascii="宋体" w:hAnsi="宋体" w:cs="宋体" w:eastAsia="宋体" w:hint="default"/>
                <w:sz w:val="18"/>
                <w:szCs w:val="18"/>
              </w:rPr>
              <w:t>同一 控制下企业合 并</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7"/>
              <w:ind w:left="101" w:right="101"/>
              <w:jc w:val="left"/>
              <w:rPr>
                <w:rFonts w:ascii="宋体" w:hAnsi="宋体" w:cs="宋体" w:eastAsia="宋体" w:hint="default"/>
                <w:sz w:val="18"/>
                <w:szCs w:val="18"/>
              </w:rPr>
            </w:pPr>
            <w:r>
              <w:rPr>
                <w:rFonts w:ascii="宋体" w:hAnsi="宋体" w:cs="宋体" w:eastAsia="宋体" w:hint="default"/>
                <w:spacing w:val="-6"/>
                <w:sz w:val="18"/>
                <w:szCs w:val="18"/>
              </w:rPr>
              <w:t>二、本年期初余</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1" w:right="0"/>
              <w:jc w:val="center"/>
              <w:rPr>
                <w:rFonts w:ascii="Times New Roman" w:hAnsi="Times New Roman" w:cs="Times New Roman" w:eastAsia="Times New Roman" w:hint="default"/>
                <w:sz w:val="18"/>
                <w:szCs w:val="18"/>
              </w:rPr>
            </w:pPr>
            <w:r>
              <w:rPr>
                <w:rFonts w:ascii="Times New Roman"/>
                <w:sz w:val="18"/>
              </w:rPr>
              <w:t>210,</w:t>
            </w:r>
          </w:p>
          <w:p>
            <w:pPr>
              <w:pStyle w:val="TableParagraph"/>
              <w:spacing w:line="240" w:lineRule="auto" w:before="105"/>
              <w:ind w:left="31" w:right="0"/>
              <w:jc w:val="center"/>
              <w:rPr>
                <w:rFonts w:ascii="Times New Roman" w:hAnsi="Times New Roman" w:cs="Times New Roman" w:eastAsia="Times New Roman" w:hint="default"/>
                <w:sz w:val="18"/>
                <w:szCs w:val="18"/>
              </w:rPr>
            </w:pPr>
            <w:r>
              <w:rPr>
                <w:rFonts w:ascii="Times New Roman"/>
                <w:sz w:val="18"/>
              </w:rPr>
              <w:t>996,</w:t>
            </w:r>
          </w:p>
          <w:p>
            <w:pPr>
              <w:pStyle w:val="TableParagraph"/>
              <w:spacing w:line="240" w:lineRule="auto" w:before="105"/>
              <w:ind w:left="31" w:right="0"/>
              <w:jc w:val="center"/>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05"/>
              <w:ind w:left="165" w:right="0"/>
              <w:jc w:val="center"/>
              <w:rPr>
                <w:rFonts w:ascii="Times New Roman" w:hAnsi="Times New Roman" w:cs="Times New Roman" w:eastAsia="Times New Roman" w:hint="default"/>
                <w:sz w:val="18"/>
                <w:szCs w:val="18"/>
              </w:rPr>
            </w:pPr>
            <w:r>
              <w:rPr>
                <w:rFonts w:ascii="Times New Roman"/>
                <w:sz w:val="18"/>
              </w:rPr>
              <w:t>00</w:t>
            </w: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273,7</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35,70</w:t>
            </w:r>
          </w:p>
          <w:p>
            <w:pPr>
              <w:pStyle w:val="TableParagraph"/>
              <w:spacing w:line="240" w:lineRule="auto" w:before="105"/>
              <w:ind w:left="237" w:right="0"/>
              <w:jc w:val="left"/>
              <w:rPr>
                <w:rFonts w:ascii="Times New Roman" w:hAnsi="Times New Roman" w:cs="Times New Roman" w:eastAsia="Times New Roman" w:hint="default"/>
                <w:sz w:val="18"/>
                <w:szCs w:val="18"/>
              </w:rPr>
            </w:pPr>
            <w:r>
              <w:rPr>
                <w:rFonts w:ascii="Times New Roman"/>
                <w:sz w:val="18"/>
              </w:rPr>
              <w:t>6.94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97,74</w:t>
            </w:r>
          </w:p>
          <w:p>
            <w:pPr>
              <w:pStyle w:val="TableParagraph"/>
              <w:spacing w:line="240" w:lineRule="auto" w:before="105"/>
              <w:ind w:left="44" w:right="0"/>
              <w:jc w:val="center"/>
              <w:rPr>
                <w:rFonts w:ascii="Times New Roman" w:hAnsi="Times New Roman" w:cs="Times New Roman" w:eastAsia="Times New Roman" w:hint="default"/>
                <w:sz w:val="18"/>
                <w:szCs w:val="18"/>
              </w:rPr>
            </w:pPr>
            <w:r>
              <w:rPr>
                <w:rFonts w:ascii="Times New Roman"/>
                <w:sz w:val="18"/>
              </w:rPr>
              <w:t>7,403</w:t>
            </w:r>
          </w:p>
          <w:p>
            <w:pPr>
              <w:pStyle w:val="TableParagraph"/>
              <w:spacing w:line="240" w:lineRule="auto" w:before="105"/>
              <w:ind w:left="224" w:right="0"/>
              <w:jc w:val="center"/>
              <w:rPr>
                <w:rFonts w:ascii="Times New Roman" w:hAnsi="Times New Roman" w:cs="Times New Roman" w:eastAsia="Times New Roman" w:hint="default"/>
                <w:sz w:val="18"/>
                <w:szCs w:val="18"/>
              </w:rPr>
            </w:pPr>
            <w:r>
              <w:rPr>
                <w:rFonts w:ascii="Times New Roman"/>
                <w:sz w:val="18"/>
              </w:rPr>
              <w:t>.04</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59" w:right="0"/>
              <w:jc w:val="center"/>
              <w:rPr>
                <w:rFonts w:ascii="Times New Roman" w:hAnsi="Times New Roman" w:cs="Times New Roman" w:eastAsia="Times New Roman" w:hint="default"/>
                <w:sz w:val="18"/>
                <w:szCs w:val="18"/>
              </w:rPr>
            </w:pPr>
            <w:r>
              <w:rPr>
                <w:rFonts w:ascii="Times New Roman"/>
                <w:sz w:val="18"/>
              </w:rPr>
              <w:t>35,71</w:t>
            </w:r>
          </w:p>
          <w:p>
            <w:pPr>
              <w:pStyle w:val="TableParagraph"/>
              <w:spacing w:line="240" w:lineRule="auto" w:before="105"/>
              <w:ind w:left="44" w:right="0"/>
              <w:jc w:val="center"/>
              <w:rPr>
                <w:rFonts w:ascii="Times New Roman" w:hAnsi="Times New Roman" w:cs="Times New Roman" w:eastAsia="Times New Roman" w:hint="default"/>
                <w:sz w:val="18"/>
                <w:szCs w:val="18"/>
              </w:rPr>
            </w:pPr>
            <w:r>
              <w:rPr>
                <w:rFonts w:ascii="Times New Roman"/>
                <w:sz w:val="18"/>
              </w:rPr>
              <w:t>1,283</w:t>
            </w:r>
          </w:p>
          <w:p>
            <w:pPr>
              <w:pStyle w:val="TableParagraph"/>
              <w:spacing w:line="240" w:lineRule="auto" w:before="105"/>
              <w:ind w:left="224" w:right="0"/>
              <w:jc w:val="center"/>
              <w:rPr>
                <w:rFonts w:ascii="Times New Roman" w:hAnsi="Times New Roman" w:cs="Times New Roman" w:eastAsia="Times New Roman" w:hint="default"/>
                <w:sz w:val="18"/>
                <w:szCs w:val="18"/>
              </w:rPr>
            </w:pPr>
            <w:r>
              <w:rPr>
                <w:rFonts w:ascii="Times New Roman"/>
                <w:sz w:val="18"/>
              </w:rPr>
              <w:t>.22</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61" w:right="0"/>
              <w:jc w:val="left"/>
              <w:rPr>
                <w:rFonts w:ascii="Times New Roman" w:hAnsi="Times New Roman" w:cs="Times New Roman" w:eastAsia="Times New Roman" w:hint="default"/>
                <w:sz w:val="18"/>
                <w:szCs w:val="18"/>
              </w:rPr>
            </w:pPr>
            <w:r>
              <w:rPr>
                <w:rFonts w:ascii="Times New Roman"/>
                <w:sz w:val="18"/>
              </w:rPr>
              <w:t>302,1</w:t>
            </w:r>
          </w:p>
          <w:p>
            <w:pPr>
              <w:pStyle w:val="TableParagraph"/>
              <w:spacing w:line="240" w:lineRule="auto" w:before="105"/>
              <w:ind w:left="161" w:right="0"/>
              <w:jc w:val="left"/>
              <w:rPr>
                <w:rFonts w:ascii="Times New Roman" w:hAnsi="Times New Roman" w:cs="Times New Roman" w:eastAsia="Times New Roman" w:hint="default"/>
                <w:sz w:val="18"/>
                <w:szCs w:val="18"/>
              </w:rPr>
            </w:pPr>
            <w:r>
              <w:rPr>
                <w:rFonts w:ascii="Times New Roman"/>
                <w:sz w:val="18"/>
              </w:rPr>
              <w:t>73,02</w:t>
            </w:r>
          </w:p>
          <w:p>
            <w:pPr>
              <w:pStyle w:val="TableParagraph"/>
              <w:spacing w:line="240" w:lineRule="auto" w:before="105"/>
              <w:ind w:left="250" w:right="0"/>
              <w:jc w:val="left"/>
              <w:rPr>
                <w:rFonts w:ascii="Times New Roman" w:hAnsi="Times New Roman" w:cs="Times New Roman" w:eastAsia="Times New Roman" w:hint="default"/>
                <w:sz w:val="18"/>
                <w:szCs w:val="18"/>
              </w:rPr>
            </w:pPr>
            <w:r>
              <w:rPr>
                <w:rFonts w:ascii="Times New Roman"/>
                <w:sz w:val="18"/>
              </w:rPr>
              <w:t>5.37</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31" w:right="0"/>
              <w:jc w:val="center"/>
              <w:rPr>
                <w:rFonts w:ascii="Times New Roman" w:hAnsi="Times New Roman" w:cs="Times New Roman" w:eastAsia="Times New Roman" w:hint="default"/>
                <w:sz w:val="18"/>
                <w:szCs w:val="18"/>
              </w:rPr>
            </w:pPr>
            <w:r>
              <w:rPr>
                <w:rFonts w:ascii="Times New Roman"/>
                <w:sz w:val="18"/>
              </w:rPr>
              <w:t>31,47</w:t>
            </w:r>
          </w:p>
          <w:p>
            <w:pPr>
              <w:pStyle w:val="TableParagraph"/>
              <w:spacing w:line="240" w:lineRule="auto" w:before="105"/>
              <w:ind w:left="31" w:right="0"/>
              <w:jc w:val="center"/>
              <w:rPr>
                <w:rFonts w:ascii="Times New Roman" w:hAnsi="Times New Roman" w:cs="Times New Roman" w:eastAsia="Times New Roman" w:hint="default"/>
                <w:sz w:val="18"/>
                <w:szCs w:val="18"/>
              </w:rPr>
            </w:pPr>
            <w:r>
              <w:rPr>
                <w:rFonts w:ascii="Times New Roman"/>
                <w:sz w:val="18"/>
              </w:rPr>
              <w:t>0,719</w:t>
            </w:r>
          </w:p>
          <w:p>
            <w:pPr>
              <w:pStyle w:val="TableParagraph"/>
              <w:spacing w:line="240" w:lineRule="auto" w:before="105"/>
              <w:ind w:left="211" w:right="0"/>
              <w:jc w:val="center"/>
              <w:rPr>
                <w:rFonts w:ascii="Times New Roman" w:hAnsi="Times New Roman" w:cs="Times New Roman" w:eastAsia="Times New Roman" w:hint="default"/>
                <w:sz w:val="18"/>
                <w:szCs w:val="18"/>
              </w:rPr>
            </w:pPr>
            <w:r>
              <w:rPr>
                <w:rFonts w:ascii="Times New Roman"/>
                <w:sz w:val="18"/>
              </w:rPr>
              <w:t>.65</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41" w:right="0"/>
              <w:jc w:val="left"/>
              <w:rPr>
                <w:rFonts w:ascii="Times New Roman" w:hAnsi="Times New Roman" w:cs="Times New Roman" w:eastAsia="Times New Roman" w:hint="default"/>
                <w:sz w:val="18"/>
                <w:szCs w:val="18"/>
              </w:rPr>
            </w:pPr>
            <w:r>
              <w:rPr>
                <w:rFonts w:ascii="Times New Roman"/>
                <w:sz w:val="18"/>
              </w:rPr>
              <w:t>756,3</w:t>
            </w:r>
          </w:p>
          <w:p>
            <w:pPr>
              <w:pStyle w:val="TableParagraph"/>
              <w:spacing w:line="240" w:lineRule="auto" w:before="105"/>
              <w:ind w:left="141" w:right="0"/>
              <w:jc w:val="left"/>
              <w:rPr>
                <w:rFonts w:ascii="Times New Roman" w:hAnsi="Times New Roman" w:cs="Times New Roman" w:eastAsia="Times New Roman" w:hint="default"/>
                <w:sz w:val="18"/>
                <w:szCs w:val="18"/>
              </w:rPr>
            </w:pPr>
            <w:r>
              <w:rPr>
                <w:rFonts w:ascii="Times New Roman"/>
                <w:sz w:val="18"/>
              </w:rPr>
              <w:t>39,33</w:t>
            </w:r>
          </w:p>
          <w:p>
            <w:pPr>
              <w:pStyle w:val="TableParagraph"/>
              <w:spacing w:line="240" w:lineRule="auto" w:before="105"/>
              <w:ind w:left="230" w:right="0"/>
              <w:jc w:val="left"/>
              <w:rPr>
                <w:rFonts w:ascii="Times New Roman" w:hAnsi="Times New Roman" w:cs="Times New Roman" w:eastAsia="Times New Roman" w:hint="default"/>
                <w:sz w:val="18"/>
                <w:szCs w:val="18"/>
              </w:rPr>
            </w:pPr>
            <w:r>
              <w:rPr>
                <w:rFonts w:ascii="Times New Roman"/>
                <w:sz w:val="18"/>
              </w:rPr>
              <w:t>2.14</w:t>
            </w:r>
          </w:p>
        </w:tc>
      </w:tr>
      <w:tr>
        <w:trPr>
          <w:trHeight w:val="1338"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01" w:right="63"/>
              <w:jc w:val="both"/>
              <w:rPr>
                <w:rFonts w:ascii="宋体" w:hAnsi="宋体" w:cs="宋体" w:eastAsia="宋体" w:hint="default"/>
                <w:sz w:val="18"/>
                <w:szCs w:val="18"/>
              </w:rPr>
            </w:pPr>
            <w:r>
              <w:rPr>
                <w:rFonts w:ascii="宋体" w:hAnsi="宋体" w:cs="宋体" w:eastAsia="宋体" w:hint="default"/>
                <w:spacing w:val="-6"/>
                <w:sz w:val="18"/>
                <w:szCs w:val="18"/>
              </w:rPr>
              <w:t>三、本期增减变</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6"/>
                <w:sz w:val="18"/>
                <w:szCs w:val="18"/>
              </w:rPr>
              <w:t>动金额（减少以</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“－”号填列）</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3" w:right="0"/>
              <w:jc w:val="left"/>
              <w:rPr>
                <w:rFonts w:ascii="Times New Roman" w:hAnsi="Times New Roman" w:cs="Times New Roman" w:eastAsia="Times New Roman" w:hint="default"/>
                <w:sz w:val="18"/>
                <w:szCs w:val="18"/>
              </w:rPr>
            </w:pPr>
            <w:r>
              <w:rPr>
                <w:rFonts w:ascii="Times New Roman"/>
                <w:sz w:val="18"/>
              </w:rPr>
              <w:t>31,8</w:t>
            </w:r>
          </w:p>
          <w:p>
            <w:pPr>
              <w:pStyle w:val="TableParagraph"/>
              <w:spacing w:line="240" w:lineRule="auto" w:before="105"/>
              <w:ind w:left="133" w:right="0"/>
              <w:jc w:val="left"/>
              <w:rPr>
                <w:rFonts w:ascii="Times New Roman" w:hAnsi="Times New Roman" w:cs="Times New Roman" w:eastAsia="Times New Roman" w:hint="default"/>
                <w:sz w:val="18"/>
                <w:szCs w:val="18"/>
              </w:rPr>
            </w:pPr>
            <w:r>
              <w:rPr>
                <w:rFonts w:ascii="Times New Roman"/>
                <w:sz w:val="18"/>
              </w:rPr>
              <w:t>05,8</w:t>
            </w:r>
          </w:p>
          <w:p>
            <w:pPr>
              <w:pStyle w:val="TableParagraph"/>
              <w:spacing w:line="240" w:lineRule="auto" w:before="105"/>
              <w:ind w:left="133" w:right="0"/>
              <w:jc w:val="left"/>
              <w:rPr>
                <w:rFonts w:ascii="Times New Roman" w:hAnsi="Times New Roman" w:cs="Times New Roman" w:eastAsia="Times New Roman" w:hint="default"/>
                <w:sz w:val="18"/>
                <w:szCs w:val="18"/>
              </w:rPr>
            </w:pPr>
            <w:r>
              <w:rPr>
                <w:rFonts w:ascii="Times New Roman"/>
                <w:sz w:val="18"/>
              </w:rPr>
              <w:t>87.0</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0</w:t>
            </w: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5" w:right="0"/>
              <w:jc w:val="left"/>
              <w:rPr>
                <w:rFonts w:ascii="Times New Roman" w:hAnsi="Times New Roman" w:cs="Times New Roman" w:eastAsia="Times New Roman" w:hint="default"/>
                <w:sz w:val="18"/>
                <w:szCs w:val="18"/>
              </w:rPr>
            </w:pPr>
            <w:r>
              <w:rPr>
                <w:rFonts w:ascii="Times New Roman"/>
                <w:sz w:val="18"/>
              </w:rPr>
              <w:t>1,225</w:t>
            </w:r>
          </w:p>
          <w:p>
            <w:pPr>
              <w:pStyle w:val="TableParagraph"/>
              <w:spacing w:line="240" w:lineRule="auto" w:before="105"/>
              <w:ind w:left="191" w:right="0"/>
              <w:jc w:val="left"/>
              <w:rPr>
                <w:rFonts w:ascii="Times New Roman" w:hAnsi="Times New Roman" w:cs="Times New Roman" w:eastAsia="Times New Roman" w:hint="default"/>
                <w:sz w:val="18"/>
                <w:szCs w:val="18"/>
              </w:rPr>
            </w:pPr>
            <w:r>
              <w:rPr>
                <w:rFonts w:ascii="Times New Roman"/>
                <w:sz w:val="18"/>
              </w:rPr>
              <w:t>,892,</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718.9</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83,61</w:t>
            </w:r>
          </w:p>
          <w:p>
            <w:pPr>
              <w:pStyle w:val="TableParagraph"/>
              <w:spacing w:line="240" w:lineRule="auto" w:before="105"/>
              <w:ind w:left="44" w:right="0"/>
              <w:jc w:val="center"/>
              <w:rPr>
                <w:rFonts w:ascii="Times New Roman" w:hAnsi="Times New Roman" w:cs="Times New Roman" w:eastAsia="Times New Roman" w:hint="default"/>
                <w:sz w:val="18"/>
                <w:szCs w:val="18"/>
              </w:rPr>
            </w:pPr>
            <w:r>
              <w:rPr>
                <w:rFonts w:ascii="Times New Roman"/>
                <w:sz w:val="18"/>
              </w:rPr>
              <w:t>7,264</w:t>
            </w:r>
          </w:p>
          <w:p>
            <w:pPr>
              <w:pStyle w:val="TableParagraph"/>
              <w:spacing w:line="240" w:lineRule="auto" w:before="105"/>
              <w:ind w:left="224" w:right="0"/>
              <w:jc w:val="center"/>
              <w:rPr>
                <w:rFonts w:ascii="Times New Roman" w:hAnsi="Times New Roman" w:cs="Times New Roman" w:eastAsia="Times New Roman" w:hint="default"/>
                <w:sz w:val="18"/>
                <w:szCs w:val="18"/>
              </w:rPr>
            </w:pPr>
            <w:r>
              <w:rPr>
                <w:rFonts w:ascii="Times New Roman"/>
                <w:sz w:val="18"/>
              </w:rPr>
              <w:t>.75</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6" w:right="0"/>
              <w:jc w:val="left"/>
              <w:rPr>
                <w:rFonts w:ascii="Times New Roman" w:hAnsi="Times New Roman" w:cs="Times New Roman" w:eastAsia="Times New Roman" w:hint="default"/>
                <w:sz w:val="18"/>
                <w:szCs w:val="18"/>
              </w:rPr>
            </w:pPr>
            <w:r>
              <w:rPr>
                <w:rFonts w:ascii="Times New Roman"/>
                <w:sz w:val="18"/>
              </w:rPr>
              <w:t>5,805</w:t>
            </w:r>
          </w:p>
          <w:p>
            <w:pPr>
              <w:pStyle w:val="TableParagraph"/>
              <w:spacing w:line="240" w:lineRule="auto" w:before="105"/>
              <w:ind w:left="88" w:right="0"/>
              <w:jc w:val="center"/>
              <w:rPr>
                <w:rFonts w:ascii="Times New Roman" w:hAnsi="Times New Roman" w:cs="Times New Roman" w:eastAsia="Times New Roman" w:hint="default"/>
                <w:sz w:val="18"/>
                <w:szCs w:val="18"/>
              </w:rPr>
            </w:pPr>
            <w:r>
              <w:rPr>
                <w:rFonts w:ascii="Times New Roman"/>
                <w:sz w:val="18"/>
              </w:rPr>
              <w:t>,596.</w:t>
            </w:r>
          </w:p>
          <w:p>
            <w:pPr>
              <w:pStyle w:val="TableParagraph"/>
              <w:spacing w:line="240" w:lineRule="auto" w:before="105"/>
              <w:ind w:left="270" w:right="0"/>
              <w:jc w:val="center"/>
              <w:rPr>
                <w:rFonts w:ascii="Times New Roman" w:hAnsi="Times New Roman" w:cs="Times New Roman" w:eastAsia="Times New Roman" w:hint="default"/>
                <w:sz w:val="18"/>
                <w:szCs w:val="18"/>
              </w:rPr>
            </w:pPr>
            <w:r>
              <w:rPr>
                <w:rFonts w:ascii="Times New Roman"/>
                <w:sz w:val="18"/>
              </w:rPr>
              <w:t>50</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1" w:right="0"/>
              <w:jc w:val="left"/>
              <w:rPr>
                <w:rFonts w:ascii="Times New Roman" w:hAnsi="Times New Roman" w:cs="Times New Roman" w:eastAsia="Times New Roman" w:hint="default"/>
                <w:sz w:val="18"/>
                <w:szCs w:val="18"/>
              </w:rPr>
            </w:pPr>
            <w:r>
              <w:rPr>
                <w:rFonts w:ascii="Times New Roman"/>
                <w:sz w:val="18"/>
              </w:rPr>
              <w:t>133,1</w:t>
            </w:r>
          </w:p>
          <w:p>
            <w:pPr>
              <w:pStyle w:val="TableParagraph"/>
              <w:spacing w:line="240" w:lineRule="auto" w:before="105"/>
              <w:ind w:left="166" w:right="0"/>
              <w:jc w:val="left"/>
              <w:rPr>
                <w:rFonts w:ascii="Times New Roman" w:hAnsi="Times New Roman" w:cs="Times New Roman" w:eastAsia="Times New Roman" w:hint="default"/>
                <w:sz w:val="18"/>
                <w:szCs w:val="18"/>
              </w:rPr>
            </w:pPr>
            <w:r>
              <w:rPr>
                <w:rFonts w:ascii="Times New Roman"/>
                <w:sz w:val="18"/>
              </w:rPr>
              <w:t>56,51</w:t>
            </w:r>
          </w:p>
          <w:p>
            <w:pPr>
              <w:pStyle w:val="TableParagraph"/>
              <w:spacing w:line="240" w:lineRule="auto" w:before="105"/>
              <w:ind w:left="250" w:right="0"/>
              <w:jc w:val="left"/>
              <w:rPr>
                <w:rFonts w:ascii="Times New Roman" w:hAnsi="Times New Roman" w:cs="Times New Roman" w:eastAsia="Times New Roman" w:hint="default"/>
                <w:sz w:val="18"/>
                <w:szCs w:val="18"/>
              </w:rPr>
            </w:pPr>
            <w:r>
              <w:rPr>
                <w:rFonts w:ascii="Times New Roman"/>
                <w:sz w:val="18"/>
              </w:rPr>
              <w:t>1.26</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3" w:right="0"/>
              <w:jc w:val="left"/>
              <w:rPr>
                <w:rFonts w:ascii="Times New Roman" w:hAnsi="Times New Roman" w:cs="Times New Roman" w:eastAsia="Times New Roman" w:hint="default"/>
                <w:sz w:val="18"/>
                <w:szCs w:val="18"/>
              </w:rPr>
            </w:pPr>
            <w:r>
              <w:rPr>
                <w:rFonts w:ascii="Times New Roman"/>
                <w:sz w:val="18"/>
              </w:rPr>
              <w:t>2,434</w:t>
            </w:r>
          </w:p>
          <w:p>
            <w:pPr>
              <w:pStyle w:val="TableParagraph"/>
              <w:spacing w:line="240" w:lineRule="auto" w:before="105"/>
              <w:ind w:left="77" w:right="0"/>
              <w:jc w:val="center"/>
              <w:rPr>
                <w:rFonts w:ascii="Times New Roman" w:hAnsi="Times New Roman" w:cs="Times New Roman" w:eastAsia="Times New Roman" w:hint="default"/>
                <w:sz w:val="18"/>
                <w:szCs w:val="18"/>
              </w:rPr>
            </w:pPr>
            <w:r>
              <w:rPr>
                <w:rFonts w:ascii="Times New Roman"/>
                <w:sz w:val="18"/>
              </w:rPr>
              <w:t>,855.</w:t>
            </w:r>
          </w:p>
          <w:p>
            <w:pPr>
              <w:pStyle w:val="TableParagraph"/>
              <w:spacing w:line="240" w:lineRule="auto" w:before="105"/>
              <w:ind w:left="257" w:right="0"/>
              <w:jc w:val="center"/>
              <w:rPr>
                <w:rFonts w:ascii="Times New Roman" w:hAnsi="Times New Roman" w:cs="Times New Roman" w:eastAsia="Times New Roman" w:hint="default"/>
                <w:sz w:val="18"/>
                <w:szCs w:val="18"/>
              </w:rPr>
            </w:pPr>
            <w:r>
              <w:rPr>
                <w:rFonts w:ascii="Times New Roman"/>
                <w:sz w:val="18"/>
              </w:rPr>
              <w:t>04</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 w:right="0"/>
              <w:jc w:val="left"/>
              <w:rPr>
                <w:rFonts w:ascii="Times New Roman" w:hAnsi="Times New Roman" w:cs="Times New Roman" w:eastAsia="Times New Roman" w:hint="default"/>
                <w:sz w:val="18"/>
                <w:szCs w:val="18"/>
              </w:rPr>
            </w:pPr>
            <w:r>
              <w:rPr>
                <w:rFonts w:ascii="Times New Roman"/>
                <w:sz w:val="18"/>
              </w:rPr>
              <w:t>1,315</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,478,</w:t>
            </w:r>
          </w:p>
          <w:p>
            <w:pPr>
              <w:pStyle w:val="TableParagraph"/>
              <w:spacing w:line="240" w:lineRule="auto" w:before="105"/>
              <w:ind w:left="141" w:right="0"/>
              <w:jc w:val="left"/>
              <w:rPr>
                <w:rFonts w:ascii="Times New Roman" w:hAnsi="Times New Roman" w:cs="Times New Roman" w:eastAsia="Times New Roman" w:hint="default"/>
                <w:sz w:val="18"/>
                <w:szCs w:val="18"/>
              </w:rPr>
            </w:pPr>
            <w:r>
              <w:rPr>
                <w:rFonts w:ascii="Times New Roman"/>
                <w:sz w:val="18"/>
              </w:rPr>
              <w:t>304.0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w:t>
            </w:r>
          </w:p>
        </w:tc>
      </w:tr>
      <w:tr>
        <w:trPr>
          <w:trHeight w:val="71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01"/>
              <w:jc w:val="left"/>
              <w:rPr>
                <w:rFonts w:ascii="宋体" w:hAnsi="宋体" w:cs="宋体" w:eastAsia="宋体" w:hint="default"/>
                <w:sz w:val="18"/>
                <w:szCs w:val="18"/>
              </w:rPr>
            </w:pPr>
            <w:r>
              <w:rPr>
                <w:rFonts w:ascii="宋体" w:hAnsi="宋体" w:cs="宋体" w:eastAsia="宋体" w:hint="default"/>
                <w:spacing w:val="-6"/>
                <w:sz w:val="18"/>
                <w:szCs w:val="18"/>
              </w:rPr>
              <w:t>（一）综合收益</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总额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161" w:right="0"/>
              <w:jc w:val="left"/>
              <w:rPr>
                <w:rFonts w:ascii="Times New Roman" w:hAnsi="Times New Roman" w:cs="Times New Roman" w:eastAsia="Times New Roman" w:hint="default"/>
                <w:sz w:val="18"/>
                <w:szCs w:val="18"/>
              </w:rPr>
            </w:pPr>
            <w:r>
              <w:rPr>
                <w:rFonts w:ascii="Times New Roman"/>
                <w:sz w:val="18"/>
              </w:rPr>
              <w:t>163,2</w:t>
            </w:r>
          </w:p>
          <w:p>
            <w:pPr>
              <w:pStyle w:val="TableParagraph"/>
              <w:spacing w:line="240" w:lineRule="auto" w:before="105"/>
              <w:ind w:left="161" w:right="0"/>
              <w:jc w:val="left"/>
              <w:rPr>
                <w:rFonts w:ascii="Times New Roman" w:hAnsi="Times New Roman" w:cs="Times New Roman" w:eastAsia="Times New Roman" w:hint="default"/>
                <w:sz w:val="18"/>
                <w:szCs w:val="18"/>
              </w:rPr>
            </w:pPr>
            <w:r>
              <w:rPr>
                <w:rFonts w:ascii="Times New Roman"/>
                <w:sz w:val="18"/>
              </w:rPr>
              <w:t>44,22</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133" w:right="0"/>
              <w:jc w:val="left"/>
              <w:rPr>
                <w:rFonts w:ascii="Times New Roman" w:hAnsi="Times New Roman" w:cs="Times New Roman" w:eastAsia="Times New Roman" w:hint="default"/>
                <w:sz w:val="18"/>
                <w:szCs w:val="18"/>
              </w:rPr>
            </w:pPr>
            <w:r>
              <w:rPr>
                <w:rFonts w:ascii="Times New Roman"/>
                <w:sz w:val="18"/>
              </w:rPr>
              <w:t>5,540</w:t>
            </w:r>
          </w:p>
          <w:p>
            <w:pPr>
              <w:pStyle w:val="TableParagraph"/>
              <w:spacing w:line="240" w:lineRule="auto" w:before="105"/>
              <w:ind w:left="179" w:right="0"/>
              <w:jc w:val="left"/>
              <w:rPr>
                <w:rFonts w:ascii="Times New Roman" w:hAnsi="Times New Roman" w:cs="Times New Roman" w:eastAsia="Times New Roman" w:hint="default"/>
                <w:sz w:val="18"/>
                <w:szCs w:val="18"/>
              </w:rPr>
            </w:pPr>
            <w:r>
              <w:rPr>
                <w:rFonts w:ascii="Times New Roman"/>
                <w:sz w:val="18"/>
              </w:rPr>
              <w:t>,347.</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141" w:right="0"/>
              <w:jc w:val="left"/>
              <w:rPr>
                <w:rFonts w:ascii="Times New Roman" w:hAnsi="Times New Roman" w:cs="Times New Roman" w:eastAsia="Times New Roman" w:hint="default"/>
                <w:sz w:val="18"/>
                <w:szCs w:val="18"/>
              </w:rPr>
            </w:pPr>
            <w:r>
              <w:rPr>
                <w:rFonts w:ascii="Times New Roman"/>
                <w:sz w:val="18"/>
              </w:rPr>
              <w:t>168,7</w:t>
            </w:r>
          </w:p>
          <w:p>
            <w:pPr>
              <w:pStyle w:val="TableParagraph"/>
              <w:spacing w:line="240" w:lineRule="auto" w:before="105"/>
              <w:ind w:left="141" w:right="0"/>
              <w:jc w:val="left"/>
              <w:rPr>
                <w:rFonts w:ascii="Times New Roman" w:hAnsi="Times New Roman" w:cs="Times New Roman" w:eastAsia="Times New Roman" w:hint="default"/>
                <w:sz w:val="18"/>
                <w:szCs w:val="18"/>
              </w:rPr>
            </w:pPr>
            <w:r>
              <w:rPr>
                <w:rFonts w:ascii="Times New Roman"/>
                <w:sz w:val="18"/>
              </w:rPr>
              <w:t>84,57</w:t>
            </w:r>
          </w:p>
        </w:tc>
      </w:tr>
    </w:tbl>
    <w:p>
      <w:pPr>
        <w:spacing w:after="0" w:line="240" w:lineRule="auto"/>
        <w:jc w:val="left"/>
        <w:rPr>
          <w:rFonts w:ascii="Times New Roman" w:hAnsi="Times New Roman" w:cs="Times New Roman" w:eastAsia="Times New Roman" w:hint="default"/>
          <w:sz w:val="18"/>
          <w:szCs w:val="18"/>
        </w:rPr>
        <w:sectPr>
          <w:footerReference w:type="default" r:id="rId40"/>
          <w:pgSz w:w="11910" w:h="16840"/>
          <w:pgMar w:footer="1016" w:header="907" w:top="1100" w:bottom="1200" w:left="1020" w:right="0"/>
          <w:pgNumType w:start="11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437"/>
        <w:gridCol w:w="562"/>
        <w:gridCol w:w="531"/>
        <w:gridCol w:w="531"/>
        <w:gridCol w:w="531"/>
        <w:gridCol w:w="664"/>
        <w:gridCol w:w="665"/>
        <w:gridCol w:w="665"/>
        <w:gridCol w:w="665"/>
        <w:gridCol w:w="664"/>
        <w:gridCol w:w="665"/>
        <w:gridCol w:w="678"/>
        <w:gridCol w:w="652"/>
        <w:gridCol w:w="659"/>
      </w:tblGrid>
      <w:tr>
        <w:trPr>
          <w:trHeight w:val="36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50" w:right="0"/>
              <w:jc w:val="left"/>
              <w:rPr>
                <w:rFonts w:ascii="Times New Roman" w:hAnsi="Times New Roman" w:cs="Times New Roman" w:eastAsia="Times New Roman" w:hint="default"/>
                <w:sz w:val="18"/>
                <w:szCs w:val="18"/>
              </w:rPr>
            </w:pPr>
            <w:r>
              <w:rPr>
                <w:rFonts w:ascii="Times New Roman"/>
                <w:sz w:val="18"/>
              </w:rPr>
              <w:t>7.81</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59" w:right="0"/>
              <w:jc w:val="left"/>
              <w:rPr>
                <w:rFonts w:ascii="Times New Roman" w:hAnsi="Times New Roman" w:cs="Times New Roman" w:eastAsia="Times New Roman" w:hint="default"/>
                <w:sz w:val="18"/>
                <w:szCs w:val="18"/>
              </w:rPr>
            </w:pPr>
            <w:r>
              <w:rPr>
                <w:rFonts w:ascii="Times New Roman"/>
                <w:sz w:val="18"/>
              </w:rPr>
              <w:t>28</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0" w:right="0"/>
              <w:jc w:val="left"/>
              <w:rPr>
                <w:rFonts w:ascii="Times New Roman" w:hAnsi="Times New Roman" w:cs="Times New Roman" w:eastAsia="Times New Roman" w:hint="default"/>
                <w:sz w:val="18"/>
                <w:szCs w:val="18"/>
              </w:rPr>
            </w:pPr>
            <w:r>
              <w:rPr>
                <w:rFonts w:ascii="Times New Roman"/>
                <w:sz w:val="18"/>
              </w:rPr>
              <w:t>5.09</w:t>
            </w:r>
          </w:p>
        </w:tc>
      </w:tr>
      <w:tr>
        <w:trPr>
          <w:trHeight w:val="1338"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5"/>
              <w:ind w:left="101" w:right="101"/>
              <w:jc w:val="left"/>
              <w:rPr>
                <w:rFonts w:ascii="宋体" w:hAnsi="宋体" w:cs="宋体" w:eastAsia="宋体" w:hint="default"/>
                <w:sz w:val="18"/>
                <w:szCs w:val="18"/>
              </w:rPr>
            </w:pPr>
            <w:r>
              <w:rPr>
                <w:rFonts w:ascii="宋体" w:hAnsi="宋体" w:cs="宋体" w:eastAsia="宋体" w:hint="default"/>
                <w:spacing w:val="-6"/>
                <w:sz w:val="18"/>
                <w:szCs w:val="18"/>
              </w:rPr>
              <w:t>（二）所有者投</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入和减少资本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33" w:right="0"/>
              <w:jc w:val="left"/>
              <w:rPr>
                <w:rFonts w:ascii="Times New Roman" w:hAnsi="Times New Roman" w:cs="Times New Roman" w:eastAsia="Times New Roman" w:hint="default"/>
                <w:sz w:val="18"/>
                <w:szCs w:val="18"/>
              </w:rPr>
            </w:pPr>
            <w:r>
              <w:rPr>
                <w:rFonts w:ascii="Times New Roman"/>
                <w:sz w:val="18"/>
              </w:rPr>
              <w:t>31,8</w:t>
            </w:r>
          </w:p>
          <w:p>
            <w:pPr>
              <w:pStyle w:val="TableParagraph"/>
              <w:spacing w:line="240" w:lineRule="auto" w:before="105"/>
              <w:ind w:left="133" w:right="0"/>
              <w:jc w:val="left"/>
              <w:rPr>
                <w:rFonts w:ascii="Times New Roman" w:hAnsi="Times New Roman" w:cs="Times New Roman" w:eastAsia="Times New Roman" w:hint="default"/>
                <w:sz w:val="18"/>
                <w:szCs w:val="18"/>
              </w:rPr>
            </w:pPr>
            <w:r>
              <w:rPr>
                <w:rFonts w:ascii="Times New Roman"/>
                <w:sz w:val="18"/>
              </w:rPr>
              <w:t>05,8</w:t>
            </w:r>
          </w:p>
          <w:p>
            <w:pPr>
              <w:pStyle w:val="TableParagraph"/>
              <w:spacing w:line="240" w:lineRule="auto" w:before="105"/>
              <w:ind w:left="133" w:right="0"/>
              <w:jc w:val="left"/>
              <w:rPr>
                <w:rFonts w:ascii="Times New Roman" w:hAnsi="Times New Roman" w:cs="Times New Roman" w:eastAsia="Times New Roman" w:hint="default"/>
                <w:sz w:val="18"/>
                <w:szCs w:val="18"/>
              </w:rPr>
            </w:pPr>
            <w:r>
              <w:rPr>
                <w:rFonts w:ascii="Times New Roman"/>
                <w:sz w:val="18"/>
              </w:rPr>
              <w:t>87.0</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0</w:t>
            </w: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5" w:right="0"/>
              <w:jc w:val="left"/>
              <w:rPr>
                <w:rFonts w:ascii="Times New Roman" w:hAnsi="Times New Roman" w:cs="Times New Roman" w:eastAsia="Times New Roman" w:hint="default"/>
                <w:sz w:val="18"/>
                <w:szCs w:val="18"/>
              </w:rPr>
            </w:pPr>
            <w:r>
              <w:rPr>
                <w:rFonts w:ascii="Times New Roman"/>
                <w:sz w:val="18"/>
              </w:rPr>
              <w:t>1,225</w:t>
            </w:r>
          </w:p>
          <w:p>
            <w:pPr>
              <w:pStyle w:val="TableParagraph"/>
              <w:spacing w:line="240" w:lineRule="auto" w:before="105"/>
              <w:ind w:left="191" w:right="0"/>
              <w:jc w:val="left"/>
              <w:rPr>
                <w:rFonts w:ascii="Times New Roman" w:hAnsi="Times New Roman" w:cs="Times New Roman" w:eastAsia="Times New Roman" w:hint="default"/>
                <w:sz w:val="18"/>
                <w:szCs w:val="18"/>
              </w:rPr>
            </w:pPr>
            <w:r>
              <w:rPr>
                <w:rFonts w:ascii="Times New Roman"/>
                <w:sz w:val="18"/>
              </w:rPr>
              <w:t>,892,</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718.9</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83,61</w:t>
            </w:r>
          </w:p>
          <w:p>
            <w:pPr>
              <w:pStyle w:val="TableParagraph"/>
              <w:spacing w:line="240" w:lineRule="auto" w:before="105"/>
              <w:ind w:left="44" w:right="0"/>
              <w:jc w:val="center"/>
              <w:rPr>
                <w:rFonts w:ascii="Times New Roman" w:hAnsi="Times New Roman" w:cs="Times New Roman" w:eastAsia="Times New Roman" w:hint="default"/>
                <w:sz w:val="18"/>
                <w:szCs w:val="18"/>
              </w:rPr>
            </w:pPr>
            <w:r>
              <w:rPr>
                <w:rFonts w:ascii="Times New Roman"/>
                <w:sz w:val="18"/>
              </w:rPr>
              <w:t>7,264</w:t>
            </w:r>
          </w:p>
          <w:p>
            <w:pPr>
              <w:pStyle w:val="TableParagraph"/>
              <w:spacing w:line="240" w:lineRule="auto" w:before="105"/>
              <w:ind w:left="224" w:right="0"/>
              <w:jc w:val="center"/>
              <w:rPr>
                <w:rFonts w:ascii="Times New Roman" w:hAnsi="Times New Roman" w:cs="Times New Roman" w:eastAsia="Times New Roman" w:hint="default"/>
                <w:sz w:val="18"/>
                <w:szCs w:val="18"/>
              </w:rPr>
            </w:pPr>
            <w:r>
              <w:rPr>
                <w:rFonts w:ascii="Times New Roman"/>
                <w:sz w:val="18"/>
              </w:rPr>
              <w:t>.75</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1" w:right="0"/>
              <w:jc w:val="left"/>
              <w:rPr>
                <w:rFonts w:ascii="Times New Roman" w:hAnsi="Times New Roman" w:cs="Times New Roman" w:eastAsia="Times New Roman" w:hint="default"/>
                <w:sz w:val="18"/>
                <w:szCs w:val="18"/>
              </w:rPr>
            </w:pPr>
            <w:r>
              <w:rPr>
                <w:rFonts w:ascii="Times New Roman"/>
                <w:sz w:val="18"/>
              </w:rPr>
              <w:t>1,174</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,081,</w:t>
            </w:r>
          </w:p>
          <w:p>
            <w:pPr>
              <w:pStyle w:val="TableParagraph"/>
              <w:spacing w:line="240" w:lineRule="auto" w:before="105"/>
              <w:ind w:left="141" w:right="0"/>
              <w:jc w:val="left"/>
              <w:rPr>
                <w:rFonts w:ascii="Times New Roman" w:hAnsi="Times New Roman" w:cs="Times New Roman" w:eastAsia="Times New Roman" w:hint="default"/>
                <w:sz w:val="18"/>
                <w:szCs w:val="18"/>
              </w:rPr>
            </w:pPr>
            <w:r>
              <w:rPr>
                <w:rFonts w:ascii="Times New Roman"/>
                <w:sz w:val="18"/>
              </w:rPr>
              <w:t>341.2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w:t>
            </w:r>
          </w:p>
        </w:tc>
      </w:tr>
      <w:tr>
        <w:trPr>
          <w:trHeight w:val="1338"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6"/>
              <w:ind w:left="101" w:right="152"/>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 的普通股</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3" w:right="0"/>
              <w:jc w:val="left"/>
              <w:rPr>
                <w:rFonts w:ascii="Times New Roman" w:hAnsi="Times New Roman" w:cs="Times New Roman" w:eastAsia="Times New Roman" w:hint="default"/>
                <w:sz w:val="18"/>
                <w:szCs w:val="18"/>
              </w:rPr>
            </w:pPr>
            <w:r>
              <w:rPr>
                <w:rFonts w:ascii="Times New Roman"/>
                <w:sz w:val="18"/>
              </w:rPr>
              <w:t>31,8</w:t>
            </w:r>
          </w:p>
          <w:p>
            <w:pPr>
              <w:pStyle w:val="TableParagraph"/>
              <w:spacing w:line="240" w:lineRule="auto" w:before="105"/>
              <w:ind w:left="133" w:right="0"/>
              <w:jc w:val="left"/>
              <w:rPr>
                <w:rFonts w:ascii="Times New Roman" w:hAnsi="Times New Roman" w:cs="Times New Roman" w:eastAsia="Times New Roman" w:hint="default"/>
                <w:sz w:val="18"/>
                <w:szCs w:val="18"/>
              </w:rPr>
            </w:pPr>
            <w:r>
              <w:rPr>
                <w:rFonts w:ascii="Times New Roman"/>
                <w:sz w:val="18"/>
              </w:rPr>
              <w:t>05,8</w:t>
            </w:r>
          </w:p>
          <w:p>
            <w:pPr>
              <w:pStyle w:val="TableParagraph"/>
              <w:spacing w:line="240" w:lineRule="auto" w:before="105"/>
              <w:ind w:left="133" w:right="0"/>
              <w:jc w:val="left"/>
              <w:rPr>
                <w:rFonts w:ascii="Times New Roman" w:hAnsi="Times New Roman" w:cs="Times New Roman" w:eastAsia="Times New Roman" w:hint="default"/>
                <w:sz w:val="18"/>
                <w:szCs w:val="18"/>
              </w:rPr>
            </w:pPr>
            <w:r>
              <w:rPr>
                <w:rFonts w:ascii="Times New Roman"/>
                <w:sz w:val="18"/>
              </w:rPr>
              <w:t>87.0</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0</w:t>
            </w: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5" w:right="0"/>
              <w:jc w:val="left"/>
              <w:rPr>
                <w:rFonts w:ascii="Times New Roman" w:hAnsi="Times New Roman" w:cs="Times New Roman" w:eastAsia="Times New Roman" w:hint="default"/>
                <w:sz w:val="18"/>
                <w:szCs w:val="18"/>
              </w:rPr>
            </w:pPr>
            <w:r>
              <w:rPr>
                <w:rFonts w:ascii="Times New Roman"/>
                <w:sz w:val="18"/>
              </w:rPr>
              <w:t>1,203</w:t>
            </w:r>
          </w:p>
          <w:p>
            <w:pPr>
              <w:pStyle w:val="TableParagraph"/>
              <w:spacing w:line="240" w:lineRule="auto" w:before="105"/>
              <w:ind w:left="191" w:right="0"/>
              <w:jc w:val="left"/>
              <w:rPr>
                <w:rFonts w:ascii="Times New Roman" w:hAnsi="Times New Roman" w:cs="Times New Roman" w:eastAsia="Times New Roman" w:hint="default"/>
                <w:sz w:val="18"/>
                <w:szCs w:val="18"/>
              </w:rPr>
            </w:pPr>
            <w:r>
              <w:rPr>
                <w:rFonts w:ascii="Times New Roman"/>
                <w:sz w:val="18"/>
              </w:rPr>
              <w:t>,439,</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858.7</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83,61</w:t>
            </w:r>
          </w:p>
          <w:p>
            <w:pPr>
              <w:pStyle w:val="TableParagraph"/>
              <w:spacing w:line="240" w:lineRule="auto" w:before="105"/>
              <w:ind w:left="44" w:right="0"/>
              <w:jc w:val="center"/>
              <w:rPr>
                <w:rFonts w:ascii="Times New Roman" w:hAnsi="Times New Roman" w:cs="Times New Roman" w:eastAsia="Times New Roman" w:hint="default"/>
                <w:sz w:val="18"/>
                <w:szCs w:val="18"/>
              </w:rPr>
            </w:pPr>
            <w:r>
              <w:rPr>
                <w:rFonts w:ascii="Times New Roman"/>
                <w:sz w:val="18"/>
              </w:rPr>
              <w:t>7,264</w:t>
            </w:r>
          </w:p>
          <w:p>
            <w:pPr>
              <w:pStyle w:val="TableParagraph"/>
              <w:spacing w:line="240" w:lineRule="auto" w:before="105"/>
              <w:ind w:left="224" w:right="0"/>
              <w:jc w:val="center"/>
              <w:rPr>
                <w:rFonts w:ascii="Times New Roman" w:hAnsi="Times New Roman" w:cs="Times New Roman" w:eastAsia="Times New Roman" w:hint="default"/>
                <w:sz w:val="18"/>
                <w:szCs w:val="18"/>
              </w:rPr>
            </w:pPr>
            <w:r>
              <w:rPr>
                <w:rFonts w:ascii="Times New Roman"/>
                <w:sz w:val="18"/>
              </w:rPr>
              <w:t>.75</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 w:right="0"/>
              <w:jc w:val="left"/>
              <w:rPr>
                <w:rFonts w:ascii="Times New Roman" w:hAnsi="Times New Roman" w:cs="Times New Roman" w:eastAsia="Times New Roman" w:hint="default"/>
                <w:sz w:val="18"/>
                <w:szCs w:val="18"/>
              </w:rPr>
            </w:pPr>
            <w:r>
              <w:rPr>
                <w:rFonts w:ascii="Times New Roman"/>
                <w:sz w:val="18"/>
              </w:rPr>
              <w:t>1,151</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,628,</w:t>
            </w:r>
          </w:p>
          <w:p>
            <w:pPr>
              <w:pStyle w:val="TableParagraph"/>
              <w:spacing w:line="240" w:lineRule="auto" w:before="105"/>
              <w:ind w:left="141" w:right="0"/>
              <w:jc w:val="left"/>
              <w:rPr>
                <w:rFonts w:ascii="Times New Roman" w:hAnsi="Times New Roman" w:cs="Times New Roman" w:eastAsia="Times New Roman" w:hint="default"/>
                <w:sz w:val="18"/>
                <w:szCs w:val="18"/>
              </w:rPr>
            </w:pPr>
            <w:r>
              <w:rPr>
                <w:rFonts w:ascii="Times New Roman"/>
                <w:sz w:val="18"/>
              </w:rPr>
              <w:t>481.0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0"/>
              <w:ind w:left="101" w:right="152"/>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 具持有者投入 资本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1" w:right="152"/>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 入所有者权益 的金额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center"/>
              <w:rPr>
                <w:rFonts w:ascii="Times New Roman" w:hAnsi="Times New Roman" w:cs="Times New Roman" w:eastAsia="Times New Roman" w:hint="default"/>
                <w:sz w:val="18"/>
                <w:szCs w:val="18"/>
              </w:rPr>
            </w:pPr>
            <w:r>
              <w:rPr>
                <w:rFonts w:ascii="Times New Roman"/>
                <w:sz w:val="18"/>
              </w:rPr>
              <w:t>22,45</w:t>
            </w:r>
          </w:p>
          <w:p>
            <w:pPr>
              <w:pStyle w:val="TableParagraph"/>
              <w:spacing w:line="240" w:lineRule="auto" w:before="105"/>
              <w:ind w:left="44" w:right="0"/>
              <w:jc w:val="center"/>
              <w:rPr>
                <w:rFonts w:ascii="Times New Roman" w:hAnsi="Times New Roman" w:cs="Times New Roman" w:eastAsia="Times New Roman" w:hint="default"/>
                <w:sz w:val="18"/>
                <w:szCs w:val="18"/>
              </w:rPr>
            </w:pPr>
            <w:r>
              <w:rPr>
                <w:rFonts w:ascii="Times New Roman"/>
                <w:sz w:val="18"/>
              </w:rPr>
              <w:t>2,860</w:t>
            </w:r>
          </w:p>
          <w:p>
            <w:pPr>
              <w:pStyle w:val="TableParagraph"/>
              <w:spacing w:line="240" w:lineRule="auto" w:before="105"/>
              <w:ind w:left="224" w:right="0"/>
              <w:jc w:val="center"/>
              <w:rPr>
                <w:rFonts w:ascii="Times New Roman" w:hAnsi="Times New Roman" w:cs="Times New Roman" w:eastAsia="Times New Roman" w:hint="default"/>
                <w:sz w:val="18"/>
                <w:szCs w:val="18"/>
              </w:rPr>
            </w:pPr>
            <w:r>
              <w:rPr>
                <w:rFonts w:ascii="Times New Roman"/>
                <w:sz w:val="18"/>
              </w:rPr>
              <w:t>.18</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 w:right="0"/>
              <w:jc w:val="center"/>
              <w:rPr>
                <w:rFonts w:ascii="Times New Roman" w:hAnsi="Times New Roman" w:cs="Times New Roman" w:eastAsia="Times New Roman" w:hint="default"/>
                <w:sz w:val="18"/>
                <w:szCs w:val="18"/>
              </w:rPr>
            </w:pPr>
            <w:r>
              <w:rPr>
                <w:rFonts w:ascii="Times New Roman"/>
                <w:sz w:val="18"/>
              </w:rPr>
              <w:t>22,45</w:t>
            </w:r>
          </w:p>
          <w:p>
            <w:pPr>
              <w:pStyle w:val="TableParagraph"/>
              <w:spacing w:line="240" w:lineRule="auto" w:before="105"/>
              <w:ind w:left="40" w:right="0"/>
              <w:jc w:val="center"/>
              <w:rPr>
                <w:rFonts w:ascii="Times New Roman" w:hAnsi="Times New Roman" w:cs="Times New Roman" w:eastAsia="Times New Roman" w:hint="default"/>
                <w:sz w:val="18"/>
                <w:szCs w:val="18"/>
              </w:rPr>
            </w:pPr>
            <w:r>
              <w:rPr>
                <w:rFonts w:ascii="Times New Roman"/>
                <w:sz w:val="18"/>
              </w:rPr>
              <w:t>2,860</w:t>
            </w:r>
          </w:p>
          <w:p>
            <w:pPr>
              <w:pStyle w:val="TableParagraph"/>
              <w:spacing w:line="240" w:lineRule="auto" w:before="105"/>
              <w:ind w:left="220" w:right="0"/>
              <w:jc w:val="center"/>
              <w:rPr>
                <w:rFonts w:ascii="Times New Roman" w:hAnsi="Times New Roman" w:cs="Times New Roman" w:eastAsia="Times New Roman" w:hint="default"/>
                <w:sz w:val="18"/>
                <w:szCs w:val="18"/>
              </w:rPr>
            </w:pPr>
            <w:r>
              <w:rPr>
                <w:rFonts w:ascii="Times New Roman"/>
                <w:sz w:val="18"/>
              </w:rPr>
              <w:t>.18</w:t>
            </w: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1" w:right="0"/>
              <w:jc w:val="left"/>
              <w:rPr>
                <w:rFonts w:ascii="宋体" w:hAnsi="宋体" w:cs="宋体" w:eastAsia="宋体" w:hint="default"/>
                <w:sz w:val="18"/>
                <w:szCs w:val="18"/>
              </w:rPr>
            </w:pPr>
            <w:r>
              <w:rPr>
                <w:rFonts w:ascii="宋体" w:hAnsi="宋体" w:cs="宋体" w:eastAsia="宋体" w:hint="default"/>
                <w:spacing w:val="-6"/>
                <w:sz w:val="18"/>
                <w:szCs w:val="18"/>
              </w:rPr>
              <w:t>（三）利润分配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6" w:right="0"/>
              <w:jc w:val="left"/>
              <w:rPr>
                <w:rFonts w:ascii="Times New Roman" w:hAnsi="Times New Roman" w:cs="Times New Roman" w:eastAsia="Times New Roman" w:hint="default"/>
                <w:sz w:val="18"/>
                <w:szCs w:val="18"/>
              </w:rPr>
            </w:pPr>
            <w:r>
              <w:rPr>
                <w:rFonts w:ascii="Times New Roman"/>
                <w:sz w:val="18"/>
              </w:rPr>
              <w:t>5,805</w:t>
            </w:r>
          </w:p>
          <w:p>
            <w:pPr>
              <w:pStyle w:val="TableParagraph"/>
              <w:spacing w:line="240" w:lineRule="auto" w:before="105"/>
              <w:ind w:left="88" w:right="0"/>
              <w:jc w:val="center"/>
              <w:rPr>
                <w:rFonts w:ascii="Times New Roman" w:hAnsi="Times New Roman" w:cs="Times New Roman" w:eastAsia="Times New Roman" w:hint="default"/>
                <w:sz w:val="18"/>
                <w:szCs w:val="18"/>
              </w:rPr>
            </w:pPr>
            <w:r>
              <w:rPr>
                <w:rFonts w:ascii="Times New Roman"/>
                <w:sz w:val="18"/>
              </w:rPr>
              <w:t>,596.</w:t>
            </w:r>
          </w:p>
          <w:p>
            <w:pPr>
              <w:pStyle w:val="TableParagraph"/>
              <w:spacing w:line="240" w:lineRule="auto" w:before="105"/>
              <w:ind w:left="270" w:right="0"/>
              <w:jc w:val="center"/>
              <w:rPr>
                <w:rFonts w:ascii="Times New Roman" w:hAnsi="Times New Roman" w:cs="Times New Roman" w:eastAsia="Times New Roman" w:hint="default"/>
                <w:sz w:val="18"/>
                <w:szCs w:val="18"/>
              </w:rPr>
            </w:pPr>
            <w:r>
              <w:rPr>
                <w:rFonts w:ascii="Times New Roman"/>
                <w:sz w:val="18"/>
              </w:rPr>
              <w:t>50</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0" w:right="0"/>
              <w:jc w:val="left"/>
              <w:rPr>
                <w:rFonts w:ascii="Times New Roman" w:hAnsi="Times New Roman" w:cs="Times New Roman" w:eastAsia="Times New Roman" w:hint="default"/>
                <w:sz w:val="18"/>
                <w:szCs w:val="18"/>
              </w:rPr>
            </w:pPr>
            <w:r>
              <w:rPr>
                <w:rFonts w:ascii="Times New Roman"/>
                <w:sz w:val="18"/>
              </w:rPr>
              <w:t>-30,0</w:t>
            </w:r>
          </w:p>
          <w:p>
            <w:pPr>
              <w:pStyle w:val="TableParagraph"/>
              <w:spacing w:line="240" w:lineRule="auto" w:before="105"/>
              <w:ind w:left="161" w:right="0"/>
              <w:jc w:val="left"/>
              <w:rPr>
                <w:rFonts w:ascii="Times New Roman" w:hAnsi="Times New Roman" w:cs="Times New Roman" w:eastAsia="Times New Roman" w:hint="default"/>
                <w:sz w:val="18"/>
                <w:szCs w:val="18"/>
              </w:rPr>
            </w:pPr>
            <w:r>
              <w:rPr>
                <w:rFonts w:ascii="Times New Roman"/>
                <w:sz w:val="18"/>
              </w:rPr>
              <w:t>87,71</w:t>
            </w:r>
          </w:p>
          <w:p>
            <w:pPr>
              <w:pStyle w:val="TableParagraph"/>
              <w:spacing w:line="240" w:lineRule="auto" w:before="105"/>
              <w:ind w:left="250" w:right="0"/>
              <w:jc w:val="left"/>
              <w:rPr>
                <w:rFonts w:ascii="Times New Roman" w:hAnsi="Times New Roman" w:cs="Times New Roman" w:eastAsia="Times New Roman" w:hint="default"/>
                <w:sz w:val="18"/>
                <w:szCs w:val="18"/>
              </w:rPr>
            </w:pPr>
            <w:r>
              <w:rPr>
                <w:rFonts w:ascii="Times New Roman"/>
                <w:sz w:val="18"/>
              </w:rPr>
              <w:t>6.55</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2" w:right="0"/>
              <w:jc w:val="left"/>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141" w:right="0"/>
              <w:jc w:val="left"/>
              <w:rPr>
                <w:rFonts w:ascii="Times New Roman" w:hAnsi="Times New Roman" w:cs="Times New Roman" w:eastAsia="Times New Roman" w:hint="default"/>
                <w:sz w:val="18"/>
                <w:szCs w:val="18"/>
              </w:rPr>
            </w:pPr>
            <w:r>
              <w:rPr>
                <w:rFonts w:ascii="Times New Roman"/>
                <w:sz w:val="18"/>
              </w:rPr>
              <w:t>82,12</w:t>
            </w:r>
          </w:p>
          <w:p>
            <w:pPr>
              <w:pStyle w:val="TableParagraph"/>
              <w:spacing w:line="240" w:lineRule="auto" w:before="105"/>
              <w:ind w:left="230" w:right="0"/>
              <w:jc w:val="left"/>
              <w:rPr>
                <w:rFonts w:ascii="Times New Roman" w:hAnsi="Times New Roman" w:cs="Times New Roman" w:eastAsia="Times New Roman" w:hint="default"/>
                <w:sz w:val="18"/>
                <w:szCs w:val="18"/>
              </w:rPr>
            </w:pPr>
            <w:r>
              <w:rPr>
                <w:rFonts w:ascii="Times New Roman"/>
                <w:sz w:val="18"/>
              </w:rPr>
              <w:t>0.05</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300" w:lineRule="auto"/>
              <w:ind w:left="101" w:right="152"/>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 积</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6" w:right="0"/>
              <w:jc w:val="left"/>
              <w:rPr>
                <w:rFonts w:ascii="Times New Roman" w:hAnsi="Times New Roman" w:cs="Times New Roman" w:eastAsia="Times New Roman" w:hint="default"/>
                <w:sz w:val="18"/>
                <w:szCs w:val="18"/>
              </w:rPr>
            </w:pPr>
            <w:r>
              <w:rPr>
                <w:rFonts w:ascii="Times New Roman"/>
                <w:sz w:val="18"/>
              </w:rPr>
              <w:t>5,805</w:t>
            </w:r>
          </w:p>
          <w:p>
            <w:pPr>
              <w:pStyle w:val="TableParagraph"/>
              <w:spacing w:line="240" w:lineRule="auto" w:before="105"/>
              <w:ind w:left="88" w:right="0"/>
              <w:jc w:val="center"/>
              <w:rPr>
                <w:rFonts w:ascii="Times New Roman" w:hAnsi="Times New Roman" w:cs="Times New Roman" w:eastAsia="Times New Roman" w:hint="default"/>
                <w:sz w:val="18"/>
                <w:szCs w:val="18"/>
              </w:rPr>
            </w:pPr>
            <w:r>
              <w:rPr>
                <w:rFonts w:ascii="Times New Roman"/>
                <w:sz w:val="18"/>
              </w:rPr>
              <w:t>,596.</w:t>
            </w:r>
          </w:p>
          <w:p>
            <w:pPr>
              <w:pStyle w:val="TableParagraph"/>
              <w:spacing w:line="240" w:lineRule="auto" w:before="105"/>
              <w:ind w:left="270" w:right="0"/>
              <w:jc w:val="center"/>
              <w:rPr>
                <w:rFonts w:ascii="Times New Roman" w:hAnsi="Times New Roman" w:cs="Times New Roman" w:eastAsia="Times New Roman" w:hint="default"/>
                <w:sz w:val="18"/>
                <w:szCs w:val="18"/>
              </w:rPr>
            </w:pPr>
            <w:r>
              <w:rPr>
                <w:rFonts w:ascii="Times New Roman"/>
                <w:sz w:val="18"/>
              </w:rPr>
              <w:t>50</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7" w:right="0"/>
              <w:jc w:val="center"/>
              <w:rPr>
                <w:rFonts w:ascii="Times New Roman" w:hAnsi="Times New Roman" w:cs="Times New Roman" w:eastAsia="Times New Roman" w:hint="default"/>
                <w:sz w:val="18"/>
                <w:szCs w:val="18"/>
              </w:rPr>
            </w:pPr>
            <w:r>
              <w:rPr>
                <w:rFonts w:ascii="Times New Roman"/>
                <w:sz w:val="18"/>
              </w:rPr>
              <w:t>-5,80</w:t>
            </w:r>
          </w:p>
          <w:p>
            <w:pPr>
              <w:pStyle w:val="TableParagraph"/>
              <w:spacing w:line="240" w:lineRule="auto" w:before="105"/>
              <w:ind w:left="115" w:right="0"/>
              <w:jc w:val="left"/>
              <w:rPr>
                <w:rFonts w:ascii="Times New Roman" w:hAnsi="Times New Roman" w:cs="Times New Roman" w:eastAsia="Times New Roman" w:hint="default"/>
                <w:sz w:val="18"/>
                <w:szCs w:val="18"/>
              </w:rPr>
            </w:pPr>
            <w:r>
              <w:rPr>
                <w:rFonts w:ascii="Times New Roman"/>
                <w:sz w:val="18"/>
              </w:rPr>
              <w:t>5,596.</w:t>
            </w:r>
          </w:p>
          <w:p>
            <w:pPr>
              <w:pStyle w:val="TableParagraph"/>
              <w:spacing w:line="240" w:lineRule="auto" w:before="105"/>
              <w:ind w:left="281" w:right="0"/>
              <w:jc w:val="center"/>
              <w:rPr>
                <w:rFonts w:ascii="Times New Roman" w:hAnsi="Times New Roman" w:cs="Times New Roman" w:eastAsia="Times New Roman" w:hint="default"/>
                <w:sz w:val="18"/>
                <w:szCs w:val="18"/>
              </w:rPr>
            </w:pPr>
            <w:r>
              <w:rPr>
                <w:rFonts w:ascii="Times New Roman"/>
                <w:sz w:val="18"/>
              </w:rPr>
              <w:t>50</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52"/>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 险准备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300" w:lineRule="auto"/>
              <w:ind w:left="101" w:right="101"/>
              <w:jc w:val="left"/>
              <w:rPr>
                <w:rFonts w:ascii="宋体" w:hAnsi="宋体" w:cs="宋体" w:eastAsia="宋体" w:hint="default"/>
                <w:sz w:val="18"/>
                <w:szCs w:val="18"/>
              </w:rPr>
            </w:pPr>
            <w:r>
              <w:rPr>
                <w:rFonts w:ascii="Times New Roman" w:hAnsi="Times New Roman" w:cs="Times New Roman" w:eastAsia="Times New Roman" w:hint="default"/>
                <w:spacing w:val="-17"/>
                <w:sz w:val="18"/>
                <w:szCs w:val="18"/>
              </w:rPr>
              <w:t>3</w:t>
            </w:r>
            <w:r>
              <w:rPr>
                <w:rFonts w:ascii="宋体" w:hAnsi="宋体" w:cs="宋体" w:eastAsia="宋体" w:hint="default"/>
                <w:spacing w:val="-17"/>
                <w:sz w:val="18"/>
                <w:szCs w:val="18"/>
              </w:rPr>
              <w:t>．对所有者（或</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股东）的分配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90" w:right="0"/>
              <w:jc w:val="left"/>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161" w:right="0"/>
              <w:jc w:val="left"/>
              <w:rPr>
                <w:rFonts w:ascii="Times New Roman" w:hAnsi="Times New Roman" w:cs="Times New Roman" w:eastAsia="Times New Roman" w:hint="default"/>
                <w:sz w:val="18"/>
                <w:szCs w:val="18"/>
              </w:rPr>
            </w:pPr>
            <w:r>
              <w:rPr>
                <w:rFonts w:ascii="Times New Roman"/>
                <w:sz w:val="18"/>
              </w:rPr>
              <w:t>82,12</w:t>
            </w:r>
          </w:p>
          <w:p>
            <w:pPr>
              <w:pStyle w:val="TableParagraph"/>
              <w:spacing w:line="240" w:lineRule="auto" w:before="105"/>
              <w:ind w:left="250" w:right="0"/>
              <w:jc w:val="left"/>
              <w:rPr>
                <w:rFonts w:ascii="Times New Roman" w:hAnsi="Times New Roman" w:cs="Times New Roman" w:eastAsia="Times New Roman" w:hint="default"/>
                <w:sz w:val="18"/>
                <w:szCs w:val="18"/>
              </w:rPr>
            </w:pPr>
            <w:r>
              <w:rPr>
                <w:rFonts w:ascii="Times New Roman"/>
                <w:sz w:val="18"/>
              </w:rPr>
              <w:t>0.05</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2" w:right="0"/>
              <w:jc w:val="left"/>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141" w:right="0"/>
              <w:jc w:val="left"/>
              <w:rPr>
                <w:rFonts w:ascii="Times New Roman" w:hAnsi="Times New Roman" w:cs="Times New Roman" w:eastAsia="Times New Roman" w:hint="default"/>
                <w:sz w:val="18"/>
                <w:szCs w:val="18"/>
              </w:rPr>
            </w:pPr>
            <w:r>
              <w:rPr>
                <w:rFonts w:ascii="Times New Roman"/>
                <w:sz w:val="18"/>
              </w:rPr>
              <w:t>82,12</w:t>
            </w:r>
          </w:p>
          <w:p>
            <w:pPr>
              <w:pStyle w:val="TableParagraph"/>
              <w:spacing w:line="240" w:lineRule="auto" w:before="105"/>
              <w:ind w:left="230" w:right="0"/>
              <w:jc w:val="left"/>
              <w:rPr>
                <w:rFonts w:ascii="Times New Roman" w:hAnsi="Times New Roman" w:cs="Times New Roman" w:eastAsia="Times New Roman" w:hint="default"/>
                <w:sz w:val="18"/>
                <w:szCs w:val="18"/>
              </w:rPr>
            </w:pPr>
            <w:r>
              <w:rPr>
                <w:rFonts w:ascii="Times New Roman"/>
                <w:sz w:val="18"/>
              </w:rPr>
              <w:t>0.05</w:t>
            </w: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01"/>
              <w:jc w:val="left"/>
              <w:rPr>
                <w:rFonts w:ascii="宋体" w:hAnsi="宋体" w:cs="宋体" w:eastAsia="宋体" w:hint="default"/>
                <w:sz w:val="18"/>
                <w:szCs w:val="18"/>
              </w:rPr>
            </w:pPr>
            <w:r>
              <w:rPr>
                <w:rFonts w:ascii="宋体" w:hAnsi="宋体" w:cs="宋体" w:eastAsia="宋体" w:hint="default"/>
                <w:spacing w:val="-6"/>
                <w:sz w:val="18"/>
                <w:szCs w:val="18"/>
              </w:rPr>
              <w:t>（四）所有者权</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益内部结转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1" w:right="152"/>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 增资本（或股 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0"/>
              <w:ind w:left="101" w:right="152"/>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 增资本（或股 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52"/>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 补亏损</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67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52"/>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 划变动额结转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437"/>
        <w:gridCol w:w="562"/>
        <w:gridCol w:w="531"/>
        <w:gridCol w:w="531"/>
        <w:gridCol w:w="531"/>
        <w:gridCol w:w="664"/>
        <w:gridCol w:w="665"/>
        <w:gridCol w:w="665"/>
        <w:gridCol w:w="665"/>
        <w:gridCol w:w="664"/>
        <w:gridCol w:w="665"/>
        <w:gridCol w:w="678"/>
        <w:gridCol w:w="652"/>
        <w:gridCol w:w="659"/>
      </w:tblGrid>
      <w:tr>
        <w:trPr>
          <w:trHeight w:val="36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留存收益</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pacing w:val="-6"/>
                <w:sz w:val="18"/>
                <w:szCs w:val="18"/>
              </w:rPr>
              <w:t>（五）专项储备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2"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1437" w:type="dxa"/>
            <w:tcBorders>
              <w:top w:val="single" w:sz="4" w:space="0" w:color="000000"/>
              <w:left w:val="single" w:sz="4" w:space="0" w:color="000000"/>
              <w:bottom w:val="nil" w:sz="6" w:space="0" w:color="auto"/>
              <w:right w:val="single" w:sz="4" w:space="0" w:color="000000"/>
            </w:tcBorders>
            <w:shd w:val="clear" w:color="auto" w:fill="D2D2D2"/>
          </w:tcPr>
          <w:p>
            <w:pPr/>
          </w:p>
        </w:tc>
        <w:tc>
          <w:tcPr>
            <w:tcW w:w="562" w:type="dxa"/>
            <w:vMerge w:val="restart"/>
            <w:tcBorders>
              <w:top w:val="single" w:sz="4" w:space="0" w:color="000000"/>
              <w:left w:val="single" w:sz="4" w:space="0" w:color="000000"/>
              <w:right w:val="single" w:sz="4" w:space="0" w:color="000000"/>
            </w:tcBorders>
          </w:tcPr>
          <w:p>
            <w:pPr/>
          </w:p>
        </w:tc>
        <w:tc>
          <w:tcPr>
            <w:tcW w:w="531" w:type="dxa"/>
            <w:vMerge w:val="restart"/>
            <w:tcBorders>
              <w:top w:val="single" w:sz="4" w:space="0" w:color="000000"/>
              <w:left w:val="single" w:sz="4" w:space="0" w:color="000000"/>
              <w:right w:val="single" w:sz="4" w:space="0" w:color="000000"/>
            </w:tcBorders>
          </w:tcPr>
          <w:p>
            <w:pPr/>
          </w:p>
        </w:tc>
        <w:tc>
          <w:tcPr>
            <w:tcW w:w="531" w:type="dxa"/>
            <w:vMerge w:val="restart"/>
            <w:tcBorders>
              <w:top w:val="single" w:sz="4" w:space="0" w:color="000000"/>
              <w:left w:val="single" w:sz="4" w:space="0" w:color="000000"/>
              <w:right w:val="single" w:sz="4" w:space="0" w:color="000000"/>
            </w:tcBorders>
          </w:tcPr>
          <w:p>
            <w:pPr/>
          </w:p>
        </w:tc>
        <w:tc>
          <w:tcPr>
            <w:tcW w:w="531"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78" w:type="dxa"/>
            <w:vMerge w:val="restart"/>
            <w:tcBorders>
              <w:top w:val="single" w:sz="4" w:space="0" w:color="000000"/>
              <w:left w:val="single" w:sz="4" w:space="0" w:color="000000"/>
              <w:right w:val="single" w:sz="4" w:space="0" w:color="000000"/>
            </w:tcBorders>
          </w:tcPr>
          <w:p>
            <w:pPr/>
          </w:p>
        </w:tc>
        <w:tc>
          <w:tcPr>
            <w:tcW w:w="65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-3,10</w:t>
            </w:r>
          </w:p>
        </w:tc>
        <w:tc>
          <w:tcPr>
            <w:tcW w:w="65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w w:val="95"/>
                <w:sz w:val="18"/>
              </w:rPr>
              <w:t>-3,10</w:t>
            </w:r>
            <w:r>
              <w:rPr>
                <w:rFonts w:ascii="Times New Roman"/>
                <w:sz w:val="18"/>
              </w:rPr>
            </w:r>
          </w:p>
        </w:tc>
      </w:tr>
      <w:tr>
        <w:trPr>
          <w:trHeight w:val="317" w:hRule="exact"/>
        </w:trPr>
        <w:tc>
          <w:tcPr>
            <w:tcW w:w="143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2" w:type="dxa"/>
            <w:vMerge/>
            <w:tcBorders>
              <w:left w:val="single" w:sz="4" w:space="0" w:color="000000"/>
              <w:right w:val="single" w:sz="4" w:space="0" w:color="000000"/>
            </w:tcBorders>
          </w:tcPr>
          <w:p>
            <w:pPr/>
          </w:p>
        </w:tc>
        <w:tc>
          <w:tcPr>
            <w:tcW w:w="531" w:type="dxa"/>
            <w:vMerge/>
            <w:tcBorders>
              <w:left w:val="single" w:sz="4" w:space="0" w:color="000000"/>
              <w:right w:val="single" w:sz="4" w:space="0" w:color="000000"/>
            </w:tcBorders>
          </w:tcPr>
          <w:p>
            <w:pPr/>
          </w:p>
        </w:tc>
        <w:tc>
          <w:tcPr>
            <w:tcW w:w="531" w:type="dxa"/>
            <w:vMerge/>
            <w:tcBorders>
              <w:left w:val="single" w:sz="4" w:space="0" w:color="000000"/>
              <w:right w:val="single" w:sz="4" w:space="0" w:color="000000"/>
            </w:tcBorders>
          </w:tcPr>
          <w:p>
            <w:pPr/>
          </w:p>
        </w:tc>
        <w:tc>
          <w:tcPr>
            <w:tcW w:w="531"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78" w:type="dxa"/>
            <w:vMerge/>
            <w:tcBorders>
              <w:left w:val="single" w:sz="4" w:space="0" w:color="000000"/>
              <w:right w:val="single" w:sz="4" w:space="0" w:color="000000"/>
            </w:tcBorders>
          </w:tcPr>
          <w:p>
            <w:pPr/>
          </w:p>
        </w:tc>
        <w:tc>
          <w:tcPr>
            <w:tcW w:w="652"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z w:val="18"/>
              </w:rPr>
              <w:t>5,492</w:t>
            </w:r>
          </w:p>
        </w:tc>
        <w:tc>
          <w:tcPr>
            <w:tcW w:w="659"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99"/>
              <w:jc w:val="right"/>
              <w:rPr>
                <w:rFonts w:ascii="Times New Roman" w:hAnsi="Times New Roman" w:cs="Times New Roman" w:eastAsia="Times New Roman" w:hint="default"/>
                <w:sz w:val="18"/>
                <w:szCs w:val="18"/>
              </w:rPr>
            </w:pPr>
            <w:r>
              <w:rPr>
                <w:rFonts w:ascii="Times New Roman"/>
                <w:sz w:val="18"/>
              </w:rPr>
              <w:t>5,492</w:t>
            </w:r>
          </w:p>
        </w:tc>
      </w:tr>
      <w:tr>
        <w:trPr>
          <w:trHeight w:val="347" w:hRule="exact"/>
        </w:trPr>
        <w:tc>
          <w:tcPr>
            <w:tcW w:w="1437" w:type="dxa"/>
            <w:tcBorders>
              <w:top w:val="nil" w:sz="6" w:space="0" w:color="auto"/>
              <w:left w:val="single" w:sz="4" w:space="0" w:color="000000"/>
              <w:bottom w:val="single" w:sz="4" w:space="0" w:color="000000"/>
              <w:right w:val="single" w:sz="4" w:space="0" w:color="000000"/>
            </w:tcBorders>
            <w:shd w:val="clear" w:color="auto" w:fill="D2D2D2"/>
          </w:tcPr>
          <w:p>
            <w:pPr/>
          </w:p>
        </w:tc>
        <w:tc>
          <w:tcPr>
            <w:tcW w:w="562" w:type="dxa"/>
            <w:vMerge/>
            <w:tcBorders>
              <w:left w:val="single" w:sz="4" w:space="0" w:color="000000"/>
              <w:bottom w:val="single" w:sz="4" w:space="0" w:color="000000"/>
              <w:right w:val="single" w:sz="4" w:space="0" w:color="000000"/>
            </w:tcBorders>
          </w:tcPr>
          <w:p>
            <w:pPr/>
          </w:p>
        </w:tc>
        <w:tc>
          <w:tcPr>
            <w:tcW w:w="531" w:type="dxa"/>
            <w:vMerge/>
            <w:tcBorders>
              <w:left w:val="single" w:sz="4" w:space="0" w:color="000000"/>
              <w:bottom w:val="single" w:sz="4" w:space="0" w:color="000000"/>
              <w:right w:val="single" w:sz="4" w:space="0" w:color="000000"/>
            </w:tcBorders>
          </w:tcPr>
          <w:p>
            <w:pPr/>
          </w:p>
        </w:tc>
        <w:tc>
          <w:tcPr>
            <w:tcW w:w="531" w:type="dxa"/>
            <w:vMerge/>
            <w:tcBorders>
              <w:left w:val="single" w:sz="4" w:space="0" w:color="000000"/>
              <w:bottom w:val="single" w:sz="4" w:space="0" w:color="000000"/>
              <w:right w:val="single" w:sz="4" w:space="0" w:color="000000"/>
            </w:tcBorders>
          </w:tcPr>
          <w:p>
            <w:pPr/>
          </w:p>
        </w:tc>
        <w:tc>
          <w:tcPr>
            <w:tcW w:w="531"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78" w:type="dxa"/>
            <w:vMerge/>
            <w:tcBorders>
              <w:left w:val="single" w:sz="4" w:space="0" w:color="000000"/>
              <w:bottom w:val="single" w:sz="4" w:space="0" w:color="000000"/>
              <w:right w:val="single" w:sz="4" w:space="0" w:color="000000"/>
            </w:tcBorders>
          </w:tcPr>
          <w:p>
            <w:pPr/>
          </w:p>
        </w:tc>
        <w:tc>
          <w:tcPr>
            <w:tcW w:w="65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2"/>
              <w:ind w:right="100"/>
              <w:jc w:val="right"/>
              <w:rPr>
                <w:rFonts w:ascii="Times New Roman" w:hAnsi="Times New Roman" w:cs="Times New Roman" w:eastAsia="Times New Roman" w:hint="default"/>
                <w:sz w:val="18"/>
                <w:szCs w:val="18"/>
              </w:rPr>
            </w:pPr>
            <w:r>
              <w:rPr>
                <w:rFonts w:ascii="Times New Roman"/>
                <w:sz w:val="18"/>
              </w:rPr>
              <w:t>.24</w:t>
            </w:r>
          </w:p>
        </w:tc>
        <w:tc>
          <w:tcPr>
            <w:tcW w:w="65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2"/>
              <w:ind w:right="99"/>
              <w:jc w:val="right"/>
              <w:rPr>
                <w:rFonts w:ascii="Times New Roman" w:hAnsi="Times New Roman" w:cs="Times New Roman" w:eastAsia="Times New Roman" w:hint="default"/>
                <w:sz w:val="18"/>
                <w:szCs w:val="18"/>
              </w:rPr>
            </w:pPr>
            <w:r>
              <w:rPr>
                <w:rFonts w:ascii="Times New Roman"/>
                <w:sz w:val="18"/>
              </w:rPr>
              <w:t>.24</w:t>
            </w:r>
          </w:p>
        </w:tc>
      </w:tr>
      <w:tr>
        <w:trPr>
          <w:trHeight w:val="1338"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1" w:right="101"/>
              <w:jc w:val="left"/>
              <w:rPr>
                <w:rFonts w:ascii="宋体" w:hAnsi="宋体" w:cs="宋体" w:eastAsia="宋体" w:hint="default"/>
                <w:sz w:val="18"/>
                <w:szCs w:val="18"/>
              </w:rPr>
            </w:pPr>
            <w:r>
              <w:rPr>
                <w:rFonts w:ascii="宋体" w:hAnsi="宋体" w:cs="宋体" w:eastAsia="宋体" w:hint="default"/>
                <w:spacing w:val="-6"/>
                <w:sz w:val="18"/>
                <w:szCs w:val="18"/>
              </w:rPr>
              <w:t>四、本期期末余</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1" w:right="0"/>
              <w:jc w:val="center"/>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31" w:right="0"/>
              <w:jc w:val="center"/>
              <w:rPr>
                <w:rFonts w:ascii="Times New Roman" w:hAnsi="Times New Roman" w:cs="Times New Roman" w:eastAsia="Times New Roman" w:hint="default"/>
                <w:sz w:val="18"/>
                <w:szCs w:val="18"/>
              </w:rPr>
            </w:pPr>
            <w:r>
              <w:rPr>
                <w:rFonts w:ascii="Times New Roman"/>
                <w:sz w:val="18"/>
              </w:rPr>
              <w:t>801,</w:t>
            </w:r>
          </w:p>
          <w:p>
            <w:pPr>
              <w:pStyle w:val="TableParagraph"/>
              <w:spacing w:line="240" w:lineRule="auto" w:before="105"/>
              <w:ind w:left="31" w:right="0"/>
              <w:jc w:val="center"/>
              <w:rPr>
                <w:rFonts w:ascii="Times New Roman" w:hAnsi="Times New Roman" w:cs="Times New Roman" w:eastAsia="Times New Roman" w:hint="default"/>
                <w:sz w:val="18"/>
                <w:szCs w:val="18"/>
              </w:rPr>
            </w:pPr>
            <w:r>
              <w:rPr>
                <w:rFonts w:ascii="Times New Roman"/>
                <w:sz w:val="18"/>
              </w:rPr>
              <w:t>887.</w:t>
            </w:r>
          </w:p>
          <w:p>
            <w:pPr>
              <w:pStyle w:val="TableParagraph"/>
              <w:spacing w:line="240" w:lineRule="auto" w:before="105"/>
              <w:ind w:left="165" w:right="0"/>
              <w:jc w:val="center"/>
              <w:rPr>
                <w:rFonts w:ascii="Times New Roman" w:hAnsi="Times New Roman" w:cs="Times New Roman" w:eastAsia="Times New Roman" w:hint="default"/>
                <w:sz w:val="18"/>
                <w:szCs w:val="18"/>
              </w:rPr>
            </w:pPr>
            <w:r>
              <w:rPr>
                <w:rFonts w:ascii="Times New Roman"/>
                <w:sz w:val="18"/>
              </w:rPr>
              <w:t>00</w:t>
            </w: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5" w:right="0"/>
              <w:jc w:val="left"/>
              <w:rPr>
                <w:rFonts w:ascii="Times New Roman" w:hAnsi="Times New Roman" w:cs="Times New Roman" w:eastAsia="Times New Roman" w:hint="default"/>
                <w:sz w:val="18"/>
                <w:szCs w:val="18"/>
              </w:rPr>
            </w:pPr>
            <w:r>
              <w:rPr>
                <w:rFonts w:ascii="Times New Roman"/>
                <w:sz w:val="18"/>
              </w:rPr>
              <w:t>1,499</w:t>
            </w:r>
          </w:p>
          <w:p>
            <w:pPr>
              <w:pStyle w:val="TableParagraph"/>
              <w:spacing w:line="240" w:lineRule="auto" w:before="105"/>
              <w:ind w:left="191" w:right="0"/>
              <w:jc w:val="left"/>
              <w:rPr>
                <w:rFonts w:ascii="Times New Roman" w:hAnsi="Times New Roman" w:cs="Times New Roman" w:eastAsia="Times New Roman" w:hint="default"/>
                <w:sz w:val="18"/>
                <w:szCs w:val="18"/>
              </w:rPr>
            </w:pPr>
            <w:r>
              <w:rPr>
                <w:rFonts w:ascii="Times New Roman"/>
                <w:sz w:val="18"/>
              </w:rPr>
              <w:t>,628,</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425.9</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6" w:right="0"/>
              <w:jc w:val="left"/>
              <w:rPr>
                <w:rFonts w:ascii="Times New Roman" w:hAnsi="Times New Roman" w:cs="Times New Roman" w:eastAsia="Times New Roman" w:hint="default"/>
                <w:sz w:val="18"/>
                <w:szCs w:val="18"/>
              </w:rPr>
            </w:pPr>
            <w:r>
              <w:rPr>
                <w:rFonts w:ascii="Times New Roman"/>
                <w:sz w:val="18"/>
              </w:rPr>
              <w:t>181,3</w:t>
            </w:r>
          </w:p>
          <w:p>
            <w:pPr>
              <w:pStyle w:val="TableParagraph"/>
              <w:spacing w:line="240" w:lineRule="auto" w:before="105"/>
              <w:ind w:left="146" w:right="0"/>
              <w:jc w:val="left"/>
              <w:rPr>
                <w:rFonts w:ascii="Times New Roman" w:hAnsi="Times New Roman" w:cs="Times New Roman" w:eastAsia="Times New Roman" w:hint="default"/>
                <w:sz w:val="18"/>
                <w:szCs w:val="18"/>
              </w:rPr>
            </w:pPr>
            <w:r>
              <w:rPr>
                <w:rFonts w:ascii="Times New Roman"/>
                <w:sz w:val="18"/>
              </w:rPr>
              <w:t>64,66</w:t>
            </w:r>
          </w:p>
          <w:p>
            <w:pPr>
              <w:pStyle w:val="TableParagraph"/>
              <w:spacing w:line="240" w:lineRule="auto" w:before="105"/>
              <w:ind w:left="237" w:right="0"/>
              <w:jc w:val="left"/>
              <w:rPr>
                <w:rFonts w:ascii="Times New Roman" w:hAnsi="Times New Roman" w:cs="Times New Roman" w:eastAsia="Times New Roman" w:hint="default"/>
                <w:sz w:val="18"/>
                <w:szCs w:val="18"/>
              </w:rPr>
            </w:pPr>
            <w:r>
              <w:rPr>
                <w:rFonts w:ascii="Times New Roman"/>
                <w:sz w:val="18"/>
              </w:rPr>
              <w:t>7.79</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41,51</w:t>
            </w:r>
          </w:p>
          <w:p>
            <w:pPr>
              <w:pStyle w:val="TableParagraph"/>
              <w:spacing w:line="240" w:lineRule="auto" w:before="105"/>
              <w:ind w:left="44" w:right="0"/>
              <w:jc w:val="center"/>
              <w:rPr>
                <w:rFonts w:ascii="Times New Roman" w:hAnsi="Times New Roman" w:cs="Times New Roman" w:eastAsia="Times New Roman" w:hint="default"/>
                <w:sz w:val="18"/>
                <w:szCs w:val="18"/>
              </w:rPr>
            </w:pPr>
            <w:r>
              <w:rPr>
                <w:rFonts w:ascii="Times New Roman"/>
                <w:sz w:val="18"/>
              </w:rPr>
              <w:t>6,879</w:t>
            </w:r>
          </w:p>
          <w:p>
            <w:pPr>
              <w:pStyle w:val="TableParagraph"/>
              <w:spacing w:line="240" w:lineRule="auto" w:before="105"/>
              <w:ind w:left="224" w:right="0"/>
              <w:jc w:val="center"/>
              <w:rPr>
                <w:rFonts w:ascii="Times New Roman" w:hAnsi="Times New Roman" w:cs="Times New Roman" w:eastAsia="Times New Roman" w:hint="default"/>
                <w:sz w:val="18"/>
                <w:szCs w:val="18"/>
              </w:rPr>
            </w:pPr>
            <w:r>
              <w:rPr>
                <w:rFonts w:ascii="Times New Roman"/>
                <w:sz w:val="18"/>
              </w:rPr>
              <w:t>.72</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61" w:right="0"/>
              <w:jc w:val="left"/>
              <w:rPr>
                <w:rFonts w:ascii="Times New Roman" w:hAnsi="Times New Roman" w:cs="Times New Roman" w:eastAsia="Times New Roman" w:hint="default"/>
                <w:sz w:val="18"/>
                <w:szCs w:val="18"/>
              </w:rPr>
            </w:pPr>
            <w:r>
              <w:rPr>
                <w:rFonts w:ascii="Times New Roman"/>
                <w:sz w:val="18"/>
              </w:rPr>
              <w:t>435,3</w:t>
            </w:r>
          </w:p>
          <w:p>
            <w:pPr>
              <w:pStyle w:val="TableParagraph"/>
              <w:spacing w:line="240" w:lineRule="auto" w:before="105"/>
              <w:ind w:left="161" w:right="0"/>
              <w:jc w:val="left"/>
              <w:rPr>
                <w:rFonts w:ascii="Times New Roman" w:hAnsi="Times New Roman" w:cs="Times New Roman" w:eastAsia="Times New Roman" w:hint="default"/>
                <w:sz w:val="18"/>
                <w:szCs w:val="18"/>
              </w:rPr>
            </w:pPr>
            <w:r>
              <w:rPr>
                <w:rFonts w:ascii="Times New Roman"/>
                <w:sz w:val="18"/>
              </w:rPr>
              <w:t>29,53</w:t>
            </w:r>
          </w:p>
          <w:p>
            <w:pPr>
              <w:pStyle w:val="TableParagraph"/>
              <w:spacing w:line="240" w:lineRule="auto" w:before="105"/>
              <w:ind w:left="250" w:right="0"/>
              <w:jc w:val="left"/>
              <w:rPr>
                <w:rFonts w:ascii="Times New Roman" w:hAnsi="Times New Roman" w:cs="Times New Roman" w:eastAsia="Times New Roman" w:hint="default"/>
                <w:sz w:val="18"/>
                <w:szCs w:val="18"/>
              </w:rPr>
            </w:pPr>
            <w:r>
              <w:rPr>
                <w:rFonts w:ascii="Times New Roman"/>
                <w:sz w:val="18"/>
              </w:rPr>
              <w:t>6.63</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1" w:right="0"/>
              <w:jc w:val="center"/>
              <w:rPr>
                <w:rFonts w:ascii="Times New Roman" w:hAnsi="Times New Roman" w:cs="Times New Roman" w:eastAsia="Times New Roman" w:hint="default"/>
                <w:sz w:val="18"/>
                <w:szCs w:val="18"/>
              </w:rPr>
            </w:pPr>
            <w:r>
              <w:rPr>
                <w:rFonts w:ascii="Times New Roman"/>
                <w:sz w:val="18"/>
              </w:rPr>
              <w:t>33,90</w:t>
            </w:r>
          </w:p>
          <w:p>
            <w:pPr>
              <w:pStyle w:val="TableParagraph"/>
              <w:spacing w:line="240" w:lineRule="auto" w:before="105"/>
              <w:ind w:left="31" w:right="0"/>
              <w:jc w:val="center"/>
              <w:rPr>
                <w:rFonts w:ascii="Times New Roman" w:hAnsi="Times New Roman" w:cs="Times New Roman" w:eastAsia="Times New Roman" w:hint="default"/>
                <w:sz w:val="18"/>
                <w:szCs w:val="18"/>
              </w:rPr>
            </w:pPr>
            <w:r>
              <w:rPr>
                <w:rFonts w:ascii="Times New Roman"/>
                <w:sz w:val="18"/>
              </w:rPr>
              <w:t>5,574</w:t>
            </w:r>
          </w:p>
          <w:p>
            <w:pPr>
              <w:pStyle w:val="TableParagraph"/>
              <w:spacing w:line="240" w:lineRule="auto" w:before="105"/>
              <w:ind w:left="211" w:right="0"/>
              <w:jc w:val="center"/>
              <w:rPr>
                <w:rFonts w:ascii="Times New Roman" w:hAnsi="Times New Roman" w:cs="Times New Roman" w:eastAsia="Times New Roman" w:hint="default"/>
                <w:sz w:val="18"/>
                <w:szCs w:val="18"/>
              </w:rPr>
            </w:pPr>
            <w:r>
              <w:rPr>
                <w:rFonts w:ascii="Times New Roman"/>
                <w:sz w:val="18"/>
              </w:rPr>
              <w:t>.69</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 w:right="0"/>
              <w:jc w:val="left"/>
              <w:rPr>
                <w:rFonts w:ascii="Times New Roman" w:hAnsi="Times New Roman" w:cs="Times New Roman" w:eastAsia="Times New Roman" w:hint="default"/>
                <w:sz w:val="18"/>
                <w:szCs w:val="18"/>
              </w:rPr>
            </w:pPr>
            <w:r>
              <w:rPr>
                <w:rFonts w:ascii="Times New Roman"/>
                <w:sz w:val="18"/>
              </w:rPr>
              <w:t>2,071</w:t>
            </w:r>
          </w:p>
          <w:p>
            <w:pPr>
              <w:pStyle w:val="TableParagraph"/>
              <w:spacing w:line="240" w:lineRule="auto" w:before="105"/>
              <w:ind w:left="187" w:right="0"/>
              <w:jc w:val="left"/>
              <w:rPr>
                <w:rFonts w:ascii="Times New Roman" w:hAnsi="Times New Roman" w:cs="Times New Roman" w:eastAsia="Times New Roman" w:hint="default"/>
                <w:sz w:val="18"/>
                <w:szCs w:val="18"/>
              </w:rPr>
            </w:pPr>
            <w:r>
              <w:rPr>
                <w:rFonts w:ascii="Times New Roman"/>
                <w:sz w:val="18"/>
              </w:rPr>
              <w:t>,817,</w:t>
            </w:r>
          </w:p>
          <w:p>
            <w:pPr>
              <w:pStyle w:val="TableParagraph"/>
              <w:spacing w:line="240" w:lineRule="auto" w:before="105"/>
              <w:ind w:left="141" w:right="0"/>
              <w:jc w:val="left"/>
              <w:rPr>
                <w:rFonts w:ascii="Times New Roman" w:hAnsi="Times New Roman" w:cs="Times New Roman" w:eastAsia="Times New Roman" w:hint="default"/>
                <w:sz w:val="18"/>
                <w:szCs w:val="18"/>
              </w:rPr>
            </w:pPr>
            <w:r>
              <w:rPr>
                <w:rFonts w:ascii="Times New Roman"/>
                <w:sz w:val="18"/>
              </w:rPr>
              <w:t>636.1</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r>
    </w:tbl>
    <w:p>
      <w:pPr>
        <w:spacing w:line="240" w:lineRule="auto" w:before="11"/>
        <w:rPr>
          <w:rFonts w:ascii="Times New Roman" w:hAnsi="Times New Roman" w:cs="Times New Roman" w:eastAsia="Times New Roman" w:hint="default"/>
          <w:sz w:val="21"/>
          <w:szCs w:val="21"/>
        </w:rPr>
      </w:pPr>
    </w:p>
    <w:p>
      <w:pPr>
        <w:pStyle w:val="Heading3"/>
        <w:spacing w:line="240" w:lineRule="auto" w:before="34"/>
        <w:ind w:right="0"/>
        <w:jc w:val="left"/>
        <w:rPr>
          <w:b w:val="0"/>
          <w:bCs w:val="0"/>
        </w:rPr>
      </w:pPr>
      <w:bookmarkStart w:name="8、母公司所有者权益变动表" w:id="175"/>
      <w:bookmarkEnd w:id="175"/>
      <w:r>
        <w:rPr>
          <w:b w:val="0"/>
          <w:bCs w:val="0"/>
        </w:rPr>
      </w:r>
      <w:r>
        <w:rPr>
          <w:rFonts w:ascii="Times New Roman" w:hAnsi="Times New Roman" w:cs="Times New Roman" w:eastAsia="Times New Roman" w:hint="default"/>
        </w:rPr>
        <w:t>8</w:t>
      </w:r>
      <w:r>
        <w:rPr/>
        <w:t>、母公司所有者权益变动表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本期金额</w:t>
      </w:r>
    </w:p>
    <w:p>
      <w:pPr>
        <w:pStyle w:val="BodyText"/>
        <w:spacing w:line="240" w:lineRule="auto" w:before="117"/>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441"/>
        <w:gridCol w:w="691"/>
        <w:gridCol w:w="665"/>
        <w:gridCol w:w="665"/>
        <w:gridCol w:w="665"/>
        <w:gridCol w:w="797"/>
        <w:gridCol w:w="798"/>
        <w:gridCol w:w="797"/>
        <w:gridCol w:w="798"/>
        <w:gridCol w:w="797"/>
        <w:gridCol w:w="676"/>
        <w:gridCol w:w="781"/>
      </w:tblGrid>
      <w:tr>
        <w:trPr>
          <w:trHeight w:val="402" w:hRule="exact"/>
        </w:trPr>
        <w:tc>
          <w:tcPr>
            <w:tcW w:w="144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8130"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402" w:hRule="exact"/>
        </w:trPr>
        <w:tc>
          <w:tcPr>
            <w:tcW w:w="1441" w:type="dxa"/>
            <w:vMerge/>
            <w:tcBorders>
              <w:left w:val="single" w:sz="4" w:space="0" w:color="000000"/>
              <w:right w:val="single" w:sz="4" w:space="0" w:color="000000"/>
            </w:tcBorders>
            <w:shd w:val="clear" w:color="auto" w:fill="D2D2D2"/>
          </w:tcPr>
          <w:p>
            <w:pPr/>
          </w:p>
        </w:tc>
        <w:tc>
          <w:tcPr>
            <w:tcW w:w="6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60"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5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302" w:right="123"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213" w:right="122" w:hanging="89"/>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123" w:right="122"/>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303" w:right="123"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304" w:right="121"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7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5"/>
              <w:ind w:left="152" w:right="151"/>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78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5"/>
              <w:ind w:left="115" w:right="114"/>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714" w:hRule="exact"/>
        </w:trPr>
        <w:tc>
          <w:tcPr>
            <w:tcW w:w="1441" w:type="dxa"/>
            <w:vMerge/>
            <w:tcBorders>
              <w:left w:val="single" w:sz="4" w:space="0" w:color="000000"/>
              <w:bottom w:val="single" w:sz="4" w:space="0" w:color="000000"/>
              <w:right w:val="single" w:sz="4" w:space="0" w:color="000000"/>
            </w:tcBorders>
            <w:shd w:val="clear" w:color="auto" w:fill="D2D2D2"/>
          </w:tcPr>
          <w:p>
            <w:pPr/>
          </w:p>
        </w:tc>
        <w:tc>
          <w:tcPr>
            <w:tcW w:w="691" w:type="dxa"/>
            <w:vMerge/>
            <w:tcBorders>
              <w:left w:val="single" w:sz="4" w:space="0" w:color="000000"/>
              <w:bottom w:val="single" w:sz="4" w:space="0" w:color="000000"/>
              <w:right w:val="single" w:sz="4" w:space="0" w:color="000000"/>
            </w:tcBorders>
            <w:shd w:val="clear" w:color="auto" w:fill="D2D2D2"/>
          </w:tcPr>
          <w:p>
            <w:pP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237" w:right="146" w:hanging="92"/>
              <w:jc w:val="left"/>
              <w:rPr>
                <w:rFonts w:ascii="宋体" w:hAnsi="宋体" w:cs="宋体" w:eastAsia="宋体" w:hint="default"/>
                <w:sz w:val="18"/>
                <w:szCs w:val="18"/>
              </w:rPr>
            </w:pPr>
            <w:r>
              <w:rPr>
                <w:rFonts w:ascii="宋体" w:hAnsi="宋体" w:cs="宋体" w:eastAsia="宋体" w:hint="default"/>
                <w:sz w:val="18"/>
                <w:szCs w:val="18"/>
              </w:rPr>
              <w:t>优先 股</w:t>
            </w: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237" w:right="146" w:hanging="92"/>
              <w:jc w:val="left"/>
              <w:rPr>
                <w:rFonts w:ascii="宋体" w:hAnsi="宋体" w:cs="宋体" w:eastAsia="宋体" w:hint="default"/>
                <w:sz w:val="18"/>
                <w:szCs w:val="18"/>
              </w:rPr>
            </w:pPr>
            <w:r>
              <w:rPr>
                <w:rFonts w:ascii="宋体" w:hAnsi="宋体" w:cs="宋体" w:eastAsia="宋体" w:hint="default"/>
                <w:sz w:val="18"/>
                <w:szCs w:val="18"/>
              </w:rPr>
              <w:t>永续 债</w:t>
            </w: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4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676" w:type="dxa"/>
            <w:vMerge/>
            <w:tcBorders>
              <w:left w:val="single" w:sz="4" w:space="0" w:color="000000"/>
              <w:bottom w:val="single" w:sz="4" w:space="0" w:color="000000"/>
              <w:right w:val="single" w:sz="4" w:space="0" w:color="000000"/>
            </w:tcBorders>
            <w:shd w:val="clear" w:color="auto" w:fill="D2D2D2"/>
          </w:tcPr>
          <w:p>
            <w:pPr/>
          </w:p>
        </w:tc>
        <w:tc>
          <w:tcPr>
            <w:tcW w:w="781"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1" w:right="101"/>
              <w:jc w:val="left"/>
              <w:rPr>
                <w:rFonts w:ascii="宋体" w:hAnsi="宋体" w:cs="宋体" w:eastAsia="宋体" w:hint="default"/>
                <w:sz w:val="18"/>
                <w:szCs w:val="18"/>
              </w:rPr>
            </w:pPr>
            <w:r>
              <w:rPr>
                <w:rFonts w:ascii="宋体" w:hAnsi="宋体" w:cs="宋体" w:eastAsia="宋体" w:hint="default"/>
                <w:spacing w:val="-5"/>
                <w:sz w:val="18"/>
                <w:szCs w:val="18"/>
              </w:rPr>
              <w:t>一、上年期末余</w:t>
            </w:r>
            <w:r>
              <w:rPr>
                <w:rFonts w:ascii="宋体" w:hAnsi="宋体" w:cs="宋体" w:eastAsia="宋体" w:hint="default"/>
                <w:sz w:val="18"/>
                <w:szCs w:val="18"/>
              </w:rPr>
              <w:t> 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2" w:right="0"/>
              <w:jc w:val="left"/>
              <w:rPr>
                <w:rFonts w:ascii="Times New Roman" w:hAnsi="Times New Roman" w:cs="Times New Roman" w:eastAsia="Times New Roman" w:hint="default"/>
                <w:sz w:val="18"/>
                <w:szCs w:val="18"/>
              </w:rPr>
            </w:pPr>
            <w:r>
              <w:rPr>
                <w:rFonts w:ascii="Times New Roman"/>
                <w:sz w:val="18"/>
              </w:rPr>
              <w:t>242,8</w:t>
            </w:r>
          </w:p>
          <w:p>
            <w:pPr>
              <w:pStyle w:val="TableParagraph"/>
              <w:spacing w:line="240" w:lineRule="auto" w:before="105"/>
              <w:ind w:left="172" w:right="0"/>
              <w:jc w:val="left"/>
              <w:rPr>
                <w:rFonts w:ascii="Times New Roman" w:hAnsi="Times New Roman" w:cs="Times New Roman" w:eastAsia="Times New Roman" w:hint="default"/>
                <w:sz w:val="18"/>
                <w:szCs w:val="18"/>
              </w:rPr>
            </w:pPr>
            <w:r>
              <w:rPr>
                <w:rFonts w:ascii="Times New Roman"/>
                <w:sz w:val="18"/>
              </w:rPr>
              <w:t>01,88</w:t>
            </w:r>
          </w:p>
          <w:p>
            <w:pPr>
              <w:pStyle w:val="TableParagraph"/>
              <w:spacing w:line="240" w:lineRule="auto" w:before="105"/>
              <w:ind w:left="264" w:right="0"/>
              <w:jc w:val="left"/>
              <w:rPr>
                <w:rFonts w:ascii="Times New Roman" w:hAnsi="Times New Roman" w:cs="Times New Roman" w:eastAsia="Times New Roman" w:hint="default"/>
                <w:sz w:val="18"/>
                <w:szCs w:val="18"/>
              </w:rPr>
            </w:pPr>
            <w:r>
              <w:rPr>
                <w:rFonts w:ascii="Times New Roman"/>
                <w:sz w:val="18"/>
              </w:rPr>
              <w:t>7.00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3" w:right="0"/>
              <w:jc w:val="left"/>
              <w:rPr>
                <w:rFonts w:ascii="Times New Roman" w:hAnsi="Times New Roman" w:cs="Times New Roman" w:eastAsia="Times New Roman" w:hint="default"/>
                <w:sz w:val="18"/>
                <w:szCs w:val="18"/>
              </w:rPr>
            </w:pPr>
            <w:r>
              <w:rPr>
                <w:rFonts w:ascii="Times New Roman"/>
                <w:sz w:val="18"/>
              </w:rPr>
              <w:t>1,499,6</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28,425.</w:t>
            </w:r>
          </w:p>
          <w:p>
            <w:pPr>
              <w:pStyle w:val="TableParagraph"/>
              <w:spacing w:line="240" w:lineRule="auto" w:before="105"/>
              <w:ind w:left="503" w:right="0"/>
              <w:jc w:val="left"/>
              <w:rPr>
                <w:rFonts w:ascii="Times New Roman" w:hAnsi="Times New Roman" w:cs="Times New Roman" w:eastAsia="Times New Roman" w:hint="default"/>
                <w:sz w:val="18"/>
                <w:szCs w:val="18"/>
              </w:rPr>
            </w:pPr>
            <w:r>
              <w:rPr>
                <w:rFonts w:ascii="Times New Roman"/>
                <w:sz w:val="18"/>
              </w:rPr>
              <w:t>90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181,36</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4,667.7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9</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41,516,</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879.72</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7" w:right="0"/>
              <w:jc w:val="left"/>
              <w:rPr>
                <w:rFonts w:ascii="Times New Roman" w:hAnsi="Times New Roman" w:cs="Times New Roman" w:eastAsia="Times New Roman" w:hint="default"/>
                <w:sz w:val="18"/>
                <w:szCs w:val="18"/>
              </w:rPr>
            </w:pPr>
            <w:r>
              <w:rPr>
                <w:rFonts w:ascii="Times New Roman"/>
                <w:sz w:val="18"/>
              </w:rPr>
              <w:t>328,6</w:t>
            </w:r>
          </w:p>
          <w:p>
            <w:pPr>
              <w:pStyle w:val="TableParagraph"/>
              <w:spacing w:line="240" w:lineRule="auto" w:before="105"/>
              <w:ind w:left="157" w:right="0"/>
              <w:jc w:val="left"/>
              <w:rPr>
                <w:rFonts w:ascii="Times New Roman" w:hAnsi="Times New Roman" w:cs="Times New Roman" w:eastAsia="Times New Roman" w:hint="default"/>
                <w:sz w:val="18"/>
                <w:szCs w:val="18"/>
              </w:rPr>
            </w:pPr>
            <w:r>
              <w:rPr>
                <w:rFonts w:ascii="Times New Roman"/>
                <w:sz w:val="18"/>
              </w:rPr>
              <w:t>60,04</w:t>
            </w:r>
          </w:p>
          <w:p>
            <w:pPr>
              <w:pStyle w:val="TableParagraph"/>
              <w:spacing w:line="240" w:lineRule="auto" w:before="105"/>
              <w:ind w:left="248" w:right="0"/>
              <w:jc w:val="left"/>
              <w:rPr>
                <w:rFonts w:ascii="Times New Roman" w:hAnsi="Times New Roman" w:cs="Times New Roman" w:eastAsia="Times New Roman" w:hint="default"/>
                <w:sz w:val="18"/>
                <w:szCs w:val="18"/>
              </w:rPr>
            </w:pPr>
            <w:r>
              <w:rPr>
                <w:rFonts w:ascii="Times New Roman"/>
                <w:sz w:val="18"/>
              </w:rPr>
              <w:t>7.22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1,931,2</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42,572.</w:t>
            </w:r>
          </w:p>
          <w:p>
            <w:pPr>
              <w:pStyle w:val="TableParagraph"/>
              <w:spacing w:line="240" w:lineRule="auto" w:before="105"/>
              <w:ind w:left="487" w:right="0"/>
              <w:jc w:val="left"/>
              <w:rPr>
                <w:rFonts w:ascii="Times New Roman" w:hAnsi="Times New Roman" w:cs="Times New Roman" w:eastAsia="Times New Roman" w:hint="default"/>
                <w:sz w:val="18"/>
                <w:szCs w:val="18"/>
              </w:rPr>
            </w:pPr>
            <w:r>
              <w:rPr>
                <w:rFonts w:ascii="Times New Roman"/>
                <w:sz w:val="18"/>
              </w:rPr>
              <w:t>05</w:t>
            </w:r>
          </w:p>
        </w:tc>
      </w:tr>
      <w:tr>
        <w:trPr>
          <w:trHeight w:val="714"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01" w:firstLine="360"/>
              <w:jc w:val="left"/>
              <w:rPr>
                <w:rFonts w:ascii="宋体" w:hAnsi="宋体" w:cs="宋体" w:eastAsia="宋体" w:hint="default"/>
                <w:sz w:val="18"/>
                <w:szCs w:val="18"/>
              </w:rPr>
            </w:pPr>
            <w:r>
              <w:rPr>
                <w:rFonts w:ascii="宋体" w:hAnsi="宋体" w:cs="宋体" w:eastAsia="宋体" w:hint="default"/>
                <w:spacing w:val="-7"/>
                <w:sz w:val="18"/>
                <w:szCs w:val="18"/>
              </w:rPr>
              <w:t>加：会计政</w:t>
            </w:r>
            <w:r>
              <w:rPr>
                <w:rFonts w:ascii="宋体" w:hAnsi="宋体" w:cs="宋体" w:eastAsia="宋体" w:hint="default"/>
                <w:sz w:val="18"/>
                <w:szCs w:val="18"/>
              </w:rPr>
              <w:t> 策变更</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247" w:firstLine="720"/>
              <w:jc w:val="left"/>
              <w:rPr>
                <w:rFonts w:ascii="宋体" w:hAnsi="宋体" w:cs="宋体" w:eastAsia="宋体" w:hint="default"/>
                <w:sz w:val="18"/>
                <w:szCs w:val="18"/>
              </w:rPr>
            </w:pPr>
            <w:r>
              <w:rPr>
                <w:rFonts w:ascii="宋体" w:hAnsi="宋体" w:cs="宋体" w:eastAsia="宋体" w:hint="default"/>
                <w:sz w:val="18"/>
                <w:szCs w:val="18"/>
              </w:rPr>
              <w:t>前期 差错更正</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8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1" w:right="101"/>
              <w:jc w:val="left"/>
              <w:rPr>
                <w:rFonts w:ascii="宋体" w:hAnsi="宋体" w:cs="宋体" w:eastAsia="宋体" w:hint="default"/>
                <w:sz w:val="18"/>
                <w:szCs w:val="18"/>
              </w:rPr>
            </w:pPr>
            <w:r>
              <w:rPr>
                <w:rFonts w:ascii="宋体" w:hAnsi="宋体" w:cs="宋体" w:eastAsia="宋体" w:hint="default"/>
                <w:spacing w:val="-5"/>
                <w:sz w:val="18"/>
                <w:szCs w:val="18"/>
              </w:rPr>
              <w:t>二、本年期初余</w:t>
            </w:r>
            <w:r>
              <w:rPr>
                <w:rFonts w:ascii="宋体" w:hAnsi="宋体" w:cs="宋体" w:eastAsia="宋体" w:hint="default"/>
                <w:sz w:val="18"/>
                <w:szCs w:val="18"/>
              </w:rPr>
              <w:t> 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2" w:right="0"/>
              <w:jc w:val="left"/>
              <w:rPr>
                <w:rFonts w:ascii="Times New Roman" w:hAnsi="Times New Roman" w:cs="Times New Roman" w:eastAsia="Times New Roman" w:hint="default"/>
                <w:sz w:val="18"/>
                <w:szCs w:val="18"/>
              </w:rPr>
            </w:pPr>
            <w:r>
              <w:rPr>
                <w:rFonts w:ascii="Times New Roman"/>
                <w:sz w:val="18"/>
              </w:rPr>
              <w:t>242,8</w:t>
            </w:r>
          </w:p>
          <w:p>
            <w:pPr>
              <w:pStyle w:val="TableParagraph"/>
              <w:spacing w:line="240" w:lineRule="auto" w:before="105"/>
              <w:ind w:left="172" w:right="0"/>
              <w:jc w:val="left"/>
              <w:rPr>
                <w:rFonts w:ascii="Times New Roman" w:hAnsi="Times New Roman" w:cs="Times New Roman" w:eastAsia="Times New Roman" w:hint="default"/>
                <w:sz w:val="18"/>
                <w:szCs w:val="18"/>
              </w:rPr>
            </w:pPr>
            <w:r>
              <w:rPr>
                <w:rFonts w:ascii="Times New Roman"/>
                <w:sz w:val="18"/>
              </w:rPr>
              <w:t>01,88</w:t>
            </w:r>
          </w:p>
          <w:p>
            <w:pPr>
              <w:pStyle w:val="TableParagraph"/>
              <w:spacing w:line="240" w:lineRule="auto" w:before="105"/>
              <w:ind w:left="264" w:right="0"/>
              <w:jc w:val="left"/>
              <w:rPr>
                <w:rFonts w:ascii="Times New Roman" w:hAnsi="Times New Roman" w:cs="Times New Roman" w:eastAsia="Times New Roman" w:hint="default"/>
                <w:sz w:val="18"/>
                <w:szCs w:val="18"/>
              </w:rPr>
            </w:pPr>
            <w:r>
              <w:rPr>
                <w:rFonts w:ascii="Times New Roman"/>
                <w:sz w:val="18"/>
              </w:rPr>
              <w:t>7.00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3" w:right="0"/>
              <w:jc w:val="left"/>
              <w:rPr>
                <w:rFonts w:ascii="Times New Roman" w:hAnsi="Times New Roman" w:cs="Times New Roman" w:eastAsia="Times New Roman" w:hint="default"/>
                <w:sz w:val="18"/>
                <w:szCs w:val="18"/>
              </w:rPr>
            </w:pPr>
            <w:r>
              <w:rPr>
                <w:rFonts w:ascii="Times New Roman"/>
                <w:sz w:val="18"/>
              </w:rPr>
              <w:t>1,499,6</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28,425.</w:t>
            </w:r>
          </w:p>
          <w:p>
            <w:pPr>
              <w:pStyle w:val="TableParagraph"/>
              <w:spacing w:line="240" w:lineRule="auto" w:before="105"/>
              <w:ind w:left="503" w:right="0"/>
              <w:jc w:val="left"/>
              <w:rPr>
                <w:rFonts w:ascii="Times New Roman" w:hAnsi="Times New Roman" w:cs="Times New Roman" w:eastAsia="Times New Roman" w:hint="default"/>
                <w:sz w:val="18"/>
                <w:szCs w:val="18"/>
              </w:rPr>
            </w:pPr>
            <w:r>
              <w:rPr>
                <w:rFonts w:ascii="Times New Roman"/>
                <w:sz w:val="18"/>
              </w:rPr>
              <w:t>90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181,36</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4,667.7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9</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41,516,</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879.72</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7" w:right="0"/>
              <w:jc w:val="left"/>
              <w:rPr>
                <w:rFonts w:ascii="Times New Roman" w:hAnsi="Times New Roman" w:cs="Times New Roman" w:eastAsia="Times New Roman" w:hint="default"/>
                <w:sz w:val="18"/>
                <w:szCs w:val="18"/>
              </w:rPr>
            </w:pPr>
            <w:r>
              <w:rPr>
                <w:rFonts w:ascii="Times New Roman"/>
                <w:sz w:val="18"/>
              </w:rPr>
              <w:t>328,6</w:t>
            </w:r>
          </w:p>
          <w:p>
            <w:pPr>
              <w:pStyle w:val="TableParagraph"/>
              <w:spacing w:line="240" w:lineRule="auto" w:before="105"/>
              <w:ind w:left="157" w:right="0"/>
              <w:jc w:val="left"/>
              <w:rPr>
                <w:rFonts w:ascii="Times New Roman" w:hAnsi="Times New Roman" w:cs="Times New Roman" w:eastAsia="Times New Roman" w:hint="default"/>
                <w:sz w:val="18"/>
                <w:szCs w:val="18"/>
              </w:rPr>
            </w:pPr>
            <w:r>
              <w:rPr>
                <w:rFonts w:ascii="Times New Roman"/>
                <w:sz w:val="18"/>
              </w:rPr>
              <w:t>60,04</w:t>
            </w:r>
          </w:p>
          <w:p>
            <w:pPr>
              <w:pStyle w:val="TableParagraph"/>
              <w:spacing w:line="240" w:lineRule="auto" w:before="105"/>
              <w:ind w:left="248" w:right="0"/>
              <w:jc w:val="left"/>
              <w:rPr>
                <w:rFonts w:ascii="Times New Roman" w:hAnsi="Times New Roman" w:cs="Times New Roman" w:eastAsia="Times New Roman" w:hint="default"/>
                <w:sz w:val="18"/>
                <w:szCs w:val="18"/>
              </w:rPr>
            </w:pPr>
            <w:r>
              <w:rPr>
                <w:rFonts w:ascii="Times New Roman"/>
                <w:sz w:val="18"/>
              </w:rPr>
              <w:t>7.22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1,931,2</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42,572.</w:t>
            </w:r>
          </w:p>
          <w:p>
            <w:pPr>
              <w:pStyle w:val="TableParagraph"/>
              <w:spacing w:line="240" w:lineRule="auto" w:before="105"/>
              <w:ind w:left="487" w:right="0"/>
              <w:jc w:val="left"/>
              <w:rPr>
                <w:rFonts w:ascii="Times New Roman" w:hAnsi="Times New Roman" w:cs="Times New Roman" w:eastAsia="Times New Roman" w:hint="default"/>
                <w:sz w:val="18"/>
                <w:szCs w:val="18"/>
              </w:rPr>
            </w:pPr>
            <w:r>
              <w:rPr>
                <w:rFonts w:ascii="Times New Roman"/>
                <w:sz w:val="18"/>
              </w:rPr>
              <w:t>05</w:t>
            </w: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67"/>
              <w:jc w:val="both"/>
              <w:rPr>
                <w:rFonts w:ascii="宋体" w:hAnsi="宋体" w:cs="宋体" w:eastAsia="宋体" w:hint="default"/>
                <w:sz w:val="18"/>
                <w:szCs w:val="18"/>
              </w:rPr>
            </w:pPr>
            <w:r>
              <w:rPr>
                <w:rFonts w:ascii="宋体" w:hAnsi="宋体" w:cs="宋体" w:eastAsia="宋体" w:hint="default"/>
                <w:spacing w:val="-5"/>
                <w:sz w:val="18"/>
                <w:szCs w:val="18"/>
              </w:rPr>
              <w:t>三、本期增减变</w:t>
            </w:r>
            <w:r>
              <w:rPr>
                <w:rFonts w:ascii="宋体" w:hAnsi="宋体" w:cs="宋体" w:eastAsia="宋体" w:hint="default"/>
                <w:sz w:val="18"/>
                <w:szCs w:val="18"/>
              </w:rPr>
              <w:t> </w:t>
            </w:r>
            <w:r>
              <w:rPr>
                <w:rFonts w:ascii="宋体" w:hAnsi="宋体" w:cs="宋体" w:eastAsia="宋体" w:hint="default"/>
                <w:spacing w:val="-5"/>
                <w:sz w:val="18"/>
                <w:szCs w:val="18"/>
              </w:rPr>
              <w:t>动金额（减少以</w:t>
            </w:r>
            <w:r>
              <w:rPr>
                <w:rFonts w:ascii="宋体" w:hAnsi="宋体" w:cs="宋体" w:eastAsia="宋体" w:hint="default"/>
                <w:sz w:val="18"/>
                <w:szCs w:val="18"/>
              </w:rPr>
              <w:t> “－”号填列）</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2" w:right="0"/>
              <w:jc w:val="left"/>
              <w:rPr>
                <w:rFonts w:ascii="Times New Roman" w:hAnsi="Times New Roman" w:cs="Times New Roman" w:eastAsia="Times New Roman" w:hint="default"/>
                <w:sz w:val="18"/>
                <w:szCs w:val="18"/>
              </w:rPr>
            </w:pPr>
            <w:r>
              <w:rPr>
                <w:rFonts w:ascii="Times New Roman"/>
                <w:sz w:val="18"/>
              </w:rPr>
              <w:t>242,6</w:t>
            </w:r>
          </w:p>
          <w:p>
            <w:pPr>
              <w:pStyle w:val="TableParagraph"/>
              <w:spacing w:line="240" w:lineRule="auto" w:before="105"/>
              <w:ind w:left="180" w:right="0"/>
              <w:jc w:val="left"/>
              <w:rPr>
                <w:rFonts w:ascii="Times New Roman" w:hAnsi="Times New Roman" w:cs="Times New Roman" w:eastAsia="Times New Roman" w:hint="default"/>
                <w:sz w:val="18"/>
                <w:szCs w:val="18"/>
              </w:rPr>
            </w:pPr>
            <w:r>
              <w:rPr>
                <w:rFonts w:ascii="Times New Roman"/>
                <w:sz w:val="18"/>
              </w:rPr>
              <w:t>54,51</w:t>
            </w:r>
          </w:p>
          <w:p>
            <w:pPr>
              <w:pStyle w:val="TableParagraph"/>
              <w:spacing w:line="240" w:lineRule="auto" w:before="105"/>
              <w:ind w:left="264" w:right="0"/>
              <w:jc w:val="left"/>
              <w:rPr>
                <w:rFonts w:ascii="Times New Roman" w:hAnsi="Times New Roman" w:cs="Times New Roman" w:eastAsia="Times New Roman" w:hint="default"/>
                <w:sz w:val="18"/>
                <w:szCs w:val="18"/>
              </w:rPr>
            </w:pPr>
            <w:r>
              <w:rPr>
                <w:rFonts w:ascii="Times New Roman"/>
                <w:sz w:val="18"/>
              </w:rPr>
              <w:t>1.00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-259,51</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4,282.7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-150,88</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3,605.5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8</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24,164,</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122.46</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57" w:right="0"/>
              <w:jc w:val="left"/>
              <w:rPr>
                <w:rFonts w:ascii="Times New Roman" w:hAnsi="Times New Roman" w:cs="Times New Roman" w:eastAsia="Times New Roman" w:hint="default"/>
                <w:sz w:val="18"/>
                <w:szCs w:val="18"/>
              </w:rPr>
            </w:pPr>
            <w:r>
              <w:rPr>
                <w:rFonts w:ascii="Times New Roman"/>
                <w:sz w:val="18"/>
              </w:rPr>
              <w:t>193,2</w:t>
            </w:r>
          </w:p>
          <w:p>
            <w:pPr>
              <w:pStyle w:val="TableParagraph"/>
              <w:spacing w:line="240" w:lineRule="auto" w:before="105"/>
              <w:ind w:left="157" w:right="0"/>
              <w:jc w:val="left"/>
              <w:rPr>
                <w:rFonts w:ascii="Times New Roman" w:hAnsi="Times New Roman" w:cs="Times New Roman" w:eastAsia="Times New Roman" w:hint="default"/>
                <w:sz w:val="18"/>
                <w:szCs w:val="18"/>
              </w:rPr>
            </w:pPr>
            <w:r>
              <w:rPr>
                <w:rFonts w:ascii="Times New Roman"/>
                <w:sz w:val="18"/>
              </w:rPr>
              <w:t>14,66</w:t>
            </w:r>
          </w:p>
          <w:p>
            <w:pPr>
              <w:pStyle w:val="TableParagraph"/>
              <w:spacing w:line="240" w:lineRule="auto" w:before="105"/>
              <w:ind w:left="248" w:right="0"/>
              <w:jc w:val="left"/>
              <w:rPr>
                <w:rFonts w:ascii="Times New Roman" w:hAnsi="Times New Roman" w:cs="Times New Roman" w:eastAsia="Times New Roman" w:hint="default"/>
                <w:sz w:val="18"/>
                <w:szCs w:val="18"/>
              </w:rPr>
            </w:pPr>
            <w:r>
              <w:rPr>
                <w:rFonts w:ascii="Times New Roman"/>
                <w:sz w:val="18"/>
              </w:rPr>
              <w:t>0.37</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351,40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2,616.6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1" w:right="101"/>
              <w:jc w:val="left"/>
              <w:rPr>
                <w:rFonts w:ascii="宋体" w:hAnsi="宋体" w:cs="宋体" w:eastAsia="宋体" w:hint="default"/>
                <w:sz w:val="18"/>
                <w:szCs w:val="18"/>
              </w:rPr>
            </w:pPr>
            <w:r>
              <w:rPr>
                <w:rFonts w:ascii="宋体" w:hAnsi="宋体" w:cs="宋体" w:eastAsia="宋体" w:hint="default"/>
                <w:spacing w:val="-5"/>
                <w:sz w:val="18"/>
                <w:szCs w:val="18"/>
              </w:rPr>
              <w:t>（一）综合收益</w:t>
            </w:r>
            <w:r>
              <w:rPr>
                <w:rFonts w:ascii="宋体" w:hAnsi="宋体" w:cs="宋体" w:eastAsia="宋体" w:hint="default"/>
                <w:sz w:val="18"/>
                <w:szCs w:val="18"/>
              </w:rPr>
              <w:t> 总额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7" w:right="0"/>
              <w:jc w:val="left"/>
              <w:rPr>
                <w:rFonts w:ascii="Times New Roman" w:hAnsi="Times New Roman" w:cs="Times New Roman" w:eastAsia="Times New Roman" w:hint="default"/>
                <w:sz w:val="18"/>
                <w:szCs w:val="18"/>
              </w:rPr>
            </w:pPr>
            <w:r>
              <w:rPr>
                <w:rFonts w:ascii="Times New Roman"/>
                <w:sz w:val="18"/>
              </w:rPr>
              <w:t>241,6</w:t>
            </w:r>
          </w:p>
          <w:p>
            <w:pPr>
              <w:pStyle w:val="TableParagraph"/>
              <w:spacing w:line="240" w:lineRule="auto" w:before="105"/>
              <w:ind w:left="157" w:right="0"/>
              <w:jc w:val="left"/>
              <w:rPr>
                <w:rFonts w:ascii="Times New Roman" w:hAnsi="Times New Roman" w:cs="Times New Roman" w:eastAsia="Times New Roman" w:hint="default"/>
                <w:sz w:val="18"/>
                <w:szCs w:val="18"/>
              </w:rPr>
            </w:pPr>
            <w:r>
              <w:rPr>
                <w:rFonts w:ascii="Times New Roman"/>
                <w:sz w:val="18"/>
              </w:rPr>
              <w:t>41,22</w:t>
            </w:r>
          </w:p>
          <w:p>
            <w:pPr>
              <w:pStyle w:val="TableParagraph"/>
              <w:spacing w:line="240" w:lineRule="auto" w:before="105"/>
              <w:ind w:left="248" w:right="0"/>
              <w:jc w:val="left"/>
              <w:rPr>
                <w:rFonts w:ascii="Times New Roman" w:hAnsi="Times New Roman" w:cs="Times New Roman" w:eastAsia="Times New Roman" w:hint="default"/>
                <w:sz w:val="18"/>
                <w:szCs w:val="18"/>
              </w:rPr>
            </w:pPr>
            <w:r>
              <w:rPr>
                <w:rFonts w:ascii="Times New Roman"/>
                <w:sz w:val="18"/>
              </w:rPr>
              <w:t>4.55</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241,64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1,224.5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r>
      <w:tr>
        <w:trPr>
          <w:trHeight w:val="400"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2"/>
              <w:ind w:left="101" w:right="0"/>
              <w:jc w:val="left"/>
              <w:rPr>
                <w:rFonts w:ascii="宋体" w:hAnsi="宋体" w:cs="宋体" w:eastAsia="宋体" w:hint="default"/>
                <w:sz w:val="18"/>
                <w:szCs w:val="18"/>
              </w:rPr>
            </w:pPr>
            <w:r>
              <w:rPr>
                <w:rFonts w:ascii="宋体" w:hAnsi="宋体" w:cs="宋体" w:eastAsia="宋体" w:hint="default"/>
                <w:spacing w:val="-5"/>
                <w:sz w:val="18"/>
                <w:szCs w:val="18"/>
              </w:rPr>
              <w:t>（二）所有者投</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112" w:right="0"/>
              <w:jc w:val="left"/>
              <w:rPr>
                <w:rFonts w:ascii="Times New Roman" w:hAnsi="Times New Roman" w:cs="Times New Roman" w:eastAsia="Times New Roman" w:hint="default"/>
                <w:sz w:val="18"/>
                <w:szCs w:val="18"/>
              </w:rPr>
            </w:pPr>
            <w:r>
              <w:rPr>
                <w:rFonts w:ascii="Times New Roman"/>
                <w:sz w:val="18"/>
              </w:rPr>
              <w:t>-147,3</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129" w:right="0"/>
              <w:jc w:val="left"/>
              <w:rPr>
                <w:rFonts w:ascii="Times New Roman" w:hAnsi="Times New Roman" w:cs="Times New Roman" w:eastAsia="Times New Roman" w:hint="default"/>
                <w:sz w:val="18"/>
                <w:szCs w:val="18"/>
              </w:rPr>
            </w:pPr>
            <w:r>
              <w:rPr>
                <w:rFonts w:ascii="Times New Roman"/>
                <w:sz w:val="18"/>
              </w:rPr>
              <w:t>-16,712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131" w:right="0"/>
              <w:jc w:val="left"/>
              <w:rPr>
                <w:rFonts w:ascii="Times New Roman" w:hAnsi="Times New Roman" w:cs="Times New Roman" w:eastAsia="Times New Roman" w:hint="default"/>
                <w:sz w:val="18"/>
                <w:szCs w:val="18"/>
              </w:rPr>
            </w:pPr>
            <w:r>
              <w:rPr>
                <w:rFonts w:ascii="Times New Roman"/>
                <w:sz w:val="18"/>
              </w:rPr>
              <w:t>-150,88</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172" w:right="0"/>
              <w:jc w:val="left"/>
              <w:rPr>
                <w:rFonts w:ascii="Times New Roman" w:hAnsi="Times New Roman" w:cs="Times New Roman" w:eastAsia="Times New Roman" w:hint="default"/>
                <w:sz w:val="18"/>
                <w:szCs w:val="18"/>
              </w:rPr>
            </w:pPr>
            <w:r>
              <w:rPr>
                <w:rFonts w:ascii="Times New Roman"/>
                <w:sz w:val="18"/>
              </w:rPr>
              <w:t>134,02</w:t>
            </w:r>
          </w:p>
        </w:tc>
      </w:tr>
    </w:tbl>
    <w:p>
      <w:pPr>
        <w:spacing w:after="0" w:line="240" w:lineRule="auto"/>
        <w:jc w:val="lef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441"/>
        <w:gridCol w:w="691"/>
        <w:gridCol w:w="665"/>
        <w:gridCol w:w="665"/>
        <w:gridCol w:w="665"/>
        <w:gridCol w:w="797"/>
        <w:gridCol w:w="798"/>
        <w:gridCol w:w="797"/>
        <w:gridCol w:w="798"/>
        <w:gridCol w:w="797"/>
        <w:gridCol w:w="676"/>
        <w:gridCol w:w="781"/>
      </w:tblGrid>
      <w:tr>
        <w:trPr>
          <w:trHeight w:val="674"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入和减少资本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72" w:right="0"/>
              <w:jc w:val="left"/>
              <w:rPr>
                <w:rFonts w:ascii="Times New Roman" w:hAnsi="Times New Roman" w:cs="Times New Roman" w:eastAsia="Times New Roman" w:hint="default"/>
                <w:sz w:val="18"/>
                <w:szCs w:val="18"/>
              </w:rPr>
            </w:pPr>
            <w:r>
              <w:rPr>
                <w:rFonts w:ascii="Times New Roman"/>
                <w:sz w:val="18"/>
              </w:rPr>
              <w:t>76.00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43" w:right="0"/>
              <w:jc w:val="left"/>
              <w:rPr>
                <w:rFonts w:ascii="Times New Roman" w:hAnsi="Times New Roman" w:cs="Times New Roman" w:eastAsia="Times New Roman" w:hint="default"/>
                <w:sz w:val="18"/>
                <w:szCs w:val="18"/>
              </w:rPr>
            </w:pPr>
            <w:r>
              <w:rPr>
                <w:rFonts w:ascii="Times New Roman"/>
                <w:sz w:val="18"/>
              </w:rPr>
              <w:t>,395.75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18"/>
                <w:szCs w:val="18"/>
              </w:rPr>
            </w:pPr>
            <w:r>
              <w:rPr>
                <w:rFonts w:ascii="Times New Roman"/>
                <w:spacing w:val="-1"/>
                <w:sz w:val="18"/>
              </w:rPr>
              <w:t>3,605.5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8</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pacing w:val="-1"/>
                <w:sz w:val="18"/>
              </w:rPr>
              <w:t>3,833.8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w:t>
            </w: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300" w:lineRule="auto"/>
              <w:ind w:left="101"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 的普通股</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z w:val="18"/>
              </w:rPr>
              <w:t>-147,3</w:t>
            </w:r>
          </w:p>
          <w:p>
            <w:pPr>
              <w:pStyle w:val="TableParagraph"/>
              <w:spacing w:line="240" w:lineRule="auto" w:before="105"/>
              <w:ind w:left="172" w:right="0"/>
              <w:jc w:val="left"/>
              <w:rPr>
                <w:rFonts w:ascii="Times New Roman" w:hAnsi="Times New Roman" w:cs="Times New Roman" w:eastAsia="Times New Roman" w:hint="default"/>
                <w:sz w:val="18"/>
                <w:szCs w:val="18"/>
              </w:rPr>
            </w:pPr>
            <w:r>
              <w:rPr>
                <w:rFonts w:ascii="Times New Roman"/>
                <w:sz w:val="18"/>
              </w:rPr>
              <w:t>76.00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75" w:right="0"/>
              <w:jc w:val="left"/>
              <w:rPr>
                <w:rFonts w:ascii="Times New Roman" w:hAnsi="Times New Roman" w:cs="Times New Roman" w:eastAsia="Times New Roman" w:hint="default"/>
                <w:sz w:val="18"/>
                <w:szCs w:val="18"/>
              </w:rPr>
            </w:pPr>
            <w:r>
              <w:rPr>
                <w:rFonts w:ascii="Times New Roman"/>
                <w:sz w:val="18"/>
              </w:rPr>
              <w:t>-1,195,</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479.22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-150,88</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3,605.5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8</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149,54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0,750.3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1"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 具持有者投入 资本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0"/>
              <w:ind w:left="101"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 入所有者权益 的金额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8,350,8</w:t>
            </w:r>
          </w:p>
          <w:p>
            <w:pPr>
              <w:pStyle w:val="TableParagraph"/>
              <w:spacing w:line="240" w:lineRule="auto" w:before="105"/>
              <w:ind w:left="175" w:right="0"/>
              <w:jc w:val="center"/>
              <w:rPr>
                <w:rFonts w:ascii="Times New Roman" w:hAnsi="Times New Roman" w:cs="Times New Roman" w:eastAsia="Times New Roman" w:hint="default"/>
                <w:sz w:val="18"/>
                <w:szCs w:val="18"/>
              </w:rPr>
            </w:pPr>
            <w:r>
              <w:rPr>
                <w:rFonts w:ascii="Times New Roman"/>
                <w:sz w:val="18"/>
              </w:rPr>
              <w:t>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24" w:right="0"/>
              <w:jc w:val="center"/>
              <w:rPr>
                <w:rFonts w:ascii="Times New Roman" w:hAnsi="Times New Roman" w:cs="Times New Roman" w:eastAsia="Times New Roman" w:hint="default"/>
                <w:sz w:val="18"/>
                <w:szCs w:val="18"/>
              </w:rPr>
            </w:pPr>
            <w:r>
              <w:rPr>
                <w:rFonts w:ascii="Times New Roman"/>
                <w:sz w:val="18"/>
              </w:rPr>
              <w:t>8,350,8</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00.00</w:t>
            </w:r>
          </w:p>
        </w:tc>
      </w:tr>
      <w:tr>
        <w:trPr>
          <w:trHeight w:val="714"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9" w:right="0"/>
              <w:jc w:val="left"/>
              <w:rPr>
                <w:rFonts w:ascii="Times New Roman" w:hAnsi="Times New Roman" w:cs="Times New Roman" w:eastAsia="Times New Roman" w:hint="default"/>
                <w:sz w:val="18"/>
                <w:szCs w:val="18"/>
              </w:rPr>
            </w:pPr>
            <w:r>
              <w:rPr>
                <w:rFonts w:ascii="Times New Roman"/>
                <w:sz w:val="18"/>
              </w:rPr>
              <w:t>-23,867</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,716.53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5" w:right="0"/>
              <w:jc w:val="left"/>
              <w:rPr>
                <w:rFonts w:ascii="Times New Roman" w:hAnsi="Times New Roman" w:cs="Times New Roman" w:eastAsia="Times New Roman" w:hint="default"/>
                <w:sz w:val="18"/>
                <w:szCs w:val="18"/>
              </w:rPr>
            </w:pPr>
            <w:r>
              <w:rPr>
                <w:rFonts w:ascii="Times New Roman"/>
                <w:sz w:val="18"/>
              </w:rPr>
              <w:t>-23,867</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,716.53</w:t>
            </w: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5"/>
              <w:ind w:left="101" w:right="0"/>
              <w:jc w:val="left"/>
              <w:rPr>
                <w:rFonts w:ascii="宋体" w:hAnsi="宋体" w:cs="宋体" w:eastAsia="宋体" w:hint="default"/>
                <w:sz w:val="18"/>
                <w:szCs w:val="18"/>
              </w:rPr>
            </w:pPr>
            <w:r>
              <w:rPr>
                <w:rFonts w:ascii="宋体" w:hAnsi="宋体" w:cs="宋体" w:eastAsia="宋体" w:hint="default"/>
                <w:spacing w:val="-5"/>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24,164,</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122.46</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88" w:right="0"/>
              <w:jc w:val="left"/>
              <w:rPr>
                <w:rFonts w:ascii="Times New Roman" w:hAnsi="Times New Roman" w:cs="Times New Roman" w:eastAsia="Times New Roman" w:hint="default"/>
                <w:sz w:val="18"/>
                <w:szCs w:val="18"/>
              </w:rPr>
            </w:pPr>
            <w:r>
              <w:rPr>
                <w:rFonts w:ascii="Times New Roman"/>
                <w:sz w:val="18"/>
              </w:rPr>
              <w:t>-48,4</w:t>
            </w:r>
          </w:p>
          <w:p>
            <w:pPr>
              <w:pStyle w:val="TableParagraph"/>
              <w:spacing w:line="240" w:lineRule="auto" w:before="105"/>
              <w:ind w:left="157" w:right="0"/>
              <w:jc w:val="left"/>
              <w:rPr>
                <w:rFonts w:ascii="Times New Roman" w:hAnsi="Times New Roman" w:cs="Times New Roman" w:eastAsia="Times New Roman" w:hint="default"/>
                <w:sz w:val="18"/>
                <w:szCs w:val="18"/>
              </w:rPr>
            </w:pPr>
            <w:r>
              <w:rPr>
                <w:rFonts w:ascii="Times New Roman"/>
                <w:sz w:val="18"/>
              </w:rPr>
              <w:t>26,56</w:t>
            </w:r>
          </w:p>
          <w:p>
            <w:pPr>
              <w:pStyle w:val="TableParagraph"/>
              <w:spacing w:line="240" w:lineRule="auto" w:before="105"/>
              <w:ind w:left="248" w:right="0"/>
              <w:jc w:val="left"/>
              <w:rPr>
                <w:rFonts w:ascii="Times New Roman" w:hAnsi="Times New Roman" w:cs="Times New Roman" w:eastAsia="Times New Roman" w:hint="default"/>
                <w:sz w:val="18"/>
                <w:szCs w:val="18"/>
              </w:rPr>
            </w:pPr>
            <w:r>
              <w:rPr>
                <w:rFonts w:ascii="Times New Roman"/>
                <w:sz w:val="18"/>
              </w:rPr>
              <w:t>4.18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-24,262</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,441.72</w:t>
            </w: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00" w:lineRule="auto"/>
              <w:ind w:left="101"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 积</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24,164,</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122.46</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8" w:right="0"/>
              <w:jc w:val="left"/>
              <w:rPr>
                <w:rFonts w:ascii="Times New Roman" w:hAnsi="Times New Roman" w:cs="Times New Roman" w:eastAsia="Times New Roman" w:hint="default"/>
                <w:sz w:val="18"/>
                <w:szCs w:val="18"/>
              </w:rPr>
            </w:pPr>
            <w:r>
              <w:rPr>
                <w:rFonts w:ascii="Times New Roman"/>
                <w:sz w:val="18"/>
              </w:rPr>
              <w:t>-24,1</w:t>
            </w:r>
          </w:p>
          <w:p>
            <w:pPr>
              <w:pStyle w:val="TableParagraph"/>
              <w:spacing w:line="240" w:lineRule="auto" w:before="105"/>
              <w:ind w:left="157" w:right="0"/>
              <w:jc w:val="left"/>
              <w:rPr>
                <w:rFonts w:ascii="Times New Roman" w:hAnsi="Times New Roman" w:cs="Times New Roman" w:eastAsia="Times New Roman" w:hint="default"/>
                <w:sz w:val="18"/>
                <w:szCs w:val="18"/>
              </w:rPr>
            </w:pPr>
            <w:r>
              <w:rPr>
                <w:rFonts w:ascii="Times New Roman"/>
                <w:sz w:val="18"/>
              </w:rPr>
              <w:t>64,12</w:t>
            </w:r>
          </w:p>
          <w:p>
            <w:pPr>
              <w:pStyle w:val="TableParagraph"/>
              <w:spacing w:line="240" w:lineRule="auto" w:before="105"/>
              <w:ind w:left="248" w:right="0"/>
              <w:jc w:val="left"/>
              <w:rPr>
                <w:rFonts w:ascii="Times New Roman" w:hAnsi="Times New Roman" w:cs="Times New Roman" w:eastAsia="Times New Roman" w:hint="default"/>
                <w:sz w:val="18"/>
                <w:szCs w:val="18"/>
              </w:rPr>
            </w:pPr>
            <w:r>
              <w:rPr>
                <w:rFonts w:ascii="Times New Roman"/>
                <w:sz w:val="18"/>
              </w:rPr>
              <w:t>2.46</w:t>
            </w: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300" w:lineRule="auto"/>
              <w:ind w:left="101" w:right="101"/>
              <w:jc w:val="left"/>
              <w:rPr>
                <w:rFonts w:ascii="宋体" w:hAnsi="宋体" w:cs="宋体" w:eastAsia="宋体" w:hint="default"/>
                <w:sz w:val="18"/>
                <w:szCs w:val="18"/>
              </w:rPr>
            </w:pPr>
            <w:r>
              <w:rPr>
                <w:rFonts w:ascii="Times New Roman" w:hAnsi="Times New Roman" w:cs="Times New Roman" w:eastAsia="Times New Roman" w:hint="default"/>
                <w:spacing w:val="-16"/>
                <w:sz w:val="18"/>
                <w:szCs w:val="18"/>
              </w:rPr>
              <w:t>2</w:t>
            </w:r>
            <w:r>
              <w:rPr>
                <w:rFonts w:ascii="宋体" w:hAnsi="宋体" w:cs="宋体" w:eastAsia="宋体" w:hint="default"/>
                <w:spacing w:val="-16"/>
                <w:sz w:val="18"/>
                <w:szCs w:val="18"/>
              </w:rPr>
              <w:t>．对所有者（或</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股东）的分配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88" w:right="0"/>
              <w:jc w:val="left"/>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157" w:right="0"/>
              <w:jc w:val="left"/>
              <w:rPr>
                <w:rFonts w:ascii="Times New Roman" w:hAnsi="Times New Roman" w:cs="Times New Roman" w:eastAsia="Times New Roman" w:hint="default"/>
                <w:sz w:val="18"/>
                <w:szCs w:val="18"/>
              </w:rPr>
            </w:pPr>
            <w:r>
              <w:rPr>
                <w:rFonts w:ascii="Times New Roman"/>
                <w:sz w:val="18"/>
              </w:rPr>
              <w:t>62,44</w:t>
            </w:r>
          </w:p>
          <w:p>
            <w:pPr>
              <w:pStyle w:val="TableParagraph"/>
              <w:spacing w:line="240" w:lineRule="auto" w:before="105"/>
              <w:ind w:left="248" w:right="0"/>
              <w:jc w:val="left"/>
              <w:rPr>
                <w:rFonts w:ascii="Times New Roman" w:hAnsi="Times New Roman" w:cs="Times New Roman" w:eastAsia="Times New Roman" w:hint="default"/>
                <w:sz w:val="18"/>
                <w:szCs w:val="18"/>
              </w:rPr>
            </w:pPr>
            <w:r>
              <w:rPr>
                <w:rFonts w:ascii="Times New Roman"/>
                <w:sz w:val="18"/>
              </w:rPr>
              <w:t>1.72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-24,262</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,441.72</w:t>
            </w:r>
          </w:p>
        </w:tc>
      </w:tr>
      <w:tr>
        <w:trPr>
          <w:trHeight w:val="402"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316" w:lineRule="auto"/>
              <w:ind w:left="101" w:right="101"/>
              <w:jc w:val="left"/>
              <w:rPr>
                <w:rFonts w:ascii="宋体" w:hAnsi="宋体" w:cs="宋体" w:eastAsia="宋体" w:hint="default"/>
                <w:sz w:val="18"/>
                <w:szCs w:val="18"/>
              </w:rPr>
            </w:pPr>
            <w:r>
              <w:rPr>
                <w:rFonts w:ascii="宋体" w:hAnsi="宋体" w:cs="宋体" w:eastAsia="宋体" w:hint="default"/>
                <w:spacing w:val="-5"/>
                <w:sz w:val="18"/>
                <w:szCs w:val="18"/>
              </w:rPr>
              <w:t>（四）所有者权</w:t>
            </w:r>
            <w:r>
              <w:rPr>
                <w:rFonts w:ascii="宋体" w:hAnsi="宋体" w:cs="宋体" w:eastAsia="宋体" w:hint="default"/>
                <w:sz w:val="18"/>
                <w:szCs w:val="18"/>
              </w:rPr>
              <w:t> 益内部结转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2" w:right="0"/>
              <w:jc w:val="left"/>
              <w:rPr>
                <w:rFonts w:ascii="Times New Roman" w:hAnsi="Times New Roman" w:cs="Times New Roman" w:eastAsia="Times New Roman" w:hint="default"/>
                <w:sz w:val="18"/>
                <w:szCs w:val="18"/>
              </w:rPr>
            </w:pPr>
            <w:r>
              <w:rPr>
                <w:rFonts w:ascii="Times New Roman"/>
                <w:sz w:val="18"/>
              </w:rPr>
              <w:t>242,8</w:t>
            </w:r>
          </w:p>
          <w:p>
            <w:pPr>
              <w:pStyle w:val="TableParagraph"/>
              <w:spacing w:line="240" w:lineRule="auto" w:before="105"/>
              <w:ind w:left="172" w:right="0"/>
              <w:jc w:val="left"/>
              <w:rPr>
                <w:rFonts w:ascii="Times New Roman" w:hAnsi="Times New Roman" w:cs="Times New Roman" w:eastAsia="Times New Roman" w:hint="default"/>
                <w:sz w:val="18"/>
                <w:szCs w:val="18"/>
              </w:rPr>
            </w:pPr>
            <w:r>
              <w:rPr>
                <w:rFonts w:ascii="Times New Roman"/>
                <w:sz w:val="18"/>
              </w:rPr>
              <w:t>01,88</w:t>
            </w:r>
          </w:p>
          <w:p>
            <w:pPr>
              <w:pStyle w:val="TableParagraph"/>
              <w:spacing w:line="240" w:lineRule="auto" w:before="105"/>
              <w:ind w:left="264" w:right="0"/>
              <w:jc w:val="left"/>
              <w:rPr>
                <w:rFonts w:ascii="Times New Roman" w:hAnsi="Times New Roman" w:cs="Times New Roman" w:eastAsia="Times New Roman" w:hint="default"/>
                <w:sz w:val="18"/>
                <w:szCs w:val="18"/>
              </w:rPr>
            </w:pPr>
            <w:r>
              <w:rPr>
                <w:rFonts w:ascii="Times New Roman"/>
                <w:sz w:val="18"/>
              </w:rPr>
              <w:t>7.00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-242,80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1,887.0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1"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 增资本（或股 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2" w:right="0"/>
              <w:jc w:val="left"/>
              <w:rPr>
                <w:rFonts w:ascii="Times New Roman" w:hAnsi="Times New Roman" w:cs="Times New Roman" w:eastAsia="Times New Roman" w:hint="default"/>
                <w:sz w:val="18"/>
                <w:szCs w:val="18"/>
              </w:rPr>
            </w:pPr>
            <w:r>
              <w:rPr>
                <w:rFonts w:ascii="Times New Roman"/>
                <w:sz w:val="18"/>
              </w:rPr>
              <w:t>242,8</w:t>
            </w:r>
          </w:p>
          <w:p>
            <w:pPr>
              <w:pStyle w:val="TableParagraph"/>
              <w:spacing w:line="240" w:lineRule="auto" w:before="105"/>
              <w:ind w:left="172" w:right="0"/>
              <w:jc w:val="left"/>
              <w:rPr>
                <w:rFonts w:ascii="Times New Roman" w:hAnsi="Times New Roman" w:cs="Times New Roman" w:eastAsia="Times New Roman" w:hint="default"/>
                <w:sz w:val="18"/>
                <w:szCs w:val="18"/>
              </w:rPr>
            </w:pPr>
            <w:r>
              <w:rPr>
                <w:rFonts w:ascii="Times New Roman"/>
                <w:sz w:val="18"/>
              </w:rPr>
              <w:t>01,88</w:t>
            </w:r>
          </w:p>
          <w:p>
            <w:pPr>
              <w:pStyle w:val="TableParagraph"/>
              <w:spacing w:line="240" w:lineRule="auto" w:before="105"/>
              <w:ind w:left="264" w:right="0"/>
              <w:jc w:val="left"/>
              <w:rPr>
                <w:rFonts w:ascii="Times New Roman" w:hAnsi="Times New Roman" w:cs="Times New Roman" w:eastAsia="Times New Roman" w:hint="default"/>
                <w:sz w:val="18"/>
                <w:szCs w:val="18"/>
              </w:rPr>
            </w:pPr>
            <w:r>
              <w:rPr>
                <w:rFonts w:ascii="Times New Roman"/>
                <w:sz w:val="18"/>
              </w:rPr>
              <w:t>7.00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-242,80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1,887.0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0"/>
              <w:ind w:left="101"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 增资本（或股 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 补亏损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0"/>
              <w:ind w:left="101"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 划变动额结转 留存收益</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0"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pacing w:val="-5"/>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441"/>
        <w:gridCol w:w="691"/>
        <w:gridCol w:w="665"/>
        <w:gridCol w:w="665"/>
        <w:gridCol w:w="665"/>
        <w:gridCol w:w="797"/>
        <w:gridCol w:w="798"/>
        <w:gridCol w:w="797"/>
        <w:gridCol w:w="798"/>
        <w:gridCol w:w="797"/>
        <w:gridCol w:w="676"/>
        <w:gridCol w:w="781"/>
      </w:tblGrid>
      <w:tr>
        <w:trPr>
          <w:trHeight w:val="402"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ind w:left="101" w:right="101"/>
              <w:jc w:val="left"/>
              <w:rPr>
                <w:rFonts w:ascii="宋体" w:hAnsi="宋体" w:cs="宋体" w:eastAsia="宋体" w:hint="default"/>
                <w:sz w:val="18"/>
                <w:szCs w:val="18"/>
              </w:rPr>
            </w:pPr>
            <w:r>
              <w:rPr>
                <w:rFonts w:ascii="宋体" w:hAnsi="宋体" w:cs="宋体" w:eastAsia="宋体" w:hint="default"/>
                <w:spacing w:val="-5"/>
                <w:sz w:val="18"/>
                <w:szCs w:val="18"/>
              </w:rPr>
              <w:t>四、本期期末余</w:t>
            </w:r>
            <w:r>
              <w:rPr>
                <w:rFonts w:ascii="宋体" w:hAnsi="宋体" w:cs="宋体" w:eastAsia="宋体" w:hint="default"/>
                <w:sz w:val="18"/>
                <w:szCs w:val="18"/>
              </w:rPr>
              <w:t> 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72" w:right="0"/>
              <w:jc w:val="left"/>
              <w:rPr>
                <w:rFonts w:ascii="Times New Roman" w:hAnsi="Times New Roman" w:cs="Times New Roman" w:eastAsia="Times New Roman" w:hint="default"/>
                <w:sz w:val="18"/>
                <w:szCs w:val="18"/>
              </w:rPr>
            </w:pPr>
            <w:r>
              <w:rPr>
                <w:rFonts w:ascii="Times New Roman"/>
                <w:sz w:val="18"/>
              </w:rPr>
              <w:t>485,4</w:t>
            </w:r>
          </w:p>
          <w:p>
            <w:pPr>
              <w:pStyle w:val="TableParagraph"/>
              <w:spacing w:line="240" w:lineRule="auto" w:before="105"/>
              <w:ind w:left="172" w:right="0"/>
              <w:jc w:val="left"/>
              <w:rPr>
                <w:rFonts w:ascii="Times New Roman" w:hAnsi="Times New Roman" w:cs="Times New Roman" w:eastAsia="Times New Roman" w:hint="default"/>
                <w:sz w:val="18"/>
                <w:szCs w:val="18"/>
              </w:rPr>
            </w:pPr>
            <w:r>
              <w:rPr>
                <w:rFonts w:ascii="Times New Roman"/>
                <w:sz w:val="18"/>
              </w:rPr>
              <w:t>56,39</w:t>
            </w:r>
          </w:p>
          <w:p>
            <w:pPr>
              <w:pStyle w:val="TableParagraph"/>
              <w:spacing w:line="240" w:lineRule="auto" w:before="105"/>
              <w:ind w:left="264" w:right="0"/>
              <w:jc w:val="left"/>
              <w:rPr>
                <w:rFonts w:ascii="Times New Roman" w:hAnsi="Times New Roman" w:cs="Times New Roman" w:eastAsia="Times New Roman" w:hint="default"/>
                <w:sz w:val="18"/>
                <w:szCs w:val="18"/>
              </w:rPr>
            </w:pPr>
            <w:r>
              <w:rPr>
                <w:rFonts w:ascii="Times New Roman"/>
                <w:sz w:val="18"/>
              </w:rPr>
              <w:t>8.00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50" w:right="0"/>
              <w:jc w:val="left"/>
              <w:rPr>
                <w:rFonts w:ascii="Times New Roman" w:hAnsi="Times New Roman" w:cs="Times New Roman" w:eastAsia="Times New Roman" w:hint="default"/>
                <w:sz w:val="18"/>
                <w:szCs w:val="18"/>
              </w:rPr>
            </w:pPr>
            <w:r>
              <w:rPr>
                <w:rFonts w:ascii="Times New Roman"/>
                <w:sz w:val="18"/>
              </w:rPr>
              <w:t>1,240,1</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14,143.</w:t>
            </w:r>
          </w:p>
          <w:p>
            <w:pPr>
              <w:pStyle w:val="TableParagraph"/>
              <w:spacing w:line="240" w:lineRule="auto" w:before="105"/>
              <w:ind w:left="503" w:right="0"/>
              <w:jc w:val="left"/>
              <w:rPr>
                <w:rFonts w:ascii="Times New Roman" w:hAnsi="Times New Roman" w:cs="Times New Roman" w:eastAsia="Times New Roman" w:hint="default"/>
                <w:sz w:val="18"/>
                <w:szCs w:val="18"/>
              </w:rPr>
            </w:pPr>
            <w:r>
              <w:rPr>
                <w:rFonts w:ascii="Times New Roman"/>
                <w:sz w:val="18"/>
              </w:rPr>
              <w:t>15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46" w:right="0"/>
              <w:jc w:val="left"/>
              <w:rPr>
                <w:rFonts w:ascii="Times New Roman" w:hAnsi="Times New Roman" w:cs="Times New Roman" w:eastAsia="Times New Roman" w:hint="default"/>
                <w:sz w:val="18"/>
                <w:szCs w:val="18"/>
              </w:rPr>
            </w:pPr>
            <w:r>
              <w:rPr>
                <w:rFonts w:ascii="Times New Roman"/>
                <w:sz w:val="18"/>
              </w:rPr>
              <w:t>30,481,</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062.21</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65,681,</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002.18</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57" w:right="0"/>
              <w:jc w:val="left"/>
              <w:rPr>
                <w:rFonts w:ascii="Times New Roman" w:hAnsi="Times New Roman" w:cs="Times New Roman" w:eastAsia="Times New Roman" w:hint="default"/>
                <w:sz w:val="18"/>
                <w:szCs w:val="18"/>
              </w:rPr>
            </w:pPr>
            <w:r>
              <w:rPr>
                <w:rFonts w:ascii="Times New Roman"/>
                <w:sz w:val="18"/>
              </w:rPr>
              <w:t>521,8</w:t>
            </w:r>
          </w:p>
          <w:p>
            <w:pPr>
              <w:pStyle w:val="TableParagraph"/>
              <w:spacing w:line="240" w:lineRule="auto" w:before="105"/>
              <w:ind w:left="157" w:right="0"/>
              <w:jc w:val="left"/>
              <w:rPr>
                <w:rFonts w:ascii="Times New Roman" w:hAnsi="Times New Roman" w:cs="Times New Roman" w:eastAsia="Times New Roman" w:hint="default"/>
                <w:sz w:val="18"/>
                <w:szCs w:val="18"/>
              </w:rPr>
            </w:pPr>
            <w:r>
              <w:rPr>
                <w:rFonts w:ascii="Times New Roman"/>
                <w:sz w:val="18"/>
              </w:rPr>
              <w:t>74,70</w:t>
            </w:r>
          </w:p>
          <w:p>
            <w:pPr>
              <w:pStyle w:val="TableParagraph"/>
              <w:spacing w:line="240" w:lineRule="auto" w:before="105"/>
              <w:ind w:left="248" w:right="0"/>
              <w:jc w:val="left"/>
              <w:rPr>
                <w:rFonts w:ascii="Times New Roman" w:hAnsi="Times New Roman" w:cs="Times New Roman" w:eastAsia="Times New Roman" w:hint="default"/>
                <w:sz w:val="18"/>
                <w:szCs w:val="18"/>
              </w:rPr>
            </w:pPr>
            <w:r>
              <w:rPr>
                <w:rFonts w:ascii="Times New Roman"/>
                <w:sz w:val="18"/>
              </w:rPr>
              <w:t>7.59</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27" w:right="0"/>
              <w:jc w:val="left"/>
              <w:rPr>
                <w:rFonts w:ascii="Times New Roman" w:hAnsi="Times New Roman" w:cs="Times New Roman" w:eastAsia="Times New Roman" w:hint="default"/>
                <w:sz w:val="18"/>
                <w:szCs w:val="18"/>
              </w:rPr>
            </w:pPr>
            <w:r>
              <w:rPr>
                <w:rFonts w:ascii="Times New Roman"/>
                <w:sz w:val="18"/>
              </w:rPr>
              <w:t>2,282,6</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45,188.</w:t>
            </w:r>
          </w:p>
          <w:p>
            <w:pPr>
              <w:pStyle w:val="TableParagraph"/>
              <w:spacing w:line="240" w:lineRule="auto" w:before="105"/>
              <w:ind w:left="487" w:right="0"/>
              <w:jc w:val="left"/>
              <w:rPr>
                <w:rFonts w:ascii="Times New Roman" w:hAnsi="Times New Roman" w:cs="Times New Roman" w:eastAsia="Times New Roman" w:hint="default"/>
                <w:sz w:val="18"/>
                <w:szCs w:val="18"/>
              </w:rPr>
            </w:pPr>
            <w:r>
              <w:rPr>
                <w:rFonts w:ascii="Times New Roman"/>
                <w:sz w:val="18"/>
              </w:rPr>
              <w:t>71</w:t>
            </w:r>
          </w:p>
        </w:tc>
      </w:tr>
    </w:tbl>
    <w:p>
      <w:pPr>
        <w:pStyle w:val="BodyText"/>
        <w:spacing w:line="240" w:lineRule="auto" w:before="50"/>
        <w:ind w:right="0"/>
        <w:jc w:val="left"/>
      </w:pPr>
      <w:r>
        <w:rPr/>
        <w:t>上期金额</w:t>
      </w:r>
    </w:p>
    <w:p>
      <w:pPr>
        <w:pStyle w:val="BodyText"/>
        <w:spacing w:line="240" w:lineRule="auto" w:before="117"/>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441"/>
        <w:gridCol w:w="691"/>
        <w:gridCol w:w="665"/>
        <w:gridCol w:w="665"/>
        <w:gridCol w:w="665"/>
        <w:gridCol w:w="797"/>
        <w:gridCol w:w="798"/>
        <w:gridCol w:w="797"/>
        <w:gridCol w:w="798"/>
        <w:gridCol w:w="797"/>
        <w:gridCol w:w="676"/>
        <w:gridCol w:w="781"/>
      </w:tblGrid>
      <w:tr>
        <w:trPr>
          <w:trHeight w:val="402" w:hRule="exact"/>
        </w:trPr>
        <w:tc>
          <w:tcPr>
            <w:tcW w:w="144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8130"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1441" w:type="dxa"/>
            <w:vMerge/>
            <w:tcBorders>
              <w:left w:val="single" w:sz="4" w:space="0" w:color="000000"/>
              <w:right w:val="single" w:sz="4" w:space="0" w:color="000000"/>
            </w:tcBorders>
            <w:shd w:val="clear" w:color="auto" w:fill="D2D2D2"/>
          </w:tcPr>
          <w:p>
            <w:pPr/>
          </w:p>
        </w:tc>
        <w:tc>
          <w:tcPr>
            <w:tcW w:w="6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60"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5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302" w:right="123"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213" w:right="122" w:hanging="89"/>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23" w:right="122"/>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303" w:right="123"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304" w:right="121"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7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6"/>
              <w:ind w:left="152" w:right="151"/>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78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6"/>
              <w:ind w:left="115" w:right="114"/>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714" w:hRule="exact"/>
        </w:trPr>
        <w:tc>
          <w:tcPr>
            <w:tcW w:w="1441" w:type="dxa"/>
            <w:vMerge/>
            <w:tcBorders>
              <w:left w:val="single" w:sz="4" w:space="0" w:color="000000"/>
              <w:bottom w:val="single" w:sz="4" w:space="0" w:color="000000"/>
              <w:right w:val="single" w:sz="4" w:space="0" w:color="000000"/>
            </w:tcBorders>
            <w:shd w:val="clear" w:color="auto" w:fill="D2D2D2"/>
          </w:tcPr>
          <w:p>
            <w:pPr/>
          </w:p>
        </w:tc>
        <w:tc>
          <w:tcPr>
            <w:tcW w:w="691" w:type="dxa"/>
            <w:vMerge/>
            <w:tcBorders>
              <w:left w:val="single" w:sz="4" w:space="0" w:color="000000"/>
              <w:bottom w:val="single" w:sz="4" w:space="0" w:color="000000"/>
              <w:right w:val="single" w:sz="4" w:space="0" w:color="000000"/>
            </w:tcBorders>
            <w:shd w:val="clear" w:color="auto" w:fill="D2D2D2"/>
          </w:tcPr>
          <w:p>
            <w:pP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37" w:right="146" w:hanging="92"/>
              <w:jc w:val="left"/>
              <w:rPr>
                <w:rFonts w:ascii="宋体" w:hAnsi="宋体" w:cs="宋体" w:eastAsia="宋体" w:hint="default"/>
                <w:sz w:val="18"/>
                <w:szCs w:val="18"/>
              </w:rPr>
            </w:pPr>
            <w:r>
              <w:rPr>
                <w:rFonts w:ascii="宋体" w:hAnsi="宋体" w:cs="宋体" w:eastAsia="宋体" w:hint="default"/>
                <w:sz w:val="18"/>
                <w:szCs w:val="18"/>
              </w:rPr>
              <w:t>优先 股</w:t>
            </w: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37" w:right="146" w:hanging="92"/>
              <w:jc w:val="left"/>
              <w:rPr>
                <w:rFonts w:ascii="宋体" w:hAnsi="宋体" w:cs="宋体" w:eastAsia="宋体" w:hint="default"/>
                <w:sz w:val="18"/>
                <w:szCs w:val="18"/>
              </w:rPr>
            </w:pPr>
            <w:r>
              <w:rPr>
                <w:rFonts w:ascii="宋体" w:hAnsi="宋体" w:cs="宋体" w:eastAsia="宋体" w:hint="default"/>
                <w:sz w:val="18"/>
                <w:szCs w:val="18"/>
              </w:rPr>
              <w:t>永续 债</w:t>
            </w: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676" w:type="dxa"/>
            <w:vMerge/>
            <w:tcBorders>
              <w:left w:val="single" w:sz="4" w:space="0" w:color="000000"/>
              <w:bottom w:val="single" w:sz="4" w:space="0" w:color="000000"/>
              <w:right w:val="single" w:sz="4" w:space="0" w:color="000000"/>
            </w:tcBorders>
            <w:shd w:val="clear" w:color="auto" w:fill="D2D2D2"/>
          </w:tcPr>
          <w:p>
            <w:pPr/>
          </w:p>
        </w:tc>
        <w:tc>
          <w:tcPr>
            <w:tcW w:w="781"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01" w:right="101"/>
              <w:jc w:val="left"/>
              <w:rPr>
                <w:rFonts w:ascii="宋体" w:hAnsi="宋体" w:cs="宋体" w:eastAsia="宋体" w:hint="default"/>
                <w:sz w:val="18"/>
                <w:szCs w:val="18"/>
              </w:rPr>
            </w:pPr>
            <w:r>
              <w:rPr>
                <w:rFonts w:ascii="宋体" w:hAnsi="宋体" w:cs="宋体" w:eastAsia="宋体" w:hint="default"/>
                <w:spacing w:val="-5"/>
                <w:sz w:val="18"/>
                <w:szCs w:val="18"/>
              </w:rPr>
              <w:t>一、上年期末余</w:t>
            </w:r>
            <w:r>
              <w:rPr>
                <w:rFonts w:ascii="宋体" w:hAnsi="宋体" w:cs="宋体" w:eastAsia="宋体" w:hint="default"/>
                <w:sz w:val="18"/>
                <w:szCs w:val="18"/>
              </w:rPr>
              <w:t> 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72" w:right="0"/>
              <w:jc w:val="left"/>
              <w:rPr>
                <w:rFonts w:ascii="Times New Roman" w:hAnsi="Times New Roman" w:cs="Times New Roman" w:eastAsia="Times New Roman" w:hint="default"/>
                <w:sz w:val="18"/>
                <w:szCs w:val="18"/>
              </w:rPr>
            </w:pPr>
            <w:r>
              <w:rPr>
                <w:rFonts w:ascii="Times New Roman"/>
                <w:sz w:val="18"/>
              </w:rPr>
              <w:t>210,9</w:t>
            </w:r>
          </w:p>
          <w:p>
            <w:pPr>
              <w:pStyle w:val="TableParagraph"/>
              <w:spacing w:line="240" w:lineRule="auto" w:before="105"/>
              <w:ind w:left="172" w:right="0"/>
              <w:jc w:val="left"/>
              <w:rPr>
                <w:rFonts w:ascii="Times New Roman" w:hAnsi="Times New Roman" w:cs="Times New Roman" w:eastAsia="Times New Roman" w:hint="default"/>
                <w:sz w:val="18"/>
                <w:szCs w:val="18"/>
              </w:rPr>
            </w:pPr>
            <w:r>
              <w:rPr>
                <w:rFonts w:ascii="Times New Roman"/>
                <w:sz w:val="18"/>
              </w:rPr>
              <w:t>96,00</w:t>
            </w:r>
          </w:p>
          <w:p>
            <w:pPr>
              <w:pStyle w:val="TableParagraph"/>
              <w:spacing w:line="240" w:lineRule="auto" w:before="105"/>
              <w:ind w:left="264" w:right="0"/>
              <w:jc w:val="left"/>
              <w:rPr>
                <w:rFonts w:ascii="Times New Roman" w:hAnsi="Times New Roman" w:cs="Times New Roman" w:eastAsia="Times New Roman" w:hint="default"/>
                <w:sz w:val="18"/>
                <w:szCs w:val="18"/>
              </w:rPr>
            </w:pPr>
            <w:r>
              <w:rPr>
                <w:rFonts w:ascii="Times New Roman"/>
                <w:sz w:val="18"/>
              </w:rPr>
              <w:t>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273,73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5,706.9</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46" w:right="0"/>
              <w:jc w:val="left"/>
              <w:rPr>
                <w:rFonts w:ascii="Times New Roman" w:hAnsi="Times New Roman" w:cs="Times New Roman" w:eastAsia="Times New Roman" w:hint="default"/>
                <w:sz w:val="18"/>
                <w:szCs w:val="18"/>
              </w:rPr>
            </w:pPr>
            <w:r>
              <w:rPr>
                <w:rFonts w:ascii="Times New Roman"/>
                <w:sz w:val="18"/>
              </w:rPr>
              <w:t>97,747,</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403.04</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50" w:right="0"/>
              <w:jc w:val="left"/>
              <w:rPr>
                <w:rFonts w:ascii="Times New Roman" w:hAnsi="Times New Roman" w:cs="Times New Roman" w:eastAsia="Times New Roman" w:hint="default"/>
                <w:sz w:val="18"/>
                <w:szCs w:val="18"/>
              </w:rPr>
            </w:pPr>
            <w:r>
              <w:rPr>
                <w:rFonts w:ascii="Times New Roman"/>
                <w:sz w:val="18"/>
              </w:rPr>
              <w:t>35,711,</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283.22</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57" w:right="0"/>
              <w:jc w:val="left"/>
              <w:rPr>
                <w:rFonts w:ascii="Times New Roman" w:hAnsi="Times New Roman" w:cs="Times New Roman" w:eastAsia="Times New Roman" w:hint="default"/>
                <w:sz w:val="18"/>
                <w:szCs w:val="18"/>
              </w:rPr>
            </w:pPr>
            <w:r>
              <w:rPr>
                <w:rFonts w:ascii="Times New Roman"/>
                <w:sz w:val="18"/>
              </w:rPr>
              <w:t>300,6</w:t>
            </w:r>
          </w:p>
          <w:p>
            <w:pPr>
              <w:pStyle w:val="TableParagraph"/>
              <w:spacing w:line="240" w:lineRule="auto" w:before="105"/>
              <w:ind w:left="157" w:right="0"/>
              <w:jc w:val="left"/>
              <w:rPr>
                <w:rFonts w:ascii="Times New Roman" w:hAnsi="Times New Roman" w:cs="Times New Roman" w:eastAsia="Times New Roman" w:hint="default"/>
                <w:sz w:val="18"/>
                <w:szCs w:val="18"/>
              </w:rPr>
            </w:pPr>
            <w:r>
              <w:rPr>
                <w:rFonts w:ascii="Times New Roman"/>
                <w:sz w:val="18"/>
              </w:rPr>
              <w:t>91,79</w:t>
            </w:r>
          </w:p>
          <w:p>
            <w:pPr>
              <w:pStyle w:val="TableParagraph"/>
              <w:spacing w:line="240" w:lineRule="auto" w:before="105"/>
              <w:ind w:left="248" w:right="0"/>
              <w:jc w:val="left"/>
              <w:rPr>
                <w:rFonts w:ascii="Times New Roman" w:hAnsi="Times New Roman" w:cs="Times New Roman" w:eastAsia="Times New Roman" w:hint="default"/>
                <w:sz w:val="18"/>
                <w:szCs w:val="18"/>
              </w:rPr>
            </w:pPr>
            <w:r>
              <w:rPr>
                <w:rFonts w:ascii="Times New Roman"/>
                <w:sz w:val="18"/>
              </w:rPr>
              <w:t>8.81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723,38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7,385.9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w:t>
            </w:r>
          </w:p>
        </w:tc>
      </w:tr>
      <w:tr>
        <w:trPr>
          <w:trHeight w:val="714"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1" w:right="101" w:firstLine="360"/>
              <w:jc w:val="left"/>
              <w:rPr>
                <w:rFonts w:ascii="宋体" w:hAnsi="宋体" w:cs="宋体" w:eastAsia="宋体" w:hint="default"/>
                <w:sz w:val="18"/>
                <w:szCs w:val="18"/>
              </w:rPr>
            </w:pPr>
            <w:r>
              <w:rPr>
                <w:rFonts w:ascii="宋体" w:hAnsi="宋体" w:cs="宋体" w:eastAsia="宋体" w:hint="default"/>
                <w:spacing w:val="-7"/>
                <w:sz w:val="18"/>
                <w:szCs w:val="18"/>
              </w:rPr>
              <w:t>加：会计政</w:t>
            </w:r>
            <w:r>
              <w:rPr>
                <w:rFonts w:ascii="宋体" w:hAnsi="宋体" w:cs="宋体" w:eastAsia="宋体" w:hint="default"/>
                <w:sz w:val="18"/>
                <w:szCs w:val="18"/>
              </w:rPr>
              <w:t> 策变更</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247" w:firstLine="720"/>
              <w:jc w:val="left"/>
              <w:rPr>
                <w:rFonts w:ascii="宋体" w:hAnsi="宋体" w:cs="宋体" w:eastAsia="宋体" w:hint="default"/>
                <w:sz w:val="18"/>
                <w:szCs w:val="18"/>
              </w:rPr>
            </w:pPr>
            <w:r>
              <w:rPr>
                <w:rFonts w:ascii="宋体" w:hAnsi="宋体" w:cs="宋体" w:eastAsia="宋体" w:hint="default"/>
                <w:sz w:val="18"/>
                <w:szCs w:val="18"/>
              </w:rPr>
              <w:t>前期 差错更正</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247"/>
              <w:jc w:val="right"/>
              <w:rPr>
                <w:rFonts w:ascii="宋体" w:hAnsi="宋体" w:cs="宋体" w:eastAsia="宋体" w:hint="default"/>
                <w:sz w:val="18"/>
                <w:szCs w:val="18"/>
              </w:rPr>
            </w:pP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01" w:right="101"/>
              <w:jc w:val="left"/>
              <w:rPr>
                <w:rFonts w:ascii="宋体" w:hAnsi="宋体" w:cs="宋体" w:eastAsia="宋体" w:hint="default"/>
                <w:sz w:val="18"/>
                <w:szCs w:val="18"/>
              </w:rPr>
            </w:pPr>
            <w:r>
              <w:rPr>
                <w:rFonts w:ascii="宋体" w:hAnsi="宋体" w:cs="宋体" w:eastAsia="宋体" w:hint="default"/>
                <w:spacing w:val="-5"/>
                <w:sz w:val="18"/>
                <w:szCs w:val="18"/>
              </w:rPr>
              <w:t>二、本年期初余</w:t>
            </w:r>
            <w:r>
              <w:rPr>
                <w:rFonts w:ascii="宋体" w:hAnsi="宋体" w:cs="宋体" w:eastAsia="宋体" w:hint="default"/>
                <w:sz w:val="18"/>
                <w:szCs w:val="18"/>
              </w:rPr>
              <w:t> 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72" w:right="0"/>
              <w:jc w:val="left"/>
              <w:rPr>
                <w:rFonts w:ascii="Times New Roman" w:hAnsi="Times New Roman" w:cs="Times New Roman" w:eastAsia="Times New Roman" w:hint="default"/>
                <w:sz w:val="18"/>
                <w:szCs w:val="18"/>
              </w:rPr>
            </w:pPr>
            <w:r>
              <w:rPr>
                <w:rFonts w:ascii="Times New Roman"/>
                <w:sz w:val="18"/>
              </w:rPr>
              <w:t>210,9</w:t>
            </w:r>
          </w:p>
          <w:p>
            <w:pPr>
              <w:pStyle w:val="TableParagraph"/>
              <w:spacing w:line="240" w:lineRule="auto" w:before="105"/>
              <w:ind w:left="172" w:right="0"/>
              <w:jc w:val="left"/>
              <w:rPr>
                <w:rFonts w:ascii="Times New Roman" w:hAnsi="Times New Roman" w:cs="Times New Roman" w:eastAsia="Times New Roman" w:hint="default"/>
                <w:sz w:val="18"/>
                <w:szCs w:val="18"/>
              </w:rPr>
            </w:pPr>
            <w:r>
              <w:rPr>
                <w:rFonts w:ascii="Times New Roman"/>
                <w:sz w:val="18"/>
              </w:rPr>
              <w:t>96,00</w:t>
            </w:r>
          </w:p>
          <w:p>
            <w:pPr>
              <w:pStyle w:val="TableParagraph"/>
              <w:spacing w:line="240" w:lineRule="auto" w:before="105"/>
              <w:ind w:left="264" w:right="0"/>
              <w:jc w:val="left"/>
              <w:rPr>
                <w:rFonts w:ascii="Times New Roman" w:hAnsi="Times New Roman" w:cs="Times New Roman" w:eastAsia="Times New Roman" w:hint="default"/>
                <w:sz w:val="18"/>
                <w:szCs w:val="18"/>
              </w:rPr>
            </w:pPr>
            <w:r>
              <w:rPr>
                <w:rFonts w:ascii="Times New Roman"/>
                <w:sz w:val="18"/>
              </w:rPr>
              <w:t>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273,73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5,706.9</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46" w:right="0"/>
              <w:jc w:val="left"/>
              <w:rPr>
                <w:rFonts w:ascii="Times New Roman" w:hAnsi="Times New Roman" w:cs="Times New Roman" w:eastAsia="Times New Roman" w:hint="default"/>
                <w:sz w:val="18"/>
                <w:szCs w:val="18"/>
              </w:rPr>
            </w:pPr>
            <w:r>
              <w:rPr>
                <w:rFonts w:ascii="Times New Roman"/>
                <w:sz w:val="18"/>
              </w:rPr>
              <w:t>97,747,</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403.04</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50" w:right="0"/>
              <w:jc w:val="left"/>
              <w:rPr>
                <w:rFonts w:ascii="Times New Roman" w:hAnsi="Times New Roman" w:cs="Times New Roman" w:eastAsia="Times New Roman" w:hint="default"/>
                <w:sz w:val="18"/>
                <w:szCs w:val="18"/>
              </w:rPr>
            </w:pPr>
            <w:r>
              <w:rPr>
                <w:rFonts w:ascii="Times New Roman"/>
                <w:sz w:val="18"/>
              </w:rPr>
              <w:t>35,711,</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283.22</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57" w:right="0"/>
              <w:jc w:val="left"/>
              <w:rPr>
                <w:rFonts w:ascii="Times New Roman" w:hAnsi="Times New Roman" w:cs="Times New Roman" w:eastAsia="Times New Roman" w:hint="default"/>
                <w:sz w:val="18"/>
                <w:szCs w:val="18"/>
              </w:rPr>
            </w:pPr>
            <w:r>
              <w:rPr>
                <w:rFonts w:ascii="Times New Roman"/>
                <w:sz w:val="18"/>
              </w:rPr>
              <w:t>300,6</w:t>
            </w:r>
          </w:p>
          <w:p>
            <w:pPr>
              <w:pStyle w:val="TableParagraph"/>
              <w:spacing w:line="240" w:lineRule="auto" w:before="105"/>
              <w:ind w:left="157" w:right="0"/>
              <w:jc w:val="left"/>
              <w:rPr>
                <w:rFonts w:ascii="Times New Roman" w:hAnsi="Times New Roman" w:cs="Times New Roman" w:eastAsia="Times New Roman" w:hint="default"/>
                <w:sz w:val="18"/>
                <w:szCs w:val="18"/>
              </w:rPr>
            </w:pPr>
            <w:r>
              <w:rPr>
                <w:rFonts w:ascii="Times New Roman"/>
                <w:sz w:val="18"/>
              </w:rPr>
              <w:t>91,79</w:t>
            </w:r>
          </w:p>
          <w:p>
            <w:pPr>
              <w:pStyle w:val="TableParagraph"/>
              <w:spacing w:line="240" w:lineRule="auto" w:before="105"/>
              <w:ind w:left="248" w:right="0"/>
              <w:jc w:val="left"/>
              <w:rPr>
                <w:rFonts w:ascii="Times New Roman" w:hAnsi="Times New Roman" w:cs="Times New Roman" w:eastAsia="Times New Roman" w:hint="default"/>
                <w:sz w:val="18"/>
                <w:szCs w:val="18"/>
              </w:rPr>
            </w:pPr>
            <w:r>
              <w:rPr>
                <w:rFonts w:ascii="Times New Roman"/>
                <w:sz w:val="18"/>
              </w:rPr>
              <w:t>8.81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723,38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7,385.9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w:t>
            </w: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1" w:right="67"/>
              <w:jc w:val="both"/>
              <w:rPr>
                <w:rFonts w:ascii="宋体" w:hAnsi="宋体" w:cs="宋体" w:eastAsia="宋体" w:hint="default"/>
                <w:sz w:val="18"/>
                <w:szCs w:val="18"/>
              </w:rPr>
            </w:pPr>
            <w:r>
              <w:rPr>
                <w:rFonts w:ascii="宋体" w:hAnsi="宋体" w:cs="宋体" w:eastAsia="宋体" w:hint="default"/>
                <w:spacing w:val="-5"/>
                <w:sz w:val="18"/>
                <w:szCs w:val="18"/>
              </w:rPr>
              <w:t>三、本期增减变</w:t>
            </w:r>
            <w:r>
              <w:rPr>
                <w:rFonts w:ascii="宋体" w:hAnsi="宋体" w:cs="宋体" w:eastAsia="宋体" w:hint="default"/>
                <w:sz w:val="18"/>
                <w:szCs w:val="18"/>
              </w:rPr>
              <w:t> </w:t>
            </w:r>
            <w:r>
              <w:rPr>
                <w:rFonts w:ascii="宋体" w:hAnsi="宋体" w:cs="宋体" w:eastAsia="宋体" w:hint="default"/>
                <w:spacing w:val="-5"/>
                <w:sz w:val="18"/>
                <w:szCs w:val="18"/>
              </w:rPr>
              <w:t>动金额（减少以</w:t>
            </w:r>
            <w:r>
              <w:rPr>
                <w:rFonts w:ascii="宋体" w:hAnsi="宋体" w:cs="宋体" w:eastAsia="宋体" w:hint="default"/>
                <w:sz w:val="18"/>
                <w:szCs w:val="18"/>
              </w:rPr>
              <w:t> “－”号填列）</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2" w:right="0"/>
              <w:jc w:val="left"/>
              <w:rPr>
                <w:rFonts w:ascii="Times New Roman" w:hAnsi="Times New Roman" w:cs="Times New Roman" w:eastAsia="Times New Roman" w:hint="default"/>
                <w:sz w:val="18"/>
                <w:szCs w:val="18"/>
              </w:rPr>
            </w:pPr>
            <w:r>
              <w:rPr>
                <w:rFonts w:ascii="Times New Roman"/>
                <w:sz w:val="18"/>
              </w:rPr>
              <w:t>31,80</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5,887.</w:t>
            </w:r>
          </w:p>
          <w:p>
            <w:pPr>
              <w:pStyle w:val="TableParagraph"/>
              <w:spacing w:line="240" w:lineRule="auto" w:before="105"/>
              <w:ind w:left="398" w:right="0"/>
              <w:jc w:val="left"/>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3" w:right="0"/>
              <w:jc w:val="left"/>
              <w:rPr>
                <w:rFonts w:ascii="Times New Roman" w:hAnsi="Times New Roman" w:cs="Times New Roman" w:eastAsia="Times New Roman" w:hint="default"/>
                <w:sz w:val="18"/>
                <w:szCs w:val="18"/>
              </w:rPr>
            </w:pPr>
            <w:r>
              <w:rPr>
                <w:rFonts w:ascii="Times New Roman"/>
                <w:sz w:val="18"/>
              </w:rPr>
              <w:t>1,225,8</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92,718.</w:t>
            </w:r>
          </w:p>
          <w:p>
            <w:pPr>
              <w:pStyle w:val="TableParagraph"/>
              <w:spacing w:line="240" w:lineRule="auto" w:before="105"/>
              <w:ind w:left="503" w:right="0"/>
              <w:jc w:val="left"/>
              <w:rPr>
                <w:rFonts w:ascii="Times New Roman" w:hAnsi="Times New Roman" w:cs="Times New Roman" w:eastAsia="Times New Roman" w:hint="default"/>
                <w:sz w:val="18"/>
                <w:szCs w:val="18"/>
              </w:rPr>
            </w:pPr>
            <w:r>
              <w:rPr>
                <w:rFonts w:ascii="Times New Roman"/>
                <w:sz w:val="18"/>
              </w:rPr>
              <w:t>96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6" w:right="0"/>
              <w:jc w:val="left"/>
              <w:rPr>
                <w:rFonts w:ascii="Times New Roman" w:hAnsi="Times New Roman" w:cs="Times New Roman" w:eastAsia="Times New Roman" w:hint="default"/>
                <w:sz w:val="18"/>
                <w:szCs w:val="18"/>
              </w:rPr>
            </w:pPr>
            <w:r>
              <w:rPr>
                <w:rFonts w:ascii="Times New Roman"/>
                <w:sz w:val="18"/>
              </w:rPr>
              <w:t>83,617,</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264.75</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0" w:right="0"/>
              <w:jc w:val="center"/>
              <w:rPr>
                <w:rFonts w:ascii="Times New Roman" w:hAnsi="Times New Roman" w:cs="Times New Roman" w:eastAsia="Times New Roman" w:hint="default"/>
                <w:sz w:val="18"/>
                <w:szCs w:val="18"/>
              </w:rPr>
            </w:pPr>
            <w:r>
              <w:rPr>
                <w:rFonts w:ascii="Times New Roman"/>
                <w:sz w:val="18"/>
              </w:rPr>
              <w:t>5,805,5</w:t>
            </w:r>
          </w:p>
          <w:p>
            <w:pPr>
              <w:pStyle w:val="TableParagraph"/>
              <w:spacing w:line="240" w:lineRule="auto" w:before="105"/>
              <w:ind w:left="177" w:right="0"/>
              <w:jc w:val="center"/>
              <w:rPr>
                <w:rFonts w:ascii="Times New Roman" w:hAnsi="Times New Roman" w:cs="Times New Roman" w:eastAsia="Times New Roman" w:hint="default"/>
                <w:sz w:val="18"/>
                <w:szCs w:val="18"/>
              </w:rPr>
            </w:pPr>
            <w:r>
              <w:rPr>
                <w:rFonts w:ascii="Times New Roman"/>
                <w:sz w:val="18"/>
              </w:rPr>
              <w:t>96.50</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7" w:right="0"/>
              <w:jc w:val="left"/>
              <w:rPr>
                <w:rFonts w:ascii="Times New Roman" w:hAnsi="Times New Roman" w:cs="Times New Roman" w:eastAsia="Times New Roman" w:hint="default"/>
                <w:sz w:val="18"/>
                <w:szCs w:val="18"/>
              </w:rPr>
            </w:pPr>
            <w:r>
              <w:rPr>
                <w:rFonts w:ascii="Times New Roman"/>
                <w:sz w:val="18"/>
              </w:rPr>
              <w:t>27,96</w:t>
            </w:r>
          </w:p>
          <w:p>
            <w:pPr>
              <w:pStyle w:val="TableParagraph"/>
              <w:spacing w:line="240" w:lineRule="auto" w:before="105"/>
              <w:ind w:left="112" w:right="0"/>
              <w:jc w:val="left"/>
              <w:rPr>
                <w:rFonts w:ascii="Times New Roman" w:hAnsi="Times New Roman" w:cs="Times New Roman" w:eastAsia="Times New Roman" w:hint="default"/>
                <w:sz w:val="18"/>
                <w:szCs w:val="18"/>
              </w:rPr>
            </w:pPr>
            <w:r>
              <w:rPr>
                <w:rFonts w:ascii="Times New Roman"/>
                <w:sz w:val="18"/>
              </w:rPr>
              <w:t>8,248.</w:t>
            </w:r>
          </w:p>
          <w:p>
            <w:pPr>
              <w:pStyle w:val="TableParagraph"/>
              <w:spacing w:line="240" w:lineRule="auto" w:before="105"/>
              <w:ind w:left="383" w:right="0"/>
              <w:jc w:val="left"/>
              <w:rPr>
                <w:rFonts w:ascii="Times New Roman" w:hAnsi="Times New Roman" w:cs="Times New Roman" w:eastAsia="Times New Roman" w:hint="default"/>
                <w:sz w:val="18"/>
                <w:szCs w:val="18"/>
              </w:rPr>
            </w:pPr>
            <w:r>
              <w:rPr>
                <w:rFonts w:ascii="Times New Roman"/>
                <w:sz w:val="18"/>
              </w:rPr>
              <w:t>41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1,207,8</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55,186.</w:t>
            </w:r>
          </w:p>
          <w:p>
            <w:pPr>
              <w:pStyle w:val="TableParagraph"/>
              <w:spacing w:line="240" w:lineRule="auto" w:before="105"/>
              <w:ind w:left="487" w:right="0"/>
              <w:jc w:val="left"/>
              <w:rPr>
                <w:rFonts w:ascii="Times New Roman" w:hAnsi="Times New Roman" w:cs="Times New Roman" w:eastAsia="Times New Roman" w:hint="default"/>
                <w:sz w:val="18"/>
                <w:szCs w:val="18"/>
              </w:rPr>
            </w:pPr>
            <w:r>
              <w:rPr>
                <w:rFonts w:ascii="Times New Roman"/>
                <w:sz w:val="18"/>
              </w:rPr>
              <w:t>12</w:t>
            </w: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01" w:right="101"/>
              <w:jc w:val="left"/>
              <w:rPr>
                <w:rFonts w:ascii="宋体" w:hAnsi="宋体" w:cs="宋体" w:eastAsia="宋体" w:hint="default"/>
                <w:sz w:val="18"/>
                <w:szCs w:val="18"/>
              </w:rPr>
            </w:pPr>
            <w:r>
              <w:rPr>
                <w:rFonts w:ascii="宋体" w:hAnsi="宋体" w:cs="宋体" w:eastAsia="宋体" w:hint="default"/>
                <w:spacing w:val="-5"/>
                <w:sz w:val="18"/>
                <w:szCs w:val="18"/>
              </w:rPr>
              <w:t>（一）综合收益</w:t>
            </w:r>
            <w:r>
              <w:rPr>
                <w:rFonts w:ascii="宋体" w:hAnsi="宋体" w:cs="宋体" w:eastAsia="宋体" w:hint="default"/>
                <w:sz w:val="18"/>
                <w:szCs w:val="18"/>
              </w:rPr>
              <w:t> 总额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57" w:right="0"/>
              <w:jc w:val="left"/>
              <w:rPr>
                <w:rFonts w:ascii="Times New Roman" w:hAnsi="Times New Roman" w:cs="Times New Roman" w:eastAsia="Times New Roman" w:hint="default"/>
                <w:sz w:val="18"/>
                <w:szCs w:val="18"/>
              </w:rPr>
            </w:pPr>
            <w:r>
              <w:rPr>
                <w:rFonts w:ascii="Times New Roman"/>
                <w:sz w:val="18"/>
              </w:rPr>
              <w:t>55,99</w:t>
            </w:r>
          </w:p>
          <w:p>
            <w:pPr>
              <w:pStyle w:val="TableParagraph"/>
              <w:spacing w:line="240" w:lineRule="auto" w:before="105"/>
              <w:ind w:left="112" w:right="0"/>
              <w:jc w:val="left"/>
              <w:rPr>
                <w:rFonts w:ascii="Times New Roman" w:hAnsi="Times New Roman" w:cs="Times New Roman" w:eastAsia="Times New Roman" w:hint="default"/>
                <w:sz w:val="18"/>
                <w:szCs w:val="18"/>
              </w:rPr>
            </w:pPr>
            <w:r>
              <w:rPr>
                <w:rFonts w:ascii="Times New Roman"/>
                <w:sz w:val="18"/>
              </w:rPr>
              <w:t>3,847.</w:t>
            </w:r>
          </w:p>
          <w:p>
            <w:pPr>
              <w:pStyle w:val="TableParagraph"/>
              <w:spacing w:line="240" w:lineRule="auto" w:before="105"/>
              <w:ind w:left="383" w:right="0"/>
              <w:jc w:val="left"/>
              <w:rPr>
                <w:rFonts w:ascii="Times New Roman" w:hAnsi="Times New Roman" w:cs="Times New Roman" w:eastAsia="Times New Roman" w:hint="default"/>
                <w:sz w:val="18"/>
                <w:szCs w:val="18"/>
              </w:rPr>
            </w:pPr>
            <w:r>
              <w:rPr>
                <w:rFonts w:ascii="Times New Roman"/>
                <w:sz w:val="18"/>
              </w:rPr>
              <w:t>30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27" w:right="0"/>
              <w:jc w:val="left"/>
              <w:rPr>
                <w:rFonts w:ascii="Times New Roman" w:hAnsi="Times New Roman" w:cs="Times New Roman" w:eastAsia="Times New Roman" w:hint="default"/>
                <w:sz w:val="18"/>
                <w:szCs w:val="18"/>
              </w:rPr>
            </w:pPr>
            <w:r>
              <w:rPr>
                <w:rFonts w:ascii="Times New Roman"/>
                <w:sz w:val="18"/>
              </w:rPr>
              <w:t>55,993,</w:t>
            </w:r>
          </w:p>
          <w:p>
            <w:pPr>
              <w:pStyle w:val="TableParagraph"/>
              <w:spacing w:line="240" w:lineRule="auto" w:before="105"/>
              <w:ind w:left="172" w:right="0"/>
              <w:jc w:val="left"/>
              <w:rPr>
                <w:rFonts w:ascii="Times New Roman" w:hAnsi="Times New Roman" w:cs="Times New Roman" w:eastAsia="Times New Roman" w:hint="default"/>
                <w:sz w:val="18"/>
                <w:szCs w:val="18"/>
              </w:rPr>
            </w:pPr>
            <w:r>
              <w:rPr>
                <w:rFonts w:ascii="Times New Roman"/>
                <w:sz w:val="18"/>
              </w:rPr>
              <w:t>847.30</w:t>
            </w: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01" w:right="101"/>
              <w:jc w:val="left"/>
              <w:rPr>
                <w:rFonts w:ascii="宋体" w:hAnsi="宋体" w:cs="宋体" w:eastAsia="宋体" w:hint="default"/>
                <w:sz w:val="18"/>
                <w:szCs w:val="18"/>
              </w:rPr>
            </w:pPr>
            <w:r>
              <w:rPr>
                <w:rFonts w:ascii="宋体" w:hAnsi="宋体" w:cs="宋体" w:eastAsia="宋体" w:hint="default"/>
                <w:spacing w:val="-5"/>
                <w:sz w:val="18"/>
                <w:szCs w:val="18"/>
              </w:rPr>
              <w:t>（二）所有者投</w:t>
            </w:r>
            <w:r>
              <w:rPr>
                <w:rFonts w:ascii="宋体" w:hAnsi="宋体" w:cs="宋体" w:eastAsia="宋体" w:hint="default"/>
                <w:sz w:val="18"/>
                <w:szCs w:val="18"/>
              </w:rPr>
              <w:t> 入和减少资本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2" w:right="0"/>
              <w:jc w:val="left"/>
              <w:rPr>
                <w:rFonts w:ascii="Times New Roman" w:hAnsi="Times New Roman" w:cs="Times New Roman" w:eastAsia="Times New Roman" w:hint="default"/>
                <w:sz w:val="18"/>
                <w:szCs w:val="18"/>
              </w:rPr>
            </w:pPr>
            <w:r>
              <w:rPr>
                <w:rFonts w:ascii="Times New Roman"/>
                <w:sz w:val="18"/>
              </w:rPr>
              <w:t>31,80</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5,887.</w:t>
            </w:r>
          </w:p>
          <w:p>
            <w:pPr>
              <w:pStyle w:val="TableParagraph"/>
              <w:spacing w:line="240" w:lineRule="auto" w:before="105"/>
              <w:ind w:left="398" w:right="0"/>
              <w:jc w:val="left"/>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3" w:right="0"/>
              <w:jc w:val="left"/>
              <w:rPr>
                <w:rFonts w:ascii="Times New Roman" w:hAnsi="Times New Roman" w:cs="Times New Roman" w:eastAsia="Times New Roman" w:hint="default"/>
                <w:sz w:val="18"/>
                <w:szCs w:val="18"/>
              </w:rPr>
            </w:pPr>
            <w:r>
              <w:rPr>
                <w:rFonts w:ascii="Times New Roman"/>
                <w:sz w:val="18"/>
              </w:rPr>
              <w:t>1,225,8</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92,718.</w:t>
            </w:r>
          </w:p>
          <w:p>
            <w:pPr>
              <w:pStyle w:val="TableParagraph"/>
              <w:spacing w:line="240" w:lineRule="auto" w:before="105"/>
              <w:ind w:left="503" w:right="0"/>
              <w:jc w:val="left"/>
              <w:rPr>
                <w:rFonts w:ascii="Times New Roman" w:hAnsi="Times New Roman" w:cs="Times New Roman" w:eastAsia="Times New Roman" w:hint="default"/>
                <w:sz w:val="18"/>
                <w:szCs w:val="18"/>
              </w:rPr>
            </w:pPr>
            <w:r>
              <w:rPr>
                <w:rFonts w:ascii="Times New Roman"/>
                <w:sz w:val="18"/>
              </w:rPr>
              <w:t>96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6" w:right="0"/>
              <w:jc w:val="left"/>
              <w:rPr>
                <w:rFonts w:ascii="Times New Roman" w:hAnsi="Times New Roman" w:cs="Times New Roman" w:eastAsia="Times New Roman" w:hint="default"/>
                <w:sz w:val="18"/>
                <w:szCs w:val="18"/>
              </w:rPr>
            </w:pPr>
            <w:r>
              <w:rPr>
                <w:rFonts w:ascii="Times New Roman"/>
                <w:sz w:val="18"/>
              </w:rPr>
              <w:t>83,617,</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264.75</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1,174,0</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81,341.</w:t>
            </w:r>
          </w:p>
          <w:p>
            <w:pPr>
              <w:pStyle w:val="TableParagraph"/>
              <w:spacing w:line="240" w:lineRule="auto" w:before="105"/>
              <w:ind w:left="487" w:right="0"/>
              <w:jc w:val="left"/>
              <w:rPr>
                <w:rFonts w:ascii="Times New Roman" w:hAnsi="Times New Roman" w:cs="Times New Roman" w:eastAsia="Times New Roman" w:hint="default"/>
                <w:sz w:val="18"/>
                <w:szCs w:val="18"/>
              </w:rPr>
            </w:pPr>
            <w:r>
              <w:rPr>
                <w:rFonts w:ascii="Times New Roman"/>
                <w:sz w:val="18"/>
              </w:rPr>
              <w:t>21</w:t>
            </w: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00" w:lineRule="auto"/>
              <w:ind w:left="101"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 的普通股</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72" w:right="0"/>
              <w:jc w:val="left"/>
              <w:rPr>
                <w:rFonts w:ascii="Times New Roman" w:hAnsi="Times New Roman" w:cs="Times New Roman" w:eastAsia="Times New Roman" w:hint="default"/>
                <w:sz w:val="18"/>
                <w:szCs w:val="18"/>
              </w:rPr>
            </w:pPr>
            <w:r>
              <w:rPr>
                <w:rFonts w:ascii="Times New Roman"/>
                <w:sz w:val="18"/>
              </w:rPr>
              <w:t>31,80</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5,887.</w:t>
            </w:r>
          </w:p>
          <w:p>
            <w:pPr>
              <w:pStyle w:val="TableParagraph"/>
              <w:spacing w:line="240" w:lineRule="auto" w:before="105"/>
              <w:ind w:left="398" w:right="0"/>
              <w:jc w:val="left"/>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43" w:right="0"/>
              <w:jc w:val="left"/>
              <w:rPr>
                <w:rFonts w:ascii="Times New Roman" w:hAnsi="Times New Roman" w:cs="Times New Roman" w:eastAsia="Times New Roman" w:hint="default"/>
                <w:sz w:val="18"/>
                <w:szCs w:val="18"/>
              </w:rPr>
            </w:pPr>
            <w:r>
              <w:rPr>
                <w:rFonts w:ascii="Times New Roman"/>
                <w:sz w:val="18"/>
              </w:rPr>
              <w:t>1,203,4</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39,858.</w:t>
            </w:r>
          </w:p>
          <w:p>
            <w:pPr>
              <w:pStyle w:val="TableParagraph"/>
              <w:spacing w:line="240" w:lineRule="auto" w:before="105"/>
              <w:ind w:left="503" w:right="0"/>
              <w:jc w:val="left"/>
              <w:rPr>
                <w:rFonts w:ascii="Times New Roman" w:hAnsi="Times New Roman" w:cs="Times New Roman" w:eastAsia="Times New Roman" w:hint="default"/>
                <w:sz w:val="18"/>
                <w:szCs w:val="18"/>
              </w:rPr>
            </w:pPr>
            <w:r>
              <w:rPr>
                <w:rFonts w:ascii="Times New Roman"/>
                <w:sz w:val="18"/>
              </w:rPr>
              <w:t>78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146" w:right="0"/>
              <w:jc w:val="left"/>
              <w:rPr>
                <w:rFonts w:ascii="Times New Roman" w:hAnsi="Times New Roman" w:cs="Times New Roman" w:eastAsia="Times New Roman" w:hint="default"/>
                <w:sz w:val="18"/>
                <w:szCs w:val="18"/>
              </w:rPr>
            </w:pPr>
            <w:r>
              <w:rPr>
                <w:rFonts w:ascii="Times New Roman"/>
                <w:sz w:val="18"/>
              </w:rPr>
              <w:t>83,617,</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264.75</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27" w:right="0"/>
              <w:jc w:val="left"/>
              <w:rPr>
                <w:rFonts w:ascii="Times New Roman" w:hAnsi="Times New Roman" w:cs="Times New Roman" w:eastAsia="Times New Roman" w:hint="default"/>
                <w:sz w:val="18"/>
                <w:szCs w:val="18"/>
              </w:rPr>
            </w:pPr>
            <w:r>
              <w:rPr>
                <w:rFonts w:ascii="Times New Roman"/>
                <w:sz w:val="18"/>
              </w:rPr>
              <w:t>1,151,6</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28,481.</w:t>
            </w:r>
          </w:p>
          <w:p>
            <w:pPr>
              <w:pStyle w:val="TableParagraph"/>
              <w:spacing w:line="240" w:lineRule="auto" w:before="105"/>
              <w:ind w:left="487" w:right="0"/>
              <w:jc w:val="left"/>
              <w:rPr>
                <w:rFonts w:ascii="Times New Roman" w:hAnsi="Times New Roman" w:cs="Times New Roman" w:eastAsia="Times New Roman" w:hint="default"/>
                <w:sz w:val="18"/>
                <w:szCs w:val="18"/>
              </w:rPr>
            </w:pPr>
            <w:r>
              <w:rPr>
                <w:rFonts w:ascii="Times New Roman"/>
                <w:sz w:val="18"/>
              </w:rPr>
              <w:t>03</w:t>
            </w: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2"/>
              <w:ind w:left="101"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 具持有者投入 资本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0"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0"/>
              <w:ind w:right="156"/>
              <w:jc w:val="righ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143" w:right="0"/>
              <w:jc w:val="left"/>
              <w:rPr>
                <w:rFonts w:ascii="Times New Roman" w:hAnsi="Times New Roman" w:cs="Times New Roman" w:eastAsia="Times New Roman" w:hint="default"/>
                <w:sz w:val="18"/>
                <w:szCs w:val="18"/>
              </w:rPr>
            </w:pPr>
            <w:r>
              <w:rPr>
                <w:rFonts w:ascii="Times New Roman"/>
                <w:sz w:val="18"/>
              </w:rPr>
              <w:t>22,452,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127" w:right="0"/>
              <w:jc w:val="left"/>
              <w:rPr>
                <w:rFonts w:ascii="Times New Roman" w:hAnsi="Times New Roman" w:cs="Times New Roman" w:eastAsia="Times New Roman" w:hint="default"/>
                <w:sz w:val="18"/>
                <w:szCs w:val="18"/>
              </w:rPr>
            </w:pPr>
            <w:r>
              <w:rPr>
                <w:rFonts w:ascii="Times New Roman"/>
                <w:sz w:val="18"/>
              </w:rPr>
              <w:t>22,452,</w:t>
            </w:r>
          </w:p>
        </w:tc>
      </w:tr>
    </w:tbl>
    <w:p>
      <w:pPr>
        <w:spacing w:after="0" w:line="240" w:lineRule="auto"/>
        <w:jc w:val="lef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441"/>
        <w:gridCol w:w="691"/>
        <w:gridCol w:w="665"/>
        <w:gridCol w:w="665"/>
        <w:gridCol w:w="665"/>
        <w:gridCol w:w="797"/>
        <w:gridCol w:w="798"/>
        <w:gridCol w:w="797"/>
        <w:gridCol w:w="798"/>
        <w:gridCol w:w="797"/>
        <w:gridCol w:w="676"/>
        <w:gridCol w:w="781"/>
      </w:tblGrid>
      <w:tr>
        <w:trPr>
          <w:trHeight w:val="674"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1"/>
              <w:ind w:left="101" w:right="247"/>
              <w:jc w:val="left"/>
              <w:rPr>
                <w:rFonts w:ascii="宋体" w:hAnsi="宋体" w:cs="宋体" w:eastAsia="宋体" w:hint="default"/>
                <w:sz w:val="18"/>
                <w:szCs w:val="18"/>
              </w:rPr>
            </w:pPr>
            <w:r>
              <w:rPr>
                <w:rFonts w:ascii="宋体" w:hAnsi="宋体" w:cs="宋体" w:eastAsia="宋体" w:hint="default"/>
                <w:sz w:val="18"/>
                <w:szCs w:val="18"/>
              </w:rPr>
              <w:t>入所有者权益 的金额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89" w:right="0"/>
              <w:jc w:val="left"/>
              <w:rPr>
                <w:rFonts w:ascii="Times New Roman" w:hAnsi="Times New Roman" w:cs="Times New Roman" w:eastAsia="Times New Roman" w:hint="default"/>
                <w:sz w:val="18"/>
                <w:szCs w:val="18"/>
              </w:rPr>
            </w:pPr>
            <w:r>
              <w:rPr>
                <w:rFonts w:ascii="Times New Roman"/>
                <w:sz w:val="18"/>
              </w:rPr>
              <w:t>860.18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72" w:right="0"/>
              <w:jc w:val="left"/>
              <w:rPr>
                <w:rFonts w:ascii="Times New Roman" w:hAnsi="Times New Roman" w:cs="Times New Roman" w:eastAsia="Times New Roman" w:hint="default"/>
                <w:sz w:val="18"/>
                <w:szCs w:val="18"/>
              </w:rPr>
            </w:pPr>
            <w:r>
              <w:rPr>
                <w:rFonts w:ascii="Times New Roman"/>
                <w:sz w:val="18"/>
              </w:rPr>
              <w:t>860.18</w:t>
            </w:r>
          </w:p>
        </w:tc>
      </w:tr>
      <w:tr>
        <w:trPr>
          <w:trHeight w:val="402"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pacing w:val="-5"/>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0" w:right="0"/>
              <w:jc w:val="center"/>
              <w:rPr>
                <w:rFonts w:ascii="Times New Roman" w:hAnsi="Times New Roman" w:cs="Times New Roman" w:eastAsia="Times New Roman" w:hint="default"/>
                <w:sz w:val="18"/>
                <w:szCs w:val="18"/>
              </w:rPr>
            </w:pPr>
            <w:r>
              <w:rPr>
                <w:rFonts w:ascii="Times New Roman"/>
                <w:sz w:val="18"/>
              </w:rPr>
              <w:t>5,805,5</w:t>
            </w:r>
          </w:p>
          <w:p>
            <w:pPr>
              <w:pStyle w:val="TableParagraph"/>
              <w:spacing w:line="240" w:lineRule="auto" w:before="105"/>
              <w:ind w:left="177" w:right="0"/>
              <w:jc w:val="center"/>
              <w:rPr>
                <w:rFonts w:ascii="Times New Roman" w:hAnsi="Times New Roman" w:cs="Times New Roman" w:eastAsia="Times New Roman" w:hint="default"/>
                <w:sz w:val="18"/>
                <w:szCs w:val="18"/>
              </w:rPr>
            </w:pPr>
            <w:r>
              <w:rPr>
                <w:rFonts w:ascii="Times New Roman"/>
                <w:sz w:val="18"/>
              </w:rPr>
              <w:t>96.50</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8" w:right="0"/>
              <w:jc w:val="left"/>
              <w:rPr>
                <w:rFonts w:ascii="Times New Roman" w:hAnsi="Times New Roman" w:cs="Times New Roman" w:eastAsia="Times New Roman" w:hint="default"/>
                <w:sz w:val="18"/>
                <w:szCs w:val="18"/>
              </w:rPr>
            </w:pPr>
            <w:r>
              <w:rPr>
                <w:rFonts w:ascii="Times New Roman"/>
                <w:sz w:val="18"/>
              </w:rPr>
              <w:t>-30,0</w:t>
            </w:r>
          </w:p>
          <w:p>
            <w:pPr>
              <w:pStyle w:val="TableParagraph"/>
              <w:spacing w:line="240" w:lineRule="auto" w:before="105"/>
              <w:ind w:left="157" w:right="0"/>
              <w:jc w:val="left"/>
              <w:rPr>
                <w:rFonts w:ascii="Times New Roman" w:hAnsi="Times New Roman" w:cs="Times New Roman" w:eastAsia="Times New Roman" w:hint="default"/>
                <w:sz w:val="18"/>
                <w:szCs w:val="18"/>
              </w:rPr>
            </w:pPr>
            <w:r>
              <w:rPr>
                <w:rFonts w:ascii="Times New Roman"/>
                <w:sz w:val="18"/>
              </w:rPr>
              <w:t>87,71</w:t>
            </w:r>
          </w:p>
          <w:p>
            <w:pPr>
              <w:pStyle w:val="TableParagraph"/>
              <w:spacing w:line="240" w:lineRule="auto" w:before="105"/>
              <w:ind w:left="248" w:right="0"/>
              <w:jc w:val="left"/>
              <w:rPr>
                <w:rFonts w:ascii="Times New Roman" w:hAnsi="Times New Roman" w:cs="Times New Roman" w:eastAsia="Times New Roman" w:hint="default"/>
                <w:sz w:val="18"/>
                <w:szCs w:val="18"/>
              </w:rPr>
            </w:pPr>
            <w:r>
              <w:rPr>
                <w:rFonts w:ascii="Times New Roman"/>
                <w:sz w:val="18"/>
              </w:rPr>
              <w:t>6.55</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-24,282</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,120.05</w:t>
            </w: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00" w:lineRule="auto"/>
              <w:ind w:left="101"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 积</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0" w:right="0"/>
              <w:jc w:val="center"/>
              <w:rPr>
                <w:rFonts w:ascii="Times New Roman" w:hAnsi="Times New Roman" w:cs="Times New Roman" w:eastAsia="Times New Roman" w:hint="default"/>
                <w:sz w:val="18"/>
                <w:szCs w:val="18"/>
              </w:rPr>
            </w:pPr>
            <w:r>
              <w:rPr>
                <w:rFonts w:ascii="Times New Roman"/>
                <w:sz w:val="18"/>
              </w:rPr>
              <w:t>5,805,5</w:t>
            </w:r>
          </w:p>
          <w:p>
            <w:pPr>
              <w:pStyle w:val="TableParagraph"/>
              <w:spacing w:line="240" w:lineRule="auto" w:before="105"/>
              <w:ind w:left="177" w:right="0"/>
              <w:jc w:val="center"/>
              <w:rPr>
                <w:rFonts w:ascii="Times New Roman" w:hAnsi="Times New Roman" w:cs="Times New Roman" w:eastAsia="Times New Roman" w:hint="default"/>
                <w:sz w:val="18"/>
                <w:szCs w:val="18"/>
              </w:rPr>
            </w:pPr>
            <w:r>
              <w:rPr>
                <w:rFonts w:ascii="Times New Roman"/>
                <w:sz w:val="18"/>
              </w:rPr>
              <w:t>96.50</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6" w:right="0"/>
              <w:jc w:val="center"/>
              <w:rPr>
                <w:rFonts w:ascii="Times New Roman" w:hAnsi="Times New Roman" w:cs="Times New Roman" w:eastAsia="Times New Roman" w:hint="default"/>
                <w:sz w:val="18"/>
                <w:szCs w:val="18"/>
              </w:rPr>
            </w:pPr>
            <w:r>
              <w:rPr>
                <w:rFonts w:ascii="Times New Roman"/>
                <w:sz w:val="18"/>
              </w:rPr>
              <w:t>-5,80</w:t>
            </w:r>
          </w:p>
          <w:p>
            <w:pPr>
              <w:pStyle w:val="TableParagraph"/>
              <w:spacing w:line="240" w:lineRule="auto" w:before="105"/>
              <w:ind w:left="112" w:right="0"/>
              <w:jc w:val="left"/>
              <w:rPr>
                <w:rFonts w:ascii="Times New Roman" w:hAnsi="Times New Roman" w:cs="Times New Roman" w:eastAsia="Times New Roman" w:hint="default"/>
                <w:sz w:val="18"/>
                <w:szCs w:val="18"/>
              </w:rPr>
            </w:pPr>
            <w:r>
              <w:rPr>
                <w:rFonts w:ascii="Times New Roman"/>
                <w:sz w:val="18"/>
              </w:rPr>
              <w:t>5,596.</w:t>
            </w:r>
          </w:p>
          <w:p>
            <w:pPr>
              <w:pStyle w:val="TableParagraph"/>
              <w:spacing w:line="240" w:lineRule="auto" w:before="105"/>
              <w:ind w:left="281" w:right="0"/>
              <w:jc w:val="center"/>
              <w:rPr>
                <w:rFonts w:ascii="Times New Roman" w:hAnsi="Times New Roman" w:cs="Times New Roman" w:eastAsia="Times New Roman" w:hint="default"/>
                <w:sz w:val="18"/>
                <w:szCs w:val="18"/>
              </w:rPr>
            </w:pPr>
            <w:r>
              <w:rPr>
                <w:rFonts w:ascii="Times New Roman"/>
                <w:sz w:val="18"/>
              </w:rPr>
              <w:t>50</w:t>
            </w: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101" w:right="101"/>
              <w:jc w:val="left"/>
              <w:rPr>
                <w:rFonts w:ascii="宋体" w:hAnsi="宋体" w:cs="宋体" w:eastAsia="宋体" w:hint="default"/>
                <w:sz w:val="18"/>
                <w:szCs w:val="18"/>
              </w:rPr>
            </w:pPr>
            <w:r>
              <w:rPr>
                <w:rFonts w:ascii="Times New Roman" w:hAnsi="Times New Roman" w:cs="Times New Roman" w:eastAsia="Times New Roman" w:hint="default"/>
                <w:spacing w:val="-16"/>
                <w:sz w:val="18"/>
                <w:szCs w:val="18"/>
              </w:rPr>
              <w:t>2</w:t>
            </w:r>
            <w:r>
              <w:rPr>
                <w:rFonts w:ascii="宋体" w:hAnsi="宋体" w:cs="宋体" w:eastAsia="宋体" w:hint="default"/>
                <w:spacing w:val="-16"/>
                <w:sz w:val="18"/>
                <w:szCs w:val="18"/>
              </w:rPr>
              <w:t>．对所有者（或</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股东）的分配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8" w:right="0"/>
              <w:jc w:val="left"/>
              <w:rPr>
                <w:rFonts w:ascii="Times New Roman" w:hAnsi="Times New Roman" w:cs="Times New Roman" w:eastAsia="Times New Roman" w:hint="default"/>
                <w:sz w:val="18"/>
                <w:szCs w:val="18"/>
              </w:rPr>
            </w:pPr>
            <w:r>
              <w:rPr>
                <w:rFonts w:ascii="Times New Roman"/>
                <w:sz w:val="18"/>
              </w:rPr>
              <w:t>-24,2</w:t>
            </w:r>
          </w:p>
          <w:p>
            <w:pPr>
              <w:pStyle w:val="TableParagraph"/>
              <w:spacing w:line="240" w:lineRule="auto" w:before="105"/>
              <w:ind w:left="157" w:right="0"/>
              <w:jc w:val="left"/>
              <w:rPr>
                <w:rFonts w:ascii="Times New Roman" w:hAnsi="Times New Roman" w:cs="Times New Roman" w:eastAsia="Times New Roman" w:hint="default"/>
                <w:sz w:val="18"/>
                <w:szCs w:val="18"/>
              </w:rPr>
            </w:pPr>
            <w:r>
              <w:rPr>
                <w:rFonts w:ascii="Times New Roman"/>
                <w:sz w:val="18"/>
              </w:rPr>
              <w:t>82,12</w:t>
            </w:r>
          </w:p>
          <w:p>
            <w:pPr>
              <w:pStyle w:val="TableParagraph"/>
              <w:spacing w:line="240" w:lineRule="auto" w:before="105"/>
              <w:ind w:left="248" w:right="0"/>
              <w:jc w:val="left"/>
              <w:rPr>
                <w:rFonts w:ascii="Times New Roman" w:hAnsi="Times New Roman" w:cs="Times New Roman" w:eastAsia="Times New Roman" w:hint="default"/>
                <w:sz w:val="18"/>
                <w:szCs w:val="18"/>
              </w:rPr>
            </w:pPr>
            <w:r>
              <w:rPr>
                <w:rFonts w:ascii="Times New Roman"/>
                <w:sz w:val="18"/>
              </w:rPr>
              <w:t>0.05</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-24,282</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,120.05</w:t>
            </w:r>
          </w:p>
        </w:tc>
      </w:tr>
      <w:tr>
        <w:trPr>
          <w:trHeight w:val="402"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01"/>
              <w:jc w:val="left"/>
              <w:rPr>
                <w:rFonts w:ascii="宋体" w:hAnsi="宋体" w:cs="宋体" w:eastAsia="宋体" w:hint="default"/>
                <w:sz w:val="18"/>
                <w:szCs w:val="18"/>
              </w:rPr>
            </w:pPr>
            <w:r>
              <w:rPr>
                <w:rFonts w:ascii="宋体" w:hAnsi="宋体" w:cs="宋体" w:eastAsia="宋体" w:hint="default"/>
                <w:spacing w:val="-5"/>
                <w:sz w:val="18"/>
                <w:szCs w:val="18"/>
              </w:rPr>
              <w:t>（四）所有者权</w:t>
            </w:r>
            <w:r>
              <w:rPr>
                <w:rFonts w:ascii="宋体" w:hAnsi="宋体" w:cs="宋体" w:eastAsia="宋体" w:hint="default"/>
                <w:sz w:val="18"/>
                <w:szCs w:val="18"/>
              </w:rPr>
              <w:t> 益内部结转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0"/>
              <w:ind w:left="101"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 增资本（或股 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1"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 增资本（或股 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 补亏损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1"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 划变动额结转 留存收益</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pacing w:val="-5"/>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1"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2,062,</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2"/>
                <w:sz w:val="18"/>
              </w:rPr>
              <w:t>117.6</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6</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8" w:right="0"/>
              <w:jc w:val="center"/>
              <w:rPr>
                <w:rFonts w:ascii="Times New Roman" w:hAnsi="Times New Roman" w:cs="Times New Roman" w:eastAsia="Times New Roman" w:hint="default"/>
                <w:sz w:val="18"/>
                <w:szCs w:val="18"/>
              </w:rPr>
            </w:pPr>
            <w:r>
              <w:rPr>
                <w:rFonts w:ascii="Times New Roman"/>
                <w:sz w:val="18"/>
              </w:rPr>
              <w:t>2,062,1</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17.66</w:t>
            </w:r>
          </w:p>
        </w:tc>
      </w:tr>
      <w:tr>
        <w:trPr>
          <w:trHeight w:val="1026" w:hRule="exact"/>
        </w:trPr>
        <w:tc>
          <w:tcPr>
            <w:tcW w:w="14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1" w:right="101"/>
              <w:jc w:val="left"/>
              <w:rPr>
                <w:rFonts w:ascii="宋体" w:hAnsi="宋体" w:cs="宋体" w:eastAsia="宋体" w:hint="default"/>
                <w:sz w:val="18"/>
                <w:szCs w:val="18"/>
              </w:rPr>
            </w:pPr>
            <w:r>
              <w:rPr>
                <w:rFonts w:ascii="宋体" w:hAnsi="宋体" w:cs="宋体" w:eastAsia="宋体" w:hint="default"/>
                <w:spacing w:val="-5"/>
                <w:sz w:val="18"/>
                <w:szCs w:val="18"/>
              </w:rPr>
              <w:t>四、本期期末余</w:t>
            </w:r>
            <w:r>
              <w:rPr>
                <w:rFonts w:ascii="宋体" w:hAnsi="宋体" w:cs="宋体" w:eastAsia="宋体" w:hint="default"/>
                <w:sz w:val="18"/>
                <w:szCs w:val="18"/>
              </w:rPr>
              <w:t> 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2" w:right="0"/>
              <w:jc w:val="left"/>
              <w:rPr>
                <w:rFonts w:ascii="Times New Roman" w:hAnsi="Times New Roman" w:cs="Times New Roman" w:eastAsia="Times New Roman" w:hint="default"/>
                <w:sz w:val="18"/>
                <w:szCs w:val="18"/>
              </w:rPr>
            </w:pPr>
            <w:r>
              <w:rPr>
                <w:rFonts w:ascii="Times New Roman"/>
                <w:sz w:val="18"/>
              </w:rPr>
              <w:t>242,8</w:t>
            </w:r>
          </w:p>
          <w:p>
            <w:pPr>
              <w:pStyle w:val="TableParagraph"/>
              <w:spacing w:line="240" w:lineRule="auto" w:before="105"/>
              <w:ind w:left="172" w:right="0"/>
              <w:jc w:val="left"/>
              <w:rPr>
                <w:rFonts w:ascii="Times New Roman" w:hAnsi="Times New Roman" w:cs="Times New Roman" w:eastAsia="Times New Roman" w:hint="default"/>
                <w:sz w:val="18"/>
                <w:szCs w:val="18"/>
              </w:rPr>
            </w:pPr>
            <w:r>
              <w:rPr>
                <w:rFonts w:ascii="Times New Roman"/>
                <w:sz w:val="18"/>
              </w:rPr>
              <w:t>01,88</w:t>
            </w:r>
          </w:p>
          <w:p>
            <w:pPr>
              <w:pStyle w:val="TableParagraph"/>
              <w:spacing w:line="240" w:lineRule="auto" w:before="105"/>
              <w:ind w:left="264" w:right="0"/>
              <w:jc w:val="left"/>
              <w:rPr>
                <w:rFonts w:ascii="Times New Roman" w:hAnsi="Times New Roman" w:cs="Times New Roman" w:eastAsia="Times New Roman" w:hint="default"/>
                <w:sz w:val="18"/>
                <w:szCs w:val="18"/>
              </w:rPr>
            </w:pPr>
            <w:r>
              <w:rPr>
                <w:rFonts w:ascii="Times New Roman"/>
                <w:sz w:val="18"/>
              </w:rPr>
              <w:t>7.00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3" w:right="0"/>
              <w:jc w:val="left"/>
              <w:rPr>
                <w:rFonts w:ascii="Times New Roman" w:hAnsi="Times New Roman" w:cs="Times New Roman" w:eastAsia="Times New Roman" w:hint="default"/>
                <w:sz w:val="18"/>
                <w:szCs w:val="18"/>
              </w:rPr>
            </w:pPr>
            <w:r>
              <w:rPr>
                <w:rFonts w:ascii="Times New Roman"/>
                <w:sz w:val="18"/>
              </w:rPr>
              <w:t>1,499,6</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28,425.</w:t>
            </w:r>
          </w:p>
          <w:p>
            <w:pPr>
              <w:pStyle w:val="TableParagraph"/>
              <w:spacing w:line="240" w:lineRule="auto" w:before="105"/>
              <w:ind w:left="503" w:right="0"/>
              <w:jc w:val="left"/>
              <w:rPr>
                <w:rFonts w:ascii="Times New Roman" w:hAnsi="Times New Roman" w:cs="Times New Roman" w:eastAsia="Times New Roman" w:hint="default"/>
                <w:sz w:val="18"/>
                <w:szCs w:val="18"/>
              </w:rPr>
            </w:pPr>
            <w:r>
              <w:rPr>
                <w:rFonts w:ascii="Times New Roman"/>
                <w:sz w:val="18"/>
              </w:rPr>
              <w:t>90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181,36</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4,667.7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9</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41,516,</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879.72</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7" w:right="0"/>
              <w:jc w:val="left"/>
              <w:rPr>
                <w:rFonts w:ascii="Times New Roman" w:hAnsi="Times New Roman" w:cs="Times New Roman" w:eastAsia="Times New Roman" w:hint="default"/>
                <w:sz w:val="18"/>
                <w:szCs w:val="18"/>
              </w:rPr>
            </w:pPr>
            <w:r>
              <w:rPr>
                <w:rFonts w:ascii="Times New Roman"/>
                <w:sz w:val="18"/>
              </w:rPr>
              <w:t>328,6</w:t>
            </w:r>
          </w:p>
          <w:p>
            <w:pPr>
              <w:pStyle w:val="TableParagraph"/>
              <w:spacing w:line="240" w:lineRule="auto" w:before="105"/>
              <w:ind w:left="157" w:right="0"/>
              <w:jc w:val="left"/>
              <w:rPr>
                <w:rFonts w:ascii="Times New Roman" w:hAnsi="Times New Roman" w:cs="Times New Roman" w:eastAsia="Times New Roman" w:hint="default"/>
                <w:sz w:val="18"/>
                <w:szCs w:val="18"/>
              </w:rPr>
            </w:pPr>
            <w:r>
              <w:rPr>
                <w:rFonts w:ascii="Times New Roman"/>
                <w:sz w:val="18"/>
              </w:rPr>
              <w:t>60,04</w:t>
            </w:r>
          </w:p>
          <w:p>
            <w:pPr>
              <w:pStyle w:val="TableParagraph"/>
              <w:spacing w:line="240" w:lineRule="auto" w:before="105"/>
              <w:ind w:left="248" w:right="0"/>
              <w:jc w:val="left"/>
              <w:rPr>
                <w:rFonts w:ascii="Times New Roman" w:hAnsi="Times New Roman" w:cs="Times New Roman" w:eastAsia="Times New Roman" w:hint="default"/>
                <w:sz w:val="18"/>
                <w:szCs w:val="18"/>
              </w:rPr>
            </w:pPr>
            <w:r>
              <w:rPr>
                <w:rFonts w:ascii="Times New Roman"/>
                <w:sz w:val="18"/>
              </w:rPr>
              <w:t>7.22</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1,931,2</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42,572.</w:t>
            </w:r>
          </w:p>
          <w:p>
            <w:pPr>
              <w:pStyle w:val="TableParagraph"/>
              <w:spacing w:line="240" w:lineRule="auto" w:before="105"/>
              <w:ind w:left="487" w:right="0"/>
              <w:jc w:val="left"/>
              <w:rPr>
                <w:rFonts w:ascii="Times New Roman" w:hAnsi="Times New Roman" w:cs="Times New Roman" w:eastAsia="Times New Roman" w:hint="default"/>
                <w:sz w:val="18"/>
                <w:szCs w:val="18"/>
              </w:rPr>
            </w:pPr>
            <w:r>
              <w:rPr>
                <w:rFonts w:ascii="Times New Roman"/>
                <w:sz w:val="18"/>
              </w:rPr>
              <w:t>05</w:t>
            </w:r>
          </w:p>
        </w:tc>
      </w:tr>
    </w:tbl>
    <w:p>
      <w:pPr>
        <w:spacing w:line="240" w:lineRule="auto" w:before="2"/>
        <w:rPr>
          <w:rFonts w:ascii="宋体" w:hAnsi="宋体" w:cs="宋体" w:eastAsia="宋体" w:hint="default"/>
          <w:sz w:val="18"/>
          <w:szCs w:val="18"/>
        </w:rPr>
      </w:pPr>
    </w:p>
    <w:p>
      <w:pPr>
        <w:pStyle w:val="Heading2"/>
        <w:spacing w:line="240" w:lineRule="auto" w:before="26"/>
        <w:ind w:right="0"/>
        <w:jc w:val="left"/>
        <w:rPr>
          <w:b w:val="0"/>
          <w:bCs w:val="0"/>
        </w:rPr>
      </w:pPr>
      <w:bookmarkStart w:name="三、公司基本情况" w:id="176"/>
      <w:bookmarkEnd w:id="176"/>
      <w:r>
        <w:rPr>
          <w:b w:val="0"/>
          <w:bCs w:val="0"/>
        </w:rPr>
      </w:r>
      <w:r>
        <w:rPr/>
        <w:t>三、公司基本情况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472" w:right="0"/>
        <w:jc w:val="left"/>
      </w:pPr>
      <w:r>
        <w:rPr/>
        <w:t>创业慧康科技股份有限公司（</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月更名自创业软件股份有限公司，以下简称公司或本公司）系经浙江省人民政府</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00" w:lineRule="auto" w:before="44"/>
        <w:ind w:right="1126"/>
        <w:jc w:val="both"/>
      </w:pPr>
      <w:r>
        <w:rPr>
          <w:spacing w:val="-2"/>
        </w:rPr>
        <w:t>企业上市工作领导小组《关于同意变更设立杭州创业软件股份有限公司的批复》（浙上市〔</w:t>
      </w:r>
      <w:r>
        <w:rPr>
          <w:rFonts w:ascii="Times New Roman" w:hAnsi="Times New Roman" w:cs="Times New Roman" w:eastAsia="Times New Roman" w:hint="default"/>
          <w:spacing w:val="-2"/>
        </w:rPr>
        <w:t>2002</w:t>
      </w:r>
      <w:r>
        <w:rPr>
          <w:spacing w:val="-2"/>
        </w:rPr>
        <w:t>〕</w:t>
      </w:r>
      <w:r>
        <w:rPr>
          <w:rFonts w:ascii="Times New Roman" w:hAnsi="Times New Roman" w:cs="Times New Roman" w:eastAsia="Times New Roman" w:hint="default"/>
          <w:spacing w:val="-2"/>
        </w:rPr>
        <w:t>33</w:t>
      </w:r>
      <w:r>
        <w:rPr>
          <w:spacing w:val="-2"/>
        </w:rPr>
        <w:t>号）批准，由杭州创业</w:t>
      </w:r>
      <w:r>
        <w:rPr>
          <w:spacing w:val="-63"/>
        </w:rPr>
        <w:t> </w:t>
      </w:r>
      <w:r>
        <w:rPr>
          <w:spacing w:val="-63"/>
        </w:rPr>
      </w:r>
      <w:r>
        <w:rPr>
          <w:spacing w:val="-2"/>
        </w:rPr>
        <w:t>软件集团有限公司以</w:t>
      </w:r>
      <w:r>
        <w:rPr>
          <w:rFonts w:ascii="Times New Roman" w:hAnsi="Times New Roman" w:cs="Times New Roman" w:eastAsia="Times New Roman" w:hint="default"/>
          <w:spacing w:val="-2"/>
        </w:rPr>
        <w:t>2002</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31</w:t>
      </w:r>
      <w:r>
        <w:rPr>
          <w:spacing w:val="-2"/>
        </w:rPr>
        <w:t>日的净资产为基准整体变更设立，于</w:t>
      </w:r>
      <w:r>
        <w:rPr>
          <w:rFonts w:ascii="Times New Roman" w:hAnsi="Times New Roman" w:cs="Times New Roman" w:eastAsia="Times New Roman" w:hint="default"/>
          <w:spacing w:val="-2"/>
        </w:rPr>
        <w:t>2002</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27</w:t>
      </w:r>
      <w:r>
        <w:rPr>
          <w:spacing w:val="-2"/>
        </w:rPr>
        <w:t>日在浙江省工商行政管理局登记注册，总</w:t>
      </w:r>
      <w:r>
        <w:rPr>
          <w:spacing w:val="-57"/>
        </w:rPr>
        <w:t> </w:t>
      </w:r>
      <w:r>
        <w:rPr>
          <w:spacing w:val="-57"/>
        </w:rPr>
      </w:r>
      <w:r>
        <w:rPr/>
        <w:t>部位于浙江省杭州市。公司现持有统一社会信用代码为</w:t>
      </w:r>
      <w:r>
        <w:rPr>
          <w:rFonts w:ascii="Times New Roman" w:hAnsi="Times New Roman" w:cs="Times New Roman" w:eastAsia="Times New Roman" w:hint="default"/>
        </w:rPr>
        <w:t>9133000025393934X6</w:t>
      </w:r>
      <w:r>
        <w:rPr/>
        <w:t>的营业执照，注册资本</w:t>
      </w:r>
      <w:r>
        <w:rPr>
          <w:rFonts w:ascii="Times New Roman" w:hAnsi="Times New Roman" w:cs="Times New Roman" w:eastAsia="Times New Roman" w:hint="default"/>
        </w:rPr>
        <w:t>485,456,398.00</w:t>
      </w:r>
      <w:r>
        <w:rPr/>
        <w:t>元，股份 </w:t>
      </w:r>
      <w:r>
        <w:rPr>
          <w:spacing w:val="-4"/>
          <w:w w:val="99"/>
        </w:rPr>
        <w:t>总数</w:t>
      </w:r>
      <w:r>
        <w:rPr>
          <w:rFonts w:ascii="Times New Roman" w:hAnsi="Times New Roman" w:cs="Times New Roman" w:eastAsia="Times New Roman" w:hint="default"/>
          <w:spacing w:val="-4"/>
          <w:w w:val="99"/>
        </w:rPr>
        <w:t>485,456,398</w:t>
      </w:r>
      <w:r>
        <w:rPr>
          <w:spacing w:val="-4"/>
          <w:w w:val="99"/>
        </w:rPr>
        <w:t>股（每股面值</w:t>
      </w:r>
      <w:r>
        <w:rPr>
          <w:rFonts w:ascii="Times New Roman" w:hAnsi="Times New Roman" w:cs="Times New Roman" w:eastAsia="Times New Roman" w:hint="default"/>
          <w:spacing w:val="-4"/>
          <w:w w:val="99"/>
        </w:rPr>
        <w:t>1</w:t>
      </w:r>
      <w:r>
        <w:rPr>
          <w:spacing w:val="-4"/>
          <w:w w:val="99"/>
        </w:rPr>
        <w:t>元）。其中，有限售条件的流通股份</w:t>
      </w:r>
      <w:r>
        <w:rPr>
          <w:rFonts w:ascii="Times New Roman" w:hAnsi="Times New Roman" w:cs="Times New Roman" w:eastAsia="Times New Roman" w:hint="default"/>
          <w:spacing w:val="-4"/>
          <w:w w:val="99"/>
        </w:rPr>
        <w:t>A</w:t>
      </w:r>
      <w:r>
        <w:rPr>
          <w:spacing w:val="-4"/>
          <w:w w:val="99"/>
        </w:rPr>
        <w:t>股</w:t>
      </w:r>
      <w:r>
        <w:rPr>
          <w:rFonts w:ascii="Times New Roman" w:hAnsi="Times New Roman" w:cs="Times New Roman" w:eastAsia="Times New Roman" w:hint="default"/>
          <w:spacing w:val="-4"/>
          <w:w w:val="99"/>
        </w:rPr>
        <w:t>141,472,562</w:t>
      </w:r>
      <w:r>
        <w:rPr>
          <w:spacing w:val="-4"/>
          <w:w w:val="99"/>
        </w:rPr>
        <w:t>股；无限售条件的流通股份</w:t>
      </w:r>
      <w:r>
        <w:rPr>
          <w:rFonts w:ascii="Times New Roman" w:hAnsi="Times New Roman" w:cs="Times New Roman" w:eastAsia="Times New Roman" w:hint="default"/>
          <w:spacing w:val="-4"/>
          <w:w w:val="99"/>
        </w:rPr>
        <w:t>A</w:t>
      </w:r>
      <w:r>
        <w:rPr>
          <w:spacing w:val="-4"/>
          <w:w w:val="99"/>
        </w:rPr>
        <w:t>股</w:t>
      </w:r>
      <w:r>
        <w:rPr>
          <w:rFonts w:ascii="Times New Roman" w:hAnsi="Times New Roman" w:cs="Times New Roman" w:eastAsia="Times New Roman" w:hint="default"/>
          <w:spacing w:val="-4"/>
          <w:w w:val="99"/>
        </w:rPr>
        <w:t>343,983,836</w:t>
      </w:r>
      <w:r>
        <w:rPr>
          <w:rFonts w:ascii="Times New Roman" w:hAnsi="Times New Roman" w:cs="Times New Roman" w:eastAsia="Times New Roman" w:hint="default"/>
          <w:spacing w:val="-14"/>
          <w:w w:val="99"/>
        </w:rPr>
        <w:t> </w:t>
      </w:r>
      <w:r>
        <w:rPr>
          <w:rFonts w:ascii="Times New Roman" w:hAnsi="Times New Roman" w:cs="Times New Roman" w:eastAsia="Times New Roman" w:hint="default"/>
          <w:spacing w:val="-14"/>
          <w:w w:val="99"/>
        </w:rPr>
      </w:r>
      <w:r>
        <w:rPr/>
        <w:t>股。公司股票已于</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14</w:t>
      </w:r>
      <w:r>
        <w:rPr/>
        <w:t>日在深圳证券交易所挂牌交易。</w:t>
      </w:r>
    </w:p>
    <w:p>
      <w:pPr>
        <w:pStyle w:val="BodyText"/>
        <w:spacing w:line="316" w:lineRule="auto" w:before="13"/>
        <w:ind w:left="472" w:right="0"/>
        <w:jc w:val="left"/>
      </w:pPr>
      <w:r>
        <w:rPr/>
        <w:t>本公司属软件行业。公司主要业务包括软件销售、系统集成和技术服务等。 本财务报表业经公司</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25</w:t>
      </w:r>
      <w:r>
        <w:rPr/>
        <w:t>日召开的六届十八次董事会批准对外报出。</w:t>
      </w:r>
    </w:p>
    <w:p>
      <w:pPr>
        <w:spacing w:line="240" w:lineRule="auto" w:before="10"/>
        <w:rPr>
          <w:rFonts w:ascii="宋体" w:hAnsi="宋体" w:cs="宋体" w:eastAsia="宋体" w:hint="default"/>
          <w:sz w:val="23"/>
          <w:szCs w:val="23"/>
        </w:rPr>
      </w:pPr>
    </w:p>
    <w:p>
      <w:pPr>
        <w:pStyle w:val="BodyText"/>
        <w:spacing w:line="316" w:lineRule="auto"/>
        <w:ind w:right="1034" w:firstLine="360"/>
        <w:jc w:val="left"/>
      </w:pPr>
      <w:r>
        <w:rPr/>
        <w:t>本公司将杭州联旗科技有限公司、苏州创业亿康信息科技有限公司、上海创航软件有限公司、创业软件南京有限公司、 </w:t>
      </w:r>
      <w:r>
        <w:rPr>
          <w:spacing w:val="-2"/>
        </w:rPr>
        <w:t>新疆创什信息科技有限公司、重庆创易康软件有限公司、天津创津科技有限公司、杭州惟勤科技有限公司、广东中拓信息技</w:t>
      </w:r>
      <w:r>
        <w:rPr>
          <w:spacing w:val="-66"/>
        </w:rPr>
        <w:t> </w:t>
      </w:r>
      <w:r>
        <w:rPr>
          <w:spacing w:val="-66"/>
        </w:rPr>
      </w:r>
      <w:r>
        <w:rPr>
          <w:spacing w:val="-2"/>
        </w:rPr>
        <w:t>术有限公司、中山市蓝天电脑有限公司、中山市杭创科技有限公司、宁海杭创网络科技有限公司、杭州慧康物联网科技有限</w:t>
      </w:r>
      <w:r>
        <w:rPr>
          <w:spacing w:val="-66"/>
        </w:rPr>
        <w:t> </w:t>
      </w:r>
      <w:r>
        <w:rPr>
          <w:spacing w:val="-66"/>
        </w:rPr>
      </w:r>
      <w:r>
        <w:rPr>
          <w:spacing w:val="-2"/>
        </w:rPr>
        <w:t>公司（更名自杭州博泰信息技术服务有限公司）、杭州卓腾信息技术有限公司、杭州合美物业管理有限公司、杭州梅清数码</w:t>
      </w:r>
      <w:r>
        <w:rPr>
          <w:spacing w:val="-71"/>
        </w:rPr>
        <w:t> </w:t>
      </w:r>
      <w:r>
        <w:rPr>
          <w:spacing w:val="-71"/>
        </w:rPr>
      </w:r>
      <w:r>
        <w:rPr>
          <w:spacing w:val="-2"/>
        </w:rPr>
        <w:t>科技有限公司、杭州美诺泰科科技有限公司、浙江医康数据科技研究院有限公司等子公司纳入本期合并财务报表范围，情况</w:t>
      </w:r>
      <w:r>
        <w:rPr>
          <w:spacing w:val="-65"/>
        </w:rPr>
        <w:t> </w:t>
      </w:r>
      <w:r>
        <w:rPr>
          <w:spacing w:val="-65"/>
        </w:rPr>
      </w:r>
      <w:r>
        <w:rPr/>
        <w:t>详见本财务报表附注合并范围的变更和在其他主体中的权益之说明。</w:t>
      </w:r>
    </w:p>
    <w:p>
      <w:pPr>
        <w:spacing w:line="240" w:lineRule="auto" w:before="9"/>
        <w:rPr>
          <w:rFonts w:ascii="宋体" w:hAnsi="宋体" w:cs="宋体" w:eastAsia="宋体" w:hint="default"/>
          <w:sz w:val="20"/>
          <w:szCs w:val="20"/>
        </w:rPr>
      </w:pPr>
    </w:p>
    <w:p>
      <w:pPr>
        <w:spacing w:line="506" w:lineRule="auto" w:before="0"/>
        <w:ind w:left="112" w:right="7514" w:firstLine="0"/>
        <w:jc w:val="left"/>
        <w:rPr>
          <w:rFonts w:ascii="宋体" w:hAnsi="宋体" w:cs="宋体" w:eastAsia="宋体" w:hint="default"/>
          <w:sz w:val="18"/>
          <w:szCs w:val="18"/>
        </w:rPr>
      </w:pPr>
      <w:bookmarkStart w:name="四、财务报表的编制基础" w:id="177"/>
      <w:bookmarkEnd w:id="177"/>
      <w:r>
        <w:rPr/>
      </w:r>
      <w:r>
        <w:rPr>
          <w:rFonts w:ascii="宋体" w:hAnsi="宋体" w:cs="宋体" w:eastAsia="宋体" w:hint="default"/>
          <w:b/>
          <w:bCs/>
          <w:sz w:val="24"/>
          <w:szCs w:val="24"/>
        </w:rPr>
        <w:t>四、财务报表的编制基础</w:t>
      </w:r>
      <w:r>
        <w:rPr>
          <w:rFonts w:ascii="宋体" w:hAnsi="宋体" w:cs="宋体" w:eastAsia="宋体" w:hint="default"/>
          <w:b/>
          <w:bCs/>
          <w:w w:val="99"/>
          <w:sz w:val="24"/>
          <w:szCs w:val="24"/>
        </w:rPr>
        <w:t> </w:t>
      </w:r>
      <w:bookmarkStart w:name="1、编制基础" w:id="178"/>
      <w:bookmarkEnd w:id="178"/>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、编制基础</w:t>
      </w:r>
      <w:r>
        <w:rPr>
          <w:rFonts w:ascii="宋体" w:hAnsi="宋体" w:cs="宋体" w:eastAsia="宋体" w:hint="default"/>
          <w:b/>
          <w:bCs/>
          <w:w w:val="99"/>
          <w:sz w:val="21"/>
          <w:szCs w:val="21"/>
        </w:rPr>
        <w:t> </w:t>
      </w:r>
      <w:r>
        <w:rPr>
          <w:rFonts w:ascii="宋体" w:hAnsi="宋体" w:cs="宋体" w:eastAsia="宋体" w:hint="default"/>
          <w:sz w:val="18"/>
          <w:szCs w:val="18"/>
        </w:rPr>
        <w:t>本公司财务报表以持续经营为编制基础。</w:t>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7"/>
          <w:szCs w:val="17"/>
        </w:rPr>
      </w:pPr>
    </w:p>
    <w:p>
      <w:pPr>
        <w:pStyle w:val="Heading3"/>
        <w:spacing w:line="240" w:lineRule="auto"/>
        <w:ind w:right="0"/>
        <w:jc w:val="left"/>
        <w:rPr>
          <w:b w:val="0"/>
          <w:bCs w:val="0"/>
        </w:rPr>
      </w:pPr>
      <w:bookmarkStart w:name="2、持续经营" w:id="179"/>
      <w:bookmarkEnd w:id="179"/>
      <w:r>
        <w:rPr>
          <w:b w:val="0"/>
          <w:bCs w:val="0"/>
        </w:rPr>
      </w:r>
      <w:r>
        <w:rPr>
          <w:rFonts w:ascii="Times New Roman" w:hAnsi="Times New Roman" w:cs="Times New Roman" w:eastAsia="Times New Roman" w:hint="default"/>
        </w:rPr>
        <w:t>2</w:t>
      </w:r>
      <w:r>
        <w:rPr/>
        <w:t>、持续经营</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本公司不存在导致对报告期末起</w:t>
      </w:r>
      <w:r>
        <w:rPr>
          <w:rFonts w:ascii="Times New Roman" w:hAnsi="Times New Roman" w:cs="Times New Roman" w:eastAsia="Times New Roman" w:hint="default"/>
        </w:rPr>
        <w:t>12</w:t>
      </w:r>
      <w:r>
        <w:rPr/>
        <w:t>个月内的持续经营能力产生重大疑虑的事项或情况。</w:t>
      </w:r>
    </w:p>
    <w:p>
      <w:pPr>
        <w:spacing w:line="240" w:lineRule="auto" w:before="0"/>
        <w:rPr>
          <w:rFonts w:ascii="宋体" w:hAnsi="宋体" w:cs="宋体" w:eastAsia="宋体" w:hint="default"/>
          <w:sz w:val="24"/>
          <w:szCs w:val="24"/>
        </w:rPr>
      </w:pPr>
    </w:p>
    <w:p>
      <w:pPr>
        <w:pStyle w:val="Heading2"/>
        <w:spacing w:line="240" w:lineRule="auto"/>
        <w:ind w:right="0"/>
        <w:jc w:val="left"/>
        <w:rPr>
          <w:b w:val="0"/>
          <w:bCs w:val="0"/>
        </w:rPr>
      </w:pPr>
      <w:bookmarkStart w:name="五、重要会计政策及会计估计" w:id="180"/>
      <w:bookmarkEnd w:id="180"/>
      <w:r>
        <w:rPr>
          <w:b w:val="0"/>
          <w:bCs w:val="0"/>
        </w:rPr>
      </w:r>
      <w:r>
        <w:rPr/>
        <w:t>五、重要会计政策及会计估计</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7694"/>
        <w:jc w:val="left"/>
      </w:pPr>
      <w:r>
        <w:rPr/>
        <w:t>公司是否需要遵守特殊行业的披露要求 是</w:t>
      </w:r>
    </w:p>
    <w:p>
      <w:pPr>
        <w:pStyle w:val="BodyText"/>
        <w:spacing w:line="360" w:lineRule="auto" w:before="29"/>
        <w:ind w:right="8234"/>
        <w:jc w:val="left"/>
      </w:pPr>
      <w:r>
        <w:rPr/>
        <w:t>软件与信息技术服务业 具体会计政策和会计估计提示：</w:t>
      </w:r>
    </w:p>
    <w:p>
      <w:pPr>
        <w:pStyle w:val="BodyText"/>
        <w:spacing w:line="316" w:lineRule="auto" w:before="25"/>
        <w:ind w:right="0"/>
        <w:jc w:val="left"/>
      </w:pPr>
      <w:r>
        <w:rPr>
          <w:spacing w:val="-2"/>
        </w:rPr>
        <w:t>重要提示：本公司根据实际生产经营特点针对应收款项坏账准备计提、固定资产折旧、无形资产摊销、收入确认等交易或事</w:t>
      </w:r>
      <w:r>
        <w:rPr>
          <w:spacing w:val="-64"/>
        </w:rPr>
        <w:t> </w:t>
      </w:r>
      <w:r>
        <w:rPr>
          <w:spacing w:val="-64"/>
        </w:rPr>
      </w:r>
      <w:r>
        <w:rPr/>
        <w:t>项制定了具体会计政策和会计估计。</w:t>
      </w:r>
    </w:p>
    <w:p>
      <w:pPr>
        <w:spacing w:line="240" w:lineRule="auto" w:before="8"/>
        <w:rPr>
          <w:rFonts w:ascii="宋体" w:hAnsi="宋体" w:cs="宋体" w:eastAsia="宋体" w:hint="default"/>
          <w:sz w:val="22"/>
          <w:szCs w:val="22"/>
        </w:rPr>
      </w:pPr>
    </w:p>
    <w:p>
      <w:pPr>
        <w:pStyle w:val="Heading3"/>
        <w:spacing w:line="240" w:lineRule="auto"/>
        <w:ind w:right="0"/>
        <w:jc w:val="left"/>
        <w:rPr>
          <w:b w:val="0"/>
          <w:bCs w:val="0"/>
        </w:rPr>
      </w:pPr>
      <w:bookmarkStart w:name="1、遵循企业会计准则的声明" w:id="181"/>
      <w:bookmarkEnd w:id="181"/>
      <w:r>
        <w:rPr>
          <w:b w:val="0"/>
          <w:bCs w:val="0"/>
        </w:rPr>
      </w:r>
      <w:r>
        <w:rPr>
          <w:rFonts w:ascii="Times New Roman" w:hAnsi="Times New Roman" w:cs="Times New Roman" w:eastAsia="Times New Roman" w:hint="default"/>
        </w:rPr>
        <w:t>1</w:t>
      </w:r>
      <w:r>
        <w:rPr/>
        <w:t>、遵循企业会计准则的声明</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spacing w:val="-4"/>
        </w:rPr>
        <w:t>本公司所编制的财务报表符合企业会计准则的要求，真实、完整地反映了公司的财务状况、经营成果和现金流量等有关信息。</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2、会计期间" w:id="182"/>
      <w:bookmarkEnd w:id="182"/>
      <w:r>
        <w:rPr>
          <w:b w:val="0"/>
          <w:bCs w:val="0"/>
        </w:rPr>
      </w:r>
      <w:r>
        <w:rPr>
          <w:rFonts w:ascii="Times New Roman" w:hAnsi="Times New Roman" w:cs="Times New Roman" w:eastAsia="Times New Roman" w:hint="default"/>
        </w:rPr>
        <w:t>2</w:t>
      </w:r>
      <w:r>
        <w:rPr/>
        <w:t>、会计期间</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会计年度自公历</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日起至</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spacing w:line="547" w:lineRule="auto" w:before="34"/>
        <w:ind w:left="112" w:right="4634" w:firstLine="0"/>
        <w:jc w:val="left"/>
        <w:rPr>
          <w:rFonts w:ascii="宋体" w:hAnsi="宋体" w:cs="宋体" w:eastAsia="宋体" w:hint="default"/>
          <w:sz w:val="21"/>
          <w:szCs w:val="21"/>
        </w:rPr>
      </w:pPr>
      <w:bookmarkStart w:name="3、营业周期" w:id="183"/>
      <w:bookmarkEnd w:id="183"/>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、营业周期</w:t>
      </w:r>
      <w:r>
        <w:rPr>
          <w:rFonts w:ascii="宋体" w:hAnsi="宋体" w:cs="宋体" w:eastAsia="宋体" w:hint="default"/>
          <w:b/>
          <w:bCs/>
          <w:w w:val="99"/>
          <w:sz w:val="21"/>
          <w:szCs w:val="21"/>
        </w:rPr>
        <w:t> </w:t>
      </w:r>
      <w:r>
        <w:rPr>
          <w:rFonts w:ascii="宋体" w:hAnsi="宋体" w:cs="宋体" w:eastAsia="宋体" w:hint="default"/>
          <w:sz w:val="18"/>
          <w:szCs w:val="18"/>
        </w:rPr>
        <w:t>公司经营业务的营业周期较短，以</w:t>
      </w:r>
      <w:r>
        <w:rPr>
          <w:rFonts w:ascii="Times New Roman" w:hAnsi="Times New Roman" w:cs="Times New Roman" w:eastAsia="Times New Roman" w:hint="default"/>
          <w:sz w:val="18"/>
          <w:szCs w:val="18"/>
        </w:rPr>
        <w:t>12</w:t>
      </w:r>
      <w:r>
        <w:rPr>
          <w:rFonts w:ascii="宋体" w:hAnsi="宋体" w:cs="宋体" w:eastAsia="宋体" w:hint="default"/>
          <w:sz w:val="18"/>
          <w:szCs w:val="18"/>
        </w:rPr>
        <w:t>个月作为资产和负债的流动性划分标准。 </w:t>
      </w:r>
      <w:bookmarkStart w:name="4、记账本位币" w:id="184"/>
      <w:bookmarkEnd w:id="184"/>
      <w:r>
        <w:rPr>
          <w:rFonts w:ascii="宋体" w:hAnsi="宋体" w:cs="宋体" w:eastAsia="宋体" w:hint="default"/>
          <w:sz w:val="18"/>
          <w:szCs w:val="18"/>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、记账本位币</w:t>
      </w:r>
      <w:r>
        <w:rPr>
          <w:rFonts w:ascii="宋体" w:hAnsi="宋体" w:cs="宋体" w:eastAsia="宋体" w:hint="default"/>
          <w:sz w:val="21"/>
          <w:szCs w:val="21"/>
        </w:rPr>
      </w:r>
    </w:p>
    <w:p>
      <w:pPr>
        <w:pStyle w:val="BodyText"/>
        <w:spacing w:line="240" w:lineRule="auto" w:before="46"/>
        <w:ind w:right="0"/>
        <w:jc w:val="left"/>
      </w:pPr>
      <w:r>
        <w:rPr/>
        <w:t>采用人民币为记账本位币。</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5、同一控制下和非同一控制下企业合并的会计处理方法" w:id="185"/>
      <w:bookmarkEnd w:id="185"/>
      <w:r>
        <w:rPr>
          <w:b w:val="0"/>
          <w:bCs w:val="0"/>
        </w:rPr>
      </w:r>
      <w:r>
        <w:rPr>
          <w:rFonts w:ascii="Times New Roman" w:hAnsi="Times New Roman" w:cs="Times New Roman" w:eastAsia="Times New Roman" w:hint="default"/>
        </w:rPr>
        <w:t>5</w:t>
      </w:r>
      <w:r>
        <w:rPr/>
        <w:t>、同一控制下和非同一控制下企业合并的会计处理方法</w:t>
      </w:r>
      <w:r>
        <w:rPr>
          <w:b w:val="0"/>
          <w:bCs w:val="0"/>
        </w:rPr>
      </w:r>
    </w:p>
    <w:p>
      <w:pPr>
        <w:spacing w:line="240" w:lineRule="auto" w:before="6"/>
        <w:rPr>
          <w:rFonts w:ascii="宋体" w:hAnsi="宋体" w:cs="宋体" w:eastAsia="宋体" w:hint="default"/>
          <w:b/>
          <w:bCs/>
          <w:sz w:val="26"/>
          <w:szCs w:val="26"/>
        </w:rPr>
      </w:pPr>
    </w:p>
    <w:p>
      <w:pPr>
        <w:pStyle w:val="BodyText"/>
        <w:spacing w:line="300" w:lineRule="auto"/>
        <w:ind w:left="532" w:right="0"/>
        <w:jc w:val="left"/>
      </w:pPr>
      <w:r>
        <w:rPr>
          <w:rFonts w:ascii="Times New Roman" w:hAnsi="Times New Roman" w:cs="Times New Roman" w:eastAsia="Times New Roman" w:hint="default"/>
        </w:rPr>
        <w:t>1.</w:t>
      </w:r>
      <w:r>
        <w:rPr/>
        <w:t>同一控制下企业合并的会计处理方法 公司在企业合并中取得的资产和负债，按照合并日被合并方在最终控制方合并财务报表中的账面价值计量。公司按照</w:t>
      </w:r>
    </w:p>
    <w:p>
      <w:pPr>
        <w:pStyle w:val="BodyText"/>
        <w:spacing w:line="316" w:lineRule="auto" w:before="31"/>
        <w:ind w:right="1034"/>
        <w:jc w:val="left"/>
      </w:pPr>
      <w:r>
        <w:rPr/>
        <w:t>被合并方所有者权益在最终控制方合并财务报表中的账面价值份额与支付的合并对价账面价值或发行股份面值总额的差额， 调整资本公积；资本公积不足冲减的，调整留存收益。</w:t>
      </w:r>
    </w:p>
    <w:p>
      <w:pPr>
        <w:pStyle w:val="BodyText"/>
        <w:spacing w:line="314" w:lineRule="auto" w:before="19"/>
        <w:ind w:right="1120" w:firstLine="420"/>
        <w:jc w:val="left"/>
      </w:pPr>
      <w:r>
        <w:rPr>
          <w:rFonts w:ascii="Times New Roman" w:hAnsi="Times New Roman" w:cs="Times New Roman" w:eastAsia="Times New Roman" w:hint="default"/>
        </w:rPr>
        <w:t>2.</w:t>
      </w:r>
      <w:r>
        <w:rPr/>
        <w:t>非同一控制下企业合并的会计处理方法 </w:t>
      </w:r>
      <w:r>
        <w:rPr>
          <w:spacing w:val="-2"/>
        </w:rPr>
        <w:t>公司在购买日对合并成本大于合并中取得的被购买方可辨认净资产公允价值份额的差额，确认为商誉；如果合并成本小于合</w:t>
      </w:r>
      <w:r>
        <w:rPr>
          <w:spacing w:val="-64"/>
        </w:rPr>
        <w:t> </w:t>
      </w:r>
      <w:r>
        <w:rPr>
          <w:spacing w:val="-64"/>
        </w:rPr>
      </w:r>
      <w:r>
        <w:rPr>
          <w:spacing w:val="-2"/>
        </w:rPr>
        <w:t>并中取得的被购买方可辨认净资产公允价值份额，首先对取得的被购买方各项可辨认资产、负债及或有负债的公允价值以及</w:t>
      </w:r>
      <w:r>
        <w:rPr>
          <w:spacing w:val="-64"/>
        </w:rPr>
        <w:t> </w:t>
      </w:r>
      <w:r>
        <w:rPr>
          <w:spacing w:val="-64"/>
        </w:rPr>
      </w:r>
      <w:r>
        <w:rPr>
          <w:spacing w:val="-2"/>
        </w:rPr>
        <w:t>合并成本的计量进行复核，经复核后合并成本仍小于合并中取得的被购买方可辨认净资产公允价值份额的，其差额计入当期</w:t>
      </w:r>
      <w:r>
        <w:rPr>
          <w:spacing w:val="-64"/>
        </w:rPr>
        <w:t> </w:t>
      </w:r>
      <w:r>
        <w:rPr>
          <w:spacing w:val="-64"/>
        </w:rPr>
      </w:r>
      <w:r>
        <w:rPr/>
        <w:t>损益。</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3"/>
        <w:spacing w:line="240" w:lineRule="auto" w:before="136"/>
        <w:ind w:right="0"/>
        <w:jc w:val="left"/>
        <w:rPr>
          <w:b w:val="0"/>
          <w:bCs w:val="0"/>
        </w:rPr>
      </w:pPr>
      <w:bookmarkStart w:name="6、合并财务报表的编制方法" w:id="186"/>
      <w:bookmarkEnd w:id="186"/>
      <w:r>
        <w:rPr>
          <w:b w:val="0"/>
          <w:bCs w:val="0"/>
        </w:rPr>
      </w:r>
      <w:r>
        <w:rPr>
          <w:rFonts w:ascii="Times New Roman" w:hAnsi="Times New Roman" w:cs="Times New Roman" w:eastAsia="Times New Roman" w:hint="default"/>
        </w:rPr>
        <w:t>6</w:t>
      </w:r>
      <w:r>
        <w:rPr/>
        <w:t>、合并财务报表的编制方法</w:t>
      </w:r>
      <w:r>
        <w:rPr>
          <w:b w:val="0"/>
          <w:bCs w:val="0"/>
        </w:rPr>
      </w:r>
    </w:p>
    <w:p>
      <w:pPr>
        <w:spacing w:line="240" w:lineRule="auto" w:before="9"/>
        <w:rPr>
          <w:rFonts w:ascii="宋体" w:hAnsi="宋体" w:cs="宋体" w:eastAsia="宋体" w:hint="default"/>
          <w:b/>
          <w:bCs/>
          <w:sz w:val="26"/>
          <w:szCs w:val="26"/>
        </w:rPr>
      </w:pPr>
    </w:p>
    <w:p>
      <w:pPr>
        <w:pStyle w:val="BodyText"/>
        <w:spacing w:line="316" w:lineRule="auto"/>
        <w:ind w:right="0" w:firstLine="360"/>
        <w:jc w:val="left"/>
      </w:pPr>
      <w:r>
        <w:rPr>
          <w:spacing w:val="-2"/>
        </w:rPr>
        <w:t>母公司将其控制的所有子公司纳入合并财务报表的合并范围。合并财务报表以母公司及其子公司的财务报表为基础，根</w:t>
      </w:r>
      <w:r>
        <w:rPr/>
        <w:t> 据其他有关资料，由母公司按照《企业会计准则第</w:t>
      </w:r>
      <w:r>
        <w:rPr>
          <w:rFonts w:ascii="Times New Roman" w:hAnsi="Times New Roman" w:cs="Times New Roman" w:eastAsia="Times New Roman" w:hint="default"/>
        </w:rPr>
        <w:t>33</w:t>
      </w:r>
      <w:r>
        <w:rPr/>
        <w:t>号——合并财务报表》编制。</w:t>
      </w:r>
    </w:p>
    <w:p>
      <w:pPr>
        <w:spacing w:line="240" w:lineRule="auto" w:before="12"/>
        <w:rPr>
          <w:rFonts w:ascii="宋体" w:hAnsi="宋体" w:cs="宋体" w:eastAsia="宋体" w:hint="default"/>
          <w:sz w:val="20"/>
          <w:szCs w:val="20"/>
        </w:rPr>
      </w:pPr>
    </w:p>
    <w:p>
      <w:pPr>
        <w:pStyle w:val="Heading3"/>
        <w:spacing w:line="240" w:lineRule="auto"/>
        <w:ind w:right="0"/>
        <w:jc w:val="left"/>
        <w:rPr>
          <w:b w:val="0"/>
          <w:bCs w:val="0"/>
        </w:rPr>
      </w:pPr>
      <w:bookmarkStart w:name="7、现金及现金等价物的确定标准" w:id="187"/>
      <w:bookmarkEnd w:id="187"/>
      <w:r>
        <w:rPr>
          <w:b w:val="0"/>
          <w:bCs w:val="0"/>
        </w:rPr>
      </w:r>
      <w:r>
        <w:rPr>
          <w:rFonts w:ascii="Times New Roman" w:hAnsi="Times New Roman" w:cs="Times New Roman" w:eastAsia="Times New Roman" w:hint="default"/>
        </w:rPr>
        <w:t>7</w:t>
      </w:r>
      <w:r>
        <w:rPr/>
        <w:t>、现金及现金等价物的确定标准</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0" w:firstLine="360"/>
        <w:jc w:val="left"/>
      </w:pPr>
      <w:r>
        <w:rPr>
          <w:spacing w:val="-4"/>
        </w:rPr>
        <w:t>列示于现金流量表中的现金是指库存现金以及可以随时用于支付的存款。现金等价物是指企业持有的期限短、流动性强、</w:t>
      </w:r>
      <w:r>
        <w:rPr/>
        <w:t> 易于转换为已知金额现金、价值变动风险很小的投资。</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3"/>
        <w:spacing w:line="240" w:lineRule="auto" w:before="136"/>
        <w:ind w:right="0"/>
        <w:jc w:val="left"/>
        <w:rPr>
          <w:b w:val="0"/>
          <w:bCs w:val="0"/>
        </w:rPr>
      </w:pPr>
      <w:bookmarkStart w:name="8、外币业务和外币报表折算" w:id="188"/>
      <w:bookmarkEnd w:id="188"/>
      <w:r>
        <w:rPr>
          <w:b w:val="0"/>
          <w:bCs w:val="0"/>
        </w:rPr>
      </w:r>
      <w:r>
        <w:rPr>
          <w:rFonts w:ascii="Times New Roman" w:hAnsi="Times New Roman" w:cs="Times New Roman" w:eastAsia="Times New Roman" w:hint="default"/>
        </w:rPr>
        <w:t>8</w:t>
      </w:r>
      <w:r>
        <w:rPr/>
        <w:t>、外币业务和外币报表折算</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1130" w:firstLine="420"/>
        <w:jc w:val="both"/>
      </w:pPr>
      <w:r>
        <w:rPr/>
        <w:t>外币交易在初始确认时，采用交易发生日即期汇率的近似汇率折算为人民币金额。资产负债表日，外币货币性项目采 </w:t>
      </w:r>
      <w:r>
        <w:rPr>
          <w:spacing w:val="-2"/>
        </w:rPr>
        <w:t>用资产负债表日即期汇率折算，因汇率不同而产生的汇兑差额，除与购建符合资本化条件资产有关的外币专门借款本金及利</w:t>
      </w:r>
      <w:r>
        <w:rPr>
          <w:spacing w:val="-64"/>
        </w:rPr>
        <w:t> </w:t>
      </w:r>
      <w:r>
        <w:rPr>
          <w:spacing w:val="-64"/>
        </w:rPr>
      </w:r>
      <w:r>
        <w:rPr>
          <w:spacing w:val="-2"/>
        </w:rPr>
        <w:t>息的汇兑差额外，计入当期损益；以历史成本计量的外币非货币性项目仍采用交易发生日的即期汇率的近似汇率折算，不改</w:t>
      </w:r>
      <w:r>
        <w:rPr>
          <w:spacing w:val="-64"/>
        </w:rPr>
        <w:t> </w:t>
      </w:r>
      <w:r>
        <w:rPr>
          <w:spacing w:val="-64"/>
        </w:rPr>
      </w:r>
      <w:r>
        <w:rPr>
          <w:spacing w:val="-2"/>
        </w:rPr>
        <w:t>变其人民币金额；以公允价值计量的外币非货币性项目，采用公允价值确定日的即期汇率折算，差额计入当期损益或其他综</w:t>
      </w:r>
      <w:r>
        <w:rPr>
          <w:spacing w:val="-63"/>
        </w:rPr>
        <w:t> </w:t>
      </w:r>
      <w:r>
        <w:rPr>
          <w:spacing w:val="-63"/>
        </w:rPr>
      </w:r>
      <w:r>
        <w:rPr/>
        <w:t>合收益。</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3"/>
        <w:spacing w:line="240" w:lineRule="auto" w:before="134"/>
        <w:ind w:right="0"/>
        <w:jc w:val="left"/>
        <w:rPr>
          <w:b w:val="0"/>
          <w:bCs w:val="0"/>
        </w:rPr>
      </w:pPr>
      <w:bookmarkStart w:name="9、金融工具" w:id="189"/>
      <w:bookmarkEnd w:id="189"/>
      <w:r>
        <w:rPr>
          <w:b w:val="0"/>
          <w:bCs w:val="0"/>
        </w:rPr>
      </w:r>
      <w:r>
        <w:rPr>
          <w:rFonts w:ascii="Times New Roman" w:hAnsi="Times New Roman" w:cs="Times New Roman" w:eastAsia="Times New Roman" w:hint="default"/>
        </w:rPr>
        <w:t>9</w:t>
      </w:r>
      <w:r>
        <w:rPr/>
        <w:t>、金融工具</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left="532" w:right="0"/>
        <w:jc w:val="left"/>
      </w:pPr>
      <w:r>
        <w:rPr>
          <w:rFonts w:ascii="Times New Roman" w:hAnsi="Times New Roman" w:cs="Times New Roman" w:eastAsia="Times New Roman" w:hint="default"/>
        </w:rPr>
        <w:t>1.</w:t>
      </w:r>
      <w:r>
        <w:rPr/>
        <w:t>金融资产和金融负债的分类 金融资产在初始确认时划分为以下四类：以公允价值计量且其变动计入当期损益的金融资产（包括交易性金融资产和</w:t>
      </w:r>
    </w:p>
    <w:p>
      <w:pPr>
        <w:spacing w:after="0" w:line="30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right="1120"/>
        <w:jc w:val="left"/>
      </w:pPr>
      <w:r>
        <w:rPr>
          <w:spacing w:val="-2"/>
        </w:rPr>
        <w:t>在初始确认时指定为以公允价值计量且其变动计入当期损益的金融资产）、持有至到期投资、贷款和应收款项、可供出售金</w:t>
      </w:r>
      <w:r>
        <w:rPr>
          <w:spacing w:val="-65"/>
        </w:rPr>
        <w:t> </w:t>
      </w:r>
      <w:r>
        <w:rPr>
          <w:spacing w:val="-65"/>
        </w:rPr>
      </w:r>
      <w:r>
        <w:rPr/>
        <w:t>融资产。</w:t>
      </w:r>
    </w:p>
    <w:p>
      <w:pPr>
        <w:pStyle w:val="BodyText"/>
        <w:spacing w:line="316" w:lineRule="auto" w:before="19"/>
        <w:ind w:right="0" w:firstLine="420"/>
        <w:jc w:val="left"/>
      </w:pPr>
      <w:r>
        <w:rPr/>
        <w:t>金融负债在初始确认时划分为以下两类：以公允价值计量且其变动计入当期损益的金融负债（包括交易性金融负债和 </w:t>
      </w:r>
      <w:r>
        <w:rPr>
          <w:spacing w:val="-3"/>
        </w:rPr>
        <w:t>在初始确认时指定为以公允价值计量且其变动计入当期损益的金融负债）、其他金融负债。</w:t>
      </w:r>
    </w:p>
    <w:p>
      <w:pPr>
        <w:pStyle w:val="BodyText"/>
        <w:spacing w:line="300" w:lineRule="auto" w:before="19"/>
        <w:ind w:left="532" w:right="0"/>
        <w:jc w:val="left"/>
      </w:pPr>
      <w:r>
        <w:rPr>
          <w:rFonts w:ascii="Times New Roman" w:hAnsi="Times New Roman" w:cs="Times New Roman" w:eastAsia="Times New Roman" w:hint="default"/>
        </w:rPr>
        <w:t>2.</w:t>
      </w:r>
      <w:r>
        <w:rPr/>
        <w:t>金融资产和金融负债的确认依据、计量方法和终止确认条件 公司成为金融工具合同的一方时，确认一项金融资产或金融负债。初始确认金融资产或金融负债时，按照公允价值计</w:t>
      </w:r>
    </w:p>
    <w:p>
      <w:pPr>
        <w:pStyle w:val="BodyText"/>
        <w:spacing w:line="316" w:lineRule="auto" w:before="31"/>
        <w:ind w:right="0"/>
        <w:jc w:val="left"/>
      </w:pPr>
      <w:r>
        <w:rPr>
          <w:spacing w:val="-2"/>
        </w:rPr>
        <w:t>量；对于以公允价值计量且其变动计入当期损益的金融资产和金融负债，相关交易费用直接计入当期损益；对于其他类别的</w:t>
      </w:r>
      <w:r>
        <w:rPr>
          <w:spacing w:val="-63"/>
        </w:rPr>
        <w:t> </w:t>
      </w:r>
      <w:r>
        <w:rPr>
          <w:spacing w:val="-63"/>
        </w:rPr>
      </w:r>
      <w:r>
        <w:rPr/>
        <w:t>金融资产或金融负债，相关交易费用计入初始确认金额。</w:t>
      </w:r>
    </w:p>
    <w:p>
      <w:pPr>
        <w:pStyle w:val="BodyText"/>
        <w:spacing w:line="309" w:lineRule="auto" w:before="19"/>
        <w:ind w:right="1026" w:firstLine="420"/>
        <w:jc w:val="left"/>
      </w:pPr>
      <w:r>
        <w:rPr>
          <w:spacing w:val="-1"/>
        </w:rPr>
        <w:t>公司按照公允价值对金融资产进行后续计量，且不扣除将来处置该金融资产时可能发生的交易费用，但下列情况除外：</w:t>
      </w:r>
      <w:r>
        <w:rPr/>
        <w:t> </w:t>
      </w:r>
      <w:r>
        <w:rPr>
          <w:rFonts w:ascii="Times New Roman" w:hAnsi="Times New Roman" w:cs="Times New Roman" w:eastAsia="Times New Roman" w:hint="default"/>
        </w:rPr>
        <w:t>(1)</w:t>
      </w:r>
      <w:r>
        <w:rPr/>
        <w:t>持有至到期投资以及贷款和应收款项采用实际利率法，按摊余成本计量；</w:t>
      </w:r>
      <w:r>
        <w:rPr>
          <w:rFonts w:ascii="Times New Roman" w:hAnsi="Times New Roman" w:cs="Times New Roman" w:eastAsia="Times New Roman" w:hint="default"/>
        </w:rPr>
        <w:t>(2)</w:t>
      </w:r>
      <w:r>
        <w:rPr/>
        <w:t>在活跃市场中没有报价且其公允价值不能可</w:t>
      </w:r>
      <w:r>
        <w:rPr>
          <w:spacing w:val="-55"/>
        </w:rPr>
        <w:t> </w:t>
      </w:r>
      <w:r>
        <w:rPr>
          <w:spacing w:val="-55"/>
        </w:rPr>
      </w:r>
      <w:r>
        <w:rPr/>
        <w:t>靠计量的权益工具投资，以及与该权益工具挂钩并须通过交付该权益工具结算的衍生金融资产，按照成本计量。</w:t>
      </w:r>
    </w:p>
    <w:p>
      <w:pPr>
        <w:pStyle w:val="BodyText"/>
        <w:spacing w:line="302" w:lineRule="auto" w:before="24"/>
        <w:ind w:right="1126" w:firstLine="420"/>
        <w:jc w:val="both"/>
      </w:pPr>
      <w:r>
        <w:rPr/>
        <w:t>公司采用实际利率法，按摊余成本对金融负债进行后续计量，但下列情况除外：</w:t>
      </w:r>
      <w:r>
        <w:rPr>
          <w:rFonts w:ascii="Times New Roman" w:hAnsi="Times New Roman" w:cs="Times New Roman" w:eastAsia="Times New Roman" w:hint="default"/>
        </w:rPr>
        <w:t>(1)</w:t>
      </w:r>
      <w:r>
        <w:rPr/>
        <w:t>以公允价值计量且其变动计入当期 损益的金融负债，按照公允价值计量，且不扣除将来结清金融负债时可能发生的交易费用；</w:t>
      </w:r>
      <w:r>
        <w:rPr>
          <w:rFonts w:ascii="Times New Roman" w:hAnsi="Times New Roman" w:cs="Times New Roman" w:eastAsia="Times New Roman" w:hint="default"/>
        </w:rPr>
        <w:t>(2)</w:t>
      </w:r>
      <w:r>
        <w:rPr/>
        <w:t>与在活跃市场中没有报价、</w:t>
      </w:r>
      <w:r>
        <w:rPr>
          <w:spacing w:val="-32"/>
        </w:rPr>
        <w:t> </w:t>
      </w:r>
      <w:r>
        <w:rPr>
          <w:spacing w:val="-32"/>
        </w:rPr>
      </w:r>
      <w:r>
        <w:rPr/>
        <w:t>公允价值不能可靠计量的权益工具挂钩并须通过交付该权益工具结算的衍生金融负债，按照成本计量；</w:t>
      </w:r>
      <w:r>
        <w:rPr>
          <w:rFonts w:ascii="Times New Roman" w:hAnsi="Times New Roman" w:cs="Times New Roman" w:eastAsia="Times New Roman" w:hint="default"/>
        </w:rPr>
        <w:t>(3)</w:t>
      </w:r>
      <w:r>
        <w:rPr/>
        <w:t>不属于指定为以</w:t>
      </w:r>
      <w:r>
        <w:rPr>
          <w:spacing w:val="-34"/>
        </w:rPr>
        <w:t> </w:t>
      </w:r>
      <w:r>
        <w:rPr>
          <w:spacing w:val="-34"/>
        </w:rPr>
      </w:r>
      <w:r>
        <w:rPr>
          <w:spacing w:val="-2"/>
        </w:rPr>
        <w:t>公允价值计量且其变动计入当期损益的金融负债的财务担保合同，或没有指定为以公允价值计量且其变动计入当期损益并将</w:t>
      </w:r>
      <w:r>
        <w:rPr>
          <w:spacing w:val="-64"/>
        </w:rPr>
        <w:t> </w:t>
      </w:r>
      <w:r>
        <w:rPr>
          <w:spacing w:val="-64"/>
        </w:rPr>
      </w:r>
      <w:r>
        <w:rPr>
          <w:spacing w:val="-1"/>
        </w:rPr>
        <w:t>以低于市场利率贷款的贷款承诺，在初始确认后按照下列两项金额之中的较高者进行后续计量：</w:t>
      </w:r>
      <w:r>
        <w:rPr>
          <w:rFonts w:ascii="Times New Roman" w:hAnsi="Times New Roman" w:cs="Times New Roman" w:eastAsia="Times New Roman" w:hint="default"/>
          <w:spacing w:val="-1"/>
        </w:rPr>
        <w:t>1)</w:t>
      </w:r>
      <w:r>
        <w:rPr>
          <w:spacing w:val="-1"/>
        </w:rPr>
        <w:t>按照《企业会计准则第</w:t>
      </w:r>
      <w:r>
        <w:rPr>
          <w:rFonts w:ascii="Times New Roman" w:hAnsi="Times New Roman" w:cs="Times New Roman" w:eastAsia="Times New Roman" w:hint="default"/>
          <w:spacing w:val="-1"/>
        </w:rPr>
        <w:t>13</w:t>
      </w:r>
      <w:r>
        <w:rPr>
          <w:rFonts w:ascii="Times New Roman" w:hAnsi="Times New Roman" w:cs="Times New Roman" w:eastAsia="Times New Roman" w:hint="default"/>
          <w:spacing w:val="-37"/>
        </w:rPr>
        <w:t> </w:t>
      </w:r>
      <w:r>
        <w:rPr>
          <w:rFonts w:ascii="Times New Roman" w:hAnsi="Times New Roman" w:cs="Times New Roman" w:eastAsia="Times New Roman" w:hint="default"/>
          <w:spacing w:val="-37"/>
        </w:rPr>
      </w:r>
      <w:r>
        <w:rPr>
          <w:spacing w:val="-1"/>
        </w:rPr>
        <w:t>号——或有事项》确定的金额；</w:t>
      </w:r>
      <w:r>
        <w:rPr>
          <w:rFonts w:ascii="Times New Roman" w:hAnsi="Times New Roman" w:cs="Times New Roman" w:eastAsia="Times New Roman" w:hint="default"/>
          <w:spacing w:val="-1"/>
        </w:rPr>
        <w:t>2)</w:t>
      </w:r>
      <w:r>
        <w:rPr>
          <w:spacing w:val="-1"/>
        </w:rPr>
        <w:t>初始确认金额扣除按照《企业会计准则第</w:t>
      </w:r>
      <w:r>
        <w:rPr>
          <w:rFonts w:ascii="Times New Roman" w:hAnsi="Times New Roman" w:cs="Times New Roman" w:eastAsia="Times New Roman" w:hint="default"/>
          <w:spacing w:val="-1"/>
        </w:rPr>
        <w:t>14</w:t>
      </w:r>
      <w:r>
        <w:rPr>
          <w:spacing w:val="-1"/>
        </w:rPr>
        <w:t>号——收入》的原则确定的累积摊销额后的余</w:t>
      </w:r>
      <w:r>
        <w:rPr>
          <w:spacing w:val="-88"/>
        </w:rPr>
        <w:t> </w:t>
      </w:r>
      <w:r>
        <w:rPr>
          <w:spacing w:val="-88"/>
        </w:rPr>
      </w:r>
      <w:r>
        <w:rPr/>
        <w:t>额。</w:t>
      </w:r>
    </w:p>
    <w:p>
      <w:pPr>
        <w:pStyle w:val="BodyText"/>
        <w:spacing w:line="312" w:lineRule="auto" w:before="29"/>
        <w:ind w:right="1130" w:firstLine="420"/>
        <w:jc w:val="both"/>
      </w:pPr>
      <w:r>
        <w:rPr/>
        <w:t>金融资产或金融负债公允价值变动形成的利得或损失，除与套期保值有关外，按照如下方法处理：</w:t>
      </w:r>
      <w:r>
        <w:rPr>
          <w:rFonts w:ascii="Times New Roman" w:hAnsi="Times New Roman" w:cs="Times New Roman" w:eastAsia="Times New Roman" w:hint="default"/>
        </w:rPr>
        <w:t>(1)</w:t>
      </w:r>
      <w:r>
        <w:rPr/>
        <w:t>以公允价值计量 </w:t>
      </w:r>
      <w:r>
        <w:rPr>
          <w:spacing w:val="-2"/>
        </w:rPr>
        <w:t>且其变动计入当期损益的金融资产或金融负债公允价值变动形成的利得或损失，计入公允价值变动收益；在资产持有期间所</w:t>
      </w:r>
      <w:r>
        <w:rPr>
          <w:spacing w:val="-64"/>
        </w:rPr>
        <w:t> </w:t>
      </w:r>
      <w:r>
        <w:rPr>
          <w:spacing w:val="-64"/>
        </w:rPr>
      </w:r>
      <w:r>
        <w:rPr>
          <w:spacing w:val="-2"/>
        </w:rPr>
        <w:t>取得的利息或现金股利，确认为投资收益；处置时，将实际收到的金额与初始入账金额之间的差额确认为投资收益，同时调</w:t>
      </w:r>
      <w:r>
        <w:rPr>
          <w:spacing w:val="-64"/>
        </w:rPr>
        <w:t> </w:t>
      </w:r>
      <w:r>
        <w:rPr>
          <w:spacing w:val="-64"/>
        </w:rPr>
      </w:r>
      <w:r>
        <w:rPr/>
        <w:t>整公允价值变动收益。</w:t>
      </w:r>
      <w:r>
        <w:rPr>
          <w:rFonts w:ascii="Times New Roman" w:hAnsi="Times New Roman" w:cs="Times New Roman" w:eastAsia="Times New Roman" w:hint="default"/>
        </w:rPr>
        <w:t>(2)</w:t>
      </w:r>
      <w:r>
        <w:rPr/>
        <w:t>可供出售金融资产的公允价值变动计入其他综合收益；持有期间按实际利率法计算的利息，计入</w:t>
      </w:r>
      <w:r>
        <w:rPr>
          <w:spacing w:val="-32"/>
        </w:rPr>
        <w:t> </w:t>
      </w:r>
      <w:r>
        <w:rPr>
          <w:spacing w:val="-32"/>
        </w:rPr>
      </w:r>
      <w:r>
        <w:rPr>
          <w:spacing w:val="-2"/>
        </w:rPr>
        <w:t>投资收益；可供出售权益工具投资的现金股利，于被投资单位宣告发放股利时计入投资收益；处置时，将实际收到的金额与</w:t>
      </w:r>
      <w:r>
        <w:rPr>
          <w:spacing w:val="-64"/>
        </w:rPr>
        <w:t> </w:t>
      </w:r>
      <w:r>
        <w:rPr>
          <w:spacing w:val="-64"/>
        </w:rPr>
      </w:r>
      <w:r>
        <w:rPr/>
        <w:t>账面价值扣除原直接计入其他综合收益的公允价值变动累计额之后的差额确认为投资收益。</w:t>
      </w:r>
    </w:p>
    <w:p>
      <w:pPr>
        <w:pStyle w:val="BodyText"/>
        <w:spacing w:line="316" w:lineRule="auto" w:before="22"/>
        <w:ind w:right="1132" w:firstLine="420"/>
        <w:jc w:val="both"/>
      </w:pPr>
      <w:r>
        <w:rPr/>
        <w:t>当收取某项金融资产现金流量的合同权利已终止或该金融资产所有权上几乎所有的风险和报酬已转移时，终止确认该 金融资产；当金融负债的现时义务全部或部分解除时，相应终止确认该金融负债或其一部分。</w:t>
      </w:r>
    </w:p>
    <w:p>
      <w:pPr>
        <w:pStyle w:val="BodyText"/>
        <w:spacing w:line="300" w:lineRule="auto" w:before="19"/>
        <w:ind w:left="532" w:right="0"/>
        <w:jc w:val="left"/>
      </w:pPr>
      <w:r>
        <w:rPr>
          <w:rFonts w:ascii="Times New Roman" w:hAnsi="Times New Roman" w:cs="Times New Roman" w:eastAsia="Times New Roman" w:hint="default"/>
        </w:rPr>
        <w:t>3.</w:t>
      </w:r>
      <w:r>
        <w:rPr/>
        <w:t>金融资产转移的确认依据和计量方法 公司已将金融资产所有权上几乎所有的风险和报酬转移给了转入方的，终止确认该金融资产；保留了金融资产所有权</w:t>
      </w:r>
    </w:p>
    <w:p>
      <w:pPr>
        <w:pStyle w:val="BodyText"/>
        <w:spacing w:line="309" w:lineRule="auto" w:before="31"/>
        <w:ind w:right="0"/>
        <w:jc w:val="left"/>
      </w:pPr>
      <w:r>
        <w:rPr>
          <w:spacing w:val="-2"/>
        </w:rPr>
        <w:t>上几乎所有的风险和报酬的，继续确认所转移的金融资产，并将收到的对价确认为一项金融负债。公司既没有转移也没有保</w:t>
      </w:r>
      <w:r>
        <w:rPr>
          <w:spacing w:val="-63"/>
        </w:rPr>
        <w:t> </w:t>
      </w:r>
      <w:r>
        <w:rPr>
          <w:spacing w:val="-63"/>
        </w:rPr>
      </w:r>
      <w:r>
        <w:rPr>
          <w:spacing w:val="-1"/>
        </w:rPr>
        <w:t>留金融资产所有权上几乎所有的风险和报酬的，分别下列情况处理：</w:t>
      </w:r>
      <w:r>
        <w:rPr>
          <w:rFonts w:ascii="Times New Roman" w:hAnsi="Times New Roman" w:cs="Times New Roman" w:eastAsia="Times New Roman" w:hint="default"/>
          <w:spacing w:val="-1"/>
        </w:rPr>
        <w:t>(1)</w:t>
      </w:r>
      <w:r>
        <w:rPr>
          <w:spacing w:val="-1"/>
        </w:rPr>
        <w:t>放弃了对该金融资产控制的，终止确认该金融资产；</w:t>
      </w:r>
      <w:r>
        <w:rPr>
          <w:spacing w:val="-55"/>
        </w:rPr>
        <w:t> </w:t>
      </w:r>
      <w:r>
        <w:rPr>
          <w:spacing w:val="-55"/>
        </w:rPr>
      </w:r>
      <w:r>
        <w:rPr>
          <w:rFonts w:ascii="Times New Roman" w:hAnsi="Times New Roman" w:cs="Times New Roman" w:eastAsia="Times New Roman" w:hint="default"/>
        </w:rPr>
        <w:t>(2)</w:t>
      </w:r>
      <w:r>
        <w:rPr/>
        <w:t>未放弃对该金融资产控制的，按照继续涉入所转移金融资产的程度确认有关金融资产，并相应确认有关负债。</w:t>
      </w:r>
    </w:p>
    <w:p>
      <w:pPr>
        <w:pStyle w:val="BodyText"/>
        <w:spacing w:line="309" w:lineRule="auto" w:before="5"/>
        <w:ind w:right="1125" w:firstLine="420"/>
        <w:jc w:val="both"/>
      </w:pPr>
      <w:r>
        <w:rPr>
          <w:spacing w:val="-1"/>
        </w:rPr>
        <w:t>金融资产整体转移满足终止确认条件的，将下列两项金额的差额计入当期损益：</w:t>
      </w:r>
      <w:r>
        <w:rPr>
          <w:rFonts w:ascii="Times New Roman" w:hAnsi="Times New Roman" w:cs="Times New Roman" w:eastAsia="Times New Roman" w:hint="default"/>
          <w:spacing w:val="-1"/>
        </w:rPr>
        <w:t>(1)</w:t>
      </w:r>
      <w:r>
        <w:rPr>
          <w:spacing w:val="-1"/>
        </w:rPr>
        <w:t>所转移金融资产的账面价值；</w:t>
      </w:r>
      <w:r>
        <w:rPr>
          <w:rFonts w:ascii="Times New Roman" w:hAnsi="Times New Roman" w:cs="Times New Roman" w:eastAsia="Times New Roman" w:hint="default"/>
          <w:spacing w:val="-1"/>
        </w:rPr>
        <w:t>(2)</w:t>
      </w:r>
      <w:r>
        <w:rPr>
          <w:spacing w:val="-1"/>
        </w:rPr>
        <w:t>因</w:t>
      </w:r>
      <w:r>
        <w:rPr/>
        <w:t> </w:t>
      </w:r>
      <w:r>
        <w:rPr>
          <w:spacing w:val="-2"/>
        </w:rPr>
        <w:t>转移而收到的对价，与原直接计入所有者权益的公允价值变动累计额之和。金融资产部分转移满足终止确认条件的，将所转</w:t>
      </w:r>
      <w:r>
        <w:rPr>
          <w:spacing w:val="-63"/>
        </w:rPr>
        <w:t> </w:t>
      </w:r>
      <w:r>
        <w:rPr>
          <w:spacing w:val="-63"/>
        </w:rPr>
      </w:r>
      <w:r>
        <w:rPr>
          <w:spacing w:val="-2"/>
        </w:rPr>
        <w:t>移金融资产整体的账面价值，在终止确认部分和未终止确认部分之间，按照各自的相对公允价值进行分摊，并将下列两项金</w:t>
      </w:r>
      <w:r>
        <w:rPr>
          <w:spacing w:val="-63"/>
        </w:rPr>
        <w:t> </w:t>
      </w:r>
      <w:r>
        <w:rPr>
          <w:spacing w:val="-63"/>
        </w:rPr>
      </w:r>
      <w:r>
        <w:rPr/>
        <w:t>额的差额计入当期损益：</w:t>
      </w:r>
      <w:r>
        <w:rPr>
          <w:rFonts w:ascii="Times New Roman" w:hAnsi="Times New Roman" w:cs="Times New Roman" w:eastAsia="Times New Roman" w:hint="default"/>
        </w:rPr>
        <w:t>(1)</w:t>
      </w:r>
      <w:r>
        <w:rPr/>
        <w:t>终止确认部分的账面价值；</w:t>
      </w:r>
      <w:r>
        <w:rPr>
          <w:rFonts w:ascii="Times New Roman" w:hAnsi="Times New Roman" w:cs="Times New Roman" w:eastAsia="Times New Roman" w:hint="default"/>
        </w:rPr>
        <w:t>(2)</w:t>
      </w:r>
      <w:r>
        <w:rPr/>
        <w:t>终止确认部分的对价，与原直接计入所有者权益的公允价值变动</w:t>
      </w:r>
      <w:r>
        <w:rPr>
          <w:spacing w:val="-58"/>
        </w:rPr>
        <w:t> </w:t>
      </w:r>
      <w:r>
        <w:rPr>
          <w:spacing w:val="-58"/>
        </w:rPr>
      </w:r>
      <w:r>
        <w:rPr/>
        <w:t>累计额中对应终止确认部分的金额之和。</w:t>
      </w:r>
    </w:p>
    <w:p>
      <w:pPr>
        <w:pStyle w:val="BodyText"/>
        <w:spacing w:line="300" w:lineRule="auto" w:before="24"/>
        <w:ind w:left="532" w:right="0"/>
        <w:jc w:val="left"/>
      </w:pPr>
      <w:r>
        <w:rPr>
          <w:rFonts w:ascii="Times New Roman" w:hAnsi="Times New Roman" w:cs="Times New Roman" w:eastAsia="Times New Roman" w:hint="default"/>
        </w:rPr>
        <w:t>4.</w:t>
      </w:r>
      <w:r>
        <w:rPr/>
        <w:t>金融资产和金融负债的公允价值确定方法 公司采用在当前情况下适用并且有足够可利用数据和其他信息支持的估值技术确定相关金融资产和金融负债的公允价</w:t>
      </w:r>
    </w:p>
    <w:p>
      <w:pPr>
        <w:pStyle w:val="BodyText"/>
        <w:spacing w:line="309" w:lineRule="auto" w:before="31"/>
        <w:ind w:left="532" w:right="1124" w:hanging="420"/>
        <w:jc w:val="left"/>
      </w:pPr>
      <w:r>
        <w:rPr/>
        <w:t>值。公司将估值技术使用的输入值分以下层级，并依次使用： </w:t>
      </w:r>
      <w:r>
        <w:rPr>
          <w:rFonts w:ascii="Times New Roman" w:hAnsi="Times New Roman" w:cs="Times New Roman" w:eastAsia="Times New Roman" w:hint="default"/>
        </w:rPr>
        <w:t>(1)</w:t>
      </w:r>
      <w:r>
        <w:rPr/>
        <w:t>第一层次输入值是在计量日能够取得的相同资产或负债在活跃市场上未经调整的报价； </w:t>
      </w:r>
      <w:r>
        <w:rPr>
          <w:rFonts w:ascii="Times New Roman" w:hAnsi="Times New Roman" w:cs="Times New Roman" w:eastAsia="Times New Roman" w:hint="default"/>
        </w:rPr>
        <w:t>(2)</w:t>
      </w:r>
      <w:r>
        <w:rPr/>
        <w:t>第二层次输入值是除第一层次输入值外相关资产或负债直接或间接可观察的输入值，包括：活跃市场中类似资产或</w:t>
      </w:r>
    </w:p>
    <w:p>
      <w:pPr>
        <w:pStyle w:val="BodyText"/>
        <w:spacing w:line="316" w:lineRule="auto" w:before="5"/>
        <w:ind w:right="0"/>
        <w:jc w:val="left"/>
      </w:pPr>
      <w:r>
        <w:rPr>
          <w:spacing w:val="-2"/>
        </w:rPr>
        <w:t>负债的报价；非活跃市场中相同或类似资产或负债的报价；除报价以外的其他可观察输入值，如在正常报价间隔期间可观察</w:t>
      </w:r>
      <w:r>
        <w:rPr>
          <w:spacing w:val="-63"/>
        </w:rPr>
        <w:t> </w:t>
      </w:r>
      <w:r>
        <w:rPr>
          <w:spacing w:val="-63"/>
        </w:rPr>
      </w:r>
      <w:r>
        <w:rPr/>
        <w:t>的利率和收益率曲线等；市场验证的输入值等；</w:t>
      </w:r>
    </w:p>
    <w:p>
      <w:pPr>
        <w:pStyle w:val="BodyText"/>
        <w:spacing w:line="240" w:lineRule="auto" w:before="19"/>
        <w:ind w:left="532" w:right="0"/>
        <w:jc w:val="left"/>
      </w:pPr>
      <w:r>
        <w:rPr>
          <w:rFonts w:ascii="Times New Roman" w:hAnsi="Times New Roman" w:cs="Times New Roman" w:eastAsia="Times New Roman" w:hint="default"/>
        </w:rPr>
        <w:t>(3)</w:t>
      </w:r>
      <w:r>
        <w:rPr/>
        <w:t>第三层次输入值是相关资产或负债的不可观察输入值，包括不能直接观察或无法由可观察市场数据验证的利率、股</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09" w:lineRule="auto" w:before="44"/>
        <w:ind w:left="532" w:right="1124" w:hanging="420"/>
        <w:jc w:val="left"/>
      </w:pPr>
      <w:r>
        <w:rPr/>
        <w:t>票波动率、企业合并中承担的弃置义务的未来现金流量、使用自身数据作出的财务预测等。 </w:t>
      </w:r>
      <w:r>
        <w:rPr>
          <w:rFonts w:ascii="Times New Roman" w:hAnsi="Times New Roman" w:cs="Times New Roman" w:eastAsia="Times New Roman" w:hint="default"/>
        </w:rPr>
        <w:t>5.</w:t>
      </w:r>
      <w:r>
        <w:rPr/>
        <w:t>金融资产的减值测试和减值准备计提方法 </w:t>
      </w:r>
      <w:r>
        <w:rPr>
          <w:rFonts w:ascii="Times New Roman" w:hAnsi="Times New Roman" w:cs="Times New Roman" w:eastAsia="Times New Roman" w:hint="default"/>
        </w:rPr>
        <w:t>(1)</w:t>
      </w:r>
      <w:r>
        <w:rPr/>
        <w:t>资产负债表日对以公允价值计量且其变动计入当期损益的金融资产以外的金融资产的账面价值进行检查，如有客观</w:t>
      </w:r>
    </w:p>
    <w:p>
      <w:pPr>
        <w:pStyle w:val="BodyText"/>
        <w:spacing w:line="240" w:lineRule="auto" w:before="5"/>
        <w:ind w:right="0"/>
        <w:jc w:val="left"/>
      </w:pPr>
      <w:r>
        <w:rPr/>
        <w:t>证据表明该金融资产发生减值的，计提减值准备。</w:t>
      </w:r>
    </w:p>
    <w:p>
      <w:pPr>
        <w:pStyle w:val="BodyText"/>
        <w:spacing w:line="312" w:lineRule="auto" w:before="76"/>
        <w:ind w:right="1132" w:firstLine="420"/>
        <w:jc w:val="both"/>
      </w:pPr>
      <w:r>
        <w:rPr>
          <w:rFonts w:ascii="Times New Roman" w:hAnsi="Times New Roman" w:cs="Times New Roman" w:eastAsia="Times New Roman" w:hint="default"/>
        </w:rPr>
        <w:t>(2)</w:t>
      </w:r>
      <w:r>
        <w:rPr/>
        <w:t>对于持有至到期投资、贷款和应收款，先将单项金额重大的金融资产区分开来，单独进行减值测试；对单项金额不</w:t>
      </w:r>
      <w:r>
        <w:rPr>
          <w:w w:val="99"/>
        </w:rPr>
        <w:t> </w:t>
      </w:r>
      <w:r>
        <w:rPr>
          <w:spacing w:val="-2"/>
        </w:rPr>
        <w:t>重大的金融资产，可以单独进行减值测试，或包括在具有类似信用风险特征的金融资产组合中进行减值测试；单独测试未发</w:t>
      </w:r>
      <w:r>
        <w:rPr>
          <w:spacing w:val="-66"/>
        </w:rPr>
        <w:t> </w:t>
      </w:r>
      <w:r>
        <w:rPr>
          <w:spacing w:val="-66"/>
        </w:rPr>
      </w:r>
      <w:r>
        <w:rPr>
          <w:spacing w:val="-2"/>
          <w:w w:val="99"/>
        </w:rPr>
        <w:t>生减值的金融资产（包括单项金额重大和不重大的金融资产），包括在具有类似信用风险特征的金融资产组合中再进行减值</w:t>
      </w:r>
      <w:r>
        <w:rPr>
          <w:spacing w:val="-71"/>
          <w:w w:val="99"/>
        </w:rPr>
        <w:t> </w:t>
      </w:r>
      <w:r>
        <w:rPr>
          <w:spacing w:val="-71"/>
          <w:w w:val="99"/>
        </w:rPr>
      </w:r>
      <w:r>
        <w:rPr/>
        <w:t>测试。测试结果表明其发生了减值的，根据其账面价值高于预计未来现金流量现值的差额确认减值损失。</w:t>
      </w:r>
    </w:p>
    <w:p>
      <w:pPr>
        <w:pStyle w:val="BodyText"/>
        <w:spacing w:line="300" w:lineRule="auto" w:before="22"/>
        <w:ind w:left="532" w:right="5864"/>
        <w:jc w:val="left"/>
      </w:pPr>
      <w:r>
        <w:rPr>
          <w:rFonts w:ascii="Times New Roman" w:hAnsi="Times New Roman" w:cs="Times New Roman" w:eastAsia="Times New Roman" w:hint="default"/>
        </w:rPr>
        <w:t>(3)</w:t>
      </w:r>
      <w:r>
        <w:rPr/>
        <w:t>可供出售金融资产</w:t>
      </w:r>
      <w:r>
        <w:rPr>
          <w:w w:val="99"/>
        </w:rPr>
        <w:t> </w:t>
      </w:r>
      <w:r>
        <w:rPr>
          <w:rFonts w:ascii="Times New Roman" w:hAnsi="Times New Roman" w:cs="Times New Roman" w:eastAsia="Times New Roman" w:hint="default"/>
        </w:rPr>
        <w:t>1)</w:t>
      </w:r>
      <w:r>
        <w:rPr/>
        <w:t>表明可供出售债务工具投资发生减值的客观证据包括：</w:t>
      </w:r>
    </w:p>
    <w:p>
      <w:pPr>
        <w:pStyle w:val="BodyText"/>
        <w:spacing w:line="240" w:lineRule="auto" w:before="13"/>
        <w:ind w:left="532" w:right="0"/>
        <w:jc w:val="left"/>
      </w:pPr>
      <w:r>
        <w:rPr/>
        <w:t>①债务人发生严重财务困难；</w:t>
      </w:r>
    </w:p>
    <w:p>
      <w:pPr>
        <w:pStyle w:val="BodyText"/>
        <w:spacing w:line="240" w:lineRule="auto" w:before="76"/>
        <w:ind w:left="532" w:right="0"/>
        <w:jc w:val="left"/>
      </w:pPr>
      <w:r>
        <w:rPr/>
        <w:t>②债务人违反了合同条款，如偿付利息或本金发生违约或逾期；</w:t>
      </w:r>
    </w:p>
    <w:p>
      <w:pPr>
        <w:pStyle w:val="BodyText"/>
        <w:spacing w:line="240" w:lineRule="auto" w:before="76"/>
        <w:ind w:left="532" w:right="0"/>
        <w:jc w:val="left"/>
      </w:pPr>
      <w:r>
        <w:rPr/>
        <w:t>③公司出于经济或法律等方面因素的考虑，对发生财务困难的债务人作出让步；</w:t>
      </w:r>
    </w:p>
    <w:p>
      <w:pPr>
        <w:pStyle w:val="BodyText"/>
        <w:spacing w:line="240" w:lineRule="auto" w:before="76"/>
        <w:ind w:left="532" w:right="0"/>
        <w:jc w:val="left"/>
      </w:pPr>
      <w:r>
        <w:rPr/>
        <w:t>④债务人很可能倒闭或进行其他财务重组；</w:t>
      </w:r>
    </w:p>
    <w:p>
      <w:pPr>
        <w:pStyle w:val="BodyText"/>
        <w:spacing w:line="240" w:lineRule="auto" w:before="76"/>
        <w:ind w:left="532" w:right="0"/>
        <w:jc w:val="left"/>
      </w:pPr>
      <w:r>
        <w:rPr/>
        <w:t>⑤因债务人发生重大财务困难，该债务工具无法在活跃市场继续交易；</w:t>
      </w:r>
    </w:p>
    <w:p>
      <w:pPr>
        <w:pStyle w:val="BodyText"/>
        <w:spacing w:line="240" w:lineRule="auto" w:before="76"/>
        <w:ind w:left="532" w:right="0"/>
        <w:jc w:val="left"/>
      </w:pPr>
      <w:r>
        <w:rPr/>
        <w:t>⑥其他表明可供出售债务工具已经发生减值的情况。</w:t>
      </w:r>
    </w:p>
    <w:p>
      <w:pPr>
        <w:pStyle w:val="BodyText"/>
        <w:spacing w:line="300" w:lineRule="auto" w:before="76"/>
        <w:ind w:right="0" w:firstLine="420"/>
        <w:jc w:val="left"/>
      </w:pPr>
      <w:r>
        <w:rPr>
          <w:rFonts w:ascii="Times New Roman" w:hAnsi="Times New Roman" w:cs="Times New Roman" w:eastAsia="Times New Roman" w:hint="default"/>
        </w:rPr>
        <w:t>2)</w:t>
      </w:r>
      <w:r>
        <w:rPr/>
        <w:t>表明可供出售权益工具投资发生减值的客观证据包括权益工具投资的公允价值发生严重或非暂时性下跌，以及被投 资单位经营所处的技术、市场、经济或法律环境等发生重大不利变化使公司可能无法收回投资成本。</w:t>
      </w:r>
    </w:p>
    <w:p>
      <w:pPr>
        <w:pStyle w:val="BodyText"/>
        <w:spacing w:line="307" w:lineRule="auto" w:before="31"/>
        <w:ind w:right="0" w:firstLine="420"/>
        <w:jc w:val="left"/>
      </w:pPr>
      <w:r>
        <w:rPr/>
        <w:t>本公司于资产负债表日对各项可供出售权益工具投资单独进行检查。对于以公允价值计量的权益工具投资，若其于资 产负债表日的公允价值低于其成本超过</w:t>
      </w:r>
      <w:r>
        <w:rPr>
          <w:rFonts w:ascii="Times New Roman" w:hAnsi="Times New Roman" w:cs="Times New Roman" w:eastAsia="Times New Roman" w:hint="default"/>
        </w:rPr>
        <w:t>50%</w:t>
      </w:r>
      <w:r>
        <w:rPr/>
        <w:t>（含</w:t>
      </w:r>
      <w:r>
        <w:rPr>
          <w:rFonts w:ascii="Times New Roman" w:hAnsi="Times New Roman" w:cs="Times New Roman" w:eastAsia="Times New Roman" w:hint="default"/>
        </w:rPr>
        <w:t>50%</w:t>
      </w:r>
      <w:r>
        <w:rPr/>
        <w:t>）或低于其成本持续时间超过</w:t>
      </w:r>
      <w:r>
        <w:rPr>
          <w:rFonts w:ascii="Times New Roman" w:hAnsi="Times New Roman" w:cs="Times New Roman" w:eastAsia="Times New Roman" w:hint="default"/>
        </w:rPr>
        <w:t>12</w:t>
      </w:r>
      <w:r>
        <w:rPr/>
        <w:t>个月（含</w:t>
      </w:r>
      <w:r>
        <w:rPr>
          <w:rFonts w:ascii="Times New Roman" w:hAnsi="Times New Roman" w:cs="Times New Roman" w:eastAsia="Times New Roman" w:hint="default"/>
        </w:rPr>
        <w:t>12</w:t>
      </w:r>
      <w:r>
        <w:rPr/>
        <w:t>个月）的，则表明其发生减 </w:t>
      </w:r>
      <w:r>
        <w:rPr>
          <w:spacing w:val="-5"/>
        </w:rPr>
        <w:t>值；若其于资产负债表日的公允价值低于其成本超过</w:t>
      </w:r>
      <w:r>
        <w:rPr>
          <w:rFonts w:ascii="Times New Roman" w:hAnsi="Times New Roman" w:cs="Times New Roman" w:eastAsia="Times New Roman" w:hint="default"/>
          <w:spacing w:val="-5"/>
        </w:rPr>
        <w:t>20%</w:t>
      </w:r>
      <w:r>
        <w:rPr>
          <w:spacing w:val="-5"/>
        </w:rPr>
        <w:t>（含</w:t>
      </w:r>
      <w:r>
        <w:rPr>
          <w:rFonts w:ascii="Times New Roman" w:hAnsi="Times New Roman" w:cs="Times New Roman" w:eastAsia="Times New Roman" w:hint="default"/>
          <w:spacing w:val="-5"/>
        </w:rPr>
        <w:t>20%</w:t>
      </w:r>
      <w:r>
        <w:rPr>
          <w:spacing w:val="-5"/>
        </w:rPr>
        <w:t>）但尚未达到</w:t>
      </w:r>
      <w:r>
        <w:rPr>
          <w:rFonts w:ascii="Times New Roman" w:hAnsi="Times New Roman" w:cs="Times New Roman" w:eastAsia="Times New Roman" w:hint="default"/>
          <w:spacing w:val="-5"/>
        </w:rPr>
        <w:t>50%</w:t>
      </w:r>
      <w:r>
        <w:rPr>
          <w:spacing w:val="-5"/>
        </w:rPr>
        <w:t>的，或低于其成本持续时间超过</w:t>
      </w:r>
      <w:r>
        <w:rPr>
          <w:rFonts w:ascii="Times New Roman" w:hAnsi="Times New Roman" w:cs="Times New Roman" w:eastAsia="Times New Roman" w:hint="default"/>
          <w:spacing w:val="-5"/>
        </w:rPr>
        <w:t>6</w:t>
      </w:r>
      <w:r>
        <w:rPr>
          <w:spacing w:val="-5"/>
        </w:rPr>
        <w:t>个月（含</w:t>
      </w:r>
      <w:r>
        <w:rPr>
          <w:spacing w:val="-61"/>
        </w:rPr>
        <w:t> </w:t>
      </w:r>
      <w:r>
        <w:rPr>
          <w:spacing w:val="-61"/>
        </w:rPr>
      </w:r>
      <w:r>
        <w:rPr>
          <w:rFonts w:ascii="Times New Roman" w:hAnsi="Times New Roman" w:cs="Times New Roman" w:eastAsia="Times New Roman" w:hint="default"/>
        </w:rPr>
        <w:t>6</w:t>
      </w:r>
      <w:r>
        <w:rPr/>
        <w:t>个月）但未超过</w:t>
      </w:r>
      <w:r>
        <w:rPr>
          <w:rFonts w:ascii="Times New Roman" w:hAnsi="Times New Roman" w:cs="Times New Roman" w:eastAsia="Times New Roman" w:hint="default"/>
        </w:rPr>
        <w:t>12</w:t>
      </w:r>
      <w:r>
        <w:rPr/>
        <w:t>个月的，本公司会综合考虑其他相关因素，诸如价格波动率等，判断该权益工具投资是否发生减值。对</w:t>
      </w:r>
      <w:r>
        <w:rPr>
          <w:spacing w:val="-85"/>
        </w:rPr>
        <w:t> </w:t>
      </w:r>
      <w:r>
        <w:rPr>
          <w:spacing w:val="-85"/>
        </w:rPr>
      </w:r>
      <w:r>
        <w:rPr>
          <w:spacing w:val="-4"/>
        </w:rPr>
        <w:t>于以成本计量的权益工具投资，公司综合考虑被投资单位经营所处的技术、市场、经济或法律环境等是否发生重大不利变化，</w:t>
      </w:r>
      <w:r>
        <w:rPr>
          <w:spacing w:val="-40"/>
        </w:rPr>
        <w:t> </w:t>
      </w:r>
      <w:r>
        <w:rPr>
          <w:spacing w:val="-40"/>
        </w:rPr>
      </w:r>
      <w:r>
        <w:rPr/>
        <w:t>判断该权益工具是否发生减值。</w:t>
      </w:r>
    </w:p>
    <w:p>
      <w:pPr>
        <w:pStyle w:val="BodyText"/>
        <w:spacing w:line="316" w:lineRule="auto" w:before="26"/>
        <w:ind w:right="0" w:firstLine="420"/>
        <w:jc w:val="left"/>
      </w:pPr>
      <w:r>
        <w:rPr/>
        <w:t>以公允价值计量的可供出售金融资产发生减值时，原直接计入其他综合收益的因公允价值下降形成的累计损失予以转 </w:t>
      </w:r>
      <w:r>
        <w:rPr>
          <w:spacing w:val="-2"/>
        </w:rPr>
        <w:t>出并计入减值损失。对已确认减值损失的可供出售债务工具投资，在期后公允价值回升且客观上与确认原减值损失后发生的</w:t>
      </w:r>
      <w:r>
        <w:rPr>
          <w:spacing w:val="-64"/>
        </w:rPr>
        <w:t> </w:t>
      </w:r>
      <w:r>
        <w:rPr>
          <w:spacing w:val="-64"/>
        </w:rPr>
      </w:r>
      <w:r>
        <w:rPr>
          <w:spacing w:val="-2"/>
        </w:rPr>
        <w:t>事项有关的，原确认的减值损失予以转回并计入当期损益。对已确认减值损失的可供出售权益工具投资，期后公允价值回升</w:t>
      </w:r>
      <w:r>
        <w:rPr>
          <w:spacing w:val="-63"/>
        </w:rPr>
        <w:t> </w:t>
      </w:r>
      <w:r>
        <w:rPr>
          <w:spacing w:val="-63"/>
        </w:rPr>
      </w:r>
      <w:r>
        <w:rPr/>
        <w:t>直接计入其他综合收益。 </w:t>
      </w:r>
      <w:r>
        <w:rPr>
          <w:spacing w:val="-2"/>
        </w:rPr>
        <w:t>以成本计量的可供出售权益工具发生减值时，将该权益工具投资的账面价值，与按照类似金融资产当时市场收益率对未来现</w:t>
      </w:r>
      <w:r>
        <w:rPr>
          <w:spacing w:val="-64"/>
        </w:rPr>
        <w:t> </w:t>
      </w:r>
      <w:r>
        <w:rPr>
          <w:spacing w:val="-64"/>
        </w:rPr>
      </w:r>
      <w:r>
        <w:rPr/>
        <w:t>金流量折现确定的现值之间的差额，确认为减值损失，计入当期损益，发生的减值损失一经确认，不予转回。</w:t>
      </w:r>
    </w:p>
    <w:p>
      <w:pPr>
        <w:spacing w:line="240" w:lineRule="auto" w:before="6"/>
        <w:rPr>
          <w:rFonts w:ascii="宋体" w:hAnsi="宋体" w:cs="宋体" w:eastAsia="宋体" w:hint="default"/>
          <w:sz w:val="22"/>
          <w:szCs w:val="22"/>
        </w:rPr>
      </w:pPr>
    </w:p>
    <w:p>
      <w:pPr>
        <w:pStyle w:val="Heading3"/>
        <w:spacing w:line="240" w:lineRule="auto"/>
        <w:ind w:right="0"/>
        <w:jc w:val="left"/>
        <w:rPr>
          <w:b w:val="0"/>
          <w:bCs w:val="0"/>
        </w:rPr>
      </w:pPr>
      <w:bookmarkStart w:name="10、应收票据及应收账款" w:id="190"/>
      <w:bookmarkEnd w:id="190"/>
      <w:r>
        <w:rPr>
          <w:b w:val="0"/>
          <w:bCs w:val="0"/>
        </w:rPr>
      </w:r>
      <w:r>
        <w:rPr>
          <w:rFonts w:ascii="Times New Roman" w:hAnsi="Times New Roman" w:cs="Times New Roman" w:eastAsia="Times New Roman" w:hint="default"/>
        </w:rPr>
        <w:t>10</w:t>
      </w:r>
      <w:r>
        <w:rPr/>
        <w:t>、应收票据及应收账款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单项金额重大并单独计提坏账准备的应收款项" w:id="191"/>
      <w:bookmarkEnd w:id="191"/>
      <w:r>
        <w:rPr>
          <w:b w:val="0"/>
          <w:bCs w:val="0"/>
        </w:rPr>
      </w:r>
      <w:r>
        <w:rPr/>
        <w:t>（</w:t>
      </w:r>
      <w:r>
        <w:rPr>
          <w:rFonts w:ascii="Times New Roman" w:hAnsi="Times New Roman" w:cs="Times New Roman" w:eastAsia="Times New Roman" w:hint="default"/>
        </w:rPr>
        <w:t>1</w:t>
      </w:r>
      <w:r>
        <w:rPr/>
        <w:t>）单项金额重大并单独计提坏账准备的应收款项</w:t>
      </w:r>
      <w:r>
        <w:rPr>
          <w:b w:val="0"/>
          <w:bCs w:val="0"/>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4784"/>
        <w:gridCol w:w="4784"/>
      </w:tblGrid>
      <w:tr>
        <w:trPr>
          <w:trHeight w:val="714"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单项金额重大的判断依据或金额标准</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3" w:right="168"/>
              <w:jc w:val="left"/>
              <w:rPr>
                <w:rFonts w:ascii="宋体" w:hAnsi="宋体" w:cs="宋体" w:eastAsia="宋体" w:hint="default"/>
                <w:sz w:val="18"/>
                <w:szCs w:val="18"/>
              </w:rPr>
            </w:pPr>
            <w:r>
              <w:rPr>
                <w:rFonts w:ascii="宋体" w:hAnsi="宋体" w:cs="宋体" w:eastAsia="宋体" w:hint="default"/>
                <w:sz w:val="18"/>
                <w:szCs w:val="18"/>
              </w:rPr>
              <w:t>占应收款项（含应收商业承兑汇票、应收账款和其他应收 款，下同）账面余额</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以上的款项</w:t>
            </w:r>
          </w:p>
        </w:tc>
      </w:tr>
      <w:tr>
        <w:trPr>
          <w:trHeight w:val="714"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单项金额重大并单项计提坏账准备的计提方法</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168"/>
              <w:jc w:val="left"/>
              <w:rPr>
                <w:rFonts w:ascii="宋体" w:hAnsi="宋体" w:cs="宋体" w:eastAsia="宋体" w:hint="default"/>
                <w:sz w:val="18"/>
                <w:szCs w:val="18"/>
              </w:rPr>
            </w:pPr>
            <w:r>
              <w:rPr>
                <w:rFonts w:ascii="宋体" w:hAnsi="宋体" w:cs="宋体" w:eastAsia="宋体" w:hint="default"/>
                <w:sz w:val="18"/>
                <w:szCs w:val="18"/>
              </w:rPr>
              <w:t>单独进行减值测试，根据其未来现金流量现值低于其账面 价值的差额计提坏账准备</w:t>
            </w:r>
          </w:p>
        </w:tc>
      </w:tr>
    </w:tbl>
    <w:p>
      <w:pPr>
        <w:spacing w:line="240" w:lineRule="auto" w:before="3"/>
        <w:rPr>
          <w:rFonts w:ascii="宋体" w:hAnsi="宋体" w:cs="宋体" w:eastAsia="宋体" w:hint="default"/>
          <w:b/>
          <w:bCs/>
          <w:sz w:val="19"/>
          <w:szCs w:val="19"/>
        </w:rPr>
      </w:pPr>
    </w:p>
    <w:p>
      <w:pPr>
        <w:pStyle w:val="Heading3"/>
        <w:spacing w:line="240" w:lineRule="auto" w:before="34"/>
        <w:ind w:right="0"/>
        <w:jc w:val="left"/>
        <w:rPr>
          <w:b w:val="0"/>
          <w:bCs w:val="0"/>
        </w:rPr>
      </w:pPr>
      <w:bookmarkStart w:name="（2）按信用风险特征组合计提坏账准备的应收款项" w:id="192"/>
      <w:bookmarkEnd w:id="192"/>
      <w:r>
        <w:rPr>
          <w:b w:val="0"/>
          <w:bCs w:val="0"/>
        </w:rPr>
      </w:r>
      <w:r>
        <w:rPr/>
        <w:t>（</w:t>
      </w:r>
      <w:r>
        <w:rPr>
          <w:rFonts w:ascii="Times New Roman" w:hAnsi="Times New Roman" w:cs="Times New Roman" w:eastAsia="Times New Roman" w:hint="default"/>
        </w:rPr>
        <w:t>2</w:t>
      </w:r>
      <w:r>
        <w:rPr/>
        <w:t>）按信用风险特征组合计提坏账准备的应收款项</w:t>
      </w:r>
      <w:r>
        <w:rPr>
          <w:b w:val="0"/>
          <w:bCs w:val="0"/>
        </w:rPr>
      </w:r>
    </w:p>
    <w:p>
      <w:pPr>
        <w:spacing w:line="240" w:lineRule="auto" w:before="5"/>
        <w:rPr>
          <w:rFonts w:ascii="宋体" w:hAnsi="宋体" w:cs="宋体" w:eastAsia="宋体" w:hint="default"/>
          <w:b/>
          <w:bCs/>
          <w:sz w:val="25"/>
          <w:szCs w:val="25"/>
        </w:rPr>
      </w:pPr>
    </w:p>
    <w:p>
      <w:pPr>
        <w:spacing w:line="414"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4pt;height:20.75pt;mso-position-horizontal-relative:char;mso-position-vertical-relative:line" coordorigin="0,0" coordsize="9588,415">
            <v:group style="position:absolute;left:13;top:12;width:4779;height:397" coordorigin="13,12" coordsize="4779,397">
              <v:shape style="position:absolute;left:13;top:12;width:4779;height:397" coordorigin="13,12" coordsize="4779,397" path="m13,12l4792,12,4792,409,13,409,13,12xe" filled="true" fillcolor="#d2d2d2" stroked="false">
                <v:path arrowok="t"/>
                <v:fill type="solid"/>
              </v:shape>
            </v:group>
            <v:group style="position:absolute;left:4797;top:12;width:4779;height:397" coordorigin="4797,12" coordsize="4779,397">
              <v:shape style="position:absolute;left:4797;top:12;width:4779;height:397" coordorigin="4797,12" coordsize="4779,397" path="m4797,12l9576,12,9576,409,4797,409,4797,12xe" filled="true" fillcolor="#d2d2d2"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0;width:9578;height:2" coordorigin="5,410" coordsize="9578,2">
              <v:shape style="position:absolute;left:5;top:410;width:9578;height:2" coordorigin="5,410" coordsize="9578,0" path="m5,410l9582,410e" filled="false" stroked="true" strokeweight=".48pt" strokecolor="#000000">
                <v:path arrowok="t"/>
              </v:shape>
            </v:group>
            <v:group style="position:absolute;left:10;top:5;width:2;height:400" coordorigin="10,5" coordsize="2,400">
              <v:shape style="position:absolute;left:10;top:5;width:2;height:400" coordorigin="10,5" coordsize="0,400" path="m10,5l10,405e" filled="false" stroked="true" strokeweight=".48pt" strokecolor="#000000">
                <v:path arrowok="t"/>
              </v:shape>
            </v:group>
            <v:group style="position:absolute;left:4794;top:5;width:2;height:400" coordorigin="4794,5" coordsize="2,400">
              <v:shape style="position:absolute;left:4794;top:5;width:2;height:400" coordorigin="4794,5" coordsize="0,400" path="m4794,5l4794,405e" filled="false" stroked="true" strokeweight=".48pt" strokecolor="#000000">
                <v:path arrowok="t"/>
              </v:shape>
            </v:group>
            <v:group style="position:absolute;left:9578;top:5;width:2;height:400" coordorigin="9578,5" coordsize="2,400">
              <v:shape style="position:absolute;left:9578;top:5;width:2;height:400" coordorigin="9578,5" coordsize="0,400" path="m9578,5l9578,405e" filled="false" stroked="true" strokeweight=".48pt" strokecolor="#000000">
                <v:path arrowok="t"/>
              </v:shape>
              <v:shape style="position:absolute;left:10;top:10;width:4784;height:400" type="#_x0000_t202" filled="false" stroked="false">
                <v:textbox inset="0,0,0,0">
                  <w:txbxContent>
                    <w:p>
                      <w:pPr>
                        <w:spacing w:before="55"/>
                        <w:ind w:left="0" w:right="0" w:firstLine="0"/>
                        <w:jc w:val="center"/>
                        <w:rPr>
                          <w:rFonts w:ascii="宋体" w:hAnsi="宋体" w:cs="宋体" w:eastAsia="宋体" w:hint="default"/>
                          <w:sz w:val="18"/>
                          <w:szCs w:val="18"/>
                        </w:rPr>
                      </w:pPr>
                      <w:r>
                        <w:rPr>
                          <w:rFonts w:ascii="宋体" w:hAnsi="宋体" w:cs="宋体" w:eastAsia="宋体" w:hint="default"/>
                          <w:sz w:val="18"/>
                          <w:szCs w:val="18"/>
                        </w:rPr>
                        <w:t>组合名称</w:t>
                      </w:r>
                    </w:p>
                  </w:txbxContent>
                </v:textbox>
                <w10:wrap type="none"/>
              </v:shape>
              <v:shape style="position:absolute;left:4794;top:10;width:4784;height:400" type="#_x0000_t202" filled="false" stroked="false">
                <v:textbox inset="0,0,0,0">
                  <w:txbxContent>
                    <w:p>
                      <w:pPr>
                        <w:spacing w:before="55"/>
                        <w:ind w:left="0" w:right="0" w:firstLine="0"/>
                        <w:jc w:val="center"/>
                        <w:rPr>
                          <w:rFonts w:ascii="宋体" w:hAnsi="宋体" w:cs="宋体" w:eastAsia="宋体" w:hint="default"/>
                          <w:sz w:val="18"/>
                          <w:szCs w:val="18"/>
                        </w:rPr>
                      </w:pPr>
                      <w:r>
                        <w:rPr>
                          <w:rFonts w:ascii="宋体" w:hAnsi="宋体" w:cs="宋体" w:eastAsia="宋体" w:hint="default"/>
                          <w:sz w:val="18"/>
                          <w:szCs w:val="18"/>
                        </w:rPr>
                        <w:t>坏账准备计提方法</w:t>
                      </w:r>
                    </w:p>
                  </w:txbxContent>
                </v:textbox>
                <w10:wrap type="none"/>
              </v:shape>
            </v:group>
          </v:group>
        </w:pict>
      </w:r>
      <w:r>
        <w:rPr>
          <w:rFonts w:ascii="宋体" w:hAnsi="宋体" w:cs="宋体" w:eastAsia="宋体" w:hint="default"/>
          <w:position w:val="-7"/>
          <w:sz w:val="20"/>
          <w:szCs w:val="20"/>
        </w:rPr>
      </w:r>
    </w:p>
    <w:p>
      <w:pPr>
        <w:spacing w:after="0" w:line="414" w:lineRule="exact"/>
        <w:rPr>
          <w:rFonts w:ascii="宋体" w:hAnsi="宋体" w:cs="宋体" w:eastAsia="宋体" w:hint="default"/>
          <w:sz w:val="20"/>
          <w:szCs w:val="20"/>
        </w:rPr>
        <w:sectPr>
          <w:pgSz w:w="11910" w:h="16840"/>
          <w:pgMar w:header="907" w:footer="1016" w:top="1100" w:bottom="1200" w:left="1020" w:right="0"/>
        </w:sectPr>
      </w:pPr>
    </w:p>
    <w:p>
      <w:pPr>
        <w:spacing w:line="240" w:lineRule="auto" w:before="1"/>
        <w:rPr>
          <w:rFonts w:ascii="宋体" w:hAnsi="宋体" w:cs="宋体" w:eastAsia="宋体" w:hint="default"/>
          <w:b/>
          <w:bCs/>
          <w:sz w:val="25"/>
          <w:szCs w:val="25"/>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4pt;height:20.85pt;mso-position-horizontal-relative:char;mso-position-vertical-relative:line" coordorigin="0,0" coordsize="9588,417">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94;top:5;width:2;height:402" coordorigin="4794,5" coordsize="2,402">
              <v:shape style="position:absolute;left:4794;top:5;width:2;height:402" coordorigin="4794,5" coordsize="0,402" path="m4794,5l4794,407e" filled="false" stroked="true" strokeweight=".48pt" strokecolor="#000000">
                <v:path arrowok="t"/>
              </v:shape>
            </v:group>
            <v:group style="position:absolute;left:9578;top:5;width:2;height:402" coordorigin="9578,5" coordsize="2,402">
              <v:shape style="position:absolute;left:9578;top:5;width:2;height:402" coordorigin="9578,5" coordsize="0,402" path="m9578,5l9578,407e" filled="false" stroked="true" strokeweight=".48pt" strokecolor="#000000">
                <v:path arrowok="t"/>
              </v:shape>
              <v:shape style="position:absolute;left:10;top:10;width:4784;height:402" type="#_x0000_t202" filled="false" stroked="false">
                <v:textbox inset="0,0,0,0">
                  <w:txbxContent>
                    <w:p>
                      <w:pPr>
                        <w:spacing w:before="54"/>
                        <w:ind w:left="106" w:right="0" w:firstLine="0"/>
                        <w:jc w:val="left"/>
                        <w:rPr>
                          <w:rFonts w:ascii="宋体" w:hAnsi="宋体" w:cs="宋体" w:eastAsia="宋体" w:hint="default"/>
                          <w:sz w:val="18"/>
                          <w:szCs w:val="18"/>
                        </w:rPr>
                      </w:pPr>
                      <w:r>
                        <w:rPr>
                          <w:rFonts w:ascii="宋体" w:hAnsi="宋体" w:cs="宋体" w:eastAsia="宋体" w:hint="default"/>
                          <w:sz w:val="18"/>
                          <w:szCs w:val="18"/>
                        </w:rPr>
                        <w:t>账龄组合</w:t>
                      </w:r>
                    </w:p>
                  </w:txbxContent>
                </v:textbox>
                <w10:wrap type="none"/>
              </v:shape>
              <v:shape style="position:absolute;left:4794;top:10;width:4784;height:402" type="#_x0000_t202" filled="false" stroked="false">
                <v:textbox inset="0,0,0,0">
                  <w:txbxContent>
                    <w:p>
                      <w:pPr>
                        <w:spacing w:before="54"/>
                        <w:ind w:left="108" w:right="0" w:firstLine="0"/>
                        <w:jc w:val="left"/>
                        <w:rPr>
                          <w:rFonts w:ascii="宋体" w:hAnsi="宋体" w:cs="宋体" w:eastAsia="宋体" w:hint="default"/>
                          <w:sz w:val="18"/>
                          <w:szCs w:val="18"/>
                        </w:rPr>
                      </w:pPr>
                      <w:r>
                        <w:rPr>
                          <w:rFonts w:ascii="宋体" w:hAnsi="宋体" w:cs="宋体" w:eastAsia="宋体" w:hint="default"/>
                          <w:sz w:val="18"/>
                          <w:szCs w:val="18"/>
                        </w:rPr>
                        <w:t>账龄分析法</w:t>
                      </w:r>
                    </w:p>
                  </w:txbxContent>
                </v:textbox>
                <w10:wrap type="none"/>
              </v:shape>
            </v:group>
          </v:group>
        </w:pict>
      </w:r>
      <w:r>
        <w:rPr>
          <w:rFonts w:ascii="宋体" w:hAnsi="宋体" w:cs="宋体" w:eastAsia="宋体" w:hint="default"/>
          <w:position w:val="-7"/>
          <w:sz w:val="20"/>
          <w:szCs w:val="20"/>
        </w:rPr>
      </w:r>
    </w:p>
    <w:p>
      <w:pPr>
        <w:pStyle w:val="BodyText"/>
        <w:spacing w:line="240" w:lineRule="auto" w:before="51"/>
        <w:ind w:right="0"/>
        <w:jc w:val="left"/>
      </w:pPr>
      <w:r>
        <w:rPr/>
        <w:t>组合中，采用账龄分析法计提坏账准备的：</w:t>
      </w:r>
    </w:p>
    <w:p>
      <w:pPr>
        <w:pStyle w:val="BodyText"/>
        <w:spacing w:line="240" w:lineRule="auto" w:before="117"/>
        <w:ind w:right="0"/>
        <w:jc w:val="left"/>
      </w:pPr>
      <w:r>
        <w:rPr/>
        <w:t>√ 适用</w:t>
      </w:r>
      <w:r>
        <w:rPr>
          <w:spacing w:val="-1"/>
        </w:rPr>
        <w:t> </w:t>
      </w:r>
      <w:r>
        <w:rPr/>
        <w:t>□不适用</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870"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78"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20.00%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20.00%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30.00%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30.00%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50.00%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50.00%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50.00%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100.00%</w:t>
            </w:r>
          </w:p>
        </w:tc>
      </w:tr>
    </w:tbl>
    <w:p>
      <w:pPr>
        <w:pStyle w:val="BodyText"/>
        <w:spacing w:line="240" w:lineRule="auto" w:before="50"/>
        <w:ind w:right="0"/>
        <w:jc w:val="left"/>
      </w:pPr>
      <w:r>
        <w:rPr/>
        <w:t>组合中，采用余额百分比法计提坏账准备的：</w:t>
      </w:r>
    </w:p>
    <w:p>
      <w:pPr>
        <w:pStyle w:val="BodyText"/>
        <w:spacing w:line="357" w:lineRule="auto" w:before="117"/>
        <w:ind w:right="7514" w:firstLine="91"/>
        <w:jc w:val="left"/>
      </w:pPr>
      <w:r>
        <w:rPr/>
        <w:t>□ 适用 √</w:t>
      </w:r>
      <w:r>
        <w:rPr>
          <w:spacing w:val="-1"/>
        </w:rPr>
        <w:t> </w:t>
      </w:r>
      <w:r>
        <w:rPr/>
        <w:t>不适用</w:t>
      </w:r>
      <w:r>
        <w:rPr/>
        <w:t> 组合中，采用其他方法计提坏账准备的：</w:t>
      </w:r>
    </w:p>
    <w:p>
      <w:pPr>
        <w:pStyle w:val="BodyText"/>
        <w:spacing w:line="240" w:lineRule="auto" w:before="29"/>
        <w:ind w:left="204" w:right="0"/>
        <w:jc w:val="left"/>
      </w:pPr>
      <w:r>
        <w:rPr/>
        <w:t>□ 适用  √</w:t>
      </w:r>
      <w:r>
        <w:rPr>
          <w:spacing w:val="-1"/>
        </w:rPr>
        <w:t> </w:t>
      </w:r>
      <w:r>
        <w:rPr/>
        <w:t>不适用</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3）单项金额不重大但单独计提坏账准备的应收款项" w:id="193"/>
      <w:bookmarkEnd w:id="193"/>
      <w:r>
        <w:rPr>
          <w:b w:val="0"/>
          <w:bCs w:val="0"/>
        </w:rPr>
      </w:r>
      <w:r>
        <w:rPr/>
        <w:t>（</w:t>
      </w:r>
      <w:r>
        <w:rPr>
          <w:rFonts w:ascii="Times New Roman" w:hAnsi="Times New Roman" w:cs="Times New Roman" w:eastAsia="Times New Roman" w:hint="default"/>
        </w:rPr>
        <w:t>3</w:t>
      </w:r>
      <w:r>
        <w:rPr/>
        <w:t>）单项金额不重大但单独计提坏账准备的应收款项</w:t>
      </w:r>
      <w:r>
        <w:rPr>
          <w:b w:val="0"/>
          <w:bCs w:val="0"/>
        </w:rPr>
      </w:r>
    </w:p>
    <w:p>
      <w:pPr>
        <w:spacing w:line="240" w:lineRule="auto" w:before="8"/>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4784"/>
        <w:gridCol w:w="4784"/>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单项计提坏账准备的理由</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具有特殊性质的款项。</w:t>
            </w:r>
          </w:p>
        </w:tc>
      </w:tr>
      <w:tr>
        <w:trPr>
          <w:trHeight w:val="714"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坏账准备的计提方法</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68"/>
              <w:jc w:val="left"/>
              <w:rPr>
                <w:rFonts w:ascii="宋体" w:hAnsi="宋体" w:cs="宋体" w:eastAsia="宋体" w:hint="default"/>
                <w:sz w:val="18"/>
                <w:szCs w:val="18"/>
              </w:rPr>
            </w:pPr>
            <w:r>
              <w:rPr>
                <w:rFonts w:ascii="宋体" w:hAnsi="宋体" w:cs="宋体" w:eastAsia="宋体" w:hint="default"/>
                <w:sz w:val="18"/>
                <w:szCs w:val="18"/>
              </w:rPr>
              <w:t>单独进行减值测试，根据其未来现金流量现值低于其账面 价值的差额计提坏账准备。</w:t>
            </w:r>
          </w:p>
        </w:tc>
      </w:tr>
    </w:tbl>
    <w:p>
      <w:pPr>
        <w:spacing w:line="240" w:lineRule="auto" w:before="3"/>
        <w:rPr>
          <w:rFonts w:ascii="宋体" w:hAnsi="宋体" w:cs="宋体" w:eastAsia="宋体" w:hint="default"/>
          <w:b/>
          <w:bCs/>
          <w:sz w:val="19"/>
          <w:szCs w:val="19"/>
        </w:rPr>
      </w:pPr>
    </w:p>
    <w:p>
      <w:pPr>
        <w:pStyle w:val="Heading3"/>
        <w:spacing w:line="240" w:lineRule="auto" w:before="34"/>
        <w:ind w:right="0"/>
        <w:jc w:val="left"/>
        <w:rPr>
          <w:b w:val="0"/>
          <w:bCs w:val="0"/>
        </w:rPr>
      </w:pPr>
      <w:bookmarkStart w:name="11、存货" w:id="194"/>
      <w:bookmarkEnd w:id="194"/>
      <w:r>
        <w:rPr>
          <w:b w:val="0"/>
          <w:bCs w:val="0"/>
        </w:rPr>
      </w:r>
      <w:r>
        <w:rPr>
          <w:rFonts w:ascii="Times New Roman" w:hAnsi="Times New Roman" w:cs="Times New Roman" w:eastAsia="Times New Roman" w:hint="default"/>
        </w:rPr>
        <w:t>11</w:t>
      </w:r>
      <w:r>
        <w:rPr/>
        <w:t>、存货</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7694"/>
        <w:jc w:val="left"/>
      </w:pPr>
      <w:r>
        <w:rPr/>
        <w:t>公司是否需要遵守特殊行业的披露要求 是</w:t>
      </w:r>
    </w:p>
    <w:p>
      <w:pPr>
        <w:pStyle w:val="BodyText"/>
        <w:spacing w:line="240" w:lineRule="auto" w:before="25"/>
        <w:ind w:right="0"/>
        <w:jc w:val="left"/>
      </w:pPr>
      <w:r>
        <w:rPr/>
        <w:t>软件与信息技术服务业</w:t>
      </w:r>
    </w:p>
    <w:p>
      <w:pPr>
        <w:pStyle w:val="BodyText"/>
        <w:spacing w:line="300" w:lineRule="auto" w:before="117"/>
        <w:ind w:left="472" w:right="1120"/>
        <w:jc w:val="left"/>
      </w:pPr>
      <w:r>
        <w:rPr>
          <w:rFonts w:ascii="Times New Roman" w:hAnsi="Times New Roman" w:cs="Times New Roman" w:eastAsia="Times New Roman" w:hint="default"/>
        </w:rPr>
        <w:t>1.</w:t>
      </w:r>
      <w:r>
        <w:rPr/>
        <w:t>存货的分类 </w:t>
      </w:r>
      <w:r>
        <w:rPr>
          <w:spacing w:val="-2"/>
        </w:rPr>
        <w:t>存货包括在日常活动中持有以备出售的产成品或商品、处在生产过程中的在产品、在生产过程或提供劳务过程中耗用的</w:t>
      </w:r>
    </w:p>
    <w:p>
      <w:pPr>
        <w:pStyle w:val="BodyText"/>
        <w:spacing w:line="240" w:lineRule="auto" w:before="31"/>
        <w:ind w:right="0"/>
        <w:jc w:val="left"/>
      </w:pPr>
      <w:r>
        <w:rPr/>
        <w:t>材料和物料等。</w:t>
      </w:r>
    </w:p>
    <w:p>
      <w:pPr>
        <w:pStyle w:val="BodyText"/>
        <w:spacing w:line="309" w:lineRule="auto" w:before="76"/>
        <w:ind w:left="472" w:right="6434"/>
        <w:jc w:val="left"/>
      </w:pPr>
      <w:r>
        <w:rPr>
          <w:rFonts w:ascii="Times New Roman" w:hAnsi="Times New Roman" w:cs="Times New Roman" w:eastAsia="Times New Roman" w:hint="default"/>
        </w:rPr>
        <w:t>2.</w:t>
      </w:r>
      <w:r>
        <w:rPr/>
        <w:t>发出存货的计价方法 发出存货采用个别计价法和月末一次加权平均法。 </w:t>
      </w:r>
      <w:r>
        <w:rPr>
          <w:rFonts w:ascii="Times New Roman" w:hAnsi="Times New Roman" w:cs="Times New Roman" w:eastAsia="Times New Roman" w:hint="default"/>
        </w:rPr>
        <w:t>3.</w:t>
      </w:r>
      <w:r>
        <w:rPr/>
        <w:t>存货可变现净值的确定依据</w:t>
      </w:r>
    </w:p>
    <w:p>
      <w:pPr>
        <w:pStyle w:val="BodyText"/>
        <w:spacing w:line="316" w:lineRule="auto" w:before="5"/>
        <w:ind w:right="1130" w:firstLine="360"/>
        <w:jc w:val="both"/>
      </w:pPr>
      <w:r>
        <w:rPr>
          <w:spacing w:val="-2"/>
        </w:rPr>
        <w:t>资产负债表日，存货采用成本与可变现净值孰低计量，按照单个存货成本高于可变现净值的差额计提存货跌价准备。直</w:t>
      </w:r>
      <w:r>
        <w:rPr/>
        <w:t> 接用于出售的存货，在正常生产经营过程中以该存货的估计售价减去估计的销售费用和相关税费后的金额确定其可变现净</w:t>
      </w:r>
      <w:r>
        <w:rPr>
          <w:spacing w:val="-9"/>
        </w:rPr>
        <w:t> </w:t>
      </w:r>
      <w:r>
        <w:rPr>
          <w:spacing w:val="-9"/>
        </w:rPr>
      </w:r>
      <w:r>
        <w:rPr>
          <w:spacing w:val="-2"/>
        </w:rPr>
        <w:t>值；需要经过加工的存货，在正常生产经营过程中以所生产的产成品的估计售价减去至完工时估计将要发生的成本、估计的</w:t>
      </w:r>
      <w:r>
        <w:rPr>
          <w:spacing w:val="-64"/>
        </w:rPr>
        <w:t> </w:t>
      </w:r>
      <w:r>
        <w:rPr>
          <w:spacing w:val="-64"/>
        </w:rPr>
      </w:r>
      <w:r>
        <w:rPr>
          <w:spacing w:val="-2"/>
        </w:rPr>
        <w:t>销售费用和相关税费后的金额确定其可变现净值；资产负债表日，同一项存货中一部分有合同价格约定、其他部分不存在合</w:t>
      </w:r>
      <w:r>
        <w:rPr>
          <w:spacing w:val="-63"/>
        </w:rPr>
        <w:t> </w:t>
      </w:r>
      <w:r>
        <w:rPr>
          <w:spacing w:val="-63"/>
        </w:rPr>
      </w:r>
      <w:r>
        <w:rPr/>
        <w:t>同价格的，分别确定其可变现净值，并与其对应的成本进行比较，分别确定存货跌价准备的计提或转回的金额。</w:t>
      </w:r>
    </w:p>
    <w:p>
      <w:pPr>
        <w:pStyle w:val="BodyText"/>
        <w:spacing w:line="300" w:lineRule="auto" w:before="19"/>
        <w:ind w:left="472" w:right="7874"/>
        <w:jc w:val="left"/>
      </w:pPr>
      <w:r>
        <w:rPr>
          <w:rFonts w:ascii="Times New Roman" w:hAnsi="Times New Roman" w:cs="Times New Roman" w:eastAsia="Times New Roman" w:hint="default"/>
        </w:rPr>
        <w:t>4.</w:t>
      </w:r>
      <w:r>
        <w:rPr/>
        <w:t>存货的盘存制度 存货的盘存制度为永续盘存制。</w:t>
      </w:r>
    </w:p>
    <w:p>
      <w:pPr>
        <w:spacing w:after="0" w:line="300" w:lineRule="auto"/>
        <w:jc w:val="left"/>
        <w:sectPr>
          <w:footerReference w:type="default" r:id="rId41"/>
          <w:pgSz w:w="11910" w:h="16840"/>
          <w:pgMar w:footer="1016" w:header="907" w:top="1100" w:bottom="1200" w:left="1020" w:right="0"/>
          <w:pgNumType w:start="120"/>
        </w:sectPr>
      </w:pPr>
    </w:p>
    <w:p>
      <w:pPr>
        <w:spacing w:line="240" w:lineRule="auto" w:before="13"/>
        <w:rPr>
          <w:rFonts w:ascii="宋体" w:hAnsi="宋体" w:cs="宋体" w:eastAsia="宋体" w:hint="default"/>
          <w:sz w:val="22"/>
          <w:szCs w:val="22"/>
        </w:rPr>
      </w:pPr>
    </w:p>
    <w:p>
      <w:pPr>
        <w:pStyle w:val="BodyText"/>
        <w:spacing w:line="304" w:lineRule="auto" w:before="44"/>
        <w:ind w:left="472" w:right="7739"/>
        <w:jc w:val="left"/>
      </w:pPr>
      <w:r>
        <w:rPr>
          <w:rFonts w:ascii="Times New Roman" w:hAnsi="Times New Roman" w:cs="Times New Roman" w:eastAsia="Times New Roman" w:hint="default"/>
        </w:rPr>
        <w:t>5.</w:t>
      </w:r>
      <w:r>
        <w:rPr/>
        <w:t>低值易耗品和包装物的摊销方法 </w:t>
      </w:r>
      <w:r>
        <w:rPr>
          <w:rFonts w:ascii="Times New Roman" w:hAnsi="Times New Roman" w:cs="Times New Roman" w:eastAsia="Times New Roman" w:hint="default"/>
        </w:rPr>
        <w:t>(1)</w:t>
      </w:r>
      <w:r>
        <w:rPr/>
        <w:t>低值易耗品 按照一次转销法进行摊销。 </w:t>
      </w:r>
      <w:r>
        <w:rPr>
          <w:rFonts w:ascii="Times New Roman" w:hAnsi="Times New Roman" w:cs="Times New Roman" w:eastAsia="Times New Roman" w:hint="default"/>
        </w:rPr>
        <w:t>(2)</w:t>
      </w:r>
      <w:r>
        <w:rPr/>
        <w:t>包装物 按照一次转销法进行摊销。</w:t>
      </w:r>
    </w:p>
    <w:p>
      <w:pPr>
        <w:spacing w:line="240" w:lineRule="auto" w:before="1"/>
        <w:rPr>
          <w:rFonts w:ascii="宋体" w:hAnsi="宋体" w:cs="宋体" w:eastAsia="宋体" w:hint="default"/>
          <w:sz w:val="25"/>
          <w:szCs w:val="25"/>
        </w:rPr>
      </w:pPr>
    </w:p>
    <w:p>
      <w:pPr>
        <w:pStyle w:val="Heading5"/>
        <w:spacing w:line="240" w:lineRule="auto"/>
        <w:ind w:left="112" w:right="0"/>
        <w:jc w:val="both"/>
        <w:rPr>
          <w:b w:val="0"/>
          <w:bCs w:val="0"/>
        </w:rPr>
      </w:pPr>
      <w:bookmarkStart w:name="12、长期股权投资" w:id="195"/>
      <w:bookmarkEnd w:id="195"/>
      <w:r>
        <w:rPr>
          <w:b w:val="0"/>
          <w:bCs w:val="0"/>
        </w:rPr>
      </w:r>
      <w:r>
        <w:rPr>
          <w:rFonts w:ascii="Times New Roman" w:hAnsi="Times New Roman" w:cs="Times New Roman" w:eastAsia="Times New Roman" w:hint="default"/>
        </w:rPr>
        <w:t>12</w:t>
      </w:r>
      <w:r>
        <w:rPr/>
        <w:t>、长期股权投资</w:t>
      </w:r>
      <w:r>
        <w:rPr>
          <w:b w:val="0"/>
          <w:bCs w:val="0"/>
        </w:rPr>
      </w:r>
    </w:p>
    <w:p>
      <w:pPr>
        <w:spacing w:line="240" w:lineRule="auto" w:before="0"/>
        <w:rPr>
          <w:rFonts w:ascii="宋体" w:hAnsi="宋体" w:cs="宋体" w:eastAsia="宋体" w:hint="default"/>
          <w:b/>
          <w:bCs/>
          <w:sz w:val="18"/>
          <w:szCs w:val="18"/>
        </w:rPr>
      </w:pPr>
    </w:p>
    <w:p>
      <w:pPr>
        <w:pStyle w:val="BodyText"/>
        <w:spacing w:line="300" w:lineRule="auto" w:before="127"/>
        <w:ind w:left="472" w:right="1034"/>
        <w:jc w:val="left"/>
      </w:pPr>
      <w:r>
        <w:rPr>
          <w:rFonts w:ascii="Times New Roman" w:hAnsi="Times New Roman" w:cs="Times New Roman" w:eastAsia="Times New Roman" w:hint="default"/>
        </w:rPr>
        <w:t>1.</w:t>
      </w:r>
      <w:r>
        <w:rPr/>
        <w:t>共同控制、重要影响的判断 按照相关约定对某项安排存在共有的控制，并且该安排的相关活动必须经过分享控制权的参与方一致同意后才能决策，</w:t>
      </w:r>
    </w:p>
    <w:p>
      <w:pPr>
        <w:pStyle w:val="BodyText"/>
        <w:spacing w:line="316" w:lineRule="auto" w:before="31"/>
        <w:ind w:right="1132"/>
        <w:jc w:val="both"/>
      </w:pPr>
      <w:r>
        <w:rPr>
          <w:spacing w:val="-2"/>
        </w:rPr>
        <w:t>认定为共同控制。对被投资单位的财务和经营政策有参与决策的权力，但并不能够控制或者与其他方一起共同控制这些政策</w:t>
      </w:r>
      <w:r>
        <w:rPr>
          <w:spacing w:val="-64"/>
        </w:rPr>
        <w:t> </w:t>
      </w:r>
      <w:r>
        <w:rPr>
          <w:spacing w:val="-64"/>
        </w:rPr>
      </w:r>
      <w:r>
        <w:rPr/>
        <w:t>的制定，认定为重大影响。</w:t>
      </w:r>
    </w:p>
    <w:p>
      <w:pPr>
        <w:pStyle w:val="BodyText"/>
        <w:spacing w:line="300" w:lineRule="auto" w:before="19"/>
        <w:ind w:left="472" w:right="0"/>
        <w:jc w:val="left"/>
      </w:pPr>
      <w:r>
        <w:rPr>
          <w:rFonts w:ascii="Times New Roman" w:hAnsi="Times New Roman" w:cs="Times New Roman" w:eastAsia="Times New Roman" w:hint="default"/>
        </w:rPr>
        <w:t>2.</w:t>
      </w:r>
      <w:r>
        <w:rPr/>
        <w:t>投资成本的确定 </w:t>
      </w:r>
      <w:r>
        <w:rPr>
          <w:rFonts w:ascii="Times New Roman" w:hAnsi="Times New Roman" w:cs="Times New Roman" w:eastAsia="Times New Roman" w:hint="default"/>
          <w:spacing w:val="-1"/>
        </w:rPr>
        <w:t>(1)</w:t>
      </w:r>
      <w:r>
        <w:rPr>
          <w:spacing w:val="-1"/>
        </w:rPr>
        <w:t>同一控制下的企业合并形成的，合并方以支付现金、转让非现金资产、承担债务或发行权益性证券作为合并对价的，</w:t>
      </w:r>
    </w:p>
    <w:p>
      <w:pPr>
        <w:pStyle w:val="BodyText"/>
        <w:spacing w:line="316" w:lineRule="auto" w:before="13"/>
        <w:ind w:right="1132"/>
        <w:jc w:val="both"/>
      </w:pPr>
      <w:r>
        <w:rPr>
          <w:spacing w:val="-2"/>
        </w:rPr>
        <w:t>在合并日按照取得被合并方所有者权益在最终控制方合并财务报表中的账面价值的份额作为其初始投资成本。长期股权投资</w:t>
      </w:r>
      <w:r>
        <w:rPr>
          <w:spacing w:val="-64"/>
        </w:rPr>
        <w:t> </w:t>
      </w:r>
      <w:r>
        <w:rPr>
          <w:spacing w:val="-64"/>
        </w:rPr>
      </w:r>
      <w:r>
        <w:rPr>
          <w:spacing w:val="-2"/>
        </w:rPr>
        <w:t>初始投资成本与支付的合并对价的账面价值或发行股份的面值总额之间的差额调整资本公积；资本公积不足冲减的，调整留</w:t>
      </w:r>
      <w:r>
        <w:rPr>
          <w:spacing w:val="-64"/>
        </w:rPr>
        <w:t> </w:t>
      </w:r>
      <w:r>
        <w:rPr>
          <w:spacing w:val="-64"/>
        </w:rPr>
      </w:r>
      <w:r>
        <w:rPr/>
        <w:t>存收益。</w:t>
      </w:r>
    </w:p>
    <w:p>
      <w:pPr>
        <w:pStyle w:val="BodyText"/>
        <w:spacing w:line="316" w:lineRule="auto" w:before="19"/>
        <w:ind w:right="1130" w:firstLine="360"/>
        <w:jc w:val="both"/>
      </w:pPr>
      <w:r>
        <w:rPr>
          <w:spacing w:val="-2"/>
        </w:rPr>
        <w:t>公司通过多次交易分步实现同一控制下企业合并形成的长期股权投资，判断是否属于“一揽子交易”。属于“一揽子交</w:t>
      </w:r>
      <w:r>
        <w:rPr/>
        <w:t> </w:t>
      </w:r>
      <w:r>
        <w:rPr>
          <w:spacing w:val="-2"/>
        </w:rPr>
        <w:t>易”的，把各项交易作为一项取得控制权的交易进行会计处理。不属于“一揽子交易”的，在合并日，根据合并后应享有被</w:t>
      </w:r>
      <w:r>
        <w:rPr>
          <w:spacing w:val="-63"/>
        </w:rPr>
        <w:t> </w:t>
      </w:r>
      <w:r>
        <w:rPr>
          <w:spacing w:val="-63"/>
        </w:rPr>
      </w:r>
      <w:r>
        <w:rPr>
          <w:spacing w:val="-2"/>
        </w:rPr>
        <w:t>合并方净资产在最终控制方合并财务报表中的账面价值的份额确定初始投资成本。合并日长期股权投资的初始投资成本，与</w:t>
      </w:r>
      <w:r>
        <w:rPr>
          <w:spacing w:val="-64"/>
        </w:rPr>
        <w:t> </w:t>
      </w:r>
      <w:r>
        <w:rPr>
          <w:spacing w:val="-64"/>
        </w:rPr>
      </w:r>
      <w:r>
        <w:rPr>
          <w:spacing w:val="-2"/>
        </w:rPr>
        <w:t>达到合并前的长期股权投资账面价值加上合并日进一步取得股份新支付对价的账面价值之和的差额，调整资本公积；资本公</w:t>
      </w:r>
      <w:r>
        <w:rPr>
          <w:spacing w:val="-64"/>
        </w:rPr>
        <w:t> </w:t>
      </w:r>
      <w:r>
        <w:rPr>
          <w:spacing w:val="-64"/>
        </w:rPr>
      </w:r>
      <w:r>
        <w:rPr/>
        <w:t>积不足冲减的，调整留存收益。</w:t>
      </w:r>
    </w:p>
    <w:p>
      <w:pPr>
        <w:pStyle w:val="BodyText"/>
        <w:spacing w:line="300" w:lineRule="auto" w:before="19"/>
        <w:ind w:left="472" w:right="0"/>
        <w:jc w:val="left"/>
      </w:pPr>
      <w:r>
        <w:rPr>
          <w:rFonts w:ascii="Times New Roman" w:hAnsi="Times New Roman" w:cs="Times New Roman" w:eastAsia="Times New Roman" w:hint="default"/>
        </w:rPr>
        <w:t>(2)</w:t>
      </w:r>
      <w:r>
        <w:rPr/>
        <w:t>非同一控制下的企业合并形成的，在购买日按照支付的合并对价的公允价值作为其初始投资成本。</w:t>
      </w:r>
      <w:r>
        <w:rPr>
          <w:w w:val="99"/>
        </w:rPr>
        <w:t> </w:t>
      </w:r>
      <w:r>
        <w:rPr>
          <w:spacing w:val="-2"/>
          <w:w w:val="99"/>
        </w:rPr>
        <w:t>公司通过多次交易分步实现非同一控制下企业合并形成的长期股权投资，区分个别财务报表和合并财务报表进行相关会</w:t>
      </w:r>
      <w:r>
        <w:rPr>
          <w:spacing w:val="-2"/>
        </w:rPr>
      </w:r>
    </w:p>
    <w:p>
      <w:pPr>
        <w:pStyle w:val="BodyText"/>
        <w:spacing w:line="240" w:lineRule="auto" w:before="31"/>
        <w:ind w:right="0"/>
        <w:jc w:val="both"/>
      </w:pPr>
      <w:r>
        <w:rPr/>
        <w:t>计处理：</w:t>
      </w:r>
    </w:p>
    <w:p>
      <w:pPr>
        <w:pStyle w:val="BodyText"/>
        <w:spacing w:line="240" w:lineRule="auto" w:before="76"/>
        <w:ind w:left="472" w:right="0"/>
        <w:jc w:val="left"/>
      </w:pPr>
      <w:r>
        <w:rPr>
          <w:rFonts w:ascii="Times New Roman" w:hAnsi="Times New Roman" w:cs="Times New Roman" w:eastAsia="Times New Roman" w:hint="default"/>
          <w:spacing w:val="1"/>
        </w:rPr>
        <w:t>1</w:t>
      </w:r>
      <w:r>
        <w:rPr>
          <w:rFonts w:ascii="Times New Roman" w:hAnsi="Times New Roman" w:cs="Times New Roman" w:eastAsia="Times New Roman" w:hint="default"/>
        </w:rPr>
        <w:t>)</w:t>
      </w:r>
      <w:r>
        <w:rPr/>
        <w:t>在个别财务报表中</w:t>
      </w:r>
      <w:r>
        <w:rPr>
          <w:spacing w:val="-72"/>
        </w:rPr>
        <w:t>，</w:t>
      </w:r>
      <w:r>
        <w:rPr/>
        <w:t>按照原持有的股权投资的账面价值加上新增投资成本之和</w:t>
      </w:r>
      <w:r>
        <w:rPr>
          <w:spacing w:val="-70"/>
        </w:rPr>
        <w:t>，</w:t>
      </w:r>
      <w:r>
        <w:rPr/>
        <w:t>作为改按成本法核算的初始投资成本。</w:t>
      </w:r>
    </w:p>
    <w:p>
      <w:pPr>
        <w:pStyle w:val="BodyText"/>
        <w:spacing w:line="314" w:lineRule="auto" w:before="63"/>
        <w:ind w:right="1130" w:firstLine="360"/>
        <w:jc w:val="both"/>
      </w:pPr>
      <w:r>
        <w:rPr>
          <w:rFonts w:ascii="Times New Roman" w:hAnsi="Times New Roman" w:cs="Times New Roman" w:eastAsia="Times New Roman" w:hint="default"/>
          <w:spacing w:val="-2"/>
        </w:rPr>
        <w:t>2)</w:t>
      </w:r>
      <w:r>
        <w:rPr>
          <w:spacing w:val="-2"/>
        </w:rPr>
        <w:t>在合并财务报表中，判断是否属于“一揽子交易”。属于“一揽子交易”的，把各项交易作为一项取得控制权的交易</w:t>
      </w:r>
      <w:r>
        <w:rPr/>
        <w:t> </w:t>
      </w:r>
      <w:r>
        <w:rPr>
          <w:spacing w:val="-2"/>
        </w:rPr>
        <w:t>进行会计处理。不属于“一揽子交易”的，对于购买日之前持有的被购买方的股权，按照该股权在购买日的公允价值进行重</w:t>
      </w:r>
      <w:r>
        <w:rPr>
          <w:spacing w:val="-63"/>
        </w:rPr>
        <w:t> </w:t>
      </w:r>
      <w:r>
        <w:rPr>
          <w:spacing w:val="-63"/>
        </w:rPr>
      </w:r>
      <w:r>
        <w:rPr>
          <w:spacing w:val="-2"/>
        </w:rPr>
        <w:t>新计量，公允价值与其账面价值的差额计入当期投资收益；购买日之前持有的被购买方的股权涉及权益法核算下的其他综合</w:t>
      </w:r>
      <w:r>
        <w:rPr>
          <w:spacing w:val="-64"/>
        </w:rPr>
        <w:t> </w:t>
      </w:r>
      <w:r>
        <w:rPr>
          <w:spacing w:val="-64"/>
        </w:rPr>
      </w:r>
      <w:r>
        <w:rPr>
          <w:spacing w:val="-2"/>
        </w:rPr>
        <w:t>收益等的，与其相关的其他综合收益等转为购买日所属当期收益。但由于被投资方重新计量设定受益计划净负债或净资产变</w:t>
      </w:r>
      <w:r>
        <w:rPr>
          <w:spacing w:val="-64"/>
        </w:rPr>
        <w:t> </w:t>
      </w:r>
      <w:r>
        <w:rPr>
          <w:spacing w:val="-64"/>
        </w:rPr>
      </w:r>
      <w:r>
        <w:rPr/>
        <w:t>动而产生的其他综合收益除外。</w:t>
      </w:r>
    </w:p>
    <w:p>
      <w:pPr>
        <w:pStyle w:val="BodyText"/>
        <w:spacing w:line="300" w:lineRule="auto" w:before="20"/>
        <w:ind w:right="0" w:firstLine="360"/>
        <w:jc w:val="left"/>
      </w:pPr>
      <w:r>
        <w:rPr>
          <w:rFonts w:ascii="Times New Roman" w:hAnsi="Times New Roman" w:cs="Times New Roman" w:eastAsia="Times New Roman" w:hint="default"/>
        </w:rPr>
        <w:t>3)</w:t>
      </w:r>
      <w:r>
        <w:rPr/>
        <w:t>除企业合并形成以外的：以支付现金取得的，按照实际支付的购买价款作为其初始投资成本；以发行权益性证券取得 </w:t>
      </w:r>
      <w:r>
        <w:rPr>
          <w:spacing w:val="-4"/>
        </w:rPr>
        <w:t>的，按照发行权益性证券的公允价值作为其初始投资成本；以债务重组方式取得的，按《企业会计准则第</w:t>
      </w:r>
      <w:r>
        <w:rPr>
          <w:rFonts w:ascii="Times New Roman" w:hAnsi="Times New Roman" w:cs="Times New Roman" w:eastAsia="Times New Roman" w:hint="default"/>
          <w:spacing w:val="-4"/>
        </w:rPr>
        <w:t>12</w:t>
      </w:r>
      <w:r>
        <w:rPr>
          <w:spacing w:val="-4"/>
        </w:rPr>
        <w:t>号——债务重组》</w:t>
      </w:r>
      <w:r>
        <w:rPr>
          <w:spacing w:val="-40"/>
        </w:rPr>
        <w:t> </w:t>
      </w:r>
      <w:r>
        <w:rPr>
          <w:spacing w:val="-2"/>
        </w:rPr>
        <w:t>确定其初始投资成本；以非货币性资产交换取得的，按《企业会计准则第</w:t>
      </w:r>
      <w:r>
        <w:rPr>
          <w:rFonts w:ascii="Times New Roman" w:hAnsi="Times New Roman" w:cs="Times New Roman" w:eastAsia="Times New Roman" w:hint="default"/>
          <w:spacing w:val="-2"/>
        </w:rPr>
        <w:t>7</w:t>
      </w:r>
      <w:r>
        <w:rPr>
          <w:spacing w:val="-2"/>
        </w:rPr>
        <w:t>号——非货币性资产交换》确定其初始投资成本。</w:t>
      </w:r>
    </w:p>
    <w:p>
      <w:pPr>
        <w:pStyle w:val="BodyText"/>
        <w:spacing w:line="309" w:lineRule="auto" w:before="13"/>
        <w:ind w:left="472" w:right="1214"/>
        <w:jc w:val="left"/>
      </w:pPr>
      <w:r>
        <w:rPr>
          <w:rFonts w:ascii="Times New Roman" w:hAnsi="Times New Roman" w:cs="Times New Roman" w:eastAsia="Times New Roman" w:hint="default"/>
        </w:rPr>
        <w:t>3.</w:t>
      </w:r>
      <w:r>
        <w:rPr/>
        <w:t>后续计量及损益确认方法 对被投资单位实施控制的长期股权投资采用成本法核算；对联营企业和合营企业的长期股权投资，采用权益法核算。 </w:t>
      </w:r>
      <w:r>
        <w:rPr>
          <w:rFonts w:ascii="Times New Roman" w:hAnsi="Times New Roman" w:cs="Times New Roman" w:eastAsia="Times New Roman" w:hint="default"/>
        </w:rPr>
        <w:t>4.</w:t>
      </w:r>
      <w:r>
        <w:rPr/>
        <w:t>通过多次交易分步处置对子公司投资至丧失控制权的处理方法</w:t>
      </w:r>
    </w:p>
    <w:p>
      <w:pPr>
        <w:pStyle w:val="BodyText"/>
        <w:spacing w:line="300" w:lineRule="auto" w:before="5"/>
        <w:ind w:left="472" w:right="0"/>
        <w:jc w:val="left"/>
      </w:pPr>
      <w:r>
        <w:rPr>
          <w:rFonts w:ascii="Times New Roman" w:hAnsi="Times New Roman" w:cs="Times New Roman" w:eastAsia="Times New Roman" w:hint="default"/>
        </w:rPr>
        <w:t>(1)</w:t>
      </w:r>
      <w:r>
        <w:rPr/>
        <w:t>个别财务报表</w:t>
      </w:r>
      <w:r>
        <w:rPr>
          <w:w w:val="99"/>
        </w:rPr>
        <w:t> </w:t>
      </w:r>
      <w:r>
        <w:rPr>
          <w:spacing w:val="-2"/>
        </w:rPr>
        <w:t>对处置的股权，其账面价值与实际取得价款之间的差额，计入当期损益。对于剩余股权，对被投资单位仍具有重大影响</w:t>
      </w:r>
    </w:p>
    <w:p>
      <w:pPr>
        <w:pStyle w:val="BodyText"/>
        <w:spacing w:line="316" w:lineRule="auto" w:before="31"/>
        <w:ind w:right="1130"/>
        <w:jc w:val="both"/>
      </w:pPr>
      <w:r>
        <w:rPr>
          <w:spacing w:val="-2"/>
        </w:rPr>
        <w:t>或者与其他方一起实施共同控制的，转为权益法核算；不能再对被投资单位实施控制、共同控制或重大影响的，确认为金融</w:t>
      </w:r>
      <w:r>
        <w:rPr>
          <w:spacing w:val="-64"/>
        </w:rPr>
        <w:t> </w:t>
      </w:r>
      <w:r>
        <w:rPr>
          <w:spacing w:val="-64"/>
        </w:rPr>
      </w:r>
      <w:r>
        <w:rPr/>
        <w:t>资产，按照《企业会计准则第</w:t>
      </w:r>
      <w:r>
        <w:rPr>
          <w:rFonts w:ascii="Times New Roman" w:hAnsi="Times New Roman" w:cs="Times New Roman" w:eastAsia="Times New Roman" w:hint="default"/>
        </w:rPr>
        <w:t>22</w:t>
      </w:r>
      <w:r>
        <w:rPr/>
        <w:t>号——金融工具确认和计量》的相关规定进行核算。</w:t>
      </w:r>
    </w:p>
    <w:p>
      <w:pPr>
        <w:pStyle w:val="BodyText"/>
        <w:spacing w:line="300" w:lineRule="auto"/>
        <w:ind w:left="472" w:right="3944"/>
        <w:jc w:val="left"/>
      </w:pPr>
      <w:r>
        <w:rPr>
          <w:rFonts w:ascii="Times New Roman" w:hAnsi="Times New Roman" w:cs="Times New Roman" w:eastAsia="Times New Roman" w:hint="default"/>
        </w:rPr>
        <w:t>(2)</w:t>
      </w:r>
      <w:r>
        <w:rPr/>
        <w:t>合并财务报表</w:t>
      </w:r>
      <w:r>
        <w:rPr>
          <w:w w:val="99"/>
        </w:rPr>
        <w:t> </w:t>
      </w:r>
      <w:r>
        <w:rPr>
          <w:rFonts w:ascii="Times New Roman" w:hAnsi="Times New Roman" w:cs="Times New Roman" w:eastAsia="Times New Roman" w:hint="default"/>
        </w:rPr>
        <w:t>1)</w:t>
      </w:r>
      <w:r>
        <w:rPr/>
        <w:t>通过多次交易分步处置对子公司投资至丧失控制权，且不属于“一揽子交易”的</w:t>
      </w:r>
    </w:p>
    <w:p>
      <w:pPr>
        <w:pStyle w:val="BodyText"/>
        <w:spacing w:line="240" w:lineRule="auto" w:before="13"/>
        <w:ind w:left="472" w:right="0"/>
        <w:jc w:val="left"/>
      </w:pPr>
      <w:r>
        <w:rPr/>
        <w:t>在丧失控制权之前</w:t>
      </w:r>
      <w:r>
        <w:rPr>
          <w:spacing w:val="-82"/>
        </w:rPr>
        <w:t>，</w:t>
      </w:r>
      <w:r>
        <w:rPr/>
        <w:t>处置价款与处置长期股权投资相对应享有子公司自购买日或合并日开始持续计算的净资产份额之间</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left="472" w:right="0" w:hanging="360"/>
        <w:jc w:val="left"/>
      </w:pPr>
      <w:r>
        <w:rPr>
          <w:spacing w:val="-3"/>
        </w:rPr>
        <w:t>的差额，调整资本公积（资本溢价），资本溢价不足冲减的，冲减留存收益。</w:t>
      </w:r>
      <w:r>
        <w:rPr>
          <w:spacing w:val="-77"/>
        </w:rPr>
        <w:t> </w:t>
      </w:r>
      <w:r>
        <w:rPr>
          <w:spacing w:val="-77"/>
        </w:rPr>
      </w:r>
      <w:r>
        <w:rPr>
          <w:spacing w:val="-2"/>
        </w:rPr>
        <w:t>丧失对原子公司控制权时，对于剩余股权，按照其在丧失控制权日的公允价值进行重新计量。处置股权取得的对价与剩</w:t>
      </w:r>
    </w:p>
    <w:p>
      <w:pPr>
        <w:pStyle w:val="BodyText"/>
        <w:spacing w:line="316" w:lineRule="auto" w:before="19"/>
        <w:ind w:right="1130"/>
        <w:jc w:val="both"/>
      </w:pPr>
      <w:r>
        <w:rPr/>
        <w:t>余股权公允价值之和，减去按原持股比例计算应享有原有子公司自购买日或合并日开始持续计算的净资产的份额之间的差</w:t>
      </w:r>
      <w:r>
        <w:rPr>
          <w:spacing w:val="-9"/>
        </w:rPr>
        <w:t> </w:t>
      </w:r>
      <w:r>
        <w:rPr>
          <w:spacing w:val="-9"/>
        </w:rPr>
      </w:r>
      <w:r>
        <w:rPr>
          <w:spacing w:val="-2"/>
        </w:rPr>
        <w:t>额，计入丧失控制权当期的投资收益，同时冲减商誉。与原有子公司股权投资相关的其他综合收益等，应当在丧失控制权时</w:t>
      </w:r>
      <w:r>
        <w:rPr>
          <w:spacing w:val="-64"/>
        </w:rPr>
        <w:t> </w:t>
      </w:r>
      <w:r>
        <w:rPr>
          <w:spacing w:val="-64"/>
        </w:rPr>
      </w:r>
      <w:r>
        <w:rPr/>
        <w:t>转为当期投资收益。</w:t>
      </w:r>
    </w:p>
    <w:p>
      <w:pPr>
        <w:pStyle w:val="BodyText"/>
        <w:spacing w:line="309" w:lineRule="auto" w:before="19"/>
        <w:ind w:right="1034" w:firstLine="360"/>
        <w:jc w:val="left"/>
      </w:pPr>
      <w:r>
        <w:rPr>
          <w:rFonts w:ascii="Times New Roman" w:hAnsi="Times New Roman" w:cs="Times New Roman" w:eastAsia="Times New Roman" w:hint="default"/>
        </w:rPr>
        <w:t>2)</w:t>
      </w:r>
      <w:r>
        <w:rPr/>
        <w:t>通过多次交易分步处置对子公司投资至丧失控制权，且属于“一揽子交易”的将各项交易作为一项处置子公司并丧失 控制权的交易进行会计处理。但是，在丧失控制权之前每一次处置价款与处置投资对应的享有该子公司净资产份额的差额， 在合并财务报表中确认为其他综合收益，在丧失控制权时一并转入丧失控制权当期的损益。</w:t>
      </w:r>
    </w:p>
    <w:p>
      <w:pPr>
        <w:spacing w:line="240" w:lineRule="auto" w:before="11"/>
        <w:rPr>
          <w:rFonts w:ascii="宋体" w:hAnsi="宋体" w:cs="宋体" w:eastAsia="宋体" w:hint="default"/>
          <w:sz w:val="22"/>
          <w:szCs w:val="22"/>
        </w:rPr>
      </w:pPr>
    </w:p>
    <w:p>
      <w:pPr>
        <w:pStyle w:val="Heading3"/>
        <w:spacing w:line="240" w:lineRule="auto"/>
        <w:ind w:right="0"/>
        <w:jc w:val="left"/>
        <w:rPr>
          <w:b w:val="0"/>
          <w:bCs w:val="0"/>
        </w:rPr>
      </w:pPr>
      <w:bookmarkStart w:name="13、投资性房地产" w:id="196"/>
      <w:bookmarkEnd w:id="196"/>
      <w:r>
        <w:rPr>
          <w:b w:val="0"/>
          <w:bCs w:val="0"/>
        </w:rPr>
      </w:r>
      <w:r>
        <w:rPr>
          <w:rFonts w:ascii="Times New Roman" w:hAnsi="Times New Roman" w:cs="Times New Roman" w:eastAsia="Times New Roman" w:hint="default"/>
        </w:rPr>
        <w:t>13</w:t>
      </w:r>
      <w:r>
        <w:rPr/>
        <w:t>、投资性房地产</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8954"/>
        <w:jc w:val="left"/>
      </w:pPr>
      <w:r>
        <w:rPr/>
        <w:t>投资性房地产计量模式 成本法计量 折旧或摊销方法</w:t>
      </w:r>
    </w:p>
    <w:p>
      <w:pPr>
        <w:pStyle w:val="BodyText"/>
        <w:spacing w:line="240" w:lineRule="auto" w:before="29"/>
        <w:ind w:left="472" w:right="0"/>
        <w:jc w:val="left"/>
      </w:pPr>
      <w:r>
        <w:rPr>
          <w:rFonts w:ascii="Times New Roman" w:hAnsi="Times New Roman" w:cs="Times New Roman" w:eastAsia="Times New Roman" w:hint="default"/>
        </w:rPr>
        <w:t>1.</w:t>
      </w:r>
      <w:r>
        <w:rPr/>
        <w:t>投资性房地产包括已出租的土地使用权、持有并准备增值后转让的土地使用权和已出租的建筑物。</w:t>
      </w:r>
    </w:p>
    <w:p>
      <w:pPr>
        <w:pStyle w:val="BodyText"/>
        <w:spacing w:line="300" w:lineRule="auto" w:before="63"/>
        <w:ind w:right="1132" w:firstLine="360"/>
        <w:jc w:val="left"/>
      </w:pPr>
      <w:r>
        <w:rPr>
          <w:rFonts w:ascii="Times New Roman" w:hAnsi="Times New Roman" w:cs="Times New Roman" w:eastAsia="Times New Roman" w:hint="default"/>
          <w:spacing w:val="-1"/>
        </w:rPr>
        <w:t>2.</w:t>
      </w:r>
      <w:r>
        <w:rPr>
          <w:spacing w:val="-1"/>
        </w:rPr>
        <w:t>投资性房地产按照成本进行初始计量，采用成本模式进行后续计量，并采用与固定资产和无形资产相同的方法计提折</w:t>
      </w:r>
      <w:r>
        <w:rPr/>
        <w:t> 旧或进行摊销。</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3"/>
        <w:spacing w:line="240" w:lineRule="auto" w:before="149"/>
        <w:ind w:right="0"/>
        <w:jc w:val="left"/>
        <w:rPr>
          <w:b w:val="0"/>
          <w:bCs w:val="0"/>
        </w:rPr>
      </w:pPr>
      <w:bookmarkStart w:name="14、固定资产" w:id="197"/>
      <w:bookmarkEnd w:id="197"/>
      <w:r>
        <w:rPr>
          <w:b w:val="0"/>
          <w:bCs w:val="0"/>
        </w:rPr>
      </w:r>
      <w:r>
        <w:rPr>
          <w:rFonts w:ascii="Times New Roman" w:hAnsi="Times New Roman" w:cs="Times New Roman" w:eastAsia="Times New Roman" w:hint="default"/>
        </w:rPr>
        <w:t>14</w:t>
      </w:r>
      <w:r>
        <w:rPr/>
        <w:t>、固定资产</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1）确认条件" w:id="198"/>
      <w:bookmarkEnd w:id="198"/>
      <w:r>
        <w:rPr>
          <w:b w:val="0"/>
          <w:bCs w:val="0"/>
        </w:rPr>
      </w:r>
      <w:r>
        <w:rPr/>
        <w:t>（</w:t>
      </w:r>
      <w:r>
        <w:rPr>
          <w:rFonts w:ascii="Times New Roman" w:hAnsi="Times New Roman" w:cs="Times New Roman" w:eastAsia="Times New Roman" w:hint="default"/>
        </w:rPr>
        <w:t>1</w:t>
      </w:r>
      <w:r>
        <w:rPr/>
        <w:t>）确认条件</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0"/>
        <w:jc w:val="left"/>
      </w:pPr>
      <w:r>
        <w:rPr>
          <w:spacing w:val="-2"/>
        </w:rPr>
        <w:t>固定资产是指为生产商品、提供劳务、出租或经营管理而持有的，使用年限超过一个会计年度的有形资产。固定资产在同时</w:t>
      </w:r>
      <w:r>
        <w:rPr>
          <w:spacing w:val="-66"/>
        </w:rPr>
        <w:t> </w:t>
      </w:r>
      <w:r>
        <w:rPr>
          <w:spacing w:val="-66"/>
        </w:rPr>
      </w:r>
      <w:r>
        <w:rPr/>
        <w:t>满足经济利益很可能流入、成本能够可靠计量时予以确认。</w:t>
      </w:r>
    </w:p>
    <w:p>
      <w:pPr>
        <w:spacing w:line="240" w:lineRule="auto" w:before="6"/>
        <w:rPr>
          <w:rFonts w:ascii="宋体" w:hAnsi="宋体" w:cs="宋体" w:eastAsia="宋体" w:hint="default"/>
          <w:sz w:val="22"/>
          <w:szCs w:val="22"/>
        </w:rPr>
      </w:pPr>
    </w:p>
    <w:p>
      <w:pPr>
        <w:pStyle w:val="Heading3"/>
        <w:spacing w:line="240" w:lineRule="auto"/>
        <w:ind w:right="0"/>
        <w:jc w:val="left"/>
        <w:rPr>
          <w:b w:val="0"/>
          <w:bCs w:val="0"/>
        </w:rPr>
      </w:pPr>
      <w:bookmarkStart w:name="（2）折旧方法" w:id="199"/>
      <w:bookmarkEnd w:id="199"/>
      <w:r>
        <w:rPr>
          <w:b w:val="0"/>
          <w:bCs w:val="0"/>
        </w:rPr>
      </w:r>
      <w:r>
        <w:rPr/>
        <w:t>（</w:t>
      </w:r>
      <w:r>
        <w:rPr>
          <w:rFonts w:ascii="Times New Roman" w:hAnsi="Times New Roman" w:cs="Times New Roman" w:eastAsia="Times New Roman" w:hint="default"/>
        </w:rPr>
        <w:t>2</w:t>
      </w:r>
      <w:r>
        <w:rPr/>
        <w:t>）折旧方法</w:t>
      </w:r>
      <w:r>
        <w:rPr>
          <w:b w:val="0"/>
          <w:bCs w:val="0"/>
        </w:rPr>
      </w:r>
    </w:p>
    <w:p>
      <w:pPr>
        <w:spacing w:line="240" w:lineRule="auto" w:before="11"/>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2"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残值率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年折旧率</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1" w:right="0"/>
              <w:jc w:val="left"/>
              <w:rPr>
                <w:rFonts w:ascii="Times New Roman" w:hAnsi="Times New Roman" w:cs="Times New Roman" w:eastAsia="Times New Roman" w:hint="default"/>
                <w:sz w:val="18"/>
                <w:szCs w:val="18"/>
              </w:rPr>
            </w:pPr>
            <w:r>
              <w:rPr>
                <w:rFonts w:ascii="Times New Roman"/>
                <w:sz w:val="18"/>
              </w:rPr>
              <w:t>20-50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1" w:right="0"/>
              <w:jc w:val="left"/>
              <w:rPr>
                <w:rFonts w:ascii="Times New Roman" w:hAnsi="Times New Roman" w:cs="Times New Roman" w:eastAsia="Times New Roman" w:hint="default"/>
                <w:sz w:val="18"/>
                <w:szCs w:val="18"/>
              </w:rPr>
            </w:pPr>
            <w:r>
              <w:rPr>
                <w:rFonts w:ascii="Times New Roman"/>
                <w:sz w:val="18"/>
              </w:rPr>
              <w:t>4.75-1.90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1" w:right="0"/>
              <w:jc w:val="left"/>
              <w:rPr>
                <w:rFonts w:ascii="Times New Roman" w:hAnsi="Times New Roman" w:cs="Times New Roman" w:eastAsia="Times New Roman" w:hint="default"/>
                <w:sz w:val="18"/>
                <w:szCs w:val="18"/>
              </w:rPr>
            </w:pPr>
            <w:r>
              <w:rPr>
                <w:rFonts w:ascii="Times New Roman"/>
                <w:sz w:val="18"/>
              </w:rPr>
              <w:t>3-10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1" w:right="0"/>
              <w:jc w:val="left"/>
              <w:rPr>
                <w:rFonts w:ascii="Times New Roman" w:hAnsi="Times New Roman" w:cs="Times New Roman" w:eastAsia="Times New Roman" w:hint="default"/>
                <w:sz w:val="18"/>
                <w:szCs w:val="18"/>
              </w:rPr>
            </w:pPr>
            <w:r>
              <w:rPr>
                <w:rFonts w:ascii="Times New Roman"/>
                <w:sz w:val="18"/>
              </w:rPr>
              <w:t>9.50-31.67</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1" w:right="0"/>
              <w:jc w:val="left"/>
              <w:rPr>
                <w:rFonts w:ascii="Times New Roman" w:hAnsi="Times New Roman" w:cs="Times New Roman" w:eastAsia="Times New Roman" w:hint="default"/>
                <w:sz w:val="18"/>
                <w:szCs w:val="18"/>
              </w:rPr>
            </w:pPr>
            <w:r>
              <w:rPr>
                <w:rFonts w:ascii="Times New Roman"/>
                <w:sz w:val="18"/>
              </w:rPr>
              <w:t>5-10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3"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1" w:right="0"/>
              <w:jc w:val="left"/>
              <w:rPr>
                <w:rFonts w:ascii="Times New Roman" w:hAnsi="Times New Roman" w:cs="Times New Roman" w:eastAsia="Times New Roman" w:hint="default"/>
                <w:sz w:val="18"/>
                <w:szCs w:val="18"/>
              </w:rPr>
            </w:pPr>
            <w:r>
              <w:rPr>
                <w:rFonts w:ascii="Times New Roman"/>
                <w:sz w:val="18"/>
              </w:rPr>
              <w:t>19.00-9.50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1" w:right="0"/>
              <w:jc w:val="left"/>
              <w:rPr>
                <w:rFonts w:ascii="Times New Roman" w:hAnsi="Times New Roman" w:cs="Times New Roman" w:eastAsia="Times New Roman" w:hint="default"/>
                <w:sz w:val="18"/>
                <w:szCs w:val="18"/>
              </w:rPr>
            </w:pPr>
            <w:r>
              <w:rPr>
                <w:rFonts w:ascii="Times New Roman"/>
                <w:sz w:val="18"/>
              </w:rPr>
              <w:t>3-10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1" w:right="0"/>
              <w:jc w:val="left"/>
              <w:rPr>
                <w:rFonts w:ascii="Times New Roman" w:hAnsi="Times New Roman" w:cs="Times New Roman" w:eastAsia="Times New Roman" w:hint="default"/>
                <w:sz w:val="18"/>
                <w:szCs w:val="18"/>
              </w:rPr>
            </w:pPr>
            <w:r>
              <w:rPr>
                <w:rFonts w:ascii="Times New Roman"/>
                <w:sz w:val="18"/>
              </w:rPr>
              <w:t>31.67-9.50</w:t>
            </w:r>
          </w:p>
        </w:tc>
      </w:tr>
    </w:tbl>
    <w:p>
      <w:pPr>
        <w:spacing w:line="240" w:lineRule="auto" w:before="4"/>
        <w:rPr>
          <w:rFonts w:ascii="宋体" w:hAnsi="宋体" w:cs="宋体" w:eastAsia="宋体" w:hint="default"/>
          <w:b/>
          <w:bCs/>
          <w:sz w:val="19"/>
          <w:szCs w:val="19"/>
        </w:rPr>
      </w:pPr>
    </w:p>
    <w:p>
      <w:pPr>
        <w:pStyle w:val="Heading3"/>
        <w:spacing w:line="240" w:lineRule="auto" w:before="34"/>
        <w:ind w:right="0"/>
        <w:jc w:val="left"/>
        <w:rPr>
          <w:b w:val="0"/>
          <w:bCs w:val="0"/>
        </w:rPr>
      </w:pPr>
      <w:bookmarkStart w:name="（3）融资租入固定资产的认定依据、计价和折旧方法" w:id="200"/>
      <w:bookmarkEnd w:id="200"/>
      <w:r>
        <w:rPr>
          <w:b w:val="0"/>
          <w:bCs w:val="0"/>
        </w:rPr>
      </w:r>
      <w:r>
        <w:rPr/>
        <w:t>（</w:t>
      </w:r>
      <w:r>
        <w:rPr>
          <w:rFonts w:ascii="Times New Roman" w:hAnsi="Times New Roman" w:cs="Times New Roman" w:eastAsia="Times New Roman" w:hint="default"/>
        </w:rPr>
        <w:t>3</w:t>
      </w:r>
      <w:r>
        <w:rPr/>
        <w:t>）融资租入固定资产的认定依据、计价和折旧方法</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15、在建工程" w:id="201"/>
      <w:bookmarkEnd w:id="201"/>
      <w:r>
        <w:rPr>
          <w:b w:val="0"/>
          <w:bCs w:val="0"/>
        </w:rPr>
      </w:r>
      <w:r>
        <w:rPr>
          <w:rFonts w:ascii="Times New Roman" w:hAnsi="Times New Roman" w:cs="Times New Roman" w:eastAsia="Times New Roman" w:hint="default"/>
        </w:rPr>
        <w:t>15</w:t>
      </w:r>
      <w:r>
        <w:rPr/>
        <w:t>、在建工程</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7694"/>
        <w:jc w:val="left"/>
      </w:pPr>
      <w:r>
        <w:rPr/>
        <w:t>公司是否需要遵守特殊行业的披露要求 是</w:t>
      </w:r>
    </w:p>
    <w:p>
      <w:pPr>
        <w:pStyle w:val="BodyText"/>
        <w:spacing w:line="240" w:lineRule="auto" w:before="27"/>
        <w:ind w:right="0"/>
        <w:jc w:val="left"/>
      </w:pPr>
      <w:r>
        <w:rPr/>
        <w:t>软件与信息技术服务业</w:t>
      </w:r>
    </w:p>
    <w:p>
      <w:pPr>
        <w:pStyle w:val="BodyText"/>
        <w:spacing w:line="240" w:lineRule="auto" w:before="115"/>
        <w:ind w:left="472" w:right="0"/>
        <w:jc w:val="left"/>
      </w:pPr>
      <w:r>
        <w:rPr>
          <w:rFonts w:ascii="Times New Roman" w:hAnsi="Times New Roman" w:cs="Times New Roman" w:eastAsia="Times New Roman" w:hint="default"/>
        </w:rPr>
        <w:t>1.</w:t>
      </w:r>
      <w:r>
        <w:rPr/>
        <w:t>在建工程同时满足经济利益很可能流入、成本能够可靠计量则予以确认。在建工程按建造该项资产达到预定可使用状</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right="0"/>
        <w:jc w:val="both"/>
      </w:pPr>
      <w:r>
        <w:rPr/>
        <w:t>态前所发生的实际成本计量。</w:t>
      </w:r>
    </w:p>
    <w:p>
      <w:pPr>
        <w:pStyle w:val="BodyText"/>
        <w:spacing w:line="300" w:lineRule="auto" w:before="76"/>
        <w:ind w:right="0" w:firstLine="360"/>
        <w:jc w:val="left"/>
      </w:pPr>
      <w:r>
        <w:rPr>
          <w:rFonts w:ascii="Times New Roman" w:hAnsi="Times New Roman" w:cs="Times New Roman" w:eastAsia="Times New Roman" w:hint="default"/>
          <w:spacing w:val="-1"/>
        </w:rPr>
        <w:t>2.</w:t>
      </w:r>
      <w:r>
        <w:rPr>
          <w:spacing w:val="-1"/>
        </w:rPr>
        <w:t>在建工程达到预定可使用状态时，按工程实际成本转入固定资产。已达到预定可使用状态但尚未办理竣工决算的，先</w:t>
      </w:r>
      <w:r>
        <w:rPr/>
        <w:t> 按估计价值转入固定资产，待办理竣工决算后再按实际成本调整原暂估价值，但不再调整原已计提的折旧。</w:t>
      </w:r>
    </w:p>
    <w:p>
      <w:pPr>
        <w:spacing w:line="240" w:lineRule="auto" w:before="5"/>
        <w:rPr>
          <w:rFonts w:ascii="宋体" w:hAnsi="宋体" w:cs="宋体" w:eastAsia="宋体" w:hint="default"/>
          <w:sz w:val="23"/>
          <w:szCs w:val="23"/>
        </w:rPr>
      </w:pPr>
    </w:p>
    <w:p>
      <w:pPr>
        <w:pStyle w:val="Heading3"/>
        <w:spacing w:line="240" w:lineRule="auto"/>
        <w:ind w:right="0"/>
        <w:jc w:val="both"/>
        <w:rPr>
          <w:b w:val="0"/>
          <w:bCs w:val="0"/>
        </w:rPr>
      </w:pPr>
      <w:bookmarkStart w:name="16、借款费用" w:id="202"/>
      <w:bookmarkEnd w:id="202"/>
      <w:r>
        <w:rPr>
          <w:b w:val="0"/>
          <w:bCs w:val="0"/>
        </w:rPr>
      </w:r>
      <w:r>
        <w:rPr>
          <w:rFonts w:ascii="Times New Roman" w:hAnsi="Times New Roman" w:cs="Times New Roman" w:eastAsia="Times New Roman" w:hint="default"/>
        </w:rPr>
        <w:t>16</w:t>
      </w:r>
      <w:r>
        <w:rPr/>
        <w:t>、借款费用</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left="472" w:right="0"/>
        <w:jc w:val="left"/>
      </w:pPr>
      <w:r>
        <w:rPr>
          <w:rFonts w:ascii="Times New Roman" w:hAnsi="Times New Roman" w:cs="Times New Roman" w:eastAsia="Times New Roman" w:hint="default"/>
        </w:rPr>
        <w:t>1.</w:t>
      </w:r>
      <w:r>
        <w:rPr/>
        <w:t>借款费用资本化的确认原则 </w:t>
      </w:r>
      <w:r>
        <w:rPr>
          <w:spacing w:val="-2"/>
        </w:rPr>
        <w:t>公司发生的借款费用，可直接归属于符合资本化条件的资产的购建或者生产的，予以资本化，计入相关资产成本；其他</w:t>
      </w:r>
    </w:p>
    <w:p>
      <w:pPr>
        <w:pStyle w:val="BodyText"/>
        <w:spacing w:line="240" w:lineRule="auto" w:before="31"/>
        <w:ind w:right="0"/>
        <w:jc w:val="both"/>
      </w:pPr>
      <w:r>
        <w:rPr/>
        <w:t>借款费用，在发生时确认为费用，计入当期损益。</w:t>
      </w:r>
    </w:p>
    <w:p>
      <w:pPr>
        <w:pStyle w:val="BodyText"/>
        <w:spacing w:line="300" w:lineRule="auto" w:before="76"/>
        <w:ind w:left="472" w:right="0"/>
        <w:jc w:val="left"/>
      </w:pPr>
      <w:r>
        <w:rPr>
          <w:rFonts w:ascii="Times New Roman" w:hAnsi="Times New Roman" w:cs="Times New Roman" w:eastAsia="Times New Roman" w:hint="default"/>
        </w:rPr>
        <w:t>2.</w:t>
      </w:r>
      <w:r>
        <w:rPr/>
        <w:t>借款费用资本化期间 </w:t>
      </w:r>
      <w:r>
        <w:rPr>
          <w:rFonts w:ascii="Times New Roman" w:hAnsi="Times New Roman" w:cs="Times New Roman" w:eastAsia="Times New Roman" w:hint="default"/>
          <w:spacing w:val="-1"/>
        </w:rPr>
        <w:t>(1)</w:t>
      </w:r>
      <w:r>
        <w:rPr>
          <w:spacing w:val="-1"/>
        </w:rPr>
        <w:t>当借款费用同时满足下列条件时，开始资本化：</w:t>
      </w:r>
      <w:r>
        <w:rPr>
          <w:rFonts w:ascii="Times New Roman" w:hAnsi="Times New Roman" w:cs="Times New Roman" w:eastAsia="Times New Roman" w:hint="default"/>
          <w:spacing w:val="-1"/>
        </w:rPr>
        <w:t>1)</w:t>
      </w:r>
      <w:r>
        <w:rPr>
          <w:spacing w:val="-1"/>
        </w:rPr>
        <w:t>资产支出已经发生；</w:t>
      </w:r>
      <w:r>
        <w:rPr>
          <w:rFonts w:ascii="Times New Roman" w:hAnsi="Times New Roman" w:cs="Times New Roman" w:eastAsia="Times New Roman" w:hint="default"/>
          <w:spacing w:val="-1"/>
        </w:rPr>
        <w:t>2)</w:t>
      </w:r>
      <w:r>
        <w:rPr>
          <w:spacing w:val="-1"/>
        </w:rPr>
        <w:t>借款费用已经发生；</w:t>
      </w:r>
      <w:r>
        <w:rPr>
          <w:rFonts w:ascii="Times New Roman" w:hAnsi="Times New Roman" w:cs="Times New Roman" w:eastAsia="Times New Roman" w:hint="default"/>
          <w:spacing w:val="-1"/>
        </w:rPr>
        <w:t>3)</w:t>
      </w:r>
      <w:r>
        <w:rPr>
          <w:spacing w:val="-1"/>
        </w:rPr>
        <w:t>为使资产达到预定可</w:t>
      </w:r>
    </w:p>
    <w:p>
      <w:pPr>
        <w:pStyle w:val="BodyText"/>
        <w:spacing w:line="240" w:lineRule="auto" w:before="13"/>
        <w:ind w:right="0"/>
        <w:jc w:val="both"/>
      </w:pPr>
      <w:r>
        <w:rPr/>
        <w:t>使用或可销售状态所必要的购建或者生产活动已经开始。</w:t>
      </w:r>
    </w:p>
    <w:p>
      <w:pPr>
        <w:pStyle w:val="BodyText"/>
        <w:spacing w:line="300" w:lineRule="auto" w:before="76"/>
        <w:ind w:right="0" w:firstLine="360"/>
        <w:jc w:val="left"/>
      </w:pPr>
      <w:r>
        <w:rPr>
          <w:rFonts w:ascii="Times New Roman" w:hAnsi="Times New Roman" w:cs="Times New Roman" w:eastAsia="Times New Roman" w:hint="default"/>
          <w:spacing w:val="-1"/>
        </w:rPr>
        <w:t>(2)</w:t>
      </w:r>
      <w:r>
        <w:rPr>
          <w:spacing w:val="-1"/>
        </w:rPr>
        <w:t>若符合资本化条件的资产在购建或者生产过程中发生非正常中断，并且中断时间连续超过</w:t>
      </w:r>
      <w:r>
        <w:rPr>
          <w:rFonts w:ascii="Times New Roman" w:hAnsi="Times New Roman" w:cs="Times New Roman" w:eastAsia="Times New Roman" w:hint="default"/>
          <w:spacing w:val="-1"/>
        </w:rPr>
        <w:t>3</w:t>
      </w:r>
      <w:r>
        <w:rPr>
          <w:spacing w:val="-1"/>
        </w:rPr>
        <w:t>个月，暂停借款费用的资</w:t>
      </w:r>
      <w:r>
        <w:rPr>
          <w:w w:val="99"/>
        </w:rPr>
        <w:t> </w:t>
      </w:r>
      <w:r>
        <w:rPr/>
        <w:t>本化；中断期间发生的借款费用确认为当期费用，直至资产的购建或者生产活动重新开始。</w:t>
      </w:r>
    </w:p>
    <w:p>
      <w:pPr>
        <w:pStyle w:val="BodyText"/>
        <w:spacing w:line="300" w:lineRule="auto" w:before="31"/>
        <w:ind w:left="472" w:right="0"/>
        <w:jc w:val="left"/>
      </w:pPr>
      <w:r>
        <w:rPr>
          <w:rFonts w:ascii="Times New Roman" w:hAnsi="Times New Roman" w:cs="Times New Roman" w:eastAsia="Times New Roman" w:hint="default"/>
        </w:rPr>
        <w:t>(3)</w:t>
      </w:r>
      <w:r>
        <w:rPr/>
        <w:t>当所购建或者生产符合资本化条件的资产达到预定可使用或可销售状态时，借款费用停止资本化。</w:t>
      </w:r>
      <w:r>
        <w:rPr>
          <w:w w:val="99"/>
        </w:rPr>
        <w:t> </w:t>
      </w:r>
      <w:r>
        <w:rPr>
          <w:rFonts w:ascii="Times New Roman" w:hAnsi="Times New Roman" w:cs="Times New Roman" w:eastAsia="Times New Roman" w:hint="default"/>
        </w:rPr>
        <w:t>3.</w:t>
      </w:r>
      <w:r>
        <w:rPr/>
        <w:t>借款费用资本化率以及资本化金额</w:t>
      </w:r>
      <w:r>
        <w:rPr>
          <w:w w:val="99"/>
        </w:rPr>
        <w:t> </w:t>
      </w:r>
      <w:r>
        <w:rPr>
          <w:spacing w:val="-2"/>
        </w:rPr>
        <w:t>为购建或者生产符合资本化条件的资产而借入专门借款的，以专门借款当期实际发生的利息费用（包括按照实际利率法</w:t>
      </w:r>
    </w:p>
    <w:p>
      <w:pPr>
        <w:pStyle w:val="BodyText"/>
        <w:spacing w:line="316" w:lineRule="auto" w:before="31"/>
        <w:ind w:right="1132"/>
        <w:jc w:val="both"/>
      </w:pPr>
      <w:r>
        <w:rPr>
          <w:spacing w:val="-2"/>
        </w:rPr>
        <w:t>确定的折价或溢价的摊销），减去将尚未动用的借款资金存入银行取得的利息收入或进行暂时性投资取得的投资收益后的金</w:t>
      </w:r>
      <w:r>
        <w:rPr>
          <w:spacing w:val="-71"/>
        </w:rPr>
        <w:t> </w:t>
      </w:r>
      <w:r>
        <w:rPr>
          <w:spacing w:val="-71"/>
        </w:rPr>
      </w:r>
      <w:r>
        <w:rPr>
          <w:spacing w:val="-2"/>
        </w:rPr>
        <w:t>额，确定应予资本化的利息金额；为购建或者生产符合资本化条件的资产占用了一般借款的，根据累计资产支出超过专门借</w:t>
      </w:r>
      <w:r>
        <w:rPr>
          <w:spacing w:val="-65"/>
        </w:rPr>
        <w:t> </w:t>
      </w:r>
      <w:r>
        <w:rPr>
          <w:spacing w:val="-65"/>
        </w:rPr>
      </w:r>
      <w:r>
        <w:rPr/>
        <w:t>款的资产支出加权平均数乘以占用一般借款的资本化率，计算确定一般借款应予资本化的利息金额。</w:t>
      </w:r>
    </w:p>
    <w:p>
      <w:pPr>
        <w:spacing w:line="240" w:lineRule="auto" w:before="8"/>
        <w:rPr>
          <w:rFonts w:ascii="宋体" w:hAnsi="宋体" w:cs="宋体" w:eastAsia="宋体" w:hint="default"/>
          <w:sz w:val="22"/>
          <w:szCs w:val="22"/>
        </w:rPr>
      </w:pPr>
    </w:p>
    <w:p>
      <w:pPr>
        <w:pStyle w:val="Heading3"/>
        <w:spacing w:line="240" w:lineRule="auto"/>
        <w:ind w:right="0"/>
        <w:jc w:val="both"/>
        <w:rPr>
          <w:b w:val="0"/>
          <w:bCs w:val="0"/>
        </w:rPr>
      </w:pPr>
      <w:bookmarkStart w:name="17、无形资产" w:id="203"/>
      <w:bookmarkEnd w:id="203"/>
      <w:r>
        <w:rPr>
          <w:b w:val="0"/>
          <w:bCs w:val="0"/>
        </w:rPr>
      </w:r>
      <w:r>
        <w:rPr>
          <w:rFonts w:ascii="Times New Roman" w:hAnsi="Times New Roman" w:cs="Times New Roman" w:eastAsia="Times New Roman" w:hint="default"/>
        </w:rPr>
        <w:t>17</w:t>
      </w:r>
      <w:r>
        <w:rPr/>
        <w:t>、无形资产</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both"/>
        <w:rPr>
          <w:b w:val="0"/>
          <w:bCs w:val="0"/>
        </w:rPr>
      </w:pPr>
      <w:bookmarkStart w:name="（1）计价方法、使用寿命、减值测试" w:id="204"/>
      <w:bookmarkEnd w:id="204"/>
      <w:r>
        <w:rPr>
          <w:b w:val="0"/>
          <w:bCs w:val="0"/>
        </w:rPr>
      </w:r>
      <w:r>
        <w:rPr/>
        <w:t>（</w:t>
      </w:r>
      <w:r>
        <w:rPr>
          <w:rFonts w:ascii="Times New Roman" w:hAnsi="Times New Roman" w:cs="Times New Roman" w:eastAsia="Times New Roman" w:hint="default"/>
        </w:rPr>
        <w:t>1</w:t>
      </w:r>
      <w:r>
        <w:rPr/>
        <w:t>）计价方法、使用寿命、减值测试</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7694"/>
        <w:jc w:val="left"/>
      </w:pPr>
      <w:r>
        <w:rPr/>
        <w:t>公司是否需要遵守特殊行业的披露要求 是</w:t>
      </w:r>
    </w:p>
    <w:p>
      <w:pPr>
        <w:pStyle w:val="BodyText"/>
        <w:spacing w:line="240" w:lineRule="auto" w:before="25"/>
        <w:ind w:right="0"/>
        <w:jc w:val="both"/>
      </w:pPr>
      <w:r>
        <w:rPr/>
        <w:t>软件与信息技术服务业</w:t>
      </w:r>
    </w:p>
    <w:p>
      <w:pPr>
        <w:pStyle w:val="BodyText"/>
        <w:spacing w:line="240" w:lineRule="auto" w:before="117"/>
        <w:ind w:left="472" w:right="0"/>
        <w:jc w:val="left"/>
      </w:pPr>
      <w:r>
        <w:rPr>
          <w:rFonts w:ascii="Times New Roman" w:hAnsi="Times New Roman" w:cs="Times New Roman" w:eastAsia="Times New Roman" w:hint="default"/>
        </w:rPr>
        <w:t>1.</w:t>
      </w:r>
      <w:r>
        <w:rPr/>
        <w:t>无形资产包括土地使用权、专利权及非专利技术等，按成本进行初始计量。</w:t>
      </w:r>
    </w:p>
    <w:p>
      <w:pPr>
        <w:pStyle w:val="BodyText"/>
        <w:spacing w:line="300" w:lineRule="auto" w:before="63"/>
        <w:ind w:right="1132" w:firstLine="360"/>
        <w:jc w:val="left"/>
      </w:pPr>
      <w:r>
        <w:rPr>
          <w:rFonts w:ascii="Times New Roman" w:hAnsi="Times New Roman" w:cs="Times New Roman" w:eastAsia="Times New Roman" w:hint="default"/>
          <w:spacing w:val="-1"/>
        </w:rPr>
        <w:t>2.</w:t>
      </w:r>
      <w:r>
        <w:rPr>
          <w:spacing w:val="-1"/>
        </w:rPr>
        <w:t>使用寿命有限的无形资产，在使用寿命内按照与该项无形资产有关的经济利益的预期实现方式系统合理地摊销，无法</w:t>
      </w:r>
      <w:r>
        <w:rPr/>
        <w:t> 可靠确定预期实现方式的，采用直线法摊销。具体年限如下：</w:t>
      </w:r>
    </w:p>
    <w:tbl>
      <w:tblPr>
        <w:tblW w:w="0" w:type="auto"/>
        <w:jc w:val="left"/>
        <w:tblInd w:w="2768" w:type="dxa"/>
        <w:tblLayout w:type="fixed"/>
        <w:tblCellMar>
          <w:top w:w="0" w:type="dxa"/>
          <w:left w:w="0" w:type="dxa"/>
          <w:bottom w:w="0" w:type="dxa"/>
          <w:right w:w="0" w:type="dxa"/>
        </w:tblCellMar>
        <w:tblLook w:val="01E0"/>
      </w:tblPr>
      <w:tblGrid>
        <w:gridCol w:w="2160"/>
        <w:gridCol w:w="2160"/>
      </w:tblGrid>
      <w:tr>
        <w:trPr>
          <w:trHeight w:val="342" w:hRule="exact"/>
        </w:trPr>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left="214"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85" w:lineRule="exact"/>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摊销年限</w:t>
            </w:r>
            <w:r>
              <w:rPr>
                <w:rFonts w:ascii="Times New Roman" w:hAnsi="Times New Roman" w:cs="Times New Roman" w:eastAsia="Times New Roman" w:hint="default"/>
                <w:sz w:val="21"/>
                <w:szCs w:val="21"/>
              </w:rPr>
              <w:t>(</w:t>
            </w:r>
            <w:r>
              <w:rPr>
                <w:rFonts w:ascii="宋体" w:hAnsi="宋体" w:cs="宋体" w:eastAsia="宋体" w:hint="default"/>
                <w:sz w:val="21"/>
                <w:szCs w:val="21"/>
              </w:rPr>
              <w:t>年</w:t>
            </w:r>
            <w:r>
              <w:rPr>
                <w:rFonts w:ascii="Times New Roman" w:hAnsi="Times New Roman" w:cs="Times New Roman" w:eastAsia="Times New Roman" w:hint="default"/>
                <w:sz w:val="21"/>
                <w:szCs w:val="21"/>
              </w:rPr>
              <w:t>)</w:t>
            </w:r>
          </w:p>
        </w:tc>
      </w:tr>
      <w:tr>
        <w:trPr>
          <w:trHeight w:val="342" w:hRule="exact"/>
        </w:trPr>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6"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 w:right="0"/>
              <w:jc w:val="center"/>
              <w:rPr>
                <w:rFonts w:ascii="Times New Roman" w:hAnsi="Times New Roman" w:cs="Times New Roman" w:eastAsia="Times New Roman" w:hint="default"/>
                <w:sz w:val="21"/>
                <w:szCs w:val="21"/>
              </w:rPr>
            </w:pPr>
            <w:r>
              <w:rPr>
                <w:rFonts w:ascii="Times New Roman"/>
                <w:sz w:val="21"/>
              </w:rPr>
              <w:t>50</w:t>
            </w:r>
          </w:p>
        </w:tc>
      </w:tr>
      <w:tr>
        <w:trPr>
          <w:trHeight w:val="342" w:hRule="exact"/>
        </w:trPr>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left="6" w:right="0"/>
              <w:jc w:val="left"/>
              <w:rPr>
                <w:rFonts w:ascii="宋体" w:hAnsi="宋体" w:cs="宋体" w:eastAsia="宋体" w:hint="default"/>
                <w:sz w:val="21"/>
                <w:szCs w:val="21"/>
              </w:rPr>
            </w:pPr>
            <w:r>
              <w:rPr>
                <w:rFonts w:ascii="宋体" w:hAnsi="宋体" w:cs="宋体" w:eastAsia="宋体" w:hint="default"/>
                <w:sz w:val="21"/>
                <w:szCs w:val="21"/>
              </w:rPr>
              <w:t>专利权</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 w:right="0"/>
              <w:jc w:val="center"/>
              <w:rPr>
                <w:rFonts w:ascii="Times New Roman" w:hAnsi="Times New Roman" w:cs="Times New Roman" w:eastAsia="Times New Roman" w:hint="default"/>
                <w:sz w:val="21"/>
                <w:szCs w:val="21"/>
              </w:rPr>
            </w:pPr>
            <w:r>
              <w:rPr>
                <w:rFonts w:ascii="Times New Roman"/>
                <w:sz w:val="21"/>
              </w:rPr>
              <w:t>10</w:t>
            </w:r>
          </w:p>
        </w:tc>
      </w:tr>
      <w:tr>
        <w:trPr>
          <w:trHeight w:val="342" w:hRule="exact"/>
        </w:trPr>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6" w:right="0"/>
              <w:jc w:val="left"/>
              <w:rPr>
                <w:rFonts w:ascii="宋体" w:hAnsi="宋体" w:cs="宋体" w:eastAsia="宋体" w:hint="default"/>
                <w:sz w:val="21"/>
                <w:szCs w:val="21"/>
              </w:rPr>
            </w:pPr>
            <w:r>
              <w:rPr>
                <w:rFonts w:ascii="宋体" w:hAnsi="宋体" w:cs="宋体" w:eastAsia="宋体" w:hint="default"/>
                <w:sz w:val="21"/>
                <w:szCs w:val="21"/>
              </w:rPr>
              <w:t>软件</w:t>
            </w:r>
          </w:p>
        </w:tc>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
              <w:jc w:val="center"/>
              <w:rPr>
                <w:rFonts w:ascii="Times New Roman" w:hAnsi="Times New Roman" w:cs="Times New Roman" w:eastAsia="Times New Roman" w:hint="default"/>
                <w:sz w:val="21"/>
                <w:szCs w:val="21"/>
              </w:rPr>
            </w:pPr>
            <w:r>
              <w:rPr>
                <w:rFonts w:ascii="Times New Roman"/>
                <w:sz w:val="21"/>
              </w:rPr>
              <w:t>5-10</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4"/>
          <w:szCs w:val="24"/>
        </w:rPr>
      </w:pPr>
    </w:p>
    <w:p>
      <w:pPr>
        <w:pStyle w:val="Heading3"/>
        <w:spacing w:line="240" w:lineRule="auto" w:before="34"/>
        <w:ind w:right="0"/>
        <w:jc w:val="left"/>
        <w:rPr>
          <w:b w:val="0"/>
          <w:bCs w:val="0"/>
        </w:rPr>
      </w:pPr>
      <w:bookmarkStart w:name="（2）内部研究开发支出会计政策" w:id="205"/>
      <w:bookmarkEnd w:id="205"/>
      <w:r>
        <w:rPr>
          <w:b w:val="0"/>
          <w:bCs w:val="0"/>
        </w:rPr>
      </w:r>
      <w:r>
        <w:rPr/>
        <w:t>（</w:t>
      </w:r>
      <w:r>
        <w:rPr>
          <w:rFonts w:ascii="Times New Roman" w:hAnsi="Times New Roman" w:cs="Times New Roman" w:eastAsia="Times New Roman" w:hint="default"/>
        </w:rPr>
        <w:t>2</w:t>
      </w:r>
      <w:r>
        <w:rPr/>
        <w:t>）内部研究开发支出会计政策</w:t>
      </w:r>
      <w:r>
        <w:rPr>
          <w:b w:val="0"/>
          <w:bCs w:val="0"/>
        </w:rPr>
      </w:r>
    </w:p>
    <w:p>
      <w:pPr>
        <w:spacing w:line="240" w:lineRule="auto" w:before="6"/>
        <w:rPr>
          <w:rFonts w:ascii="宋体" w:hAnsi="宋体" w:cs="宋体" w:eastAsia="宋体" w:hint="default"/>
          <w:b/>
          <w:bCs/>
          <w:sz w:val="26"/>
          <w:szCs w:val="26"/>
        </w:rPr>
      </w:pPr>
    </w:p>
    <w:p>
      <w:pPr>
        <w:pStyle w:val="BodyText"/>
        <w:spacing w:line="304" w:lineRule="auto"/>
        <w:ind w:right="0" w:firstLine="360"/>
        <w:jc w:val="left"/>
      </w:pPr>
      <w:r>
        <w:rPr>
          <w:spacing w:val="-4"/>
        </w:rPr>
        <w:t>内部研究开发项目研究阶段的支出，于发生时计入当期损益。内部研究开发项目开发阶段的支出，同时满足下列条件的，</w:t>
      </w:r>
      <w:r>
        <w:rPr/>
        <w:t> 确认为无形资产：</w:t>
      </w:r>
      <w:r>
        <w:rPr>
          <w:rFonts w:ascii="Times New Roman" w:hAnsi="Times New Roman" w:cs="Times New Roman" w:eastAsia="Times New Roman" w:hint="default"/>
        </w:rPr>
        <w:t>(1)</w:t>
      </w:r>
      <w:r>
        <w:rPr/>
        <w:t>完成该无形资产以使其能够使用或出售在技术上具有可行性；</w:t>
      </w:r>
      <w:r>
        <w:rPr>
          <w:rFonts w:ascii="Times New Roman" w:hAnsi="Times New Roman" w:cs="Times New Roman" w:eastAsia="Times New Roman" w:hint="default"/>
        </w:rPr>
        <w:t>(2)</w:t>
      </w:r>
      <w:r>
        <w:rPr/>
        <w:t>具有完成该无形资产并使用或出售的</w:t>
      </w:r>
      <w:r>
        <w:rPr>
          <w:spacing w:val="-55"/>
        </w:rPr>
        <w:t> </w:t>
      </w:r>
      <w:r>
        <w:rPr>
          <w:spacing w:val="-55"/>
        </w:rPr>
      </w:r>
      <w:r>
        <w:rPr/>
        <w:t>意图；</w:t>
      </w:r>
      <w:r>
        <w:rPr>
          <w:rFonts w:ascii="Times New Roman" w:hAnsi="Times New Roman" w:cs="Times New Roman" w:eastAsia="Times New Roman" w:hint="default"/>
        </w:rPr>
        <w:t>(3)</w:t>
      </w:r>
      <w:r>
        <w:rPr/>
        <w:t>无形资产产生经济利益的方式，包括能够证明运用该无形资产生产的产品存在市场或无形资产自身存在市场，无</w:t>
      </w:r>
      <w:r>
        <w:rPr>
          <w:spacing w:val="-32"/>
        </w:rPr>
        <w:t> </w:t>
      </w:r>
      <w:r>
        <w:rPr>
          <w:spacing w:val="-32"/>
        </w:rPr>
      </w:r>
      <w:r>
        <w:rPr/>
        <w:t>形资产将在内部使用的，能证明其有用性；</w:t>
      </w:r>
      <w:r>
        <w:rPr>
          <w:rFonts w:ascii="Times New Roman" w:hAnsi="Times New Roman" w:cs="Times New Roman" w:eastAsia="Times New Roman" w:hint="default"/>
        </w:rPr>
        <w:t>(4)</w:t>
      </w:r>
      <w:r>
        <w:rPr/>
        <w:t>有足够的技术、财务资源和其他资源支持，以完成该无形资产的开发，并有</w:t>
      </w:r>
      <w:r>
        <w:rPr>
          <w:spacing w:val="-32"/>
        </w:rPr>
        <w:t> </w:t>
      </w:r>
      <w:r>
        <w:rPr>
          <w:spacing w:val="-32"/>
        </w:rPr>
      </w:r>
      <w:r>
        <w:rPr/>
        <w:t>能力使用或出售该无形资产；</w:t>
      </w:r>
      <w:r>
        <w:rPr>
          <w:rFonts w:ascii="Times New Roman" w:hAnsi="Times New Roman" w:cs="Times New Roman" w:eastAsia="Times New Roman" w:hint="default"/>
        </w:rPr>
        <w:t>(5)</w:t>
      </w:r>
      <w:r>
        <w:rPr/>
        <w:t>归属于该无形资产开发阶段的支出能够可靠地计量。</w:t>
      </w:r>
    </w:p>
    <w:p>
      <w:pPr>
        <w:spacing w:after="0" w:line="304"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right="1130" w:firstLine="360"/>
        <w:jc w:val="both"/>
      </w:pPr>
      <w:r>
        <w:rPr>
          <w:spacing w:val="-2"/>
        </w:rPr>
        <w:t>划分研究阶段和开发阶段的标准：为获取新的技术和知识等进行的有计划的调查阶段，应确定为研究阶段，该阶段具有</w:t>
      </w:r>
      <w:r>
        <w:rPr/>
        <w:t> </w:t>
      </w:r>
      <w:r>
        <w:rPr>
          <w:spacing w:val="-2"/>
        </w:rPr>
        <w:t>计划性和探索性等特点；在进行商业性生产或使用前，将研究成果或其他知识应用于某项计划或设计，以生产出新的或具有</w:t>
      </w:r>
      <w:r>
        <w:rPr>
          <w:spacing w:val="-63"/>
        </w:rPr>
        <w:t> </w:t>
      </w:r>
      <w:r>
        <w:rPr>
          <w:spacing w:val="-63"/>
        </w:rPr>
      </w:r>
      <w:r>
        <w:rPr>
          <w:spacing w:val="-2"/>
        </w:rPr>
        <w:t>实质性改进的材料、装置、产品等阶段，应确定为开发阶段，该阶段具有针对性和形成成果的可能性较大等特点。结合软件</w:t>
      </w:r>
      <w:r>
        <w:rPr>
          <w:spacing w:val="-63"/>
        </w:rPr>
        <w:t> </w:t>
      </w:r>
      <w:r>
        <w:rPr>
          <w:spacing w:val="-63"/>
        </w:rPr>
      </w:r>
      <w:r>
        <w:rPr>
          <w:spacing w:val="-2"/>
        </w:rPr>
        <w:t>行业研发流程及自身研发的特点，公司研发项目通过立项评审后进入开发阶段。开发项目达到预定用途后确认为无形资产核</w:t>
      </w:r>
      <w:r>
        <w:rPr>
          <w:spacing w:val="-64"/>
        </w:rPr>
        <w:t> </w:t>
      </w:r>
      <w:r>
        <w:rPr>
          <w:spacing w:val="-64"/>
        </w:rPr>
      </w:r>
      <w:r>
        <w:rPr/>
        <w:t>算。</w:t>
      </w:r>
    </w:p>
    <w:p>
      <w:pPr>
        <w:spacing w:line="240" w:lineRule="auto" w:before="6"/>
        <w:rPr>
          <w:rFonts w:ascii="宋体" w:hAnsi="宋体" w:cs="宋体" w:eastAsia="宋体" w:hint="default"/>
          <w:sz w:val="22"/>
          <w:szCs w:val="22"/>
        </w:rPr>
      </w:pPr>
    </w:p>
    <w:p>
      <w:pPr>
        <w:pStyle w:val="Heading3"/>
        <w:spacing w:line="240" w:lineRule="auto"/>
        <w:ind w:right="0"/>
        <w:jc w:val="left"/>
        <w:rPr>
          <w:b w:val="0"/>
          <w:bCs w:val="0"/>
        </w:rPr>
      </w:pPr>
      <w:bookmarkStart w:name="18、长期资产减值" w:id="206"/>
      <w:bookmarkEnd w:id="206"/>
      <w:r>
        <w:rPr>
          <w:b w:val="0"/>
          <w:bCs w:val="0"/>
        </w:rPr>
      </w:r>
      <w:r>
        <w:rPr>
          <w:rFonts w:ascii="Times New Roman" w:hAnsi="Times New Roman" w:cs="Times New Roman" w:eastAsia="Times New Roman" w:hint="default"/>
        </w:rPr>
        <w:t>18</w:t>
      </w:r>
      <w:r>
        <w:rPr/>
        <w:t>、长期资产减值</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1130" w:firstLine="360"/>
        <w:jc w:val="both"/>
      </w:pPr>
      <w:r>
        <w:rPr/>
        <w:t>对长期股权投资、采用成本模式计量的投资性房地产、固定资产、在建工程、使用寿命有限的无形资产等长期资产,在 </w:t>
      </w:r>
      <w:r>
        <w:rPr>
          <w:spacing w:val="-2"/>
        </w:rPr>
        <w:t>资产负债表日有迹象表明发生减值的，估计其可收回金额。对因企业合并所形成的商誉和使用寿命不确定的无形资产，无论</w:t>
      </w:r>
      <w:r>
        <w:rPr>
          <w:spacing w:val="-63"/>
        </w:rPr>
        <w:t> </w:t>
      </w:r>
      <w:r>
        <w:rPr>
          <w:spacing w:val="-63"/>
        </w:rPr>
      </w:r>
      <w:r>
        <w:rPr/>
        <w:t>是否存在减值迹象，每年都进行减值测试。商誉结合与其相关的资产组或者资产组组合进行减值测试。</w:t>
      </w:r>
    </w:p>
    <w:p>
      <w:pPr>
        <w:pStyle w:val="BodyText"/>
        <w:spacing w:line="240" w:lineRule="auto" w:before="19"/>
        <w:ind w:left="472" w:right="0"/>
        <w:jc w:val="left"/>
      </w:pPr>
      <w:r>
        <w:rPr/>
        <w:t>若上述长期资产的可收回金额低于其账面价值的，按其差额确认资产减值准备并计入当期损益。</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19、长期待摊费用" w:id="207"/>
      <w:bookmarkEnd w:id="207"/>
      <w:r>
        <w:rPr>
          <w:b w:val="0"/>
          <w:bCs w:val="0"/>
        </w:rPr>
      </w:r>
      <w:r>
        <w:rPr>
          <w:rFonts w:ascii="Times New Roman" w:hAnsi="Times New Roman" w:cs="Times New Roman" w:eastAsia="Times New Roman" w:hint="default"/>
        </w:rPr>
        <w:t>19</w:t>
      </w:r>
      <w:r>
        <w:rPr/>
        <w:t>、长期待摊费用</w:t>
      </w:r>
      <w:r>
        <w:rPr>
          <w:b w:val="0"/>
          <w:bCs w:val="0"/>
        </w:rPr>
      </w:r>
    </w:p>
    <w:p>
      <w:pPr>
        <w:spacing w:line="240" w:lineRule="auto" w:before="4"/>
        <w:rPr>
          <w:rFonts w:ascii="宋体" w:hAnsi="宋体" w:cs="宋体" w:eastAsia="宋体" w:hint="default"/>
          <w:b/>
          <w:bCs/>
          <w:sz w:val="26"/>
          <w:szCs w:val="26"/>
        </w:rPr>
      </w:pPr>
    </w:p>
    <w:p>
      <w:pPr>
        <w:pStyle w:val="BodyText"/>
        <w:spacing w:line="309" w:lineRule="auto"/>
        <w:ind w:right="1132" w:firstLine="420"/>
        <w:jc w:val="both"/>
      </w:pPr>
      <w:r>
        <w:rPr/>
        <w:t>长期待摊费用核算已经支出，摊销期限在</w:t>
      </w:r>
      <w:r>
        <w:rPr>
          <w:rFonts w:ascii="Times New Roman" w:hAnsi="Times New Roman" w:cs="Times New Roman" w:eastAsia="Times New Roman" w:hint="default"/>
        </w:rPr>
        <w:t>1</w:t>
      </w:r>
      <w:r>
        <w:rPr/>
        <w:t>年以上（不含</w:t>
      </w:r>
      <w:r>
        <w:rPr>
          <w:rFonts w:ascii="Times New Roman" w:hAnsi="Times New Roman" w:cs="Times New Roman" w:eastAsia="Times New Roman" w:hint="default"/>
        </w:rPr>
        <w:t>1</w:t>
      </w:r>
      <w:r>
        <w:rPr/>
        <w:t>年）的各项费用。长期待摊费用按实际发生额入账，在受益 </w:t>
      </w:r>
      <w:r>
        <w:rPr>
          <w:spacing w:val="-2"/>
        </w:rPr>
        <w:t>期或规定的期限内分期平均摊销。如果长期待摊的费用项目不能使以后会计期间受益则将尚未摊销的该项目的摊余价值全部</w:t>
      </w:r>
      <w:r>
        <w:rPr>
          <w:spacing w:val="-64"/>
        </w:rPr>
        <w:t> </w:t>
      </w:r>
      <w:r>
        <w:rPr>
          <w:spacing w:val="-64"/>
        </w:rPr>
      </w:r>
      <w:r>
        <w:rPr/>
        <w:t>转入当期损益。</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3"/>
        <w:spacing w:line="240" w:lineRule="auto" w:before="142"/>
        <w:ind w:right="0"/>
        <w:jc w:val="left"/>
        <w:rPr>
          <w:b w:val="0"/>
          <w:bCs w:val="0"/>
        </w:rPr>
      </w:pPr>
      <w:bookmarkStart w:name="20、职工薪酬" w:id="208"/>
      <w:bookmarkEnd w:id="208"/>
      <w:r>
        <w:rPr>
          <w:b w:val="0"/>
          <w:bCs w:val="0"/>
        </w:rPr>
      </w:r>
      <w:r>
        <w:rPr>
          <w:rFonts w:ascii="Times New Roman" w:hAnsi="Times New Roman" w:cs="Times New Roman" w:eastAsia="Times New Roman" w:hint="default"/>
        </w:rPr>
        <w:t>20</w:t>
      </w:r>
      <w:r>
        <w:rPr/>
        <w:t>、职工薪酬</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1）短期薪酬的会计处理方法" w:id="209"/>
      <w:bookmarkEnd w:id="209"/>
      <w:r>
        <w:rPr>
          <w:b w:val="0"/>
          <w:bCs w:val="0"/>
        </w:rPr>
      </w:r>
      <w:r>
        <w:rPr/>
        <w:t>（</w:t>
      </w:r>
      <w:r>
        <w:rPr>
          <w:rFonts w:ascii="Times New Roman" w:hAnsi="Times New Roman" w:cs="Times New Roman" w:eastAsia="Times New Roman" w:hint="default"/>
        </w:rPr>
        <w:t>1</w:t>
      </w:r>
      <w:r>
        <w:rPr/>
        <w:t>）短期薪酬的会计处理方法</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532" w:right="0"/>
        <w:jc w:val="left"/>
      </w:pPr>
      <w:r>
        <w:rPr/>
        <w:t>在职工为公司提供服务的会计期间，将实际发生的短期薪酬确认为负债，并计入当期损益或相关资产成本。</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2）离职后福利的会计处理方法" w:id="210"/>
      <w:bookmarkEnd w:id="210"/>
      <w:r>
        <w:rPr>
          <w:b w:val="0"/>
          <w:bCs w:val="0"/>
        </w:rPr>
      </w:r>
      <w:r>
        <w:rPr/>
        <w:t>（</w:t>
      </w:r>
      <w:r>
        <w:rPr>
          <w:rFonts w:ascii="Times New Roman" w:hAnsi="Times New Roman" w:cs="Times New Roman" w:eastAsia="Times New Roman" w:hint="default"/>
        </w:rPr>
        <w:t>2</w:t>
      </w:r>
      <w:r>
        <w:rPr/>
        <w:t>）离职后福利的会计处理方法</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532" w:right="0"/>
        <w:jc w:val="left"/>
      </w:pPr>
      <w:r>
        <w:rPr/>
        <w:t>离职后福利分为设定提存计划和设定受益计划。</w:t>
      </w:r>
    </w:p>
    <w:p>
      <w:pPr>
        <w:pStyle w:val="BodyText"/>
        <w:spacing w:line="300" w:lineRule="auto" w:before="76"/>
        <w:ind w:right="1130" w:firstLine="420"/>
        <w:jc w:val="both"/>
      </w:pPr>
      <w:r>
        <w:rPr>
          <w:rFonts w:ascii="Times New Roman" w:hAnsi="Times New Roman" w:cs="Times New Roman" w:eastAsia="Times New Roman" w:hint="default"/>
        </w:rPr>
        <w:t>(1)</w:t>
      </w:r>
      <w:r>
        <w:rPr/>
        <w:t>在职工为公司提供服务的会计期间，根据设定提存计划计算的应缴存金额确认为负债，并计入当期损益或相关资产</w:t>
      </w:r>
      <w:r>
        <w:rPr>
          <w:w w:val="99"/>
        </w:rPr>
        <w:t> </w:t>
      </w:r>
      <w:r>
        <w:rPr/>
        <w:t>成本。</w:t>
      </w:r>
    </w:p>
    <w:p>
      <w:pPr>
        <w:pStyle w:val="BodyText"/>
        <w:spacing w:line="300" w:lineRule="auto" w:before="31"/>
        <w:ind w:left="532" w:right="0"/>
        <w:jc w:val="left"/>
      </w:pPr>
      <w:r>
        <w:rPr>
          <w:rFonts w:ascii="Times New Roman" w:hAnsi="Times New Roman" w:cs="Times New Roman" w:eastAsia="Times New Roman" w:hint="default"/>
        </w:rPr>
        <w:t>(2)</w:t>
      </w:r>
      <w:r>
        <w:rPr/>
        <w:t>对设定受益计划的会计处理通常包括下列步骤：</w:t>
      </w:r>
      <w:r>
        <w:rPr>
          <w:w w:val="99"/>
        </w:rPr>
        <w:t> </w:t>
      </w:r>
      <w:r>
        <w:rPr>
          <w:rFonts w:ascii="Times New Roman" w:hAnsi="Times New Roman" w:cs="Times New Roman" w:eastAsia="Times New Roman" w:hint="default"/>
        </w:rPr>
        <w:t>1)</w:t>
      </w:r>
      <w:r>
        <w:rPr/>
        <w:t>根据预期累计福利单位法，采用无偏且相互一致的精算假设对有关人口统计变量和财务变量等作出估计，计量设定</w:t>
      </w:r>
    </w:p>
    <w:p>
      <w:pPr>
        <w:pStyle w:val="BodyText"/>
        <w:spacing w:line="316" w:lineRule="auto" w:before="13"/>
        <w:ind w:right="0"/>
        <w:jc w:val="left"/>
      </w:pPr>
      <w:r>
        <w:rPr>
          <w:spacing w:val="-2"/>
        </w:rPr>
        <w:t>受益计划所产生的义务，并确定相关义务的所属期间。同时，对设定受益计划所产生的义务予以折现，以确定设定受益计划</w:t>
      </w:r>
      <w:r>
        <w:rPr>
          <w:spacing w:val="-64"/>
        </w:rPr>
        <w:t> </w:t>
      </w:r>
      <w:r>
        <w:rPr>
          <w:spacing w:val="-64"/>
        </w:rPr>
      </w:r>
      <w:r>
        <w:rPr/>
        <w:t>义务的现值和当期服务成本；</w:t>
      </w:r>
    </w:p>
    <w:p>
      <w:pPr>
        <w:pStyle w:val="BodyText"/>
        <w:spacing w:line="309" w:lineRule="auto" w:before="19"/>
        <w:ind w:right="1132" w:firstLine="420"/>
        <w:jc w:val="both"/>
      </w:pPr>
      <w:r>
        <w:rPr>
          <w:rFonts w:ascii="Times New Roman" w:hAnsi="Times New Roman" w:cs="Times New Roman" w:eastAsia="Times New Roman" w:hint="default"/>
        </w:rPr>
        <w:t>2)</w:t>
      </w:r>
      <w:r>
        <w:rPr/>
        <w:t>设定受益计划存在资产的，将设定受益计划义务现值减去设定受益计划资产公允价值所形成的赤字或盈余确认为一 </w:t>
      </w:r>
      <w:r>
        <w:rPr>
          <w:spacing w:val="-2"/>
        </w:rPr>
        <w:t>项设定受益计划净负债或净资产。设定受益计划存在盈余的，以设定受益计划的盈余和资产上限两项的孰低者计量设定受益</w:t>
      </w:r>
      <w:r>
        <w:rPr>
          <w:spacing w:val="-64"/>
        </w:rPr>
        <w:t> </w:t>
      </w:r>
      <w:r>
        <w:rPr>
          <w:spacing w:val="-64"/>
        </w:rPr>
      </w:r>
      <w:r>
        <w:rPr/>
        <w:t>计划净资产；</w:t>
      </w:r>
    </w:p>
    <w:p>
      <w:pPr>
        <w:pStyle w:val="BodyText"/>
        <w:spacing w:line="312" w:lineRule="auto" w:before="24"/>
        <w:ind w:right="1132" w:firstLine="420"/>
        <w:jc w:val="both"/>
      </w:pPr>
      <w:r>
        <w:rPr>
          <w:rFonts w:ascii="Times New Roman" w:hAnsi="Times New Roman" w:cs="Times New Roman" w:eastAsia="Times New Roman" w:hint="default"/>
        </w:rPr>
        <w:t>3)</w:t>
      </w:r>
      <w:r>
        <w:rPr/>
        <w:t>期末，将设定受益计划产生的职工薪酬成本确认为服务成本、设定受益计划净负债或净资产的利息净额以及重新计 </w:t>
      </w:r>
      <w:r>
        <w:rPr>
          <w:spacing w:val="-2"/>
        </w:rPr>
        <w:t>量设定受益计划净负债或净资产所产生的变动等三部分，其中服务成本和设定受益计划净负债或净资产的利息净额计入当期</w:t>
      </w:r>
      <w:r>
        <w:rPr>
          <w:spacing w:val="-64"/>
        </w:rPr>
        <w:t> </w:t>
      </w:r>
      <w:r>
        <w:rPr>
          <w:spacing w:val="-64"/>
        </w:rPr>
      </w:r>
      <w:r>
        <w:rPr>
          <w:spacing w:val="-2"/>
        </w:rPr>
        <w:t>损益或相关资产成本，重新计量设定受益计划净负债或净资产所产生的变动计入其他综合收益，并且在后续会计期间不允许</w:t>
      </w:r>
      <w:r>
        <w:rPr>
          <w:spacing w:val="-64"/>
        </w:rPr>
        <w:t> </w:t>
      </w:r>
      <w:r>
        <w:rPr>
          <w:spacing w:val="-64"/>
        </w:rPr>
      </w:r>
      <w:r>
        <w:rPr/>
        <w:t>转回至损益，但可以在权益范围内转移这些在其他综合收益确认的金额。</w:t>
      </w:r>
    </w:p>
    <w:p>
      <w:pPr>
        <w:spacing w:after="0" w:line="312" w:lineRule="auto"/>
        <w:jc w:val="both"/>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0"/>
        <w:jc w:val="both"/>
        <w:rPr>
          <w:b w:val="0"/>
          <w:bCs w:val="0"/>
        </w:rPr>
      </w:pPr>
      <w:bookmarkStart w:name="（3）辞退福利的会计处理方法" w:id="211"/>
      <w:bookmarkEnd w:id="211"/>
      <w:r>
        <w:rPr>
          <w:b w:val="0"/>
          <w:bCs w:val="0"/>
        </w:rPr>
      </w:r>
      <w:r>
        <w:rPr/>
        <w:t>（</w:t>
      </w:r>
      <w:r>
        <w:rPr>
          <w:rFonts w:ascii="Times New Roman" w:hAnsi="Times New Roman" w:cs="Times New Roman" w:eastAsia="Times New Roman" w:hint="default"/>
        </w:rPr>
        <w:t>3</w:t>
      </w:r>
      <w:r>
        <w:rPr/>
        <w:t>）辞退福利的会计处理方法</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right="1124" w:firstLine="420"/>
        <w:jc w:val="left"/>
      </w:pPr>
      <w:r>
        <w:rPr/>
        <w:t>向职工提供的辞退福利，在下列两者孰早日确认辞退福利产生的职工薪酬负债，并计入当期损益：</w:t>
      </w:r>
      <w:r>
        <w:rPr>
          <w:rFonts w:ascii="Times New Roman" w:hAnsi="Times New Roman" w:cs="Times New Roman" w:eastAsia="Times New Roman" w:hint="default"/>
        </w:rPr>
        <w:t>(1)</w:t>
      </w:r>
      <w:r>
        <w:rPr/>
        <w:t>公司不能单方面 撤回因解除劳动关系计划或裁减建议所提供的辞退福利时；</w:t>
      </w:r>
      <w:r>
        <w:rPr>
          <w:rFonts w:ascii="Times New Roman" w:hAnsi="Times New Roman" w:cs="Times New Roman" w:eastAsia="Times New Roman" w:hint="default"/>
        </w:rPr>
        <w:t>(2)</w:t>
      </w:r>
      <w:r>
        <w:rPr/>
        <w:t>公司确认与涉及支付辞退福利的重组相关的成本或费用时。</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3"/>
        <w:spacing w:line="240" w:lineRule="auto" w:before="131"/>
        <w:ind w:right="0"/>
        <w:jc w:val="both"/>
        <w:rPr>
          <w:b w:val="0"/>
          <w:bCs w:val="0"/>
        </w:rPr>
      </w:pPr>
      <w:bookmarkStart w:name="（4）其他长期职工福利的会计处理方法" w:id="212"/>
      <w:bookmarkEnd w:id="212"/>
      <w:r>
        <w:rPr>
          <w:b w:val="0"/>
          <w:bCs w:val="0"/>
        </w:rPr>
      </w:r>
      <w:r>
        <w:rPr/>
        <w:t>（</w:t>
      </w:r>
      <w:r>
        <w:rPr>
          <w:rFonts w:ascii="Times New Roman" w:hAnsi="Times New Roman" w:cs="Times New Roman" w:eastAsia="Times New Roman" w:hint="default"/>
        </w:rPr>
        <w:t>4</w:t>
      </w:r>
      <w:r>
        <w:rPr/>
        <w:t>）其他长期职工福利的会计处理方法</w:t>
      </w:r>
      <w:r>
        <w:rPr>
          <w:b w:val="0"/>
          <w:bCs w:val="0"/>
        </w:rPr>
      </w:r>
    </w:p>
    <w:p>
      <w:pPr>
        <w:spacing w:line="240" w:lineRule="auto" w:before="4"/>
        <w:rPr>
          <w:rFonts w:ascii="宋体" w:hAnsi="宋体" w:cs="宋体" w:eastAsia="宋体" w:hint="default"/>
          <w:b/>
          <w:bCs/>
          <w:sz w:val="26"/>
          <w:szCs w:val="26"/>
        </w:rPr>
      </w:pPr>
    </w:p>
    <w:p>
      <w:pPr>
        <w:pStyle w:val="BodyText"/>
        <w:spacing w:line="316" w:lineRule="auto"/>
        <w:ind w:right="0" w:firstLine="420"/>
        <w:jc w:val="left"/>
      </w:pPr>
      <w:r>
        <w:rPr/>
        <w:t>向职工提供的其他长期福利，符合设定提存计划条件的，按照设定提存计划的有关规定进行会计处理；除此之外的其 </w:t>
      </w:r>
      <w:r>
        <w:rPr>
          <w:spacing w:val="-4"/>
        </w:rPr>
        <w:t>他长期福利，按照设定受益计划的有关规定进行会计处理，为简化相关会计处理，将其产生的职工薪酬成本确认为服务成本、</w:t>
      </w:r>
      <w:r>
        <w:rPr>
          <w:spacing w:val="-40"/>
        </w:rPr>
        <w:t> </w:t>
      </w:r>
      <w:r>
        <w:rPr>
          <w:spacing w:val="-40"/>
        </w:rPr>
      </w:r>
      <w:r>
        <w:rPr/>
        <w:t>其他长期职工福利净负债或净资产的利息净额以及重新计量其他长期职工福利净负债或净资产所产生的变动等组成项目的</w:t>
      </w:r>
      <w:r>
        <w:rPr>
          <w:spacing w:val="-9"/>
        </w:rPr>
        <w:t> </w:t>
      </w:r>
      <w:r>
        <w:rPr>
          <w:spacing w:val="-9"/>
        </w:rPr>
      </w:r>
      <w:r>
        <w:rPr/>
        <w:t>总净额计入当期损益或相关资产成本。</w:t>
      </w:r>
    </w:p>
    <w:p>
      <w:pPr>
        <w:spacing w:line="240" w:lineRule="auto" w:before="8"/>
        <w:rPr>
          <w:rFonts w:ascii="宋体" w:hAnsi="宋体" w:cs="宋体" w:eastAsia="宋体" w:hint="default"/>
          <w:sz w:val="22"/>
          <w:szCs w:val="22"/>
        </w:rPr>
      </w:pPr>
    </w:p>
    <w:p>
      <w:pPr>
        <w:pStyle w:val="Heading3"/>
        <w:spacing w:line="240" w:lineRule="auto"/>
        <w:ind w:right="0"/>
        <w:jc w:val="both"/>
        <w:rPr>
          <w:b w:val="0"/>
          <w:bCs w:val="0"/>
        </w:rPr>
      </w:pPr>
      <w:bookmarkStart w:name="21、股份支付" w:id="213"/>
      <w:bookmarkEnd w:id="213"/>
      <w:r>
        <w:rPr>
          <w:b w:val="0"/>
          <w:bCs w:val="0"/>
        </w:rPr>
      </w:r>
      <w:r>
        <w:rPr>
          <w:rFonts w:ascii="Times New Roman" w:hAnsi="Times New Roman" w:cs="Times New Roman" w:eastAsia="Times New Roman" w:hint="default"/>
        </w:rPr>
        <w:t>21</w:t>
      </w:r>
      <w:r>
        <w:rPr/>
        <w:t>、股份支付</w:t>
      </w:r>
      <w:r>
        <w:rPr>
          <w:b w:val="0"/>
          <w:bCs w:val="0"/>
        </w:rPr>
      </w:r>
    </w:p>
    <w:p>
      <w:pPr>
        <w:spacing w:line="240" w:lineRule="auto" w:before="6"/>
        <w:rPr>
          <w:rFonts w:ascii="宋体" w:hAnsi="宋体" w:cs="宋体" w:eastAsia="宋体" w:hint="default"/>
          <w:b/>
          <w:bCs/>
          <w:sz w:val="26"/>
          <w:szCs w:val="26"/>
        </w:rPr>
      </w:pPr>
    </w:p>
    <w:p>
      <w:pPr>
        <w:pStyle w:val="BodyText"/>
        <w:spacing w:line="307" w:lineRule="auto"/>
        <w:ind w:left="532" w:right="6014"/>
        <w:jc w:val="left"/>
      </w:pPr>
      <w:r>
        <w:rPr>
          <w:rFonts w:ascii="Times New Roman" w:hAnsi="Times New Roman" w:cs="Times New Roman" w:eastAsia="Times New Roman" w:hint="default"/>
        </w:rPr>
        <w:t>1.</w:t>
      </w:r>
      <w:r>
        <w:rPr/>
        <w:t>股份支付的种类 包括以权益结算的股份支付和以现金结算的股份支付。 </w:t>
      </w:r>
      <w:r>
        <w:rPr>
          <w:rFonts w:ascii="Times New Roman" w:hAnsi="Times New Roman" w:cs="Times New Roman" w:eastAsia="Times New Roman" w:hint="default"/>
        </w:rPr>
        <w:t>2.</w:t>
      </w:r>
      <w:r>
        <w:rPr/>
        <w:t>实施、修改、终止股份支付计划的相关会计处理 </w:t>
      </w:r>
      <w:r>
        <w:rPr>
          <w:rFonts w:ascii="Times New Roman" w:hAnsi="Times New Roman" w:cs="Times New Roman" w:eastAsia="Times New Roman" w:hint="default"/>
        </w:rPr>
        <w:t>(1)</w:t>
      </w:r>
      <w:r>
        <w:rPr/>
        <w:t>以权益结算的股份支付</w:t>
      </w:r>
    </w:p>
    <w:p>
      <w:pPr>
        <w:pStyle w:val="BodyText"/>
        <w:spacing w:line="316" w:lineRule="auto" w:before="7"/>
        <w:ind w:right="1026" w:firstLine="420"/>
        <w:jc w:val="left"/>
      </w:pPr>
      <w:r>
        <w:rPr>
          <w:spacing w:val="-1"/>
        </w:rPr>
        <w:t>授予后立即可行权的换取职工服务的以权益结算的股份支付，在授予日按照权益工具的公允价值计入相关成本或费用，</w:t>
      </w:r>
      <w:r>
        <w:rPr/>
        <w:t> </w:t>
      </w:r>
      <w:r>
        <w:rPr>
          <w:spacing w:val="-2"/>
        </w:rPr>
        <w:t>相应调整资本公积。完成等待期内的服务或达到规定业绩条件才可行权的换取职工服务的以权益结算的股份支付，在等待期</w:t>
      </w:r>
      <w:r>
        <w:rPr>
          <w:spacing w:val="-64"/>
        </w:rPr>
        <w:t> </w:t>
      </w:r>
      <w:r>
        <w:rPr>
          <w:spacing w:val="-64"/>
        </w:rPr>
      </w:r>
      <w:r>
        <w:rPr>
          <w:spacing w:val="-2"/>
        </w:rPr>
        <w:t>内的每个资产负债表日，以对可行权权益工具数量的最佳估计为基础，按权益工具授予日的公允价值，将当期取得的服务计</w:t>
      </w:r>
      <w:r>
        <w:rPr>
          <w:spacing w:val="-63"/>
        </w:rPr>
        <w:t> </w:t>
      </w:r>
      <w:r>
        <w:rPr>
          <w:spacing w:val="-63"/>
        </w:rPr>
      </w:r>
      <w:r>
        <w:rPr/>
        <w:t>入相关成本或费用，相应调整资本公积。</w:t>
      </w:r>
    </w:p>
    <w:p>
      <w:pPr>
        <w:pStyle w:val="BodyText"/>
        <w:spacing w:line="316" w:lineRule="auto" w:before="19"/>
        <w:ind w:right="1130" w:firstLine="420"/>
        <w:jc w:val="both"/>
      </w:pPr>
      <w:r>
        <w:rPr/>
        <w:t>换取其他方服务的权益结算的股份支付，如果其他方服务的公允价值能够可靠计量的，按照其他方服务在取得日的公 </w:t>
      </w:r>
      <w:r>
        <w:rPr>
          <w:spacing w:val="-2"/>
        </w:rPr>
        <w:t>允价值计量；如果其他方服务的公允价值不能可靠计量，但权益工具的公允价值能够可靠计量的，按照权益工具在服务取得</w:t>
      </w:r>
      <w:r>
        <w:rPr>
          <w:spacing w:val="-63"/>
        </w:rPr>
        <w:t> </w:t>
      </w:r>
      <w:r>
        <w:rPr>
          <w:spacing w:val="-63"/>
        </w:rPr>
      </w:r>
      <w:r>
        <w:rPr/>
        <w:t>日的公允价值计量，计入相关成本或费用，相应增加所有者权益。</w:t>
      </w:r>
    </w:p>
    <w:p>
      <w:pPr>
        <w:pStyle w:val="BodyText"/>
        <w:spacing w:line="300" w:lineRule="auto" w:before="19"/>
        <w:ind w:left="532" w:right="0"/>
        <w:jc w:val="left"/>
      </w:pPr>
      <w:r>
        <w:rPr>
          <w:rFonts w:ascii="Times New Roman" w:hAnsi="Times New Roman" w:cs="Times New Roman" w:eastAsia="Times New Roman" w:hint="default"/>
        </w:rPr>
        <w:t>(2)</w:t>
      </w:r>
      <w:r>
        <w:rPr/>
        <w:t>以现金结算的股份支付</w:t>
      </w:r>
      <w:r>
        <w:rPr>
          <w:w w:val="99"/>
        </w:rPr>
        <w:t> </w:t>
      </w:r>
      <w:r>
        <w:rPr/>
        <w:t>授予后立即可行权的换取职工服务的以现金结算的股份支付，在授予日按公司承担负债的公允价值计入相关成本或费</w:t>
      </w:r>
    </w:p>
    <w:p>
      <w:pPr>
        <w:pStyle w:val="BodyText"/>
        <w:spacing w:line="316" w:lineRule="auto" w:before="31"/>
        <w:ind w:right="1130"/>
        <w:jc w:val="both"/>
      </w:pPr>
      <w:r>
        <w:rPr>
          <w:spacing w:val="-2"/>
        </w:rPr>
        <w:t>用，相应增加负债。完成等待期内的服务或达到规定业绩条件才可行权的换取职工服务的以现金结算的股份支付，在等待期</w:t>
      </w:r>
      <w:r>
        <w:rPr>
          <w:spacing w:val="-64"/>
        </w:rPr>
        <w:t> </w:t>
      </w:r>
      <w:r>
        <w:rPr>
          <w:spacing w:val="-64"/>
        </w:rPr>
      </w:r>
      <w:r>
        <w:rPr>
          <w:spacing w:val="-2"/>
        </w:rPr>
        <w:t>内的每个资产负债表日，以对可行权情况的最佳估计为基础，按公司承担负债的公允价值，将当期取得的服务计入相关成本</w:t>
      </w:r>
      <w:r>
        <w:rPr>
          <w:spacing w:val="-63"/>
        </w:rPr>
        <w:t> </w:t>
      </w:r>
      <w:r>
        <w:rPr>
          <w:spacing w:val="-63"/>
        </w:rPr>
      </w:r>
      <w:r>
        <w:rPr/>
        <w:t>或费用和相应的负债。</w:t>
      </w:r>
    </w:p>
    <w:p>
      <w:pPr>
        <w:pStyle w:val="BodyText"/>
        <w:spacing w:line="300" w:lineRule="auto" w:before="19"/>
        <w:ind w:left="532" w:right="0"/>
        <w:jc w:val="left"/>
      </w:pPr>
      <w:r>
        <w:rPr>
          <w:rFonts w:ascii="Times New Roman" w:hAnsi="Times New Roman" w:cs="Times New Roman" w:eastAsia="Times New Roman" w:hint="default"/>
        </w:rPr>
        <w:t>(3)</w:t>
      </w:r>
      <w:r>
        <w:rPr/>
        <w:t>修改、终止股份支付计划</w:t>
      </w:r>
      <w:r>
        <w:rPr>
          <w:w w:val="99"/>
        </w:rPr>
        <w:t> </w:t>
      </w:r>
      <w:r>
        <w:rPr/>
        <w:t>如果修改增加了所授予的权益工具的公允价值，公司按照权益工具公允价值的增加相应地确认取得服务的增加；如果</w:t>
      </w:r>
    </w:p>
    <w:p>
      <w:pPr>
        <w:pStyle w:val="BodyText"/>
        <w:spacing w:line="316" w:lineRule="auto" w:before="31"/>
        <w:ind w:right="0"/>
        <w:jc w:val="left"/>
      </w:pPr>
      <w:r>
        <w:rPr>
          <w:spacing w:val="-2"/>
        </w:rPr>
        <w:t>修改增加了所授予的权益工具的数量，公司将增加的权益工具的公允价值相应地确认为取得服务的增加；如果公司按照有利</w:t>
      </w:r>
      <w:r>
        <w:rPr>
          <w:spacing w:val="-64"/>
        </w:rPr>
        <w:t> </w:t>
      </w:r>
      <w:r>
        <w:rPr>
          <w:spacing w:val="-64"/>
        </w:rPr>
      </w:r>
      <w:r>
        <w:rPr/>
        <w:t>于职工的方式修改可行权条件，公司在处理可行权条件时，考虑修改后的可行权条件。</w:t>
      </w:r>
    </w:p>
    <w:p>
      <w:pPr>
        <w:pStyle w:val="BodyText"/>
        <w:spacing w:line="316" w:lineRule="auto" w:before="19"/>
        <w:ind w:right="1026" w:firstLine="420"/>
        <w:jc w:val="left"/>
      </w:pPr>
      <w:r>
        <w:rPr>
          <w:spacing w:val="-1"/>
        </w:rPr>
        <w:t>如果修改减少了授予的权益工具的公允价值，公司继续以权益工具在授予日的公允价值为基础，确认取得服务的金额，</w:t>
      </w:r>
      <w:r>
        <w:rPr/>
        <w:t> </w:t>
      </w:r>
      <w:r>
        <w:rPr>
          <w:spacing w:val="-2"/>
        </w:rPr>
        <w:t>而不考虑权益工具公允价值的减少；如果修改减少了授予的权益工具的数量，公司将减少部分作为已授予的权益工具的取消</w:t>
      </w:r>
      <w:r>
        <w:rPr>
          <w:spacing w:val="-64"/>
        </w:rPr>
        <w:t> </w:t>
      </w:r>
      <w:r>
        <w:rPr>
          <w:spacing w:val="-64"/>
        </w:rPr>
      </w:r>
      <w:r>
        <w:rPr/>
        <w:t>来进行处理；如果以不利于职工的方式修改了可行权条件，在处理可行权条件时，不考虑修改后的可行权条件。</w:t>
      </w:r>
    </w:p>
    <w:p>
      <w:pPr>
        <w:pStyle w:val="BodyText"/>
        <w:spacing w:line="316" w:lineRule="auto" w:before="19"/>
        <w:ind w:right="1130" w:firstLine="420"/>
        <w:jc w:val="left"/>
      </w:pPr>
      <w:r>
        <w:rPr>
          <w:spacing w:val="-3"/>
        </w:rPr>
        <w:t>如果公司在等待期内取消了所授予的权益工具或结算了所授予的权益工具（因未满足可行权条件而被取消的除外），则</w:t>
      </w:r>
      <w:r>
        <w:rPr/>
        <w:t> 将取消或结算作为加速可行权处理，立即确认原本在剩余等待期内确认的金额。</w:t>
      </w:r>
    </w:p>
    <w:p>
      <w:pPr>
        <w:spacing w:line="240" w:lineRule="auto" w:before="6"/>
        <w:rPr>
          <w:rFonts w:ascii="宋体" w:hAnsi="宋体" w:cs="宋体" w:eastAsia="宋体" w:hint="default"/>
          <w:sz w:val="22"/>
          <w:szCs w:val="22"/>
        </w:rPr>
      </w:pPr>
    </w:p>
    <w:p>
      <w:pPr>
        <w:pStyle w:val="Heading3"/>
        <w:spacing w:line="240" w:lineRule="auto"/>
        <w:ind w:right="0"/>
        <w:jc w:val="both"/>
        <w:rPr>
          <w:b w:val="0"/>
          <w:bCs w:val="0"/>
        </w:rPr>
      </w:pPr>
      <w:bookmarkStart w:name="22、收入" w:id="214"/>
      <w:bookmarkEnd w:id="214"/>
      <w:r>
        <w:rPr>
          <w:b w:val="0"/>
          <w:bCs w:val="0"/>
        </w:rPr>
      </w:r>
      <w:r>
        <w:rPr>
          <w:rFonts w:ascii="Times New Roman" w:hAnsi="Times New Roman" w:cs="Times New Roman" w:eastAsia="Times New Roman" w:hint="default"/>
        </w:rPr>
        <w:t>22</w:t>
      </w:r>
      <w:r>
        <w:rPr/>
        <w:t>、收入</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both"/>
      </w:pPr>
      <w:r>
        <w:rPr/>
        <w:t>公司是否需要遵守特殊行业的披露要求</w:t>
      </w:r>
    </w:p>
    <w:p>
      <w:pPr>
        <w:spacing w:after="0" w:line="240" w:lineRule="auto"/>
        <w:jc w:val="both"/>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57" w:lineRule="auto" w:before="44"/>
        <w:ind w:right="8954"/>
        <w:jc w:val="left"/>
      </w:pPr>
      <w:r>
        <w:rPr/>
        <w:t>是 软件与信息技术服务业</w:t>
      </w:r>
    </w:p>
    <w:p>
      <w:pPr>
        <w:pStyle w:val="BodyText"/>
        <w:spacing w:line="240" w:lineRule="auto" w:before="29"/>
        <w:ind w:right="0"/>
        <w:jc w:val="left"/>
      </w:pPr>
      <w:r>
        <w:rPr/>
        <w:t>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号——上市公司从事软件与信息技术服务业务》的披露要求</w:t>
      </w:r>
    </w:p>
    <w:p>
      <w:pPr>
        <w:pStyle w:val="BodyText"/>
        <w:spacing w:line="300" w:lineRule="auto" w:before="103"/>
        <w:ind w:left="532" w:right="9119"/>
        <w:jc w:val="left"/>
      </w:pPr>
      <w:r>
        <w:rPr>
          <w:rFonts w:ascii="Times New Roman" w:hAnsi="Times New Roman" w:cs="Times New Roman" w:eastAsia="Times New Roman" w:hint="default"/>
        </w:rPr>
        <w:t>1.</w:t>
      </w:r>
      <w:r>
        <w:rPr/>
        <w:t>收入确认原则 </w:t>
      </w:r>
      <w:r>
        <w:rPr>
          <w:rFonts w:ascii="Times New Roman" w:hAnsi="Times New Roman" w:cs="Times New Roman" w:eastAsia="Times New Roman" w:hint="default"/>
        </w:rPr>
        <w:t>(1)</w:t>
      </w:r>
      <w:r>
        <w:rPr/>
        <w:t>销售商品</w:t>
      </w:r>
    </w:p>
    <w:p>
      <w:pPr>
        <w:pStyle w:val="BodyText"/>
        <w:spacing w:line="300" w:lineRule="auto" w:before="13"/>
        <w:ind w:right="1129" w:firstLine="420"/>
        <w:jc w:val="both"/>
      </w:pPr>
      <w:r>
        <w:rPr>
          <w:spacing w:val="-2"/>
        </w:rPr>
        <w:t>销售商品收入在同时满足下列条件时予以确认：</w:t>
      </w:r>
      <w:r>
        <w:rPr>
          <w:rFonts w:ascii="Times New Roman" w:hAnsi="Times New Roman" w:cs="Times New Roman" w:eastAsia="Times New Roman" w:hint="default"/>
          <w:spacing w:val="-2"/>
        </w:rPr>
        <w:t>1)</w:t>
      </w:r>
      <w:r>
        <w:rPr>
          <w:spacing w:val="-2"/>
        </w:rPr>
        <w:t>将商品所有权上的主要风险和报酬转移给购货方；</w:t>
      </w:r>
      <w:r>
        <w:rPr>
          <w:rFonts w:ascii="Times New Roman" w:hAnsi="Times New Roman" w:cs="Times New Roman" w:eastAsia="Times New Roman" w:hint="default"/>
          <w:spacing w:val="-2"/>
        </w:rPr>
        <w:t>2)</w:t>
      </w:r>
      <w:r>
        <w:rPr>
          <w:spacing w:val="-2"/>
        </w:rPr>
        <w:t>公司不再保留通</w:t>
      </w:r>
      <w:r>
        <w:rPr/>
        <w:t> </w:t>
      </w:r>
      <w:r>
        <w:rPr>
          <w:spacing w:val="-1"/>
        </w:rPr>
        <w:t>常与所有权相联系的继续管理权，也不再对已售出的商品实施有效控制；</w:t>
      </w:r>
      <w:r>
        <w:rPr>
          <w:rFonts w:ascii="Times New Roman" w:hAnsi="Times New Roman" w:cs="Times New Roman" w:eastAsia="Times New Roman" w:hint="default"/>
          <w:spacing w:val="-1"/>
        </w:rPr>
        <w:t>3)</w:t>
      </w:r>
      <w:r>
        <w:rPr>
          <w:spacing w:val="-1"/>
        </w:rPr>
        <w:t>收入的金额能够可靠地计量；</w:t>
      </w:r>
      <w:r>
        <w:rPr>
          <w:rFonts w:ascii="Times New Roman" w:hAnsi="Times New Roman" w:cs="Times New Roman" w:eastAsia="Times New Roman" w:hint="default"/>
          <w:spacing w:val="-1"/>
        </w:rPr>
        <w:t>4)</w:t>
      </w:r>
      <w:r>
        <w:rPr>
          <w:spacing w:val="-1"/>
        </w:rPr>
        <w:t>相关的经济利益</w:t>
      </w:r>
      <w:r>
        <w:rPr>
          <w:spacing w:val="-54"/>
        </w:rPr>
        <w:t> </w:t>
      </w:r>
      <w:r>
        <w:rPr/>
        <w:t>很可能流入；</w:t>
      </w:r>
      <w:r>
        <w:rPr>
          <w:rFonts w:ascii="Times New Roman" w:hAnsi="Times New Roman" w:cs="Times New Roman" w:eastAsia="Times New Roman" w:hint="default"/>
        </w:rPr>
        <w:t>5)</w:t>
      </w:r>
      <w:r>
        <w:rPr/>
        <w:t>相关的已发生或将发生的成本能够可靠地计量。</w:t>
      </w:r>
    </w:p>
    <w:p>
      <w:pPr>
        <w:pStyle w:val="BodyText"/>
        <w:spacing w:line="300" w:lineRule="auto" w:before="13"/>
        <w:ind w:left="532" w:right="1120"/>
        <w:jc w:val="left"/>
      </w:pPr>
      <w:r>
        <w:rPr>
          <w:rFonts w:ascii="Times New Roman" w:hAnsi="Times New Roman" w:cs="Times New Roman" w:eastAsia="Times New Roman" w:hint="default"/>
        </w:rPr>
        <w:t>(2)</w:t>
      </w:r>
      <w:r>
        <w:rPr/>
        <w:t>提供劳务</w:t>
      </w:r>
      <w:r>
        <w:rPr>
          <w:w w:val="99"/>
        </w:rPr>
        <w:t> </w:t>
      </w:r>
      <w:r>
        <w:rPr/>
        <w:t>提供劳务交易的结果在资产负债表日能够可靠估计的（同时满足收入的金额能够可靠地计量、相关经济利益很可能流</w:t>
      </w:r>
    </w:p>
    <w:p>
      <w:pPr>
        <w:pStyle w:val="BodyText"/>
        <w:spacing w:line="316" w:lineRule="auto" w:before="31"/>
        <w:ind w:right="1130"/>
        <w:jc w:val="both"/>
      </w:pPr>
      <w:r>
        <w:rPr>
          <w:spacing w:val="-2"/>
        </w:rPr>
        <w:t>入、交易的完工进度能够可靠地确定、交易中已发生和将发生的成本能够可靠地计量），采用完工百分比法确认提供劳务的</w:t>
      </w:r>
      <w:r>
        <w:rPr>
          <w:spacing w:val="-67"/>
        </w:rPr>
        <w:t> </w:t>
      </w:r>
      <w:r>
        <w:rPr>
          <w:spacing w:val="-67"/>
        </w:rPr>
      </w:r>
      <w:r>
        <w:rPr>
          <w:spacing w:val="-2"/>
        </w:rPr>
        <w:t>收入，并按已经提供劳务占应提供劳务总量的比例确定提供劳务交易的完工进度。提供劳务交易的结果在资产负债表日不能</w:t>
      </w:r>
      <w:r>
        <w:rPr>
          <w:spacing w:val="-64"/>
        </w:rPr>
        <w:t> </w:t>
      </w:r>
      <w:r>
        <w:rPr>
          <w:spacing w:val="-64"/>
        </w:rPr>
      </w:r>
      <w:r>
        <w:rPr>
          <w:spacing w:val="-2"/>
        </w:rPr>
        <w:t>够可靠估计的，若已经发生的劳务成本预计能够得到补偿，按已经发生的劳务成本金额确认提供劳务收入，并按相同金额结</w:t>
      </w:r>
      <w:r>
        <w:rPr>
          <w:spacing w:val="-63"/>
        </w:rPr>
        <w:t> </w:t>
      </w:r>
      <w:r>
        <w:rPr>
          <w:spacing w:val="-63"/>
        </w:rPr>
      </w:r>
      <w:r>
        <w:rPr/>
        <w:t>转劳务成本；若已经发生的劳务成本预计不能够得到补偿，将已经发生的劳务成本计入当期损益，不确认劳务收入。</w:t>
      </w:r>
    </w:p>
    <w:p>
      <w:pPr>
        <w:pStyle w:val="BodyText"/>
        <w:spacing w:line="300" w:lineRule="auto" w:before="19"/>
        <w:ind w:left="532" w:right="0"/>
        <w:jc w:val="left"/>
      </w:pPr>
      <w:r>
        <w:rPr>
          <w:rFonts w:ascii="Times New Roman" w:hAnsi="Times New Roman" w:cs="Times New Roman" w:eastAsia="Times New Roman" w:hint="default"/>
        </w:rPr>
        <w:t>(3)</w:t>
      </w:r>
      <w:r>
        <w:rPr/>
        <w:t>让渡资产使用权</w:t>
      </w:r>
      <w:r>
        <w:rPr>
          <w:w w:val="99"/>
        </w:rPr>
        <w:t> </w:t>
      </w:r>
      <w:r>
        <w:rPr/>
        <w:t>让渡资产使用权在同时满足相关的经济利益很可能流入、收入金额能够可靠计量时，确认让渡资产使用权的收入。利</w:t>
      </w:r>
    </w:p>
    <w:p>
      <w:pPr>
        <w:pStyle w:val="BodyText"/>
        <w:spacing w:line="316" w:lineRule="auto" w:before="31"/>
        <w:ind w:right="1120"/>
        <w:jc w:val="left"/>
      </w:pPr>
      <w:r>
        <w:rPr>
          <w:spacing w:val="-2"/>
        </w:rPr>
        <w:t>息收入按照他人使用本公司货币资金的时间和实际利率计算确定；使用费收入按有关合同或协议约定的收费时间和方法计算</w:t>
      </w:r>
      <w:r>
        <w:rPr>
          <w:spacing w:val="-64"/>
        </w:rPr>
        <w:t> </w:t>
      </w:r>
      <w:r>
        <w:rPr>
          <w:spacing w:val="-64"/>
        </w:rPr>
      </w:r>
      <w:r>
        <w:rPr/>
        <w:t>确定。</w:t>
      </w:r>
    </w:p>
    <w:p>
      <w:pPr>
        <w:pStyle w:val="BodyText"/>
        <w:spacing w:line="309" w:lineRule="auto" w:before="19"/>
        <w:ind w:left="532" w:right="6374"/>
        <w:jc w:val="left"/>
      </w:pPr>
      <w:r>
        <w:rPr>
          <w:rFonts w:ascii="Times New Roman" w:hAnsi="Times New Roman" w:cs="Times New Roman" w:eastAsia="Times New Roman" w:hint="default"/>
        </w:rPr>
        <w:t>2.</w:t>
      </w:r>
      <w:r>
        <w:rPr/>
        <w:t>收入确认的具体方法 公司主要产品为软件销售、系统集成和技术服务。 </w:t>
      </w:r>
      <w:r>
        <w:rPr>
          <w:rFonts w:ascii="Times New Roman" w:hAnsi="Times New Roman" w:cs="Times New Roman" w:eastAsia="Times New Roman" w:hint="default"/>
        </w:rPr>
        <w:t>(1)</w:t>
      </w:r>
      <w:r>
        <w:rPr/>
        <w:t>软件销售业务</w:t>
      </w:r>
    </w:p>
    <w:p>
      <w:pPr>
        <w:pStyle w:val="BodyText"/>
        <w:spacing w:line="316" w:lineRule="auto" w:before="5"/>
        <w:ind w:right="1041" w:firstLine="420"/>
        <w:jc w:val="both"/>
      </w:pPr>
      <w:r>
        <w:rPr>
          <w:spacing w:val="-1"/>
        </w:rPr>
        <w:t>软件销售业务主要系软件开发及销售。软件销售业务在同时满足收入的金额能够可靠计量、相关经济利益很可能流入、</w:t>
      </w:r>
      <w:r>
        <w:rPr/>
        <w:t> 交易的完工进度能够可靠确定、交易中已发生和将发生的成本能够可靠计量的前提下，采用完工百分比法确认收入。</w:t>
      </w:r>
    </w:p>
    <w:p>
      <w:pPr>
        <w:pStyle w:val="BodyText"/>
        <w:spacing w:line="300" w:lineRule="auto" w:before="19"/>
        <w:ind w:left="532" w:right="1120"/>
        <w:jc w:val="left"/>
      </w:pPr>
      <w:r>
        <w:rPr>
          <w:rFonts w:ascii="Times New Roman" w:hAnsi="Times New Roman" w:cs="Times New Roman" w:eastAsia="Times New Roman" w:hint="default"/>
        </w:rPr>
        <w:t>(2)</w:t>
      </w:r>
      <w:r>
        <w:rPr/>
        <w:t>系统集成</w:t>
      </w:r>
      <w:r>
        <w:rPr>
          <w:w w:val="99"/>
        </w:rPr>
        <w:t> </w:t>
      </w:r>
      <w:r>
        <w:rPr/>
        <w:t>系统集成包括计算机信息设备系统集成业务和智能化网络布线工程集成业务。计算机信息设备系统集成业务在同时满</w:t>
      </w:r>
    </w:p>
    <w:p>
      <w:pPr>
        <w:pStyle w:val="BodyText"/>
        <w:spacing w:line="316" w:lineRule="auto" w:before="31"/>
        <w:ind w:right="0"/>
        <w:jc w:val="left"/>
      </w:pPr>
      <w:r>
        <w:rPr>
          <w:spacing w:val="-2"/>
        </w:rPr>
        <w:t>足商品所有权上的主要风险和报酬转移给购货方、公司不再保留通常与所有权相联系的继续管理权，也不再对已售出的商品</w:t>
      </w:r>
      <w:r>
        <w:rPr>
          <w:spacing w:val="-64"/>
        </w:rPr>
        <w:t> </w:t>
      </w:r>
      <w:r>
        <w:rPr>
          <w:spacing w:val="-64"/>
        </w:rPr>
      </w:r>
      <w:r>
        <w:rPr>
          <w:spacing w:val="-4"/>
        </w:rPr>
        <w:t>实施有效控制、收入的金额能够可靠地计量、相关的经济利益很可能流入、相关的已发生或将发生的成本能够可靠地计量时，</w:t>
      </w:r>
      <w:r>
        <w:rPr>
          <w:spacing w:val="-40"/>
        </w:rPr>
        <w:t> </w:t>
      </w:r>
      <w:r>
        <w:rPr>
          <w:spacing w:val="-40"/>
        </w:rPr>
      </w:r>
      <w:r>
        <w:rPr/>
        <w:t>于整个项目最终验收完成时确认收入。</w:t>
      </w:r>
    </w:p>
    <w:p>
      <w:pPr>
        <w:pStyle w:val="BodyText"/>
        <w:spacing w:line="316" w:lineRule="auto" w:before="19"/>
        <w:ind w:right="1132" w:firstLine="420"/>
        <w:jc w:val="both"/>
      </w:pPr>
      <w:r>
        <w:rPr/>
        <w:t>智能化网络布线工程集成业务在同时满足收入金额能够可靠计量、相关经济利益很可能流入、交易的完工进度能够可 靠确定、交易中已发生和将发生的成本能够可靠计量的前提下，采用完工百分比法确认收入。</w:t>
      </w:r>
    </w:p>
    <w:p>
      <w:pPr>
        <w:pStyle w:val="BodyText"/>
        <w:spacing w:line="300" w:lineRule="auto" w:before="19"/>
        <w:ind w:left="532" w:right="1120"/>
        <w:jc w:val="left"/>
      </w:pPr>
      <w:r>
        <w:rPr>
          <w:rFonts w:ascii="Times New Roman" w:hAnsi="Times New Roman" w:cs="Times New Roman" w:eastAsia="Times New Roman" w:hint="default"/>
        </w:rPr>
        <w:t>(3)</w:t>
      </w:r>
      <w:r>
        <w:rPr/>
        <w:t>技术服务</w:t>
      </w:r>
      <w:r>
        <w:rPr>
          <w:w w:val="99"/>
        </w:rPr>
        <w:t> </w:t>
      </w:r>
      <w:r>
        <w:rPr/>
        <w:t>技术服务包括软件开发服务和软件维护服务。服务在同时满足相关劳务已经提供、收入的金额能够可靠计量、相关经</w:t>
      </w:r>
    </w:p>
    <w:p>
      <w:pPr>
        <w:pStyle w:val="BodyText"/>
        <w:spacing w:line="316" w:lineRule="auto" w:before="31"/>
        <w:ind w:right="0"/>
        <w:jc w:val="left"/>
      </w:pPr>
      <w:r>
        <w:rPr>
          <w:spacing w:val="-2"/>
        </w:rPr>
        <w:t>济利益很可能流入、交易的完工进度能够可靠确定、交易中已发生和将发生的成本能够可靠计量的前提下，采用完工百分比</w:t>
      </w:r>
      <w:r>
        <w:rPr>
          <w:spacing w:val="-63"/>
        </w:rPr>
        <w:t> </w:t>
      </w:r>
      <w:r>
        <w:rPr>
          <w:spacing w:val="-63"/>
        </w:rPr>
      </w:r>
      <w:r>
        <w:rPr/>
        <w:t>法</w:t>
      </w:r>
      <w:r>
        <w:rPr>
          <w:rFonts w:ascii="Times New Roman" w:hAnsi="Times New Roman" w:cs="Times New Roman" w:eastAsia="Times New Roman" w:hint="default"/>
        </w:rPr>
        <w:t>/</w:t>
      </w:r>
      <w:r>
        <w:rPr/>
        <w:t>在服务期限内平均摊销确认收入。</w:t>
      </w:r>
    </w:p>
    <w:p>
      <w:pPr>
        <w:spacing w:line="240" w:lineRule="auto" w:before="12"/>
        <w:rPr>
          <w:rFonts w:ascii="宋体" w:hAnsi="宋体" w:cs="宋体" w:eastAsia="宋体" w:hint="default"/>
          <w:sz w:val="20"/>
          <w:szCs w:val="20"/>
        </w:rPr>
      </w:pPr>
    </w:p>
    <w:p>
      <w:pPr>
        <w:pStyle w:val="Heading3"/>
        <w:spacing w:line="240" w:lineRule="auto"/>
        <w:ind w:right="0"/>
        <w:jc w:val="left"/>
        <w:rPr>
          <w:b w:val="0"/>
          <w:bCs w:val="0"/>
        </w:rPr>
      </w:pPr>
      <w:bookmarkStart w:name="23、政府补助" w:id="215"/>
      <w:bookmarkEnd w:id="215"/>
      <w:r>
        <w:rPr>
          <w:b w:val="0"/>
          <w:bCs w:val="0"/>
        </w:rPr>
      </w:r>
      <w:r>
        <w:rPr>
          <w:rFonts w:ascii="Times New Roman" w:hAnsi="Times New Roman" w:cs="Times New Roman" w:eastAsia="Times New Roman" w:hint="default"/>
        </w:rPr>
        <w:t>23</w:t>
      </w:r>
      <w:r>
        <w:rPr/>
        <w:t>、政府补助</w:t>
      </w:r>
      <w:r>
        <w:rPr>
          <w:b w:val="0"/>
          <w:bCs w:val="0"/>
        </w:rPr>
      </w:r>
    </w:p>
    <w:p>
      <w:pPr>
        <w:spacing w:line="240" w:lineRule="auto" w:before="7"/>
        <w:rPr>
          <w:rFonts w:ascii="宋体" w:hAnsi="宋体" w:cs="宋体" w:eastAsia="宋体" w:hint="default"/>
          <w:b/>
          <w:bCs/>
          <w:sz w:val="26"/>
          <w:szCs w:val="26"/>
        </w:rPr>
      </w:pPr>
    </w:p>
    <w:p>
      <w:pPr>
        <w:pStyle w:val="BodyText"/>
        <w:spacing w:line="309" w:lineRule="auto"/>
        <w:ind w:right="1128" w:firstLine="420"/>
        <w:jc w:val="both"/>
      </w:pPr>
      <w:r>
        <w:rPr>
          <w:rFonts w:ascii="Times New Roman" w:hAnsi="Times New Roman" w:cs="Times New Roman" w:eastAsia="Times New Roman" w:hint="default"/>
        </w:rPr>
        <w:t>1.</w:t>
      </w:r>
      <w:r>
        <w:rPr/>
        <w:t>政府补助在同时满足下列条件时予以确认：</w:t>
      </w:r>
      <w:r>
        <w:rPr>
          <w:rFonts w:ascii="Times New Roman" w:hAnsi="Times New Roman" w:cs="Times New Roman" w:eastAsia="Times New Roman" w:hint="default"/>
        </w:rPr>
        <w:t>(1)</w:t>
      </w:r>
      <w:r>
        <w:rPr/>
        <w:t>公司能够满足政府补助所附的条件；</w:t>
      </w:r>
      <w:r>
        <w:rPr>
          <w:rFonts w:ascii="Times New Roman" w:hAnsi="Times New Roman" w:cs="Times New Roman" w:eastAsia="Times New Roman" w:hint="default"/>
        </w:rPr>
        <w:t>(2)</w:t>
      </w:r>
      <w:r>
        <w:rPr/>
        <w:t>公司能够收到政府补助。政府 </w:t>
      </w:r>
      <w:r>
        <w:rPr>
          <w:spacing w:val="-2"/>
        </w:rPr>
        <w:t>补助为货币性资产的，按照收到或应收的金额计量。政府补助为非货币性资产的，按照公允价值计量；公允价值不能可靠取</w:t>
      </w:r>
      <w:r>
        <w:rPr>
          <w:spacing w:val="-64"/>
        </w:rPr>
        <w:t> </w:t>
      </w:r>
      <w:r>
        <w:rPr>
          <w:spacing w:val="-64"/>
        </w:rPr>
      </w:r>
      <w:r>
        <w:rPr/>
        <w:t>得的，按照名义金额计量。</w:t>
      </w:r>
    </w:p>
    <w:p>
      <w:pPr>
        <w:pStyle w:val="BodyText"/>
        <w:spacing w:line="300" w:lineRule="auto" w:before="24"/>
        <w:ind w:left="532" w:right="0"/>
        <w:jc w:val="left"/>
      </w:pPr>
      <w:r>
        <w:rPr>
          <w:rFonts w:ascii="Times New Roman" w:hAnsi="Times New Roman" w:cs="Times New Roman" w:eastAsia="Times New Roman" w:hint="default"/>
        </w:rPr>
        <w:t>2.</w:t>
      </w:r>
      <w:r>
        <w:rPr/>
        <w:t>与资产相关的政府补助判断依据及会计处理方法 政府文件规定用于购建或以其他方式形成长期资产的政府补助划分为与资产相关的政府补助。政府文件不明确的，以</w:t>
      </w:r>
    </w:p>
    <w:p>
      <w:pPr>
        <w:pStyle w:val="BodyText"/>
        <w:spacing w:line="316" w:lineRule="auto" w:before="31"/>
        <w:ind w:right="0"/>
        <w:jc w:val="left"/>
      </w:pPr>
      <w:r>
        <w:rPr/>
        <w:t>取得该补助必须具备的基本条件为基础进行判断，以购建或其他方式形成长期资产为基本条件的作为与资产相关的政府补</w:t>
      </w:r>
      <w:r>
        <w:rPr>
          <w:spacing w:val="-9"/>
        </w:rPr>
        <w:t> </w:t>
      </w:r>
      <w:r>
        <w:rPr>
          <w:spacing w:val="-9"/>
        </w:rPr>
      </w:r>
      <w:r>
        <w:rPr>
          <w:spacing w:val="-2"/>
        </w:rPr>
        <w:t>助。与资产相关的政府补助，冲减相关资产的账面价值或确认为递延收益。与资产相关的政府补助确认为递延收益的，在相</w:t>
      </w:r>
    </w:p>
    <w:p>
      <w:pPr>
        <w:spacing w:after="0" w:line="316"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right="0"/>
        <w:jc w:val="left"/>
      </w:pPr>
      <w:r>
        <w:rPr>
          <w:spacing w:val="-2"/>
        </w:rPr>
        <w:t>关资产使用寿命内按照合理、系统的方法分期计入损益。按照名义金额计量的政府补助，直接计入当期损益。相关资产在使</w:t>
      </w:r>
      <w:r>
        <w:rPr>
          <w:spacing w:val="-64"/>
        </w:rPr>
        <w:t> </w:t>
      </w:r>
      <w:r>
        <w:rPr>
          <w:spacing w:val="-64"/>
        </w:rPr>
      </w:r>
      <w:r>
        <w:rPr/>
        <w:t>用寿命结束前被出售、转让、报废或发生毁损的，将尚未分配的相关递延收益余额转入资产处置当期的损益。</w:t>
      </w:r>
    </w:p>
    <w:p>
      <w:pPr>
        <w:pStyle w:val="BodyText"/>
        <w:spacing w:line="300" w:lineRule="auto" w:before="19"/>
        <w:ind w:left="532" w:right="0"/>
        <w:jc w:val="left"/>
      </w:pPr>
      <w:r>
        <w:rPr>
          <w:rFonts w:ascii="Times New Roman" w:hAnsi="Times New Roman" w:cs="Times New Roman" w:eastAsia="Times New Roman" w:hint="default"/>
        </w:rPr>
        <w:t>3.</w:t>
      </w:r>
      <w:r>
        <w:rPr/>
        <w:t>与收益相关的政府补助判断依据及会计处理方法 除与资产相关的政府补助之外的政府补助划分为与收益相关的政府补助。对于同时包含与资产相关部分和与收益相关</w:t>
      </w:r>
    </w:p>
    <w:p>
      <w:pPr>
        <w:pStyle w:val="BodyText"/>
        <w:spacing w:line="316" w:lineRule="auto" w:before="31"/>
        <w:ind w:right="1130"/>
        <w:jc w:val="both"/>
      </w:pPr>
      <w:r>
        <w:rPr>
          <w:spacing w:val="-2"/>
        </w:rPr>
        <w:t>部分的政府补助，难以区分与资产相关或与收益相关的，整体归类为与收益相关的政府补助。与收益相关的政府补助，用于</w:t>
      </w:r>
      <w:r>
        <w:rPr>
          <w:spacing w:val="-64"/>
        </w:rPr>
        <w:t> </w:t>
      </w:r>
      <w:r>
        <w:rPr>
          <w:spacing w:val="-64"/>
        </w:rPr>
      </w:r>
      <w:r>
        <w:rPr>
          <w:spacing w:val="-2"/>
        </w:rPr>
        <w:t>补偿以后期间的相关成本费用或损失的，确认为递延收益，在确认相关成本费用或损失的期间，计入当期损益或冲减相关成</w:t>
      </w:r>
      <w:r>
        <w:rPr>
          <w:spacing w:val="-63"/>
        </w:rPr>
        <w:t> </w:t>
      </w:r>
      <w:r>
        <w:rPr>
          <w:spacing w:val="-63"/>
        </w:rPr>
      </w:r>
      <w:r>
        <w:rPr/>
        <w:t>本；用于补偿已发生的相关成本费用或损失的，直接计入当期损益或冲减相关成本。</w:t>
      </w:r>
    </w:p>
    <w:p>
      <w:pPr>
        <w:pStyle w:val="BodyText"/>
        <w:spacing w:line="300" w:lineRule="auto" w:before="19"/>
        <w:ind w:right="1133" w:firstLine="420"/>
        <w:jc w:val="both"/>
      </w:pPr>
      <w:r>
        <w:rPr>
          <w:rFonts w:ascii="Times New Roman" w:hAnsi="Times New Roman" w:cs="Times New Roman" w:eastAsia="Times New Roman" w:hint="default"/>
        </w:rPr>
        <w:t>4.</w:t>
      </w:r>
      <w:r>
        <w:rPr/>
        <w:t>与公司日常经营活动相关的政府补助，按照经济业务实质，计入其他收益或冲减相关成本费用。与公司日常活动无 关的政府补助，计入营业外收支。</w:t>
      </w:r>
    </w:p>
    <w:p>
      <w:pPr>
        <w:spacing w:line="240" w:lineRule="auto" w:before="5"/>
        <w:rPr>
          <w:rFonts w:ascii="宋体" w:hAnsi="宋体" w:cs="宋体" w:eastAsia="宋体" w:hint="default"/>
          <w:sz w:val="23"/>
          <w:szCs w:val="23"/>
        </w:rPr>
      </w:pPr>
    </w:p>
    <w:p>
      <w:pPr>
        <w:pStyle w:val="Heading3"/>
        <w:spacing w:line="240" w:lineRule="auto"/>
        <w:ind w:right="0"/>
        <w:jc w:val="both"/>
        <w:rPr>
          <w:b w:val="0"/>
          <w:bCs w:val="0"/>
        </w:rPr>
      </w:pPr>
      <w:bookmarkStart w:name="24、递延所得税资产/递延所得税负债" w:id="216"/>
      <w:bookmarkEnd w:id="216"/>
      <w:r>
        <w:rPr>
          <w:b w:val="0"/>
          <w:bCs w:val="0"/>
        </w:rPr>
      </w:r>
      <w:r>
        <w:rPr>
          <w:rFonts w:ascii="Times New Roman" w:hAnsi="Times New Roman" w:cs="Times New Roman" w:eastAsia="Times New Roman" w:hint="default"/>
        </w:rPr>
        <w:t>24</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7"/>
        <w:rPr>
          <w:rFonts w:ascii="宋体" w:hAnsi="宋体" w:cs="宋体" w:eastAsia="宋体" w:hint="default"/>
          <w:b/>
          <w:bCs/>
          <w:sz w:val="26"/>
          <w:szCs w:val="26"/>
        </w:rPr>
      </w:pPr>
    </w:p>
    <w:p>
      <w:pPr>
        <w:pStyle w:val="BodyText"/>
        <w:spacing w:line="309" w:lineRule="auto"/>
        <w:ind w:right="1132" w:firstLine="420"/>
        <w:jc w:val="both"/>
      </w:pPr>
      <w:r>
        <w:rPr>
          <w:rFonts w:ascii="Times New Roman" w:hAnsi="Times New Roman" w:cs="Times New Roman" w:eastAsia="Times New Roman" w:hint="default"/>
        </w:rPr>
        <w:t>1.</w:t>
      </w:r>
      <w:r>
        <w:rPr/>
        <w:t>根据资产、负债的账面价值与其计税基础之间的差额（未作为资产和负债确认的项目按照税法规定可以确定其计税 </w:t>
      </w:r>
      <w:r>
        <w:rPr>
          <w:spacing w:val="-2"/>
        </w:rPr>
        <w:t>基础的，该计税基础与其账面数之间的差额），按照预期收回该资产或清偿该负债期间的适用税率计算确认递延所得税资产</w:t>
      </w:r>
      <w:r>
        <w:rPr>
          <w:spacing w:val="-65"/>
        </w:rPr>
        <w:t> </w:t>
      </w:r>
      <w:r>
        <w:rPr>
          <w:spacing w:val="-65"/>
        </w:rPr>
      </w:r>
      <w:r>
        <w:rPr/>
        <w:t>或递延所得税负债。</w:t>
      </w:r>
    </w:p>
    <w:p>
      <w:pPr>
        <w:pStyle w:val="BodyText"/>
        <w:spacing w:line="300" w:lineRule="auto" w:before="24"/>
        <w:ind w:right="1133" w:firstLine="420"/>
        <w:jc w:val="both"/>
      </w:pPr>
      <w:r>
        <w:rPr>
          <w:rFonts w:ascii="Times New Roman" w:hAnsi="Times New Roman" w:cs="Times New Roman" w:eastAsia="Times New Roman" w:hint="default"/>
        </w:rPr>
        <w:t>2.</w:t>
      </w:r>
      <w:r>
        <w:rPr/>
        <w:t>确认递延所得税资产以很可能取得用来抵扣可抵扣暂时性差异的应纳税所得额为限。资产负债表日，有确凿证据表 明未来期间很可能获得足够的应纳税所得额用来抵扣可抵扣暂时性差异的，确认以前会计期间未确认的递延所得税资产。</w:t>
      </w:r>
    </w:p>
    <w:p>
      <w:pPr>
        <w:pStyle w:val="BodyText"/>
        <w:spacing w:line="300" w:lineRule="auto" w:before="31"/>
        <w:ind w:right="1133" w:firstLine="420"/>
        <w:jc w:val="both"/>
      </w:pPr>
      <w:r>
        <w:rPr>
          <w:rFonts w:ascii="Times New Roman" w:hAnsi="Times New Roman" w:cs="Times New Roman" w:eastAsia="Times New Roman" w:hint="default"/>
        </w:rPr>
        <w:t>3.</w:t>
      </w:r>
      <w:r>
        <w:rPr/>
        <w:t>资产负债表日，对递延所得税资产的账面价值进行复核，如果未来期间很可能无法获得足够的应纳税所得额用以抵 扣递延所得税资产的利益，则减记递延所得税资产的账面价值。在很可能获得足够的应纳税所得额时，转回减记的金额。</w:t>
      </w:r>
    </w:p>
    <w:p>
      <w:pPr>
        <w:pStyle w:val="BodyText"/>
        <w:spacing w:line="300" w:lineRule="auto" w:before="31"/>
        <w:ind w:right="1039" w:firstLine="420"/>
        <w:jc w:val="both"/>
      </w:pPr>
      <w:r>
        <w:rPr>
          <w:rFonts w:ascii="Times New Roman" w:hAnsi="Times New Roman" w:cs="Times New Roman" w:eastAsia="Times New Roman" w:hint="default"/>
          <w:spacing w:val="-1"/>
        </w:rPr>
        <w:t>4.</w:t>
      </w:r>
      <w:r>
        <w:rPr>
          <w:spacing w:val="-1"/>
        </w:rPr>
        <w:t>公司当期所得税和递延所得税作为所得税费用或收益计入当期损益，但不包括下列情况产生的所得税：</w:t>
      </w:r>
      <w:r>
        <w:rPr>
          <w:rFonts w:ascii="Times New Roman" w:hAnsi="Times New Roman" w:cs="Times New Roman" w:eastAsia="Times New Roman" w:hint="default"/>
          <w:spacing w:val="-1"/>
        </w:rPr>
        <w:t>(1)</w:t>
      </w:r>
      <w:r>
        <w:rPr>
          <w:spacing w:val="-1"/>
        </w:rPr>
        <w:t>企业合并；</w:t>
      </w:r>
      <w:r>
        <w:rPr/>
        <w:t> </w:t>
      </w:r>
      <w:r>
        <w:rPr>
          <w:rFonts w:ascii="Times New Roman" w:hAnsi="Times New Roman" w:cs="Times New Roman" w:eastAsia="Times New Roman" w:hint="default"/>
        </w:rPr>
        <w:t>(2)</w:t>
      </w:r>
      <w:r>
        <w:rPr/>
        <w:t>直接在所有者权益中确认的交易或者事项。</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Heading3"/>
        <w:spacing w:line="240" w:lineRule="auto" w:before="131"/>
        <w:ind w:right="0"/>
        <w:jc w:val="both"/>
        <w:rPr>
          <w:b w:val="0"/>
          <w:bCs w:val="0"/>
        </w:rPr>
      </w:pPr>
      <w:bookmarkStart w:name="25、租赁" w:id="217"/>
      <w:bookmarkEnd w:id="217"/>
      <w:r>
        <w:rPr>
          <w:b w:val="0"/>
          <w:bCs w:val="0"/>
        </w:rPr>
      </w:r>
      <w:r>
        <w:rPr>
          <w:rFonts w:ascii="Times New Roman" w:hAnsi="Times New Roman" w:cs="Times New Roman" w:eastAsia="Times New Roman" w:hint="default"/>
        </w:rPr>
        <w:t>25</w:t>
      </w:r>
      <w:r>
        <w:rPr/>
        <w:t>、租赁</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both"/>
        <w:rPr>
          <w:b w:val="0"/>
          <w:bCs w:val="0"/>
        </w:rPr>
      </w:pPr>
      <w:bookmarkStart w:name="（1）经营租赁的会计处理方法" w:id="218"/>
      <w:bookmarkEnd w:id="218"/>
      <w:r>
        <w:rPr>
          <w:b w:val="0"/>
          <w:bCs w:val="0"/>
        </w:rPr>
      </w:r>
      <w:r>
        <w:rPr/>
        <w:t>（</w:t>
      </w:r>
      <w:r>
        <w:rPr>
          <w:rFonts w:ascii="Times New Roman" w:hAnsi="Times New Roman" w:cs="Times New Roman" w:eastAsia="Times New Roman" w:hint="default"/>
        </w:rPr>
        <w:t>1</w:t>
      </w:r>
      <w:r>
        <w:rPr/>
        <w:t>）经营租赁的会计处理方法</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1041" w:firstLine="420"/>
        <w:jc w:val="both"/>
      </w:pPr>
      <w:r>
        <w:rPr>
          <w:spacing w:val="-1"/>
        </w:rPr>
        <w:t>公司为承租人时，在租赁期内各个期间按照直线法将租金计入相关资产成本或确认为当期损益，发生的初始直接费用，</w:t>
      </w:r>
      <w:r>
        <w:rPr/>
        <w:t> 直接计入当期损益。或有租金在实际发生时计入当期损益。</w:t>
      </w:r>
    </w:p>
    <w:p>
      <w:pPr>
        <w:pStyle w:val="BodyText"/>
        <w:spacing w:line="316" w:lineRule="auto" w:before="19"/>
        <w:ind w:right="1132" w:firstLine="420"/>
        <w:jc w:val="both"/>
      </w:pPr>
      <w:r>
        <w:rPr/>
        <w:t>公司为出租人时，在租赁期内各个期间按照直线法将租金确认为当期损益，发生的初始直接费用，除金额较大的予以 资本化并分期计入损益外，均直接计入当期损益。或有租金在实际发生时计入当期损益。</w:t>
      </w:r>
    </w:p>
    <w:p>
      <w:pPr>
        <w:spacing w:line="240" w:lineRule="auto" w:before="6"/>
        <w:rPr>
          <w:rFonts w:ascii="宋体" w:hAnsi="宋体" w:cs="宋体" w:eastAsia="宋体" w:hint="default"/>
          <w:sz w:val="22"/>
          <w:szCs w:val="22"/>
        </w:rPr>
      </w:pPr>
    </w:p>
    <w:p>
      <w:pPr>
        <w:pStyle w:val="Heading3"/>
        <w:spacing w:line="240" w:lineRule="auto"/>
        <w:ind w:right="0"/>
        <w:jc w:val="both"/>
        <w:rPr>
          <w:b w:val="0"/>
          <w:bCs w:val="0"/>
        </w:rPr>
      </w:pPr>
      <w:bookmarkStart w:name="（2）融资租赁的会计处理方法" w:id="219"/>
      <w:bookmarkEnd w:id="219"/>
      <w:r>
        <w:rPr>
          <w:b w:val="0"/>
          <w:bCs w:val="0"/>
        </w:rPr>
      </w:r>
      <w:r>
        <w:rPr/>
        <w:t>（</w:t>
      </w:r>
      <w:r>
        <w:rPr>
          <w:rFonts w:ascii="Times New Roman" w:hAnsi="Times New Roman" w:cs="Times New Roman" w:eastAsia="Times New Roman" w:hint="default"/>
        </w:rPr>
        <w:t>2</w:t>
      </w:r>
      <w:r>
        <w:rPr/>
        <w:t>）融资租赁的会计处理方法</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both"/>
        <w:rPr>
          <w:b w:val="0"/>
          <w:bCs w:val="0"/>
        </w:rPr>
      </w:pPr>
      <w:bookmarkStart w:name="26、重要会计政策和会计估计变更" w:id="220"/>
      <w:bookmarkEnd w:id="220"/>
      <w:r>
        <w:rPr>
          <w:b w:val="0"/>
          <w:bCs w:val="0"/>
        </w:rPr>
      </w:r>
      <w:r>
        <w:rPr>
          <w:rFonts w:ascii="Times New Roman" w:hAnsi="Times New Roman" w:cs="Times New Roman" w:eastAsia="Times New Roman" w:hint="default"/>
        </w:rPr>
        <w:t>26</w:t>
      </w:r>
      <w:r>
        <w:rPr/>
        <w:t>、重要会计政策和会计估计变更</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both"/>
        <w:rPr>
          <w:b w:val="0"/>
          <w:bCs w:val="0"/>
        </w:rPr>
      </w:pPr>
      <w:bookmarkStart w:name="（1）重要会计政策变更" w:id="221"/>
      <w:bookmarkEnd w:id="221"/>
      <w:r>
        <w:rPr>
          <w:b w:val="0"/>
          <w:bCs w:val="0"/>
        </w:rPr>
      </w:r>
      <w:r>
        <w:rPr/>
        <w:t>（</w:t>
      </w:r>
      <w:r>
        <w:rPr>
          <w:rFonts w:ascii="Times New Roman" w:hAnsi="Times New Roman" w:cs="Times New Roman" w:eastAsia="Times New Roman" w:hint="default"/>
        </w:rPr>
        <w:t>1</w:t>
      </w:r>
      <w:r>
        <w:rPr/>
        <w:t>）重要会计政策变更</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both"/>
      </w:pPr>
      <w:r>
        <w:rPr/>
        <w:t>√ 适用</w:t>
      </w:r>
      <w:r>
        <w:rPr>
          <w:spacing w:val="-1"/>
        </w:rPr>
        <w:t> </w:t>
      </w:r>
      <w:r>
        <w:rPr/>
        <w:t>□不适用</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1"/>
        <w:gridCol w:w="3189"/>
        <w:gridCol w:w="3189"/>
      </w:tblGrid>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09"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审批程序</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402"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见下述说明</w:t>
            </w:r>
          </w:p>
        </w:tc>
        <w:tc>
          <w:tcPr>
            <w:tcW w:w="3189"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00" w:lineRule="auto" w:before="9"/>
        <w:ind w:right="1130" w:firstLine="420"/>
        <w:jc w:val="both"/>
      </w:pPr>
      <w:r>
        <w:rPr>
          <w:rFonts w:ascii="Times New Roman" w:hAnsi="Times New Roman" w:cs="Times New Roman" w:eastAsia="Times New Roman" w:hint="default"/>
        </w:rPr>
        <w:t>1</w:t>
      </w:r>
      <w:r>
        <w:rPr/>
        <w:t>．本公司根据《财政部关于修订印发</w:t>
      </w:r>
      <w:r>
        <w:rPr>
          <w:rFonts w:ascii="Times New Roman" w:hAnsi="Times New Roman" w:cs="Times New Roman" w:eastAsia="Times New Roman" w:hint="default"/>
        </w:rPr>
        <w:t>2018</w:t>
      </w:r>
      <w:r>
        <w:rPr/>
        <w:t>年度一般企业财务报表格式的通知》</w:t>
      </w:r>
      <w:r>
        <w:rPr>
          <w:rFonts w:ascii="Times New Roman" w:hAnsi="Times New Roman" w:cs="Times New Roman" w:eastAsia="Times New Roman" w:hint="default"/>
        </w:rPr>
        <w:t>(</w:t>
      </w:r>
      <w:r>
        <w:rPr/>
        <w:t>财会〔</w:t>
      </w:r>
      <w:r>
        <w:rPr>
          <w:rFonts w:ascii="Times New Roman" w:hAnsi="Times New Roman" w:cs="Times New Roman" w:eastAsia="Times New Roman" w:hint="default"/>
        </w:rPr>
        <w:t>2018</w:t>
      </w:r>
      <w:r>
        <w:rPr/>
        <w:t>〕</w:t>
      </w:r>
      <w:r>
        <w:rPr>
          <w:rFonts w:ascii="Times New Roman" w:hAnsi="Times New Roman" w:cs="Times New Roman" w:eastAsia="Times New Roman" w:hint="default"/>
        </w:rPr>
        <w:t>15</w:t>
      </w:r>
      <w:r>
        <w:rPr/>
        <w:t>号</w:t>
      </w:r>
      <w:r>
        <w:rPr>
          <w:rFonts w:ascii="Times New Roman" w:hAnsi="Times New Roman" w:cs="Times New Roman" w:eastAsia="Times New Roman" w:hint="default"/>
        </w:rPr>
        <w:t>)</w:t>
      </w:r>
      <w:r>
        <w:rPr/>
        <w:t>及其解读和企业会 </w:t>
      </w:r>
      <w:r>
        <w:rPr>
          <w:spacing w:val="-2"/>
        </w:rPr>
        <w:t>计准则的要求编制</w:t>
      </w:r>
      <w:r>
        <w:rPr>
          <w:rFonts w:ascii="Times New Roman" w:hAnsi="Times New Roman" w:cs="Times New Roman" w:eastAsia="Times New Roman" w:hint="default"/>
          <w:spacing w:val="-2"/>
        </w:rPr>
        <w:t>2018</w:t>
      </w:r>
      <w:r>
        <w:rPr>
          <w:spacing w:val="-2"/>
        </w:rPr>
        <w:t>年度财务报表，此项会计政策变更采用追溯调整法。</w:t>
      </w:r>
      <w:r>
        <w:rPr>
          <w:rFonts w:ascii="Times New Roman" w:hAnsi="Times New Roman" w:cs="Times New Roman" w:eastAsia="Times New Roman" w:hint="default"/>
          <w:spacing w:val="-2"/>
        </w:rPr>
        <w:t>2017</w:t>
      </w:r>
      <w:r>
        <w:rPr>
          <w:spacing w:val="-2"/>
        </w:rPr>
        <w:t>年度财务报表受重要影响的报表项目和金额</w:t>
      </w:r>
      <w:r>
        <w:rPr>
          <w:spacing w:val="-60"/>
        </w:rPr>
        <w:t> </w:t>
      </w:r>
      <w:r>
        <w:rPr/>
        <w:t>如下：</w:t>
      </w:r>
    </w:p>
    <w:p>
      <w:pPr>
        <w:spacing w:after="0" w:line="300" w:lineRule="auto"/>
        <w:jc w:val="both"/>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775" w:type="dxa"/>
        <w:tblLayout w:type="fixed"/>
        <w:tblCellMar>
          <w:top w:w="0" w:type="dxa"/>
          <w:left w:w="0" w:type="dxa"/>
          <w:bottom w:w="0" w:type="dxa"/>
          <w:right w:w="0" w:type="dxa"/>
        </w:tblCellMar>
        <w:tblLook w:val="01E0"/>
      </w:tblPr>
      <w:tblGrid>
        <w:gridCol w:w="2211"/>
        <w:gridCol w:w="2040"/>
        <w:gridCol w:w="2103"/>
        <w:gridCol w:w="1952"/>
      </w:tblGrid>
      <w:tr>
        <w:trPr>
          <w:trHeight w:val="342" w:hRule="exact"/>
        </w:trPr>
        <w:tc>
          <w:tcPr>
            <w:tcW w:w="4251" w:type="dxa"/>
            <w:gridSpan w:val="2"/>
            <w:tcBorders>
              <w:top w:val="single" w:sz="4" w:space="0" w:color="000000"/>
              <w:left w:val="single" w:sz="4" w:space="0" w:color="000000"/>
              <w:bottom w:val="single" w:sz="4" w:space="0" w:color="000000"/>
              <w:right w:val="single" w:sz="4" w:space="0" w:color="000000"/>
            </w:tcBorders>
            <w:shd w:val="clear" w:color="auto" w:fill="BDBDBD"/>
          </w:tcPr>
          <w:p>
            <w:pPr>
              <w:pStyle w:val="TableParagraph"/>
              <w:spacing w:line="240" w:lineRule="auto" w:before="21"/>
              <w:ind w:left="1219" w:right="0"/>
              <w:jc w:val="left"/>
              <w:rPr>
                <w:rFonts w:ascii="宋体" w:hAnsi="宋体" w:cs="宋体" w:eastAsia="宋体" w:hint="default"/>
                <w:sz w:val="18"/>
                <w:szCs w:val="18"/>
              </w:rPr>
            </w:pPr>
            <w:r>
              <w:rPr>
                <w:rFonts w:ascii="宋体" w:hAnsi="宋体" w:cs="宋体" w:eastAsia="宋体" w:hint="default"/>
                <w:sz w:val="18"/>
                <w:szCs w:val="18"/>
              </w:rPr>
              <w:t>原列报报表项目及金额</w:t>
            </w:r>
          </w:p>
        </w:tc>
        <w:tc>
          <w:tcPr>
            <w:tcW w:w="4055" w:type="dxa"/>
            <w:gridSpan w:val="2"/>
            <w:tcBorders>
              <w:top w:val="single" w:sz="4" w:space="0" w:color="000000"/>
              <w:left w:val="single" w:sz="4" w:space="0" w:color="000000"/>
              <w:bottom w:val="single" w:sz="4" w:space="0" w:color="000000"/>
              <w:right w:val="single" w:sz="4" w:space="0" w:color="000000"/>
            </w:tcBorders>
            <w:shd w:val="clear" w:color="auto" w:fill="BDBDBD"/>
          </w:tcPr>
          <w:p>
            <w:pPr>
              <w:pStyle w:val="TableParagraph"/>
              <w:spacing w:line="240" w:lineRule="auto" w:before="21"/>
              <w:ind w:left="1122" w:right="0"/>
              <w:jc w:val="left"/>
              <w:rPr>
                <w:rFonts w:ascii="宋体" w:hAnsi="宋体" w:cs="宋体" w:eastAsia="宋体" w:hint="default"/>
                <w:sz w:val="18"/>
                <w:szCs w:val="18"/>
              </w:rPr>
            </w:pPr>
            <w:r>
              <w:rPr>
                <w:rFonts w:ascii="宋体" w:hAnsi="宋体" w:cs="宋体" w:eastAsia="宋体" w:hint="default"/>
                <w:sz w:val="18"/>
                <w:szCs w:val="18"/>
              </w:rPr>
              <w:t>新列报报表项目及金额</w:t>
            </w:r>
          </w:p>
        </w:tc>
      </w:tr>
      <w:tr>
        <w:trPr>
          <w:trHeight w:val="342" w:hRule="exact"/>
        </w:trPr>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84"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040" w:type="dxa"/>
            <w:tcBorders>
              <w:top w:val="single" w:sz="4" w:space="0" w:color="000000"/>
              <w:left w:val="single" w:sz="4" w:space="0" w:color="000000"/>
              <w:bottom w:val="single" w:sz="4" w:space="0" w:color="000000"/>
              <w:right w:val="single" w:sz="4" w:space="0" w:color="000000"/>
            </w:tcBorders>
          </w:tcPr>
          <w:p>
            <w:pPr/>
          </w:p>
        </w:tc>
        <w:tc>
          <w:tcPr>
            <w:tcW w:w="2103" w:type="dxa"/>
            <w:vMerge w:val="restart"/>
            <w:tcBorders>
              <w:top w:val="single" w:sz="4" w:space="0" w:color="000000"/>
              <w:left w:val="single" w:sz="4" w:space="0" w:color="000000"/>
              <w:right w:val="single" w:sz="4" w:space="0" w:color="000000"/>
            </w:tcBorders>
          </w:tcPr>
          <w:p>
            <w:pPr>
              <w:pStyle w:val="TableParagraph"/>
              <w:spacing w:line="240" w:lineRule="auto" w:before="20"/>
              <w:ind w:left="184"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1952" w:type="dxa"/>
            <w:vMerge w:val="restart"/>
            <w:tcBorders>
              <w:top w:val="single" w:sz="4" w:space="0" w:color="000000"/>
              <w:left w:val="single" w:sz="4" w:space="0" w:color="000000"/>
              <w:right w:val="single" w:sz="4" w:space="0" w:color="000000"/>
            </w:tcBorders>
          </w:tcPr>
          <w:p>
            <w:pPr>
              <w:pStyle w:val="TableParagraph"/>
              <w:spacing w:line="240" w:lineRule="auto" w:before="62"/>
              <w:ind w:left="812" w:right="0"/>
              <w:jc w:val="left"/>
              <w:rPr>
                <w:rFonts w:ascii="Times New Roman" w:hAnsi="Times New Roman" w:cs="Times New Roman" w:eastAsia="Times New Roman" w:hint="default"/>
                <w:sz w:val="18"/>
                <w:szCs w:val="18"/>
              </w:rPr>
            </w:pPr>
            <w:r>
              <w:rPr>
                <w:rFonts w:ascii="Times New Roman"/>
                <w:sz w:val="18"/>
              </w:rPr>
              <w:t>447,674,875.18</w:t>
            </w:r>
          </w:p>
        </w:tc>
      </w:tr>
      <w:tr>
        <w:trPr>
          <w:trHeight w:val="342" w:hRule="exact"/>
        </w:trPr>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8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
              <w:jc w:val="right"/>
              <w:rPr>
                <w:rFonts w:ascii="Times New Roman" w:hAnsi="Times New Roman" w:cs="Times New Roman" w:eastAsia="Times New Roman" w:hint="default"/>
                <w:sz w:val="18"/>
                <w:szCs w:val="18"/>
              </w:rPr>
            </w:pPr>
            <w:r>
              <w:rPr>
                <w:rFonts w:ascii="Times New Roman"/>
                <w:spacing w:val="-1"/>
                <w:sz w:val="18"/>
              </w:rPr>
              <w:t>447,674,875.18</w:t>
            </w:r>
          </w:p>
        </w:tc>
        <w:tc>
          <w:tcPr>
            <w:tcW w:w="2103" w:type="dxa"/>
            <w:vMerge/>
            <w:tcBorders>
              <w:left w:val="single" w:sz="4" w:space="0" w:color="000000"/>
              <w:bottom w:val="single" w:sz="4" w:space="0" w:color="000000"/>
              <w:right w:val="single" w:sz="4" w:space="0" w:color="000000"/>
            </w:tcBorders>
          </w:tcPr>
          <w:p>
            <w:pPr/>
          </w:p>
        </w:tc>
        <w:tc>
          <w:tcPr>
            <w:tcW w:w="1952" w:type="dxa"/>
            <w:vMerge/>
            <w:tcBorders>
              <w:left w:val="single" w:sz="4" w:space="0" w:color="000000"/>
              <w:bottom w:val="single" w:sz="4" w:space="0" w:color="000000"/>
              <w:right w:val="single" w:sz="4" w:space="0" w:color="000000"/>
            </w:tcBorders>
          </w:tcPr>
          <w:p>
            <w:pPr/>
          </w:p>
        </w:tc>
      </w:tr>
      <w:tr>
        <w:trPr>
          <w:trHeight w:val="342" w:hRule="exact"/>
        </w:trPr>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84"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2040" w:type="dxa"/>
            <w:tcBorders>
              <w:top w:val="single" w:sz="4" w:space="0" w:color="000000"/>
              <w:left w:val="single" w:sz="4" w:space="0" w:color="000000"/>
              <w:bottom w:val="single" w:sz="4" w:space="0" w:color="000000"/>
              <w:right w:val="single" w:sz="4" w:space="0" w:color="000000"/>
            </w:tcBorders>
          </w:tcPr>
          <w:p>
            <w:pPr/>
          </w:p>
        </w:tc>
        <w:tc>
          <w:tcPr>
            <w:tcW w:w="210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18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5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901" w:right="0"/>
              <w:jc w:val="left"/>
              <w:rPr>
                <w:rFonts w:ascii="Times New Roman" w:hAnsi="Times New Roman" w:cs="Times New Roman" w:eastAsia="Times New Roman" w:hint="default"/>
                <w:sz w:val="18"/>
                <w:szCs w:val="18"/>
              </w:rPr>
            </w:pPr>
            <w:r>
              <w:rPr>
                <w:rFonts w:ascii="Times New Roman"/>
                <w:sz w:val="18"/>
              </w:rPr>
              <w:t>41,735,381.28</w:t>
            </w:r>
          </w:p>
        </w:tc>
      </w:tr>
      <w:tr>
        <w:trPr>
          <w:trHeight w:val="342" w:hRule="exact"/>
        </w:trPr>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84"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2040" w:type="dxa"/>
            <w:tcBorders>
              <w:top w:val="single" w:sz="4" w:space="0" w:color="000000"/>
              <w:left w:val="single" w:sz="4" w:space="0" w:color="000000"/>
              <w:bottom w:val="single" w:sz="4" w:space="0" w:color="000000"/>
              <w:right w:val="single" w:sz="4" w:space="0" w:color="000000"/>
            </w:tcBorders>
          </w:tcPr>
          <w:p>
            <w:pPr/>
          </w:p>
        </w:tc>
        <w:tc>
          <w:tcPr>
            <w:tcW w:w="2103" w:type="dxa"/>
            <w:vMerge/>
            <w:tcBorders>
              <w:left w:val="single" w:sz="4" w:space="0" w:color="000000"/>
              <w:right w:val="single" w:sz="4" w:space="0" w:color="000000"/>
            </w:tcBorders>
          </w:tcPr>
          <w:p>
            <w:pPr/>
          </w:p>
        </w:tc>
        <w:tc>
          <w:tcPr>
            <w:tcW w:w="1952" w:type="dxa"/>
            <w:vMerge/>
            <w:tcBorders>
              <w:left w:val="single" w:sz="4" w:space="0" w:color="000000"/>
              <w:right w:val="single" w:sz="4" w:space="0" w:color="000000"/>
            </w:tcBorders>
          </w:tcPr>
          <w:p>
            <w:pPr/>
          </w:p>
        </w:tc>
      </w:tr>
      <w:tr>
        <w:trPr>
          <w:trHeight w:val="342" w:hRule="exact"/>
        </w:trPr>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8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41,735,381.28</w:t>
            </w:r>
          </w:p>
        </w:tc>
        <w:tc>
          <w:tcPr>
            <w:tcW w:w="2103" w:type="dxa"/>
            <w:vMerge/>
            <w:tcBorders>
              <w:left w:val="single" w:sz="4" w:space="0" w:color="000000"/>
              <w:bottom w:val="single" w:sz="4" w:space="0" w:color="000000"/>
              <w:right w:val="single" w:sz="4" w:space="0" w:color="000000"/>
            </w:tcBorders>
          </w:tcPr>
          <w:p>
            <w:pPr/>
          </w:p>
        </w:tc>
        <w:tc>
          <w:tcPr>
            <w:tcW w:w="1952" w:type="dxa"/>
            <w:vMerge/>
            <w:tcBorders>
              <w:left w:val="single" w:sz="4" w:space="0" w:color="000000"/>
              <w:bottom w:val="single" w:sz="4" w:space="0" w:color="000000"/>
              <w:right w:val="single" w:sz="4" w:space="0" w:color="000000"/>
            </w:tcBorders>
          </w:tcPr>
          <w:p>
            <w:pPr/>
          </w:p>
        </w:tc>
      </w:tr>
      <w:tr>
        <w:trPr>
          <w:trHeight w:val="342" w:hRule="exact"/>
        </w:trPr>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8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
              <w:jc w:val="right"/>
              <w:rPr>
                <w:rFonts w:ascii="Times New Roman" w:hAnsi="Times New Roman" w:cs="Times New Roman" w:eastAsia="Times New Roman" w:hint="default"/>
                <w:sz w:val="18"/>
                <w:szCs w:val="18"/>
              </w:rPr>
            </w:pPr>
            <w:r>
              <w:rPr>
                <w:rFonts w:ascii="Times New Roman"/>
                <w:spacing w:val="-1"/>
                <w:sz w:val="18"/>
              </w:rPr>
              <w:t>310,211,428.25</w:t>
            </w:r>
          </w:p>
        </w:tc>
        <w:tc>
          <w:tcPr>
            <w:tcW w:w="2103"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8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952"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819" w:right="0"/>
              <w:jc w:val="left"/>
              <w:rPr>
                <w:rFonts w:ascii="Times New Roman" w:hAnsi="Times New Roman" w:cs="Times New Roman" w:eastAsia="Times New Roman" w:hint="default"/>
                <w:sz w:val="18"/>
                <w:szCs w:val="18"/>
              </w:rPr>
            </w:pPr>
            <w:r>
              <w:rPr>
                <w:rFonts w:ascii="Times New Roman"/>
                <w:sz w:val="18"/>
              </w:rPr>
              <w:t>310,211,428.25</w:t>
            </w:r>
          </w:p>
        </w:tc>
      </w:tr>
      <w:tr>
        <w:trPr>
          <w:trHeight w:val="342" w:hRule="exact"/>
        </w:trPr>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84"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2040" w:type="dxa"/>
            <w:tcBorders>
              <w:top w:val="single" w:sz="4" w:space="0" w:color="000000"/>
              <w:left w:val="single" w:sz="4" w:space="0" w:color="000000"/>
              <w:bottom w:val="single" w:sz="4" w:space="0" w:color="000000"/>
              <w:right w:val="single" w:sz="4" w:space="0" w:color="000000"/>
            </w:tcBorders>
          </w:tcPr>
          <w:p>
            <w:pPr/>
          </w:p>
        </w:tc>
        <w:tc>
          <w:tcPr>
            <w:tcW w:w="2103" w:type="dxa"/>
            <w:vMerge/>
            <w:tcBorders>
              <w:left w:val="single" w:sz="4" w:space="0" w:color="000000"/>
              <w:bottom w:val="single" w:sz="4" w:space="0" w:color="000000"/>
              <w:right w:val="single" w:sz="4" w:space="0" w:color="000000"/>
            </w:tcBorders>
          </w:tcPr>
          <w:p>
            <w:pPr/>
          </w:p>
        </w:tc>
        <w:tc>
          <w:tcPr>
            <w:tcW w:w="1952" w:type="dxa"/>
            <w:vMerge/>
            <w:tcBorders>
              <w:left w:val="single" w:sz="4" w:space="0" w:color="000000"/>
              <w:bottom w:val="single" w:sz="4" w:space="0" w:color="000000"/>
              <w:right w:val="single" w:sz="4" w:space="0" w:color="000000"/>
            </w:tcBorders>
          </w:tcPr>
          <w:p>
            <w:pPr/>
          </w:p>
        </w:tc>
      </w:tr>
      <w:tr>
        <w:trPr>
          <w:trHeight w:val="342" w:hRule="exact"/>
        </w:trPr>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8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
              <w:jc w:val="right"/>
              <w:rPr>
                <w:rFonts w:ascii="Times New Roman" w:hAnsi="Times New Roman" w:cs="Times New Roman" w:eastAsia="Times New Roman" w:hint="default"/>
                <w:sz w:val="18"/>
                <w:szCs w:val="18"/>
              </w:rPr>
            </w:pPr>
            <w:r>
              <w:rPr>
                <w:rFonts w:ascii="Times New Roman"/>
                <w:spacing w:val="-1"/>
                <w:sz w:val="18"/>
              </w:rPr>
              <w:t>35,404,389.82</w:t>
            </w:r>
          </w:p>
        </w:tc>
        <w:tc>
          <w:tcPr>
            <w:tcW w:w="2103"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8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952"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901" w:right="0"/>
              <w:jc w:val="left"/>
              <w:rPr>
                <w:rFonts w:ascii="Times New Roman" w:hAnsi="Times New Roman" w:cs="Times New Roman" w:eastAsia="Times New Roman" w:hint="default"/>
                <w:sz w:val="18"/>
                <w:szCs w:val="18"/>
              </w:rPr>
            </w:pPr>
            <w:r>
              <w:rPr>
                <w:rFonts w:ascii="Times New Roman"/>
                <w:sz w:val="18"/>
              </w:rPr>
              <w:t>35,404,389.82</w:t>
            </w:r>
          </w:p>
        </w:tc>
      </w:tr>
      <w:tr>
        <w:trPr>
          <w:trHeight w:val="342" w:hRule="exact"/>
        </w:trPr>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84"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2040" w:type="dxa"/>
            <w:tcBorders>
              <w:top w:val="single" w:sz="4" w:space="0" w:color="000000"/>
              <w:left w:val="single" w:sz="4" w:space="0" w:color="000000"/>
              <w:bottom w:val="single" w:sz="4" w:space="0" w:color="000000"/>
              <w:right w:val="single" w:sz="4" w:space="0" w:color="000000"/>
            </w:tcBorders>
          </w:tcPr>
          <w:p>
            <w:pPr/>
          </w:p>
        </w:tc>
        <w:tc>
          <w:tcPr>
            <w:tcW w:w="2103" w:type="dxa"/>
            <w:vMerge/>
            <w:tcBorders>
              <w:left w:val="single" w:sz="4" w:space="0" w:color="000000"/>
              <w:bottom w:val="single" w:sz="4" w:space="0" w:color="000000"/>
              <w:right w:val="single" w:sz="4" w:space="0" w:color="000000"/>
            </w:tcBorders>
          </w:tcPr>
          <w:p>
            <w:pPr/>
          </w:p>
        </w:tc>
        <w:tc>
          <w:tcPr>
            <w:tcW w:w="1952" w:type="dxa"/>
            <w:vMerge/>
            <w:tcBorders>
              <w:left w:val="single" w:sz="4" w:space="0" w:color="000000"/>
              <w:bottom w:val="single" w:sz="4" w:space="0" w:color="000000"/>
              <w:right w:val="single" w:sz="4" w:space="0" w:color="000000"/>
            </w:tcBorders>
          </w:tcPr>
          <w:p>
            <w:pPr/>
          </w:p>
        </w:tc>
      </w:tr>
      <w:tr>
        <w:trPr>
          <w:trHeight w:val="342" w:hRule="exact"/>
        </w:trPr>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84"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
              <w:jc w:val="right"/>
              <w:rPr>
                <w:rFonts w:ascii="Times New Roman" w:hAnsi="Times New Roman" w:cs="Times New Roman" w:eastAsia="Times New Roman" w:hint="default"/>
                <w:sz w:val="18"/>
                <w:szCs w:val="18"/>
              </w:rPr>
            </w:pPr>
            <w:r>
              <w:rPr>
                <w:rFonts w:ascii="Times New Roman"/>
                <w:spacing w:val="-1"/>
                <w:sz w:val="18"/>
              </w:rPr>
              <w:t>1,886,791.00</w:t>
            </w:r>
          </w:p>
        </w:tc>
        <w:tc>
          <w:tcPr>
            <w:tcW w:w="2103"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84"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1952"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812" w:right="0"/>
              <w:jc w:val="left"/>
              <w:rPr>
                <w:rFonts w:ascii="Times New Roman" w:hAnsi="Times New Roman" w:cs="Times New Roman" w:eastAsia="Times New Roman" w:hint="default"/>
                <w:sz w:val="18"/>
                <w:szCs w:val="18"/>
              </w:rPr>
            </w:pPr>
            <w:r>
              <w:rPr>
                <w:rFonts w:ascii="Times New Roman"/>
                <w:sz w:val="18"/>
              </w:rPr>
              <w:t>161,413,972.08</w:t>
            </w:r>
          </w:p>
        </w:tc>
      </w:tr>
      <w:tr>
        <w:trPr>
          <w:trHeight w:val="342" w:hRule="exact"/>
        </w:trPr>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8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159,527,181.08</w:t>
            </w:r>
          </w:p>
        </w:tc>
        <w:tc>
          <w:tcPr>
            <w:tcW w:w="2103" w:type="dxa"/>
            <w:vMerge/>
            <w:tcBorders>
              <w:left w:val="single" w:sz="4" w:space="0" w:color="000000"/>
              <w:bottom w:val="single" w:sz="4" w:space="0" w:color="000000"/>
              <w:right w:val="single" w:sz="4" w:space="0" w:color="000000"/>
            </w:tcBorders>
          </w:tcPr>
          <w:p>
            <w:pPr/>
          </w:p>
        </w:tc>
        <w:tc>
          <w:tcPr>
            <w:tcW w:w="1952" w:type="dxa"/>
            <w:vMerge/>
            <w:tcBorders>
              <w:left w:val="single" w:sz="4" w:space="0" w:color="000000"/>
              <w:bottom w:val="single" w:sz="4" w:space="0" w:color="000000"/>
              <w:right w:val="single" w:sz="4" w:space="0" w:color="000000"/>
            </w:tcBorders>
          </w:tcPr>
          <w:p>
            <w:pPr/>
          </w:p>
        </w:tc>
      </w:tr>
      <w:tr>
        <w:trPr>
          <w:trHeight w:val="342" w:hRule="exact"/>
        </w:trPr>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84"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
              <w:jc w:val="right"/>
              <w:rPr>
                <w:rFonts w:ascii="Times New Roman" w:hAnsi="Times New Roman" w:cs="Times New Roman" w:eastAsia="Times New Roman" w:hint="default"/>
                <w:sz w:val="18"/>
                <w:szCs w:val="18"/>
              </w:rPr>
            </w:pPr>
            <w:r>
              <w:rPr>
                <w:rFonts w:ascii="Times New Roman"/>
                <w:spacing w:val="-1"/>
                <w:sz w:val="18"/>
              </w:rPr>
              <w:t>183,333.33</w:t>
            </w:r>
          </w:p>
        </w:tc>
        <w:tc>
          <w:tcPr>
            <w:tcW w:w="210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8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95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901" w:right="0"/>
              <w:jc w:val="left"/>
              <w:rPr>
                <w:rFonts w:ascii="Times New Roman" w:hAnsi="Times New Roman" w:cs="Times New Roman" w:eastAsia="Times New Roman" w:hint="default"/>
                <w:sz w:val="18"/>
                <w:szCs w:val="18"/>
              </w:rPr>
            </w:pPr>
            <w:r>
              <w:rPr>
                <w:rFonts w:ascii="Times New Roman"/>
                <w:sz w:val="18"/>
              </w:rPr>
              <w:t>79,972,449.13</w:t>
            </w:r>
          </w:p>
        </w:tc>
      </w:tr>
      <w:tr>
        <w:trPr>
          <w:trHeight w:val="342" w:hRule="exact"/>
        </w:trPr>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84"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2040" w:type="dxa"/>
            <w:tcBorders>
              <w:top w:val="single" w:sz="4" w:space="0" w:color="000000"/>
              <w:left w:val="single" w:sz="4" w:space="0" w:color="000000"/>
              <w:bottom w:val="single" w:sz="4" w:space="0" w:color="000000"/>
              <w:right w:val="single" w:sz="4" w:space="0" w:color="000000"/>
            </w:tcBorders>
          </w:tcPr>
          <w:p>
            <w:pPr/>
          </w:p>
        </w:tc>
        <w:tc>
          <w:tcPr>
            <w:tcW w:w="2103" w:type="dxa"/>
            <w:vMerge/>
            <w:tcBorders>
              <w:left w:val="single" w:sz="4" w:space="0" w:color="000000"/>
              <w:right w:val="single" w:sz="4" w:space="0" w:color="000000"/>
            </w:tcBorders>
          </w:tcPr>
          <w:p>
            <w:pPr/>
          </w:p>
        </w:tc>
        <w:tc>
          <w:tcPr>
            <w:tcW w:w="1952" w:type="dxa"/>
            <w:vMerge/>
            <w:tcBorders>
              <w:left w:val="single" w:sz="4" w:space="0" w:color="000000"/>
              <w:right w:val="single" w:sz="4" w:space="0" w:color="000000"/>
            </w:tcBorders>
          </w:tcPr>
          <w:p>
            <w:pPr/>
          </w:p>
        </w:tc>
      </w:tr>
      <w:tr>
        <w:trPr>
          <w:trHeight w:val="342" w:hRule="exact"/>
        </w:trPr>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8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
              <w:jc w:val="right"/>
              <w:rPr>
                <w:rFonts w:ascii="Times New Roman" w:hAnsi="Times New Roman" w:cs="Times New Roman" w:eastAsia="Times New Roman" w:hint="default"/>
                <w:sz w:val="18"/>
                <w:szCs w:val="18"/>
              </w:rPr>
            </w:pPr>
            <w:r>
              <w:rPr>
                <w:rFonts w:ascii="Times New Roman"/>
                <w:spacing w:val="-2"/>
                <w:sz w:val="18"/>
              </w:rPr>
              <w:t>79,789,115.80</w:t>
            </w:r>
          </w:p>
        </w:tc>
        <w:tc>
          <w:tcPr>
            <w:tcW w:w="2103" w:type="dxa"/>
            <w:vMerge/>
            <w:tcBorders>
              <w:left w:val="single" w:sz="4" w:space="0" w:color="000000"/>
              <w:bottom w:val="single" w:sz="4" w:space="0" w:color="000000"/>
              <w:right w:val="single" w:sz="4" w:space="0" w:color="000000"/>
            </w:tcBorders>
          </w:tcPr>
          <w:p>
            <w:pPr/>
          </w:p>
        </w:tc>
        <w:tc>
          <w:tcPr>
            <w:tcW w:w="1952" w:type="dxa"/>
            <w:vMerge/>
            <w:tcBorders>
              <w:left w:val="single" w:sz="4" w:space="0" w:color="000000"/>
              <w:bottom w:val="single" w:sz="4" w:space="0" w:color="000000"/>
              <w:right w:val="single" w:sz="4" w:space="0" w:color="000000"/>
            </w:tcBorders>
          </w:tcPr>
          <w:p>
            <w:pPr/>
          </w:p>
        </w:tc>
      </w:tr>
      <w:tr>
        <w:trPr>
          <w:trHeight w:val="342" w:hRule="exact"/>
        </w:trPr>
        <w:tc>
          <w:tcPr>
            <w:tcW w:w="2211" w:type="dxa"/>
            <w:vMerge w:val="restart"/>
            <w:tcBorders>
              <w:top w:val="single" w:sz="4" w:space="0" w:color="000000"/>
              <w:left w:val="single" w:sz="4" w:space="0" w:color="000000"/>
              <w:right w:val="single" w:sz="4" w:space="0" w:color="000000"/>
            </w:tcBorders>
          </w:tcPr>
          <w:p>
            <w:pPr>
              <w:pStyle w:val="TableParagraph"/>
              <w:spacing w:line="240" w:lineRule="auto" w:before="20"/>
              <w:ind w:left="184"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040" w:type="dxa"/>
            <w:vMerge w:val="restart"/>
            <w:tcBorders>
              <w:top w:val="single" w:sz="4" w:space="0" w:color="000000"/>
              <w:left w:val="single" w:sz="4" w:space="0" w:color="000000"/>
              <w:right w:val="single" w:sz="4" w:space="0" w:color="000000"/>
            </w:tcBorders>
          </w:tcPr>
          <w:p>
            <w:pPr>
              <w:pStyle w:val="TableParagraph"/>
              <w:spacing w:line="240" w:lineRule="auto" w:before="62"/>
              <w:ind w:left="899" w:right="0"/>
              <w:jc w:val="left"/>
              <w:rPr>
                <w:rFonts w:ascii="Times New Roman" w:hAnsi="Times New Roman" w:cs="Times New Roman" w:eastAsia="Times New Roman" w:hint="default"/>
                <w:sz w:val="18"/>
                <w:szCs w:val="18"/>
              </w:rPr>
            </w:pPr>
            <w:r>
              <w:rPr>
                <w:rFonts w:ascii="Times New Roman"/>
                <w:sz w:val="18"/>
              </w:rPr>
              <w:t>268,141,153.86</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84"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152,415,963.38</w:t>
            </w:r>
          </w:p>
        </w:tc>
      </w:tr>
      <w:tr>
        <w:trPr>
          <w:trHeight w:val="342" w:hRule="exact"/>
        </w:trPr>
        <w:tc>
          <w:tcPr>
            <w:tcW w:w="2211" w:type="dxa"/>
            <w:vMerge/>
            <w:tcBorders>
              <w:left w:val="single" w:sz="4" w:space="0" w:color="000000"/>
              <w:bottom w:val="single" w:sz="4" w:space="0" w:color="000000"/>
              <w:right w:val="single" w:sz="4" w:space="0" w:color="000000"/>
            </w:tcBorders>
          </w:tcPr>
          <w:p>
            <w:pPr/>
          </w:p>
        </w:tc>
        <w:tc>
          <w:tcPr>
            <w:tcW w:w="2040" w:type="dxa"/>
            <w:vMerge/>
            <w:tcBorders>
              <w:left w:val="single" w:sz="4" w:space="0" w:color="000000"/>
              <w:bottom w:val="single" w:sz="4" w:space="0" w:color="000000"/>
              <w:right w:val="single" w:sz="4" w:space="0" w:color="000000"/>
            </w:tcBorders>
          </w:tcPr>
          <w:p>
            <w:pP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84"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Times New Roman" w:hAnsi="Times New Roman" w:cs="Times New Roman" w:eastAsia="Times New Roman" w:hint="default"/>
                <w:sz w:val="18"/>
                <w:szCs w:val="18"/>
              </w:rPr>
            </w:pPr>
            <w:r>
              <w:rPr>
                <w:rFonts w:ascii="Times New Roman"/>
                <w:spacing w:val="-1"/>
                <w:sz w:val="18"/>
              </w:rPr>
              <w:t>115,725,190.48</w:t>
            </w:r>
          </w:p>
        </w:tc>
      </w:tr>
      <w:tr>
        <w:trPr>
          <w:trHeight w:val="654" w:hRule="exact"/>
        </w:trPr>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0"/>
              <w:ind w:left="4" w:right="3" w:firstLine="180"/>
              <w:jc w:val="left"/>
              <w:rPr>
                <w:rFonts w:ascii="Times New Roman" w:hAnsi="Times New Roman" w:cs="Times New Roman" w:eastAsia="Times New Roman" w:hint="default"/>
                <w:sz w:val="18"/>
                <w:szCs w:val="18"/>
              </w:rPr>
            </w:pPr>
            <w:r>
              <w:rPr>
                <w:rFonts w:ascii="宋体" w:hAnsi="宋体" w:cs="宋体" w:eastAsia="宋体" w:hint="default"/>
                <w:spacing w:val="2"/>
                <w:sz w:val="18"/>
                <w:szCs w:val="18"/>
              </w:rPr>
              <w:t>收到其他与经营活动有关</w:t>
            </w:r>
            <w:r>
              <w:rPr>
                <w:rFonts w:ascii="宋体" w:hAnsi="宋体" w:cs="宋体" w:eastAsia="宋体" w:hint="default"/>
                <w:sz w:val="18"/>
                <w:szCs w:val="18"/>
              </w:rPr>
              <w:t> 的现金</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Times New Roman" w:hAnsi="Times New Roman" w:cs="Times New Roman" w:eastAsia="Times New Roman" w:hint="default"/>
                <w:sz w:val="18"/>
                <w:szCs w:val="18"/>
              </w:rPr>
              <w:t>]</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20,996,299.33</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0"/>
              <w:ind w:left="4" w:right="4" w:firstLine="180"/>
              <w:jc w:val="left"/>
              <w:rPr>
                <w:rFonts w:ascii="宋体" w:hAnsi="宋体" w:cs="宋体" w:eastAsia="宋体" w:hint="default"/>
                <w:sz w:val="18"/>
                <w:szCs w:val="18"/>
              </w:rPr>
            </w:pPr>
            <w:r>
              <w:rPr>
                <w:rFonts w:ascii="宋体" w:hAnsi="宋体" w:cs="宋体" w:eastAsia="宋体" w:hint="default"/>
                <w:spacing w:val="10"/>
                <w:sz w:val="18"/>
                <w:szCs w:val="18"/>
              </w:rPr>
              <w:t>收到其他与经营活动有</w:t>
            </w:r>
            <w:r>
              <w:rPr>
                <w:rFonts w:ascii="宋体" w:hAnsi="宋体" w:cs="宋体" w:eastAsia="宋体" w:hint="default"/>
                <w:sz w:val="18"/>
                <w:szCs w:val="18"/>
              </w:rPr>
              <w:t> 关的现金</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right"/>
              <w:rPr>
                <w:rFonts w:ascii="Times New Roman" w:hAnsi="Times New Roman" w:cs="Times New Roman" w:eastAsia="Times New Roman" w:hint="default"/>
                <w:sz w:val="18"/>
                <w:szCs w:val="18"/>
              </w:rPr>
            </w:pPr>
            <w:r>
              <w:rPr>
                <w:rFonts w:ascii="Times New Roman"/>
                <w:spacing w:val="-1"/>
                <w:sz w:val="18"/>
              </w:rPr>
              <w:t>22,336,299.33</w:t>
            </w:r>
          </w:p>
        </w:tc>
      </w:tr>
      <w:tr>
        <w:trPr>
          <w:trHeight w:val="654" w:hRule="exact"/>
        </w:trPr>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3" w:firstLine="180"/>
              <w:jc w:val="left"/>
              <w:rPr>
                <w:rFonts w:ascii="Times New Roman" w:hAnsi="Times New Roman" w:cs="Times New Roman" w:eastAsia="Times New Roman" w:hint="default"/>
                <w:sz w:val="18"/>
                <w:szCs w:val="18"/>
              </w:rPr>
            </w:pPr>
            <w:r>
              <w:rPr>
                <w:rFonts w:ascii="宋体" w:hAnsi="宋体" w:cs="宋体" w:eastAsia="宋体" w:hint="default"/>
                <w:spacing w:val="2"/>
                <w:sz w:val="18"/>
                <w:szCs w:val="18"/>
              </w:rPr>
              <w:t>收到其他与投资活动有关</w:t>
            </w:r>
            <w:r>
              <w:rPr>
                <w:rFonts w:ascii="宋体" w:hAnsi="宋体" w:cs="宋体" w:eastAsia="宋体" w:hint="default"/>
                <w:sz w:val="18"/>
                <w:szCs w:val="18"/>
              </w:rPr>
              <w:t> 的现金</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Times New Roman" w:hAnsi="Times New Roman" w:cs="Times New Roman" w:eastAsia="Times New Roman" w:hint="default"/>
                <w:sz w:val="18"/>
                <w:szCs w:val="18"/>
              </w:rPr>
              <w:t>]</w:t>
            </w:r>
          </w:p>
        </w:tc>
        <w:tc>
          <w:tcPr>
            <w:tcW w:w="2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
              <w:jc w:val="right"/>
              <w:rPr>
                <w:rFonts w:ascii="Times New Roman" w:hAnsi="Times New Roman" w:cs="Times New Roman" w:eastAsia="Times New Roman" w:hint="default"/>
                <w:sz w:val="18"/>
                <w:szCs w:val="18"/>
              </w:rPr>
            </w:pPr>
            <w:r>
              <w:rPr>
                <w:rFonts w:ascii="Times New Roman"/>
                <w:spacing w:val="-1"/>
                <w:sz w:val="18"/>
              </w:rPr>
              <w:t>183,837,438.88</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4" w:firstLine="180"/>
              <w:jc w:val="left"/>
              <w:rPr>
                <w:rFonts w:ascii="宋体" w:hAnsi="宋体" w:cs="宋体" w:eastAsia="宋体" w:hint="default"/>
                <w:sz w:val="18"/>
                <w:szCs w:val="18"/>
              </w:rPr>
            </w:pPr>
            <w:r>
              <w:rPr>
                <w:rFonts w:ascii="宋体" w:hAnsi="宋体" w:cs="宋体" w:eastAsia="宋体" w:hint="default"/>
                <w:spacing w:val="10"/>
                <w:sz w:val="18"/>
                <w:szCs w:val="18"/>
              </w:rPr>
              <w:t>收到其他与投资活动有</w:t>
            </w:r>
            <w:r>
              <w:rPr>
                <w:rFonts w:ascii="宋体" w:hAnsi="宋体" w:cs="宋体" w:eastAsia="宋体" w:hint="default"/>
                <w:sz w:val="18"/>
                <w:szCs w:val="18"/>
              </w:rPr>
              <w:t> 关的现金</w:t>
            </w:r>
          </w:p>
        </w:tc>
        <w:tc>
          <w:tcPr>
            <w:tcW w:w="1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Times New Roman" w:hAnsi="Times New Roman" w:cs="Times New Roman" w:eastAsia="Times New Roman" w:hint="default"/>
                <w:sz w:val="18"/>
                <w:szCs w:val="18"/>
              </w:rPr>
            </w:pPr>
            <w:r>
              <w:rPr>
                <w:rFonts w:ascii="Times New Roman"/>
                <w:spacing w:val="-1"/>
                <w:sz w:val="18"/>
              </w:rPr>
              <w:t>182,497,438.88</w:t>
            </w:r>
          </w:p>
        </w:tc>
      </w:tr>
    </w:tbl>
    <w:p>
      <w:pPr>
        <w:pStyle w:val="BodyText"/>
        <w:spacing w:line="300" w:lineRule="auto" w:before="10"/>
        <w:ind w:right="1039" w:firstLine="420"/>
        <w:jc w:val="both"/>
      </w:pPr>
      <w:r>
        <w:rPr>
          <w:rFonts w:ascii="Times New Roman" w:hAnsi="Times New Roman" w:cs="Times New Roman" w:eastAsia="Times New Roman" w:hint="default"/>
          <w:spacing w:val="-1"/>
        </w:rPr>
        <w:t>[</w:t>
      </w:r>
      <w:r>
        <w:rPr>
          <w:spacing w:val="-1"/>
        </w:rPr>
        <w:t>注</w:t>
      </w:r>
      <w:r>
        <w:rPr>
          <w:rFonts w:ascii="Times New Roman" w:hAnsi="Times New Roman" w:cs="Times New Roman" w:eastAsia="Times New Roman" w:hint="default"/>
          <w:spacing w:val="-1"/>
        </w:rPr>
        <w:t>]</w:t>
      </w:r>
      <w:r>
        <w:rPr>
          <w:spacing w:val="-1"/>
        </w:rPr>
        <w:t>：将实际收到的与资产相关的政府补助</w:t>
      </w:r>
      <w:r>
        <w:rPr>
          <w:rFonts w:ascii="Times New Roman" w:hAnsi="Times New Roman" w:cs="Times New Roman" w:eastAsia="Times New Roman" w:hint="default"/>
          <w:spacing w:val="-1"/>
        </w:rPr>
        <w:t>1,340,000.00</w:t>
      </w:r>
      <w:r>
        <w:rPr>
          <w:spacing w:val="-1"/>
        </w:rPr>
        <w:t>元在现金流量表中的列报由“收到其他与投资活动有关的现金”</w:t>
      </w:r>
      <w:r>
        <w:rPr>
          <w:w w:val="99"/>
        </w:rPr>
        <w:t> </w:t>
      </w:r>
      <w:r>
        <w:rPr>
          <w:spacing w:val="-5"/>
          <w:w w:val="99"/>
        </w:rPr>
        <w:t>调整为“收到其他与经营活动有关的现金”。</w:t>
      </w:r>
      <w:r>
        <w:rPr>
          <w:spacing w:val="-5"/>
        </w:rPr>
      </w:r>
    </w:p>
    <w:p>
      <w:pPr>
        <w:pStyle w:val="BodyText"/>
        <w:spacing w:line="300" w:lineRule="auto" w:before="31"/>
        <w:ind w:right="1130" w:firstLine="420"/>
        <w:jc w:val="both"/>
      </w:pPr>
      <w:r>
        <w:rPr>
          <w:rFonts w:ascii="Times New Roman" w:hAnsi="Times New Roman" w:cs="Times New Roman" w:eastAsia="Times New Roman" w:hint="default"/>
          <w:spacing w:val="-3"/>
        </w:rPr>
        <w:t>2</w:t>
      </w:r>
      <w:r>
        <w:rPr>
          <w:spacing w:val="-3"/>
        </w:rPr>
        <w:t>．财政部于</w:t>
      </w:r>
      <w:r>
        <w:rPr>
          <w:rFonts w:ascii="Times New Roman" w:hAnsi="Times New Roman" w:cs="Times New Roman" w:eastAsia="Times New Roman" w:hint="default"/>
          <w:spacing w:val="-3"/>
        </w:rPr>
        <w:t>2017</w:t>
      </w:r>
      <w:r>
        <w:rPr>
          <w:spacing w:val="-3"/>
        </w:rPr>
        <w:t>年度颁布了《企业会计准则解释第</w:t>
      </w:r>
      <w:r>
        <w:rPr>
          <w:rFonts w:ascii="Times New Roman" w:hAnsi="Times New Roman" w:cs="Times New Roman" w:eastAsia="Times New Roman" w:hint="default"/>
          <w:spacing w:val="-3"/>
        </w:rPr>
        <w:t>9</w:t>
      </w:r>
      <w:r>
        <w:rPr>
          <w:spacing w:val="-3"/>
        </w:rPr>
        <w:t>号——关于权益法下投资净损失的会计处理》《企业会计准则解释</w:t>
      </w:r>
      <w:r>
        <w:rPr/>
        <w:t> </w:t>
      </w:r>
      <w:r>
        <w:rPr>
          <w:spacing w:val="-2"/>
        </w:rPr>
        <w:t>第</w:t>
      </w:r>
      <w:r>
        <w:rPr>
          <w:rFonts w:ascii="Times New Roman" w:hAnsi="Times New Roman" w:cs="Times New Roman" w:eastAsia="Times New Roman" w:hint="default"/>
          <w:spacing w:val="-2"/>
        </w:rPr>
        <w:t>10</w:t>
      </w:r>
      <w:r>
        <w:rPr>
          <w:spacing w:val="-2"/>
        </w:rPr>
        <w:t>号——关于以使用固定资产产生的收入为基础的折旧方法》《企业会计准则解释第</w:t>
      </w:r>
      <w:r>
        <w:rPr>
          <w:rFonts w:ascii="Times New Roman" w:hAnsi="Times New Roman" w:cs="Times New Roman" w:eastAsia="Times New Roman" w:hint="default"/>
          <w:spacing w:val="-2"/>
        </w:rPr>
        <w:t>11</w:t>
      </w:r>
      <w:r>
        <w:rPr>
          <w:spacing w:val="-2"/>
        </w:rPr>
        <w:t>号——关于以使用无形资产产生的</w:t>
      </w:r>
      <w:r>
        <w:rPr>
          <w:spacing w:val="-64"/>
        </w:rPr>
        <w:t> </w:t>
      </w:r>
      <w:r>
        <w:rPr>
          <w:spacing w:val="-64"/>
        </w:rPr>
      </w:r>
      <w:r>
        <w:rPr>
          <w:spacing w:val="-2"/>
        </w:rPr>
        <w:t>收入为基础的摊销方法》及《企业会计准则解释第</w:t>
      </w:r>
      <w:r>
        <w:rPr>
          <w:rFonts w:ascii="Times New Roman" w:hAnsi="Times New Roman" w:cs="Times New Roman" w:eastAsia="Times New Roman" w:hint="default"/>
          <w:spacing w:val="-2"/>
        </w:rPr>
        <w:t>12</w:t>
      </w:r>
      <w:r>
        <w:rPr>
          <w:spacing w:val="-2"/>
        </w:rPr>
        <w:t>号——关于关键管理人员服务的提供方与接受方是否为关联方》。公司</w:t>
      </w:r>
      <w:r>
        <w:rPr>
          <w:spacing w:val="-64"/>
        </w:rPr>
        <w:t> </w:t>
      </w:r>
      <w:r>
        <w:rPr>
          <w:spacing w:val="-64"/>
        </w:rPr>
      </w:r>
      <w:r>
        <w:rPr/>
        <w:t>自</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日起执行上述企业会计准则解释，执行上述解释对公司期初财务数据无影响。</w:t>
      </w:r>
    </w:p>
    <w:p>
      <w:pPr>
        <w:spacing w:line="240" w:lineRule="auto" w:before="2"/>
        <w:rPr>
          <w:rFonts w:ascii="宋体" w:hAnsi="宋体" w:cs="宋体" w:eastAsia="宋体" w:hint="default"/>
          <w:sz w:val="22"/>
          <w:szCs w:val="22"/>
        </w:rPr>
      </w:pPr>
    </w:p>
    <w:p>
      <w:pPr>
        <w:pStyle w:val="Heading3"/>
        <w:spacing w:line="240" w:lineRule="auto"/>
        <w:ind w:right="0"/>
        <w:jc w:val="left"/>
        <w:rPr>
          <w:b w:val="0"/>
          <w:bCs w:val="0"/>
        </w:rPr>
      </w:pPr>
      <w:bookmarkStart w:name="（2）重要会计估计变更" w:id="222"/>
      <w:bookmarkEnd w:id="222"/>
      <w:r>
        <w:rPr>
          <w:b w:val="0"/>
          <w:bCs w:val="0"/>
        </w:rPr>
      </w:r>
      <w:r>
        <w:rPr/>
        <w:t>（</w:t>
      </w:r>
      <w:r>
        <w:rPr>
          <w:rFonts w:ascii="Times New Roman" w:hAnsi="Times New Roman" w:cs="Times New Roman" w:eastAsia="Times New Roman" w:hint="default"/>
        </w:rPr>
        <w:t>2</w:t>
      </w:r>
      <w:r>
        <w:rPr/>
        <w:t>）重要会计估计变更</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204" w:right="0"/>
        <w:jc w:val="left"/>
      </w:pPr>
      <w:r>
        <w:rPr/>
        <w:t>□ 适用√</w:t>
      </w:r>
      <w:r>
        <w:rPr>
          <w:spacing w:val="-1"/>
        </w:rPr>
        <w:t> </w:t>
      </w:r>
      <w:r>
        <w:rPr/>
        <w:t>不适用</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27、其他" w:id="223"/>
      <w:bookmarkEnd w:id="223"/>
      <w:r>
        <w:rPr>
          <w:b w:val="0"/>
          <w:bCs w:val="0"/>
        </w:rPr>
      </w:r>
      <w:r>
        <w:rPr>
          <w:rFonts w:ascii="Times New Roman" w:hAnsi="Times New Roman" w:cs="Times New Roman" w:eastAsia="Times New Roman" w:hint="default"/>
        </w:rPr>
        <w:t>27</w:t>
      </w:r>
      <w:r>
        <w:rPr/>
        <w:t>、其他</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left="532" w:right="1154"/>
        <w:jc w:val="left"/>
      </w:pPr>
      <w:r>
        <w:rPr/>
        <w:t>回购公司股份 因减少注册资本或奖励职工等原因收购本公司股份的，按实际支付的金额作为库存股处理，同时进行备查登记。如果</w:t>
      </w:r>
    </w:p>
    <w:p>
      <w:pPr>
        <w:pStyle w:val="BodyText"/>
        <w:spacing w:line="316" w:lineRule="auto" w:before="19"/>
        <w:ind w:right="0"/>
        <w:jc w:val="left"/>
      </w:pPr>
      <w:r>
        <w:rPr/>
        <w:t>将回购的股份注销，则将按注销股票面值和注销股数计算的股票面值总额与实际回购所支付的金额之间的差额冲减资本公 </w:t>
      </w:r>
      <w:r>
        <w:rPr>
          <w:spacing w:val="-2"/>
        </w:rPr>
        <w:t>积，资本公积不足冲减的，冲减留存收益；如果将回购的股份奖励给本公司职工属于以权益结算的股份支付，于职工行权购</w:t>
      </w:r>
      <w:r>
        <w:rPr>
          <w:spacing w:val="-66"/>
        </w:rPr>
        <w:t> </w:t>
      </w:r>
      <w:r>
        <w:rPr>
          <w:spacing w:val="-66"/>
        </w:rPr>
      </w:r>
      <w:r>
        <w:rPr>
          <w:spacing w:val="-2"/>
        </w:rPr>
        <w:t>买本公司股份收到价款时，转销交付职工的库存股成本和等待期内资本公积（其他资本公积）累计金额，同时，按照其差额</w:t>
      </w:r>
      <w:r>
        <w:rPr>
          <w:spacing w:val="-65"/>
        </w:rPr>
        <w:t> </w:t>
      </w:r>
      <w:r>
        <w:rPr>
          <w:spacing w:val="-65"/>
        </w:rPr>
      </w:r>
      <w:r>
        <w:rPr>
          <w:spacing w:val="-7"/>
        </w:rPr>
        <w:t>调整资本公积（股本溢价）。</w:t>
      </w:r>
    </w:p>
    <w:p>
      <w:pPr>
        <w:spacing w:after="0" w:line="316" w:lineRule="auto"/>
        <w:jc w:val="left"/>
        <w:sectPr>
          <w:pgSz w:w="11910" w:h="16840"/>
          <w:pgMar w:header="907" w:footer="1016" w:top="1100" w:bottom="1200" w:left="1020" w:right="0"/>
        </w:sectPr>
      </w:pPr>
    </w:p>
    <w:p>
      <w:pPr>
        <w:spacing w:line="240" w:lineRule="auto" w:before="9"/>
        <w:rPr>
          <w:rFonts w:ascii="宋体" w:hAnsi="宋体" w:cs="宋体" w:eastAsia="宋体" w:hint="default"/>
          <w:sz w:val="20"/>
          <w:szCs w:val="20"/>
        </w:rPr>
      </w:pPr>
    </w:p>
    <w:p>
      <w:pPr>
        <w:pStyle w:val="Heading2"/>
        <w:spacing w:line="240" w:lineRule="auto" w:before="26"/>
        <w:ind w:right="0"/>
        <w:jc w:val="left"/>
        <w:rPr>
          <w:b w:val="0"/>
          <w:bCs w:val="0"/>
        </w:rPr>
      </w:pPr>
      <w:bookmarkStart w:name="六、税项" w:id="224"/>
      <w:bookmarkEnd w:id="224"/>
      <w:r>
        <w:rPr>
          <w:b w:val="0"/>
          <w:bCs w:val="0"/>
        </w:rPr>
      </w:r>
      <w:r>
        <w:rPr/>
        <w:t>六、税项</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主要税种及税率" w:id="225"/>
      <w:bookmarkEnd w:id="225"/>
      <w:r>
        <w:rPr>
          <w:b w:val="0"/>
          <w:bCs w:val="0"/>
        </w:rPr>
      </w:r>
      <w:r>
        <w:rPr>
          <w:rFonts w:ascii="Times New Roman" w:hAnsi="Times New Roman" w:cs="Times New Roman" w:eastAsia="Times New Roman" w:hint="default"/>
        </w:rPr>
        <w:t>1</w:t>
      </w:r>
      <w:r>
        <w:rPr/>
        <w:t>、主要税种及税率</w:t>
      </w:r>
      <w:r>
        <w:rPr>
          <w:b w:val="0"/>
          <w:bCs w:val="0"/>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税种</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销售货物或提供应税劳务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7"/>
                <w:sz w:val="18"/>
                <w:szCs w:val="18"/>
              </w:rPr>
              <w:t>3%</w:t>
            </w: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5%</w:t>
            </w: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6%</w:t>
            </w: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10%</w:t>
            </w: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11%</w:t>
            </w: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16%</w:t>
            </w: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17%</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应缴流转税税额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w:t>
            </w:r>
            <w:r>
              <w:rPr>
                <w:rFonts w:ascii="Times New Roman" w:hAnsi="Times New Roman" w:cs="Times New Roman" w:eastAsia="Times New Roman" w:hint="default"/>
                <w:sz w:val="18"/>
                <w:szCs w:val="18"/>
              </w:rPr>
              <w:t>7%</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应纳税所得额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w:t>
            </w:r>
            <w:r>
              <w:rPr>
                <w:rFonts w:ascii="宋体" w:hAnsi="宋体" w:cs="宋体" w:eastAsia="宋体" w:hint="default"/>
                <w:sz w:val="18"/>
                <w:szCs w:val="18"/>
              </w:rPr>
              <w:t>、</w:t>
            </w:r>
            <w:r>
              <w:rPr>
                <w:rFonts w:ascii="Times New Roman" w:hAnsi="Times New Roman" w:cs="Times New Roman" w:eastAsia="Times New Roman" w:hint="default"/>
                <w:sz w:val="18"/>
                <w:szCs w:val="18"/>
              </w:rPr>
              <w:t>10%</w:t>
            </w:r>
            <w:r>
              <w:rPr>
                <w:rFonts w:ascii="宋体" w:hAnsi="宋体" w:cs="宋体" w:eastAsia="宋体" w:hint="default"/>
                <w:sz w:val="18"/>
                <w:szCs w:val="18"/>
              </w:rPr>
              <w:t>、</w:t>
            </w:r>
            <w:r>
              <w:rPr>
                <w:rFonts w:ascii="Times New Roman" w:hAnsi="Times New Roman" w:cs="Times New Roman" w:eastAsia="Times New Roman" w:hint="default"/>
                <w:sz w:val="18"/>
                <w:szCs w:val="18"/>
              </w:rPr>
              <w:t>12.5%</w:t>
            </w:r>
            <w:r>
              <w:rPr>
                <w:rFonts w:ascii="宋体" w:hAnsi="宋体" w:cs="宋体" w:eastAsia="宋体" w:hint="default"/>
                <w:sz w:val="18"/>
                <w:szCs w:val="18"/>
              </w:rPr>
              <w:t>、</w:t>
            </w:r>
            <w:r>
              <w:rPr>
                <w:rFonts w:ascii="Times New Roman" w:hAnsi="Times New Roman" w:cs="Times New Roman" w:eastAsia="Times New Roman" w:hint="default"/>
                <w:sz w:val="18"/>
                <w:szCs w:val="18"/>
              </w:rPr>
              <w:t>15%</w:t>
            </w:r>
            <w:r>
              <w:rPr>
                <w:rFonts w:ascii="宋体" w:hAnsi="宋体" w:cs="宋体" w:eastAsia="宋体" w:hint="default"/>
                <w:sz w:val="18"/>
                <w:szCs w:val="18"/>
              </w:rPr>
              <w:t>、</w:t>
            </w:r>
            <w:r>
              <w:rPr>
                <w:rFonts w:ascii="Times New Roman" w:hAnsi="Times New Roman" w:cs="Times New Roman" w:eastAsia="Times New Roman" w:hint="default"/>
                <w:sz w:val="18"/>
                <w:szCs w:val="18"/>
              </w:rPr>
              <w:t>20%</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p>
        </w:tc>
      </w:tr>
      <w:tr>
        <w:trPr>
          <w:trHeight w:val="361" w:hRule="exact"/>
        </w:trPr>
        <w:tc>
          <w:tcPr>
            <w:tcW w:w="3189" w:type="dxa"/>
            <w:tcBorders>
              <w:top w:val="single" w:sz="4" w:space="0" w:color="000000"/>
              <w:left w:val="single" w:sz="4" w:space="0" w:color="000000"/>
              <w:bottom w:val="nil" w:sz="6" w:space="0" w:color="auto"/>
              <w:right w:val="single" w:sz="4" w:space="0" w:color="000000"/>
            </w:tcBorders>
          </w:tcPr>
          <w:p>
            <w:pPr/>
          </w:p>
        </w:tc>
        <w:tc>
          <w:tcPr>
            <w:tcW w:w="31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从价计征的</w:t>
            </w:r>
            <w:r>
              <w:rPr>
                <w:rFonts w:ascii="宋体" w:hAnsi="宋体" w:cs="宋体" w:eastAsia="宋体" w:hint="default"/>
                <w:spacing w:val="-89"/>
                <w:sz w:val="18"/>
                <w:szCs w:val="18"/>
              </w:rPr>
              <w:t>，</w:t>
            </w:r>
            <w:r>
              <w:rPr>
                <w:rFonts w:ascii="宋体" w:hAnsi="宋体" w:cs="宋体" w:eastAsia="宋体" w:hint="default"/>
                <w:sz w:val="18"/>
                <w:szCs w:val="18"/>
              </w:rPr>
              <w:t>按房产原值一次减除</w:t>
            </w:r>
            <w:r>
              <w:rPr>
                <w:rFonts w:ascii="宋体" w:hAnsi="宋体" w:cs="宋体" w:eastAsia="宋体" w:hint="default"/>
                <w:spacing w:val="-57"/>
                <w:sz w:val="18"/>
                <w:szCs w:val="18"/>
              </w:rPr>
              <w:t> </w:t>
            </w:r>
            <w:r>
              <w:rPr>
                <w:rFonts w:ascii="Times New Roman" w:hAnsi="Times New Roman" w:cs="Times New Roman" w:eastAsia="Times New Roman" w:hint="default"/>
                <w:spacing w:val="1"/>
                <w:sz w:val="18"/>
                <w:szCs w:val="18"/>
              </w:rPr>
              <w:t>3</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w:t>
            </w:r>
          </w:p>
        </w:tc>
        <w:tc>
          <w:tcPr>
            <w:tcW w:w="3190"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318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19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宋体" w:hAnsi="宋体" w:cs="宋体" w:eastAsia="宋体" w:hint="default"/>
                <w:sz w:val="18"/>
                <w:szCs w:val="18"/>
              </w:rPr>
              <w:t>后余值的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宋体" w:hAnsi="宋体" w:cs="宋体" w:eastAsia="宋体" w:hint="default"/>
                <w:sz w:val="18"/>
                <w:szCs w:val="18"/>
              </w:rPr>
              <w:t>计缴；从租计征的，按</w:t>
            </w:r>
          </w:p>
        </w:tc>
        <w:tc>
          <w:tcPr>
            <w:tcW w:w="319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w:t>
            </w:r>
            <w:r>
              <w:rPr>
                <w:rFonts w:ascii="宋体" w:hAnsi="宋体" w:cs="宋体" w:eastAsia="宋体" w:hint="default"/>
                <w:sz w:val="18"/>
                <w:szCs w:val="18"/>
              </w:rPr>
              <w:t>、</w:t>
            </w:r>
            <w:r>
              <w:rPr>
                <w:rFonts w:ascii="Times New Roman" w:hAnsi="Times New Roman" w:cs="Times New Roman" w:eastAsia="Times New Roman" w:hint="default"/>
                <w:sz w:val="18"/>
                <w:szCs w:val="18"/>
              </w:rPr>
              <w:t>12%</w:t>
            </w:r>
          </w:p>
        </w:tc>
      </w:tr>
      <w:tr>
        <w:trPr>
          <w:trHeight w:val="353" w:hRule="exact"/>
        </w:trPr>
        <w:tc>
          <w:tcPr>
            <w:tcW w:w="3189" w:type="dxa"/>
            <w:tcBorders>
              <w:top w:val="nil" w:sz="6" w:space="0" w:color="auto"/>
              <w:left w:val="single" w:sz="4" w:space="0" w:color="000000"/>
              <w:bottom w:val="single" w:sz="4" w:space="0" w:color="000000"/>
              <w:right w:val="single" w:sz="4" w:space="0" w:color="000000"/>
            </w:tcBorders>
          </w:tcPr>
          <w:p>
            <w:pPr/>
          </w:p>
        </w:tc>
        <w:tc>
          <w:tcPr>
            <w:tcW w:w="319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宋体" w:hAnsi="宋体" w:cs="宋体" w:eastAsia="宋体" w:hint="default"/>
                <w:sz w:val="18"/>
                <w:szCs w:val="18"/>
              </w:rPr>
              <w:t>租金收入的</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宋体" w:hAnsi="宋体" w:cs="宋体" w:eastAsia="宋体" w:hint="default"/>
                <w:sz w:val="18"/>
                <w:szCs w:val="18"/>
              </w:rPr>
              <w:t>计缴</w:t>
            </w:r>
          </w:p>
        </w:tc>
        <w:tc>
          <w:tcPr>
            <w:tcW w:w="3190" w:type="dxa"/>
            <w:tcBorders>
              <w:top w:val="nil" w:sz="6" w:space="0" w:color="auto"/>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应缴流转税税额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2" w:right="0"/>
              <w:jc w:val="left"/>
              <w:rPr>
                <w:rFonts w:ascii="Times New Roman" w:hAnsi="Times New Roman" w:cs="Times New Roman" w:eastAsia="Times New Roman" w:hint="default"/>
                <w:sz w:val="18"/>
                <w:szCs w:val="18"/>
              </w:rPr>
            </w:pPr>
            <w:r>
              <w:rPr>
                <w:rFonts w:ascii="Times New Roman"/>
                <w:sz w:val="18"/>
              </w:rPr>
              <w:t>3%</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地方教育附加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应缴流转税税额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2%</w:t>
            </w:r>
          </w:p>
        </w:tc>
      </w:tr>
    </w:tbl>
    <w:p>
      <w:pPr>
        <w:pStyle w:val="BodyText"/>
        <w:spacing w:line="240" w:lineRule="auto" w:before="50"/>
        <w:ind w:right="0"/>
        <w:jc w:val="left"/>
      </w:pPr>
      <w:r>
        <w:rPr/>
        <w:t>存在不同企业所得税税率纳税主体的，披露情况说明</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2"/>
        <w:gridCol w:w="4786"/>
      </w:tblGrid>
      <w:tr>
        <w:trPr>
          <w:trHeight w:val="402" w:hRule="exact"/>
        </w:trPr>
        <w:tc>
          <w:tcPr>
            <w:tcW w:w="4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本公司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3" w:right="0"/>
              <w:jc w:val="left"/>
              <w:rPr>
                <w:rFonts w:ascii="Times New Roman" w:hAnsi="Times New Roman" w:cs="Times New Roman" w:eastAsia="Times New Roman" w:hint="default"/>
                <w:sz w:val="18"/>
                <w:szCs w:val="18"/>
              </w:rPr>
            </w:pPr>
            <w:r>
              <w:rPr>
                <w:rFonts w:ascii="Times New Roman"/>
                <w:sz w:val="18"/>
              </w:rPr>
              <w:t>10%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杭州美诺泰科科技有限公司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杭州惟勤科技有限公司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3" w:right="0"/>
              <w:jc w:val="left"/>
              <w:rPr>
                <w:rFonts w:ascii="Times New Roman" w:hAnsi="Times New Roman" w:cs="Times New Roman" w:eastAsia="Times New Roman" w:hint="default"/>
                <w:sz w:val="18"/>
                <w:szCs w:val="18"/>
              </w:rPr>
            </w:pPr>
            <w:r>
              <w:rPr>
                <w:rFonts w:ascii="Times New Roman"/>
                <w:sz w:val="18"/>
              </w:rPr>
              <w:t>12.5%</w:t>
            </w:r>
          </w:p>
        </w:tc>
      </w:tr>
      <w:tr>
        <w:trPr>
          <w:trHeight w:val="714"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1" w:right="168"/>
              <w:jc w:val="left"/>
              <w:rPr>
                <w:rFonts w:ascii="宋体" w:hAnsi="宋体" w:cs="宋体" w:eastAsia="宋体" w:hint="default"/>
                <w:sz w:val="18"/>
                <w:szCs w:val="18"/>
              </w:rPr>
            </w:pPr>
            <w:r>
              <w:rPr>
                <w:rFonts w:ascii="宋体" w:hAnsi="宋体" w:cs="宋体" w:eastAsia="宋体" w:hint="default"/>
                <w:sz w:val="18"/>
                <w:szCs w:val="18"/>
              </w:rPr>
              <w:t>广东中拓信息技术有限公司、杭州慧康物联网科技有限公 司和杭州梅清数码科技有限公司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15%</w:t>
            </w:r>
          </w:p>
        </w:tc>
      </w:tr>
      <w:tr>
        <w:trPr>
          <w:trHeight w:val="1650"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2"/>
              <w:jc w:val="left"/>
              <w:rPr>
                <w:rFonts w:ascii="宋体" w:hAnsi="宋体" w:cs="宋体" w:eastAsia="宋体" w:hint="default"/>
                <w:sz w:val="18"/>
                <w:szCs w:val="18"/>
              </w:rPr>
            </w:pPr>
            <w:r>
              <w:rPr>
                <w:rFonts w:ascii="宋体" w:hAnsi="宋体" w:cs="宋体" w:eastAsia="宋体" w:hint="default"/>
                <w:sz w:val="18"/>
                <w:szCs w:val="18"/>
              </w:rPr>
              <w:t>新疆创什信息科技有限公司、苏州创业亿康信息科技有限 </w:t>
            </w:r>
            <w:r>
              <w:rPr>
                <w:rFonts w:ascii="宋体" w:hAnsi="宋体" w:cs="宋体" w:eastAsia="宋体" w:hint="default"/>
                <w:spacing w:val="-1"/>
                <w:sz w:val="18"/>
                <w:szCs w:val="18"/>
              </w:rPr>
              <w:t>公司、重庆创易康软件有限公司、天津创津科技有限公司、</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创业软件南京有限公司、中山市杭创科技有限公司和杭州 合美物业管理有限公司、浙江医康数据科技研究院有限公 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除上述以外的其他纳税主体</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25%</w:t>
            </w:r>
          </w:p>
        </w:tc>
      </w:tr>
    </w:tbl>
    <w:p>
      <w:pPr>
        <w:spacing w:line="240" w:lineRule="auto" w:before="4"/>
        <w:rPr>
          <w:rFonts w:ascii="宋体" w:hAnsi="宋体" w:cs="宋体" w:eastAsia="宋体" w:hint="default"/>
          <w:sz w:val="19"/>
          <w:szCs w:val="19"/>
        </w:rPr>
      </w:pPr>
    </w:p>
    <w:p>
      <w:pPr>
        <w:pStyle w:val="Heading3"/>
        <w:spacing w:line="240" w:lineRule="auto" w:before="34"/>
        <w:ind w:right="0"/>
        <w:jc w:val="left"/>
        <w:rPr>
          <w:b w:val="0"/>
          <w:bCs w:val="0"/>
        </w:rPr>
      </w:pPr>
      <w:bookmarkStart w:name="2、税收优惠" w:id="226"/>
      <w:bookmarkEnd w:id="226"/>
      <w:r>
        <w:rPr>
          <w:b w:val="0"/>
          <w:bCs w:val="0"/>
        </w:rPr>
      </w:r>
      <w:r>
        <w:rPr>
          <w:rFonts w:ascii="Times New Roman" w:hAnsi="Times New Roman" w:cs="Times New Roman" w:eastAsia="Times New Roman" w:hint="default"/>
        </w:rPr>
        <w:t>2</w:t>
      </w:r>
      <w:r>
        <w:rPr/>
        <w:t>、税收优惠</w:t>
      </w:r>
      <w:r>
        <w:rPr>
          <w:b w:val="0"/>
          <w:bCs w:val="0"/>
        </w:rPr>
      </w:r>
    </w:p>
    <w:p>
      <w:pPr>
        <w:spacing w:line="240" w:lineRule="auto" w:before="7"/>
        <w:rPr>
          <w:rFonts w:ascii="宋体" w:hAnsi="宋体" w:cs="宋体" w:eastAsia="宋体" w:hint="default"/>
          <w:b/>
          <w:bCs/>
          <w:sz w:val="26"/>
          <w:szCs w:val="26"/>
        </w:rPr>
      </w:pPr>
    </w:p>
    <w:p>
      <w:pPr>
        <w:pStyle w:val="BodyText"/>
        <w:spacing w:line="309" w:lineRule="auto"/>
        <w:ind w:right="1125" w:firstLine="420"/>
        <w:jc w:val="both"/>
      </w:pPr>
      <w:r>
        <w:rPr>
          <w:rFonts w:ascii="Times New Roman" w:hAnsi="Times New Roman" w:cs="Times New Roman" w:eastAsia="Times New Roman" w:hint="default"/>
          <w:spacing w:val="-4"/>
        </w:rPr>
        <w:t>1.</w:t>
      </w:r>
      <w:r>
        <w:rPr>
          <w:spacing w:val="-4"/>
        </w:rPr>
        <w:t>根据财政部、国家税务总局《关于软件产品增值税政策的通知》（财税〔</w:t>
      </w:r>
      <w:r>
        <w:rPr>
          <w:rFonts w:ascii="Times New Roman" w:hAnsi="Times New Roman" w:cs="Times New Roman" w:eastAsia="Times New Roman" w:hint="default"/>
          <w:spacing w:val="-4"/>
        </w:rPr>
        <w:t>2011</w:t>
      </w:r>
      <w:r>
        <w:rPr>
          <w:spacing w:val="-4"/>
        </w:rPr>
        <w:t>〕</w:t>
      </w:r>
      <w:r>
        <w:rPr>
          <w:rFonts w:ascii="Times New Roman" w:hAnsi="Times New Roman" w:cs="Times New Roman" w:eastAsia="Times New Roman" w:hint="default"/>
          <w:spacing w:val="-4"/>
        </w:rPr>
        <w:t>100</w:t>
      </w:r>
      <w:r>
        <w:rPr>
          <w:spacing w:val="-4"/>
        </w:rPr>
        <w:t>号），本公司、杭州惟勤科技有限</w:t>
      </w:r>
      <w:r>
        <w:rPr/>
        <w:t> </w:t>
      </w:r>
      <w:r>
        <w:rPr>
          <w:spacing w:val="-2"/>
        </w:rPr>
        <w:t>公司、广东中拓信息技术有限公司、杭州慧康物联网科技有限公司和杭州美诺泰科科技有限公司软件产品销售增值税实际税</w:t>
      </w:r>
      <w:r>
        <w:rPr>
          <w:spacing w:val="-64"/>
        </w:rPr>
        <w:t> </w:t>
      </w:r>
      <w:r>
        <w:rPr>
          <w:spacing w:val="-64"/>
        </w:rPr>
      </w:r>
      <w:r>
        <w:rPr/>
        <w:t>负超过</w:t>
      </w:r>
      <w:r>
        <w:rPr>
          <w:rFonts w:ascii="Times New Roman" w:hAnsi="Times New Roman" w:cs="Times New Roman" w:eastAsia="Times New Roman" w:hint="default"/>
        </w:rPr>
        <w:t>3%</w:t>
      </w:r>
      <w:r>
        <w:rPr/>
        <w:t>部分享受即征即退税收优惠政策。</w:t>
      </w:r>
    </w:p>
    <w:p>
      <w:pPr>
        <w:pStyle w:val="BodyText"/>
        <w:spacing w:line="309" w:lineRule="auto" w:before="5"/>
        <w:ind w:right="1125" w:firstLine="420"/>
        <w:jc w:val="both"/>
      </w:pPr>
      <w:r>
        <w:rPr>
          <w:rFonts w:ascii="Times New Roman" w:hAnsi="Times New Roman" w:cs="Times New Roman" w:eastAsia="Times New Roman" w:hint="default"/>
          <w:spacing w:val="-2"/>
        </w:rPr>
        <w:t>2.</w:t>
      </w:r>
      <w:r>
        <w:rPr>
          <w:spacing w:val="-2"/>
        </w:rPr>
        <w:t>根据财政部、国家税务总局《关于全面推开营业税改征增值税试点的通知》（财税〔</w:t>
      </w:r>
      <w:r>
        <w:rPr>
          <w:rFonts w:ascii="Times New Roman" w:hAnsi="Times New Roman" w:cs="Times New Roman" w:eastAsia="Times New Roman" w:hint="default"/>
          <w:spacing w:val="-2"/>
        </w:rPr>
        <w:t>2016</w:t>
      </w:r>
      <w:r>
        <w:rPr>
          <w:spacing w:val="-2"/>
        </w:rPr>
        <w:t>〕</w:t>
      </w:r>
      <w:r>
        <w:rPr>
          <w:rFonts w:ascii="Times New Roman" w:hAnsi="Times New Roman" w:cs="Times New Roman" w:eastAsia="Times New Roman" w:hint="default"/>
          <w:spacing w:val="-2"/>
        </w:rPr>
        <w:t>36</w:t>
      </w:r>
      <w:r>
        <w:rPr>
          <w:spacing w:val="-2"/>
        </w:rPr>
        <w:t>号）的规定，本公司、</w:t>
      </w:r>
      <w:r>
        <w:rPr/>
        <w:t> </w:t>
      </w:r>
      <w:r>
        <w:rPr>
          <w:spacing w:val="-2"/>
        </w:rPr>
        <w:t>创业软件南京有限公司和杭州美诺泰科科技有限公司从事技术转让、技术开发业务和与之相关的技术咨询、技术服务业务取</w:t>
      </w:r>
      <w:r>
        <w:rPr>
          <w:spacing w:val="-64"/>
        </w:rPr>
        <w:t> </w:t>
      </w:r>
      <w:r>
        <w:rPr>
          <w:spacing w:val="-64"/>
        </w:rPr>
      </w:r>
      <w:r>
        <w:rPr/>
        <w:t>得的收入免缴增值税。</w:t>
      </w:r>
    </w:p>
    <w:p>
      <w:pPr>
        <w:pStyle w:val="BodyText"/>
        <w:spacing w:line="240" w:lineRule="auto" w:before="24"/>
        <w:ind w:left="532" w:right="0"/>
        <w:jc w:val="left"/>
      </w:pPr>
      <w:r>
        <w:rPr>
          <w:rFonts w:ascii="Times New Roman" w:hAnsi="Times New Roman" w:cs="Times New Roman" w:eastAsia="Times New Roman" w:hint="default"/>
          <w:spacing w:val="1"/>
        </w:rPr>
        <w:t>3</w:t>
      </w:r>
      <w:r>
        <w:rPr>
          <w:rFonts w:ascii="Times New Roman" w:hAnsi="Times New Roman" w:cs="Times New Roman" w:eastAsia="Times New Roman" w:hint="default"/>
        </w:rPr>
        <w:t>.</w:t>
      </w:r>
      <w:r>
        <w:rPr/>
        <w:t>根据财政部</w:t>
      </w:r>
      <w:r>
        <w:rPr>
          <w:spacing w:val="-5"/>
        </w:rPr>
        <w:t>、</w:t>
      </w:r>
      <w:r>
        <w:rPr/>
        <w:t>国家税务总局《关于进一步鼓励软件产业和集成电路产业发展企业所得税政策的通知</w:t>
      </w:r>
      <w:r>
        <w:rPr>
          <w:spacing w:val="-92"/>
        </w:rPr>
        <w:t>》</w:t>
      </w:r>
      <w:r>
        <w:rPr/>
        <w:t>（财税﹝</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2</w:t>
      </w:r>
      <w:r>
        <w:rPr/>
        <w:t>﹞</w:t>
      </w:r>
    </w:p>
    <w:p>
      <w:pPr>
        <w:pStyle w:val="BodyText"/>
        <w:spacing w:line="240" w:lineRule="auto" w:before="63"/>
        <w:ind w:right="0"/>
        <w:jc w:val="left"/>
      </w:pPr>
      <w:r>
        <w:rPr>
          <w:rFonts w:ascii="Times New Roman" w:hAnsi="Times New Roman" w:cs="Times New Roman" w:eastAsia="Times New Roman" w:hint="default"/>
        </w:rPr>
        <w:t>27</w:t>
      </w:r>
      <w:r>
        <w:rPr/>
        <w:t>号）的规定</w:t>
      </w:r>
      <w:r>
        <w:rPr>
          <w:rFonts w:ascii="Times New Roman" w:hAnsi="Times New Roman" w:cs="Times New Roman" w:eastAsia="Times New Roman" w:hint="default"/>
        </w:rPr>
        <w:t>,</w:t>
      </w:r>
      <w:r>
        <w:rPr/>
        <w:t>本公司为国家规划布局内重点软件企业，可减按</w:t>
      </w:r>
      <w:r>
        <w:rPr>
          <w:rFonts w:ascii="Times New Roman" w:hAnsi="Times New Roman" w:cs="Times New Roman" w:eastAsia="Times New Roman" w:hint="default"/>
        </w:rPr>
        <w:t>10%</w:t>
      </w:r>
      <w:r>
        <w:rPr/>
        <w:t>的税率计缴企业所得税。</w:t>
      </w:r>
    </w:p>
    <w:p>
      <w:pPr>
        <w:pStyle w:val="BodyText"/>
        <w:spacing w:line="240" w:lineRule="auto" w:before="63"/>
        <w:ind w:left="532" w:right="0"/>
        <w:jc w:val="left"/>
      </w:pPr>
      <w:r>
        <w:rPr>
          <w:rFonts w:ascii="Times New Roman" w:hAnsi="Times New Roman" w:cs="Times New Roman" w:eastAsia="Times New Roman" w:hint="default"/>
          <w:spacing w:val="1"/>
        </w:rPr>
        <w:t>4</w:t>
      </w:r>
      <w:r>
        <w:rPr>
          <w:rFonts w:ascii="Times New Roman" w:hAnsi="Times New Roman" w:cs="Times New Roman" w:eastAsia="Times New Roman" w:hint="default"/>
        </w:rPr>
        <w:t>.</w:t>
      </w:r>
      <w:r>
        <w:rPr/>
        <w:t>根据财政部</w:t>
      </w:r>
      <w:r>
        <w:rPr>
          <w:spacing w:val="-5"/>
        </w:rPr>
        <w:t>、</w:t>
      </w:r>
      <w:r>
        <w:rPr/>
        <w:t>国家税务总局《关于进一步鼓励软件产业和集成电路产业发展企业所得税政策的通知</w:t>
      </w:r>
      <w:r>
        <w:rPr>
          <w:spacing w:val="-92"/>
        </w:rPr>
        <w:t>》</w:t>
      </w:r>
      <w:r>
        <w:rPr/>
        <w:t>（财税﹝</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2</w:t>
      </w:r>
      <w:r>
        <w:rPr/>
        <w:t>﹞</w:t>
      </w:r>
    </w:p>
    <w:p>
      <w:pPr>
        <w:pStyle w:val="BodyText"/>
        <w:spacing w:line="300" w:lineRule="auto" w:before="63"/>
        <w:ind w:right="0"/>
        <w:jc w:val="left"/>
      </w:pPr>
      <w:r>
        <w:rPr>
          <w:rFonts w:ascii="Times New Roman" w:hAnsi="Times New Roman" w:cs="Times New Roman" w:eastAsia="Times New Roman" w:hint="default"/>
          <w:spacing w:val="-1"/>
        </w:rPr>
        <w:t>27</w:t>
      </w:r>
      <w:r>
        <w:rPr>
          <w:spacing w:val="-1"/>
        </w:rPr>
        <w:t>号）的规定</w:t>
      </w:r>
      <w:r>
        <w:rPr>
          <w:rFonts w:ascii="Times New Roman" w:hAnsi="Times New Roman" w:cs="Times New Roman" w:eastAsia="Times New Roman" w:hint="default"/>
          <w:spacing w:val="-1"/>
        </w:rPr>
        <w:t>,</w:t>
      </w:r>
      <w:r>
        <w:rPr>
          <w:spacing w:val="-1"/>
        </w:rPr>
        <w:t>在</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日前杭州惟勤科技有限公司和杭州美诺泰科科技有限公司自获利年度起享受企业所得税</w:t>
      </w:r>
      <w:r>
        <w:rPr>
          <w:rFonts w:ascii="Times New Roman" w:hAnsi="Times New Roman" w:cs="Times New Roman" w:eastAsia="Times New Roman" w:hint="default"/>
          <w:spacing w:val="-1"/>
        </w:rPr>
        <w:t>“</w:t>
      </w:r>
      <w:r>
        <w:rPr>
          <w:spacing w:val="-1"/>
        </w:rPr>
        <w:t>两免</w:t>
      </w:r>
      <w:r>
        <w:rPr>
          <w:spacing w:val="-64"/>
        </w:rPr>
        <w:t> </w:t>
      </w:r>
      <w:r>
        <w:rPr/>
        <w:t>三减半</w:t>
      </w:r>
      <w:r>
        <w:rPr>
          <w:rFonts w:ascii="Times New Roman" w:hAnsi="Times New Roman" w:cs="Times New Roman" w:eastAsia="Times New Roman" w:hint="default"/>
        </w:rPr>
        <w:t>”</w:t>
      </w:r>
      <w:r>
        <w:rPr/>
        <w:t>的优惠政策。因杭州惟勤科技有限公司</w:t>
      </w:r>
      <w:r>
        <w:rPr>
          <w:rFonts w:ascii="Times New Roman" w:hAnsi="Times New Roman" w:cs="Times New Roman" w:eastAsia="Times New Roman" w:hint="default"/>
        </w:rPr>
        <w:t>2015</w:t>
      </w:r>
      <w:r>
        <w:rPr/>
        <w:t>年度开始获利，故</w:t>
      </w:r>
      <w:r>
        <w:rPr>
          <w:rFonts w:ascii="Times New Roman" w:hAnsi="Times New Roman" w:cs="Times New Roman" w:eastAsia="Times New Roman" w:hint="default"/>
        </w:rPr>
        <w:t>2018</w:t>
      </w:r>
      <w:r>
        <w:rPr/>
        <w:t>年度减半征收企业所得税；因杭州美诺泰科科技</w:t>
      </w:r>
    </w:p>
    <w:p>
      <w:pPr>
        <w:spacing w:after="0" w:line="30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right="0"/>
        <w:jc w:val="left"/>
      </w:pPr>
      <w:r>
        <w:rPr/>
        <w:t>有限公司</w:t>
      </w:r>
      <w:r>
        <w:rPr>
          <w:rFonts w:ascii="Times New Roman" w:hAnsi="Times New Roman" w:cs="Times New Roman" w:eastAsia="Times New Roman" w:hint="default"/>
        </w:rPr>
        <w:t>2017</w:t>
      </w:r>
      <w:r>
        <w:rPr/>
        <w:t>年度开始获利，故</w:t>
      </w:r>
      <w:r>
        <w:rPr>
          <w:rFonts w:ascii="Times New Roman" w:hAnsi="Times New Roman" w:cs="Times New Roman" w:eastAsia="Times New Roman" w:hint="default"/>
        </w:rPr>
        <w:t>2018</w:t>
      </w:r>
      <w:r>
        <w:rPr/>
        <w:t>年度免征企业所得税。</w:t>
      </w:r>
    </w:p>
    <w:p>
      <w:pPr>
        <w:pStyle w:val="BodyText"/>
        <w:spacing w:line="240" w:lineRule="auto" w:before="63"/>
        <w:ind w:left="532" w:right="0"/>
        <w:jc w:val="left"/>
      </w:pPr>
      <w:r>
        <w:rPr>
          <w:rFonts w:ascii="Times New Roman" w:hAnsi="Times New Roman" w:cs="Times New Roman" w:eastAsia="Times New Roman" w:hint="default"/>
          <w:spacing w:val="1"/>
        </w:rPr>
        <w:t>5</w:t>
      </w:r>
      <w:r>
        <w:rPr>
          <w:rFonts w:ascii="Times New Roman" w:hAnsi="Times New Roman" w:cs="Times New Roman" w:eastAsia="Times New Roman" w:hint="default"/>
        </w:rPr>
        <w:t>.</w:t>
      </w:r>
      <w:r>
        <w:rPr/>
        <w:t>根据科学技术部火炬高技术产业开发中心《关于浙江省</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7</w:t>
      </w:r>
      <w:r>
        <w:rPr/>
        <w:t>年第一批高新技术企业备案的复函</w:t>
      </w:r>
      <w:r>
        <w:rPr>
          <w:spacing w:val="-92"/>
        </w:rPr>
        <w:t>》</w:t>
      </w:r>
      <w:r>
        <w:rPr/>
        <w:t>（国科火字〔</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7</w:t>
      </w:r>
      <w:r>
        <w:rPr/>
        <w:t>〕</w:t>
      </w:r>
    </w:p>
    <w:p>
      <w:pPr>
        <w:pStyle w:val="BodyText"/>
        <w:spacing w:line="240" w:lineRule="auto" w:before="63"/>
        <w:ind w:right="0"/>
        <w:jc w:val="left"/>
        <w:rPr>
          <w:rFonts w:ascii="Times New Roman" w:hAnsi="Times New Roman" w:cs="Times New Roman" w:eastAsia="Times New Roman" w:hint="default"/>
        </w:rPr>
      </w:pP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t>号</w:t>
      </w:r>
      <w:r>
        <w:rPr>
          <w:spacing w:val="-92"/>
        </w:rPr>
        <w:t>）</w:t>
      </w:r>
      <w:r>
        <w:rPr>
          <w:spacing w:val="-24"/>
        </w:rPr>
        <w:t>，</w:t>
      </w:r>
      <w:r>
        <w:rPr/>
        <w:t>杭州慧康物联网科技有限公司和杭州梅清数码科技有限公司被评定为高新技术企业</w:t>
      </w:r>
      <w:r>
        <w:rPr>
          <w:spacing w:val="-27"/>
        </w:rPr>
        <w:t>，</w:t>
      </w:r>
      <w:r>
        <w:rPr/>
        <w:t>故</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8</w:t>
      </w:r>
      <w:r>
        <w:rPr/>
        <w:t>年企业所得税减按</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5</w:t>
      </w:r>
      <w:r>
        <w:rPr>
          <w:rFonts w:ascii="Times New Roman" w:hAnsi="Times New Roman" w:cs="Times New Roman" w:eastAsia="Times New Roman" w:hint="default"/>
        </w:rPr>
        <w:t>%</w:t>
      </w:r>
    </w:p>
    <w:p>
      <w:pPr>
        <w:pStyle w:val="BodyText"/>
        <w:spacing w:line="240" w:lineRule="auto" w:before="63"/>
        <w:ind w:right="0"/>
        <w:jc w:val="left"/>
      </w:pPr>
      <w:r>
        <w:rPr/>
        <w:t>的税率计缴。</w:t>
      </w:r>
    </w:p>
    <w:p>
      <w:pPr>
        <w:pStyle w:val="BodyText"/>
        <w:spacing w:line="240" w:lineRule="auto" w:before="76"/>
        <w:ind w:left="532" w:right="0"/>
        <w:jc w:val="left"/>
      </w:pPr>
      <w:r>
        <w:rPr>
          <w:rFonts w:ascii="Times New Roman" w:hAnsi="Times New Roman" w:cs="Times New Roman" w:eastAsia="Times New Roman" w:hint="default"/>
          <w:spacing w:val="1"/>
        </w:rPr>
        <w:t>6</w:t>
      </w:r>
      <w:r>
        <w:rPr>
          <w:rFonts w:ascii="Times New Roman" w:hAnsi="Times New Roman" w:cs="Times New Roman" w:eastAsia="Times New Roman" w:hint="default"/>
        </w:rPr>
        <w:t>.</w:t>
      </w:r>
      <w:r>
        <w:rPr/>
        <w:t>根据科学技术部火炬高技术产业开发中心《关于广东省</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8</w:t>
      </w:r>
      <w:r>
        <w:rPr/>
        <w:t>年第二批高新技术企业备案的复函</w:t>
      </w:r>
      <w:r>
        <w:rPr>
          <w:spacing w:val="-92"/>
        </w:rPr>
        <w:t>》</w:t>
      </w:r>
      <w:r>
        <w:rPr/>
        <w:t>（国科火字〔</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9</w:t>
      </w:r>
      <w:r>
        <w:rPr/>
        <w:t>〕</w:t>
      </w:r>
    </w:p>
    <w:p>
      <w:pPr>
        <w:pStyle w:val="BodyText"/>
        <w:spacing w:line="240" w:lineRule="auto" w:before="63"/>
        <w:ind w:right="0"/>
        <w:jc w:val="left"/>
      </w:pPr>
      <w:r>
        <w:rPr>
          <w:rFonts w:ascii="Times New Roman" w:hAnsi="Times New Roman" w:cs="Times New Roman" w:eastAsia="Times New Roman" w:hint="default"/>
          <w:spacing w:val="1"/>
        </w:rPr>
        <w:t>8</w:t>
      </w:r>
      <w:r>
        <w:rPr>
          <w:rFonts w:ascii="Times New Roman" w:hAnsi="Times New Roman" w:cs="Times New Roman" w:eastAsia="Times New Roman" w:hint="default"/>
          <w:spacing w:val="-2"/>
        </w:rPr>
        <w:t>6</w:t>
      </w:r>
      <w:r>
        <w:rPr/>
        <w:t>号</w:t>
      </w:r>
      <w:r>
        <w:rPr>
          <w:spacing w:val="-89"/>
        </w:rPr>
        <w:t>）</w:t>
      </w:r>
      <w:r>
        <w:rPr/>
        <w:t>，广东中拓信息技术有限公司被评定为高新技术企业，故</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8</w:t>
      </w:r>
      <w:r>
        <w:rPr/>
        <w:t>年企业所得税减按</w:t>
      </w:r>
      <w:r>
        <w:rPr>
          <w:rFonts w:ascii="Times New Roman" w:hAnsi="Times New Roman" w:cs="Times New Roman" w:eastAsia="Times New Roman" w:hint="default"/>
          <w:spacing w:val="1"/>
        </w:rPr>
        <w:t>1</w:t>
      </w:r>
      <w:r>
        <w:rPr>
          <w:rFonts w:ascii="Times New Roman" w:hAnsi="Times New Roman" w:cs="Times New Roman" w:eastAsia="Times New Roman" w:hint="default"/>
          <w:spacing w:val="-2"/>
        </w:rPr>
        <w:t>5%</w:t>
      </w:r>
      <w:r>
        <w:rPr/>
        <w:t>的税率计缴。</w:t>
      </w:r>
    </w:p>
    <w:p>
      <w:pPr>
        <w:pStyle w:val="BodyText"/>
        <w:spacing w:line="319" w:lineRule="auto" w:before="63"/>
        <w:ind w:right="0" w:firstLine="420"/>
        <w:jc w:val="left"/>
      </w:pPr>
      <w:r>
        <w:rPr>
          <w:rFonts w:ascii="Times New Roman" w:hAnsi="Times New Roman" w:cs="Times New Roman" w:eastAsia="Times New Roman" w:hint="default"/>
          <w:spacing w:val="-3"/>
        </w:rPr>
        <w:t>7.</w:t>
      </w:r>
      <w:r>
        <w:rPr>
          <w:spacing w:val="-3"/>
        </w:rPr>
        <w:t>根据财政部、国家税务总局《关于小型微利企业所得税优惠政策有关问题的通知》（财税〔</w:t>
      </w:r>
      <w:r>
        <w:rPr>
          <w:rFonts w:ascii="Times New Roman" w:hAnsi="Times New Roman" w:cs="Times New Roman" w:eastAsia="Times New Roman" w:hint="default"/>
          <w:spacing w:val="-3"/>
        </w:rPr>
        <w:t>2015</w:t>
      </w:r>
      <w:r>
        <w:rPr>
          <w:spacing w:val="-3"/>
        </w:rPr>
        <w:t>〕</w:t>
      </w:r>
      <w:r>
        <w:rPr>
          <w:rFonts w:ascii="Times New Roman" w:hAnsi="Times New Roman" w:cs="Times New Roman" w:eastAsia="Times New Roman" w:hint="default"/>
          <w:spacing w:val="-3"/>
        </w:rPr>
        <w:t>34</w:t>
      </w:r>
      <w:r>
        <w:rPr>
          <w:spacing w:val="-3"/>
        </w:rPr>
        <w:t>号），子公司新</w:t>
      </w:r>
      <w:r>
        <w:rPr/>
        <w:t> </w:t>
      </w:r>
      <w:r>
        <w:rPr>
          <w:spacing w:val="-2"/>
        </w:rPr>
        <w:t>疆创什信息科技有限公司、苏州创业亿康信息科技有限公司、重庆创易康软件有限公司、天津创津科技有限公司、创业软件</w:t>
      </w:r>
      <w:r>
        <w:rPr>
          <w:spacing w:val="-64"/>
        </w:rPr>
        <w:t> </w:t>
      </w:r>
      <w:r>
        <w:rPr>
          <w:spacing w:val="-64"/>
        </w:rPr>
      </w:r>
      <w:r>
        <w:rPr>
          <w:spacing w:val="-2"/>
        </w:rPr>
        <w:t>南京有限公司、中山市杭创科技有限公司、杭州合美物业管理有限公司和浙江医康数据科技研究院有限公司符合小型微利企</w:t>
      </w:r>
      <w:r>
        <w:rPr>
          <w:spacing w:val="-64"/>
        </w:rPr>
        <w:t> </w:t>
      </w:r>
      <w:r>
        <w:rPr>
          <w:spacing w:val="-64"/>
        </w:rPr>
      </w:r>
      <w:r>
        <w:rPr/>
        <w:t>业条件，</w:t>
      </w:r>
      <w:r>
        <w:rPr>
          <w:rFonts w:ascii="Times New Roman" w:hAnsi="Times New Roman" w:cs="Times New Roman" w:eastAsia="Times New Roman" w:hint="default"/>
        </w:rPr>
        <w:t>2018</w:t>
      </w:r>
      <w:r>
        <w:rPr/>
        <w:t>年度企业所得减按</w:t>
      </w:r>
      <w:r>
        <w:rPr>
          <w:rFonts w:ascii="Times New Roman" w:hAnsi="Times New Roman" w:cs="Times New Roman" w:eastAsia="Times New Roman" w:hint="default"/>
        </w:rPr>
        <w:t>50%</w:t>
      </w:r>
      <w:r>
        <w:rPr/>
        <w:t>计入应纳税所得额，并按</w:t>
      </w:r>
      <w:r>
        <w:rPr>
          <w:rFonts w:ascii="Times New Roman" w:hAnsi="Times New Roman" w:cs="Times New Roman" w:eastAsia="Times New Roman" w:hint="default"/>
        </w:rPr>
        <w:t>20%</w:t>
      </w:r>
      <w:r>
        <w:rPr/>
        <w:t>的税率缴纳企业所得税。 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号——上市公司从事软件与信息技术服务业务》的披露要求</w:t>
      </w:r>
    </w:p>
    <w:p>
      <w:pPr>
        <w:pStyle w:val="BodyText"/>
        <w:spacing w:line="240" w:lineRule="auto" w:before="38"/>
        <w:ind w:left="472" w:right="0"/>
        <w:jc w:val="left"/>
      </w:pPr>
      <w:r>
        <w:rPr/>
        <w:t>公司本期软件产品增值税即征即退金额详见财务报告合并财务报表项目注释政府补助之说明。</w:t>
      </w:r>
    </w:p>
    <w:p>
      <w:pPr>
        <w:spacing w:line="240" w:lineRule="auto" w:before="0"/>
        <w:rPr>
          <w:rFonts w:ascii="宋体" w:hAnsi="宋体" w:cs="宋体" w:eastAsia="宋体" w:hint="default"/>
          <w:sz w:val="18"/>
          <w:szCs w:val="18"/>
        </w:rPr>
      </w:pPr>
    </w:p>
    <w:p>
      <w:pPr>
        <w:spacing w:line="484" w:lineRule="auto" w:before="118"/>
        <w:ind w:left="112" w:right="8344" w:firstLine="0"/>
        <w:jc w:val="left"/>
        <w:rPr>
          <w:rFonts w:ascii="宋体" w:hAnsi="宋体" w:cs="宋体" w:eastAsia="宋体" w:hint="default"/>
          <w:sz w:val="21"/>
          <w:szCs w:val="21"/>
        </w:rPr>
      </w:pPr>
      <w:bookmarkStart w:name="3、其他" w:id="227"/>
      <w:bookmarkEnd w:id="227"/>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、其他</w:t>
      </w:r>
      <w:r>
        <w:rPr>
          <w:rFonts w:ascii="宋体" w:hAnsi="宋体" w:cs="宋体" w:eastAsia="宋体" w:hint="default"/>
          <w:b/>
          <w:bCs/>
          <w:w w:val="99"/>
          <w:sz w:val="21"/>
          <w:szCs w:val="21"/>
        </w:rPr>
        <w:t> </w:t>
      </w:r>
      <w:bookmarkStart w:name="七、财务报表项目注释" w:id="228"/>
      <w:bookmarkEnd w:id="228"/>
      <w:r>
        <w:rPr>
          <w:rFonts w:ascii="宋体" w:hAnsi="宋体" w:cs="宋体" w:eastAsia="宋体" w:hint="default"/>
          <w:b/>
          <w:bCs/>
          <w:w w:val="99"/>
          <w:sz w:val="21"/>
          <w:szCs w:val="21"/>
        </w:rPr>
      </w:r>
      <w:r>
        <w:rPr>
          <w:rFonts w:ascii="宋体" w:hAnsi="宋体" w:cs="宋体" w:eastAsia="宋体" w:hint="default"/>
          <w:b/>
          <w:bCs/>
          <w:sz w:val="24"/>
          <w:szCs w:val="24"/>
        </w:rPr>
        <w:t>七、财务报表项目注释</w:t>
      </w:r>
      <w:r>
        <w:rPr>
          <w:rFonts w:ascii="宋体" w:hAnsi="宋体" w:cs="宋体" w:eastAsia="宋体" w:hint="default"/>
          <w:b/>
          <w:bCs/>
          <w:w w:val="99"/>
          <w:sz w:val="24"/>
          <w:szCs w:val="24"/>
        </w:rPr>
        <w:t> </w:t>
      </w:r>
      <w:bookmarkStart w:name="1、货币资金" w:id="229"/>
      <w:bookmarkEnd w:id="229"/>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、货币资金</w:t>
      </w:r>
      <w:r>
        <w:rPr>
          <w:rFonts w:ascii="宋体" w:hAnsi="宋体" w:cs="宋体" w:eastAsia="宋体" w:hint="default"/>
          <w:sz w:val="21"/>
          <w:szCs w:val="21"/>
        </w:rPr>
      </w:r>
    </w:p>
    <w:p>
      <w:pPr>
        <w:pStyle w:val="BodyText"/>
        <w:spacing w:line="240" w:lineRule="auto" w:before="109"/>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90,489.28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130,869.17</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465,583,754.01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360,157,416.61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2,693,421.66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793,674.03</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468,367,664.95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361,081,959.81</w:t>
            </w:r>
          </w:p>
        </w:tc>
      </w:tr>
    </w:tbl>
    <w:p>
      <w:pPr>
        <w:pStyle w:val="BodyText"/>
        <w:spacing w:line="360" w:lineRule="auto" w:before="49"/>
        <w:ind w:right="2699"/>
        <w:jc w:val="left"/>
      </w:pPr>
      <w:r>
        <w:rPr/>
        <w:t>其他说明 期末其他货币资金包括银行承兑汇票保证金</w:t>
      </w:r>
      <w:r>
        <w:rPr>
          <w:rFonts w:ascii="Times New Roman" w:hAnsi="Times New Roman" w:cs="Times New Roman" w:eastAsia="Times New Roman" w:hint="default"/>
        </w:rPr>
        <w:t>724,912.66</w:t>
      </w:r>
      <w:r>
        <w:rPr/>
        <w:t>元和保函保证金</w:t>
      </w:r>
      <w:r>
        <w:rPr>
          <w:rFonts w:ascii="Times New Roman" w:hAnsi="Times New Roman" w:cs="Times New Roman" w:eastAsia="Times New Roman" w:hint="default"/>
        </w:rPr>
        <w:t>1,968,509.00</w:t>
      </w:r>
      <w:r>
        <w:rPr/>
        <w:t>元，均系受限资金。</w:t>
      </w:r>
    </w:p>
    <w:p>
      <w:pPr>
        <w:spacing w:line="240" w:lineRule="auto" w:before="2"/>
        <w:rPr>
          <w:rFonts w:ascii="宋体" w:hAnsi="宋体" w:cs="宋体" w:eastAsia="宋体" w:hint="default"/>
          <w:sz w:val="18"/>
          <w:szCs w:val="18"/>
        </w:rPr>
      </w:pPr>
    </w:p>
    <w:p>
      <w:pPr>
        <w:pStyle w:val="Heading3"/>
        <w:spacing w:line="240" w:lineRule="auto"/>
        <w:ind w:right="0"/>
        <w:jc w:val="left"/>
        <w:rPr>
          <w:b w:val="0"/>
          <w:bCs w:val="0"/>
        </w:rPr>
      </w:pPr>
      <w:bookmarkStart w:name="2、应收票据及应收账款" w:id="230"/>
      <w:bookmarkEnd w:id="230"/>
      <w:r>
        <w:rPr>
          <w:b w:val="0"/>
          <w:bCs w:val="0"/>
        </w:rPr>
      </w:r>
      <w:r>
        <w:rPr>
          <w:rFonts w:ascii="Times New Roman" w:hAnsi="Times New Roman" w:cs="Times New Roman" w:eastAsia="Times New Roman" w:hint="default"/>
        </w:rPr>
        <w:t>2</w:t>
      </w:r>
      <w:r>
        <w:rPr/>
        <w:t>、应收票据及应收账款</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1,154,448.73</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579,520,829.00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447,674,875.18</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580,675,277.73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447,674,875.18</w:t>
            </w:r>
          </w:p>
        </w:tc>
      </w:tr>
    </w:tbl>
    <w:p>
      <w:pPr>
        <w:spacing w:line="240" w:lineRule="auto" w:before="4"/>
        <w:rPr>
          <w:rFonts w:ascii="宋体" w:hAnsi="宋体" w:cs="宋体" w:eastAsia="宋体" w:hint="default"/>
          <w:sz w:val="19"/>
          <w:szCs w:val="19"/>
        </w:rPr>
      </w:pPr>
    </w:p>
    <w:p>
      <w:pPr>
        <w:pStyle w:val="Heading3"/>
        <w:spacing w:line="240" w:lineRule="auto" w:before="34"/>
        <w:ind w:right="0"/>
        <w:jc w:val="left"/>
        <w:rPr>
          <w:b w:val="0"/>
          <w:bCs w:val="0"/>
        </w:rPr>
      </w:pPr>
      <w:bookmarkStart w:name="（1）应收票据" w:id="231"/>
      <w:bookmarkEnd w:id="231"/>
      <w:r>
        <w:rPr>
          <w:b w:val="0"/>
          <w:bCs w:val="0"/>
        </w:rPr>
      </w:r>
      <w:r>
        <w:rPr/>
        <w:t>（</w:t>
      </w:r>
      <w:r>
        <w:rPr>
          <w:rFonts w:ascii="Times New Roman" w:hAnsi="Times New Roman" w:cs="Times New Roman" w:eastAsia="Times New Roman" w:hint="default"/>
        </w:rPr>
        <w:t>1</w:t>
      </w:r>
      <w:r>
        <w:rPr/>
        <w:t>）应收票据</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应收票据分类列示</w:t>
      </w:r>
    </w:p>
    <w:p>
      <w:pPr>
        <w:pStyle w:val="BodyText"/>
        <w:spacing w:line="240" w:lineRule="auto" w:before="103"/>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0"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footerReference w:type="default" r:id="rId42"/>
          <w:pgSz w:w="11910" w:h="16840"/>
          <w:pgMar w:footer="1016" w:header="907" w:top="1100" w:bottom="1200" w:left="1020" w:right="0"/>
          <w:pgNumType w:start="13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1,154,448.73</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1,154,448.73</w:t>
            </w:r>
          </w:p>
        </w:tc>
        <w:tc>
          <w:tcPr>
            <w:tcW w:w="3190"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0"/>
        <w:ind w:right="0"/>
        <w:jc w:val="left"/>
      </w:pPr>
      <w:r>
        <w:rPr>
          <w:rFonts w:ascii="Times New Roman" w:hAnsi="Times New Roman" w:cs="Times New Roman" w:eastAsia="Times New Roman" w:hint="default"/>
        </w:rPr>
        <w:t>2)</w:t>
      </w:r>
      <w:r>
        <w:rPr/>
        <w:t>期末公司已质押的应收票据</w:t>
      </w:r>
    </w:p>
    <w:p>
      <w:pPr>
        <w:pStyle w:val="BodyText"/>
        <w:spacing w:line="240" w:lineRule="auto" w:before="103"/>
        <w:ind w:left="0" w:right="1132"/>
        <w:jc w:val="right"/>
      </w:pPr>
      <w:r>
        <w:rPr/>
        <w:t>单位：元</w:t>
      </w:r>
    </w:p>
    <w:p>
      <w:pPr>
        <w:spacing w:line="240" w:lineRule="auto" w:before="10"/>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4pt;height:20.85pt;mso-position-horizontal-relative:char;mso-position-vertical-relative:line" coordorigin="0,0" coordsize="9588,417">
            <v:group style="position:absolute;left:13;top:13;width:4779;height:397" coordorigin="13,13" coordsize="4779,397">
              <v:shape style="position:absolute;left:13;top:13;width:4779;height:397" coordorigin="13,13" coordsize="4779,397" path="m13,13l4792,13,4792,410,13,410,13,13xe" filled="true" fillcolor="#d2d2d2" stroked="false">
                <v:path arrowok="t"/>
                <v:fill type="solid"/>
              </v:shape>
            </v:group>
            <v:group style="position:absolute;left:4797;top:13;width:4779;height:397" coordorigin="4797,13" coordsize="4779,397">
              <v:shape style="position:absolute;left:4797;top:13;width:4779;height:397" coordorigin="4797,13" coordsize="4779,397" path="m4797,13l9576,13,9576,410,4797,410,4797,13xe" filled="true" fillcolor="#d2d2d2"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94;top:5;width:2;height:402" coordorigin="4794,5" coordsize="2,402">
              <v:shape style="position:absolute;left:4794;top:5;width:2;height:402" coordorigin="4794,5" coordsize="0,402" path="m4794,5l4794,407e" filled="false" stroked="true" strokeweight=".48pt" strokecolor="#000000">
                <v:path arrowok="t"/>
              </v:shape>
            </v:group>
            <v:group style="position:absolute;left:9578;top:5;width:2;height:402" coordorigin="9578,5" coordsize="2,402">
              <v:shape style="position:absolute;left:9578;top:5;width:2;height:402" coordorigin="9578,5" coordsize="0,402" path="m9578,5l9578,407e" filled="false" stroked="true" strokeweight=".48pt" strokecolor="#000000">
                <v:path arrowok="t"/>
              </v:shape>
              <v:shape style="position:absolute;left:2221;top:12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794;top:10;width:4784;height:402" type="#_x0000_t202" filled="false" stroked="false">
                <v:textbox inset="0,0,0,0">
                  <w:txbxContent>
                    <w:p>
                      <w:pPr>
                        <w:spacing w:before="56"/>
                        <w:ind w:left="0" w:right="0" w:firstLine="0"/>
                        <w:jc w:val="center"/>
                        <w:rPr>
                          <w:rFonts w:ascii="宋体" w:hAnsi="宋体" w:cs="宋体" w:eastAsia="宋体" w:hint="default"/>
                          <w:sz w:val="18"/>
                          <w:szCs w:val="18"/>
                        </w:rPr>
                      </w:pPr>
                      <w:r>
                        <w:rPr>
                          <w:rFonts w:ascii="宋体" w:hAnsi="宋体" w:cs="宋体" w:eastAsia="宋体" w:hint="default"/>
                          <w:sz w:val="18"/>
                          <w:szCs w:val="18"/>
                        </w:rPr>
                        <w:t>期末已质押金额</w:t>
                      </w:r>
                    </w:p>
                  </w:txbxContent>
                </v:textbox>
                <w10:wrap type="none"/>
              </v:shape>
            </v:group>
          </v:group>
        </w:pict>
      </w:r>
      <w:r>
        <w:rPr>
          <w:rFonts w:ascii="宋体" w:hAnsi="宋体" w:cs="宋体" w:eastAsia="宋体" w:hint="default"/>
          <w:position w:val="-7"/>
          <w:sz w:val="20"/>
          <w:szCs w:val="20"/>
        </w:rPr>
      </w:r>
    </w:p>
    <w:p>
      <w:pPr>
        <w:pStyle w:val="BodyText"/>
        <w:spacing w:line="240" w:lineRule="auto" w:before="51"/>
        <w:ind w:right="0"/>
        <w:jc w:val="left"/>
      </w:pPr>
      <w:r>
        <w:rPr>
          <w:rFonts w:ascii="Times New Roman" w:hAnsi="Times New Roman" w:cs="Times New Roman" w:eastAsia="Times New Roman" w:hint="default"/>
        </w:rPr>
        <w:t>3)</w:t>
      </w:r>
      <w:r>
        <w:rPr/>
        <w:t>期末公司已背书或贴现且在资产负债表日尚未到期的应收票据</w:t>
      </w:r>
    </w:p>
    <w:p>
      <w:pPr>
        <w:pStyle w:val="BodyText"/>
        <w:spacing w:line="240" w:lineRule="auto" w:before="103"/>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870"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78"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253,038.00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253,038.00</w:t>
            </w:r>
          </w:p>
        </w:tc>
        <w:tc>
          <w:tcPr>
            <w:tcW w:w="3190"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0"/>
        <w:jc w:val="left"/>
      </w:pPr>
      <w:r>
        <w:rPr>
          <w:rFonts w:ascii="Times New Roman" w:hAnsi="Times New Roman" w:cs="Times New Roman" w:eastAsia="Times New Roman" w:hint="default"/>
        </w:rPr>
        <w:t>4)</w:t>
      </w:r>
      <w:r>
        <w:rPr/>
        <w:t>期末公司因出票人未履约而将其转应收账款的票据</w:t>
      </w:r>
    </w:p>
    <w:p>
      <w:pPr>
        <w:pStyle w:val="BodyText"/>
        <w:spacing w:line="240" w:lineRule="auto" w:before="101"/>
        <w:ind w:left="0" w:right="1132"/>
        <w:jc w:val="right"/>
      </w:pPr>
      <w:r>
        <w:rPr/>
        <w:t>单位：元</w:t>
      </w:r>
    </w:p>
    <w:p>
      <w:pPr>
        <w:spacing w:line="240" w:lineRule="auto" w:before="10"/>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4pt;height:20.85pt;mso-position-horizontal-relative:char;mso-position-vertical-relative:line" coordorigin="0,0" coordsize="9588,417">
            <v:group style="position:absolute;left:13;top:13;width:4779;height:397" coordorigin="13,13" coordsize="4779,397">
              <v:shape style="position:absolute;left:13;top:13;width:4779;height:397" coordorigin="13,13" coordsize="4779,397" path="m13,13l4792,13,4792,410,13,410,13,13xe" filled="true" fillcolor="#d2d2d2" stroked="false">
                <v:path arrowok="t"/>
                <v:fill type="solid"/>
              </v:shape>
            </v:group>
            <v:group style="position:absolute;left:4797;top:13;width:4779;height:397" coordorigin="4797,13" coordsize="4779,397">
              <v:shape style="position:absolute;left:4797;top:13;width:4779;height:397" coordorigin="4797,13" coordsize="4779,397" path="m4797,13l9576,13,9576,410,4797,410,4797,13xe" filled="true" fillcolor="#d2d2d2"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94;top:5;width:2;height:402" coordorigin="4794,5" coordsize="2,402">
              <v:shape style="position:absolute;left:4794;top:5;width:2;height:402" coordorigin="4794,5" coordsize="0,402" path="m4794,5l4794,407e" filled="false" stroked="true" strokeweight=".48pt" strokecolor="#000000">
                <v:path arrowok="t"/>
              </v:shape>
            </v:group>
            <v:group style="position:absolute;left:9578;top:5;width:2;height:402" coordorigin="9578,5" coordsize="2,402">
              <v:shape style="position:absolute;left:9578;top:5;width:2;height:402" coordorigin="9578,5" coordsize="0,402" path="m9578,5l9578,407e" filled="false" stroked="true" strokeweight=".48pt" strokecolor="#000000">
                <v:path arrowok="t"/>
              </v:shape>
              <v:shape style="position:absolute;left:2221;top:12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794;top:10;width:4784;height:402" type="#_x0000_t202" filled="false" stroked="false">
                <v:textbox inset="0,0,0,0">
                  <w:txbxContent>
                    <w:p>
                      <w:pPr>
                        <w:spacing w:before="56"/>
                        <w:ind w:left="1582" w:right="0" w:firstLine="0"/>
                        <w:jc w:val="left"/>
                        <w:rPr>
                          <w:rFonts w:ascii="宋体" w:hAnsi="宋体" w:cs="宋体" w:eastAsia="宋体" w:hint="default"/>
                          <w:sz w:val="18"/>
                          <w:szCs w:val="18"/>
                        </w:rPr>
                      </w:pPr>
                      <w:r>
                        <w:rPr>
                          <w:rFonts w:ascii="宋体" w:hAnsi="宋体" w:cs="宋体" w:eastAsia="宋体" w:hint="default"/>
                          <w:sz w:val="18"/>
                          <w:szCs w:val="18"/>
                        </w:rPr>
                        <w:t>期末转应收账款金额</w:t>
                      </w:r>
                    </w:p>
                  </w:txbxContent>
                </v:textbox>
                <w10:wrap type="none"/>
              </v:shape>
            </v:group>
          </v:group>
        </w:pict>
      </w:r>
      <w:r>
        <w:rPr>
          <w:rFonts w:ascii="宋体" w:hAnsi="宋体" w:cs="宋体" w:eastAsia="宋体" w:hint="default"/>
          <w:position w:val="-7"/>
          <w:sz w:val="20"/>
          <w:szCs w:val="20"/>
        </w:rPr>
      </w:r>
    </w:p>
    <w:p>
      <w:pPr>
        <w:pStyle w:val="BodyText"/>
        <w:spacing w:line="240" w:lineRule="auto" w:before="50"/>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2）应收账款" w:id="232"/>
      <w:bookmarkEnd w:id="232"/>
      <w:r>
        <w:rPr>
          <w:b w:val="0"/>
          <w:bCs w:val="0"/>
        </w:rPr>
      </w:r>
      <w:r>
        <w:rPr/>
        <w:t>（</w:t>
      </w:r>
      <w:r>
        <w:rPr>
          <w:rFonts w:ascii="Times New Roman" w:hAnsi="Times New Roman" w:cs="Times New Roman" w:eastAsia="Times New Roman" w:hint="default"/>
        </w:rPr>
        <w:t>2</w:t>
      </w:r>
      <w:r>
        <w:rPr/>
        <w:t>）应收账款</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应收账款分类披露</w:t>
      </w:r>
    </w:p>
    <w:p>
      <w:pPr>
        <w:pStyle w:val="BodyText"/>
        <w:spacing w:line="240" w:lineRule="auto" w:before="103"/>
        <w:ind w:left="0" w:right="1132"/>
        <w:jc w:val="right"/>
      </w:pPr>
      <w:r>
        <w:rPr/>
        <w:t>单位：元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634"/>
        <w:gridCol w:w="763"/>
        <w:gridCol w:w="762"/>
        <w:gridCol w:w="762"/>
        <w:gridCol w:w="763"/>
        <w:gridCol w:w="789"/>
        <w:gridCol w:w="654"/>
        <w:gridCol w:w="762"/>
        <w:gridCol w:w="813"/>
        <w:gridCol w:w="932"/>
        <w:gridCol w:w="932"/>
      </w:tblGrid>
      <w:tr>
        <w:trPr>
          <w:trHeight w:val="402" w:hRule="exact"/>
        </w:trPr>
        <w:tc>
          <w:tcPr>
            <w:tcW w:w="163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9"/>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3"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634"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9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299" w:right="117" w:hanging="180"/>
              <w:jc w:val="left"/>
              <w:rPr>
                <w:rFonts w:ascii="宋体" w:hAnsi="宋体" w:cs="宋体" w:eastAsia="宋体" w:hint="default"/>
                <w:sz w:val="18"/>
                <w:szCs w:val="18"/>
              </w:rPr>
            </w:pPr>
            <w:r>
              <w:rPr>
                <w:rFonts w:ascii="宋体" w:hAnsi="宋体" w:cs="宋体" w:eastAsia="宋体" w:hint="default"/>
                <w:sz w:val="18"/>
                <w:szCs w:val="18"/>
              </w:rPr>
              <w:t>账面价 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372" w:right="188" w:hanging="180"/>
              <w:jc w:val="left"/>
              <w:rPr>
                <w:rFonts w:ascii="宋体" w:hAnsi="宋体" w:cs="宋体" w:eastAsia="宋体" w:hint="default"/>
                <w:sz w:val="18"/>
                <w:szCs w:val="18"/>
              </w:rPr>
            </w:pPr>
            <w:r>
              <w:rPr>
                <w:rFonts w:ascii="宋体" w:hAnsi="宋体" w:cs="宋体" w:eastAsia="宋体" w:hint="default"/>
                <w:sz w:val="18"/>
                <w:szCs w:val="18"/>
              </w:rPr>
              <w:t>账面价 值</w:t>
            </w:r>
          </w:p>
        </w:tc>
      </w:tr>
      <w:tr>
        <w:trPr>
          <w:trHeight w:val="714" w:hRule="exact"/>
        </w:trPr>
        <w:tc>
          <w:tcPr>
            <w:tcW w:w="1634"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85" w:right="106"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9"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70" w:right="190"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1" w:right="260"/>
              <w:jc w:val="both"/>
              <w:rPr>
                <w:rFonts w:ascii="宋体" w:hAnsi="宋体" w:cs="宋体" w:eastAsia="宋体" w:hint="default"/>
                <w:sz w:val="18"/>
                <w:szCs w:val="18"/>
              </w:rPr>
            </w:pPr>
            <w:r>
              <w:rPr>
                <w:rFonts w:ascii="宋体" w:hAnsi="宋体" w:cs="宋体" w:eastAsia="宋体" w:hint="default"/>
                <w:sz w:val="18"/>
                <w:szCs w:val="18"/>
              </w:rPr>
              <w:t>按信用风险特征 组合计提坏账准 备的应收账款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672,65</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4,485.0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1</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2"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8" w:right="0"/>
              <w:jc w:val="left"/>
              <w:rPr>
                <w:rFonts w:ascii="Times New Roman" w:hAnsi="Times New Roman" w:cs="Times New Roman" w:eastAsia="Times New Roman" w:hint="default"/>
                <w:sz w:val="18"/>
                <w:szCs w:val="18"/>
              </w:rPr>
            </w:pPr>
            <w:r>
              <w:rPr>
                <w:rFonts w:ascii="Times New Roman"/>
                <w:sz w:val="18"/>
              </w:rPr>
              <w:t>93,133,</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656.01</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13.85</w:t>
            </w:r>
          </w:p>
          <w:p>
            <w:pPr>
              <w:pStyle w:val="TableParagraph"/>
              <w:spacing w:line="240" w:lineRule="auto" w:before="105"/>
              <w:ind w:left="501"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579,52</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0,829.0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0</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36" w:right="0"/>
              <w:jc w:val="left"/>
              <w:rPr>
                <w:rFonts w:ascii="Times New Roman" w:hAnsi="Times New Roman" w:cs="Times New Roman" w:eastAsia="Times New Roman" w:hint="default"/>
                <w:sz w:val="18"/>
                <w:szCs w:val="18"/>
              </w:rPr>
            </w:pPr>
            <w:r>
              <w:rPr>
                <w:rFonts w:ascii="Times New Roman"/>
                <w:sz w:val="18"/>
              </w:rPr>
              <w:t>517,7</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20,95</w:t>
            </w:r>
          </w:p>
          <w:p>
            <w:pPr>
              <w:pStyle w:val="TableParagraph"/>
              <w:spacing w:line="240" w:lineRule="auto" w:before="105"/>
              <w:ind w:left="225" w:right="0"/>
              <w:jc w:val="left"/>
              <w:rPr>
                <w:rFonts w:ascii="Times New Roman" w:hAnsi="Times New Roman" w:cs="Times New Roman" w:eastAsia="Times New Roman" w:hint="default"/>
                <w:sz w:val="18"/>
                <w:szCs w:val="18"/>
              </w:rPr>
            </w:pPr>
            <w:r>
              <w:rPr>
                <w:rFonts w:ascii="Times New Roman"/>
                <w:sz w:val="18"/>
              </w:rPr>
              <w:t>7.83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3" w:right="0"/>
              <w:jc w:val="left"/>
              <w:rPr>
                <w:rFonts w:ascii="Times New Roman" w:hAnsi="Times New Roman" w:cs="Times New Roman" w:eastAsia="Times New Roman" w:hint="default"/>
                <w:sz w:val="18"/>
                <w:szCs w:val="18"/>
              </w:rPr>
            </w:pPr>
            <w:r>
              <w:rPr>
                <w:rFonts w:ascii="Times New Roman"/>
                <w:sz w:val="18"/>
              </w:rPr>
              <w:t>99.86</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1" w:right="0"/>
              <w:jc w:val="left"/>
              <w:rPr>
                <w:rFonts w:ascii="Times New Roman" w:hAnsi="Times New Roman" w:cs="Times New Roman" w:eastAsia="Times New Roman" w:hint="default"/>
                <w:sz w:val="18"/>
                <w:szCs w:val="18"/>
              </w:rPr>
            </w:pPr>
            <w:r>
              <w:rPr>
                <w:rFonts w:ascii="Times New Roman"/>
                <w:sz w:val="18"/>
              </w:rPr>
              <w:t>70,046,</w:t>
            </w:r>
          </w:p>
          <w:p>
            <w:pPr>
              <w:pStyle w:val="TableParagraph"/>
              <w:spacing w:line="240" w:lineRule="auto" w:before="105"/>
              <w:ind w:left="204" w:right="0"/>
              <w:jc w:val="left"/>
              <w:rPr>
                <w:rFonts w:ascii="Times New Roman" w:hAnsi="Times New Roman" w:cs="Times New Roman" w:eastAsia="Times New Roman" w:hint="default"/>
                <w:sz w:val="18"/>
                <w:szCs w:val="18"/>
              </w:rPr>
            </w:pPr>
            <w:r>
              <w:rPr>
                <w:rFonts w:ascii="Times New Roman"/>
                <w:sz w:val="18"/>
              </w:rPr>
              <w:t>082.65</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13.53%</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7" w:right="0"/>
              <w:jc w:val="center"/>
              <w:rPr>
                <w:rFonts w:ascii="Times New Roman" w:hAnsi="Times New Roman" w:cs="Times New Roman" w:eastAsia="Times New Roman" w:hint="default"/>
                <w:sz w:val="18"/>
                <w:szCs w:val="18"/>
              </w:rPr>
            </w:pPr>
            <w:r>
              <w:rPr>
                <w:rFonts w:ascii="Times New Roman"/>
                <w:sz w:val="18"/>
              </w:rPr>
              <w:t>447,674,</w:t>
            </w:r>
          </w:p>
          <w:p>
            <w:pPr>
              <w:pStyle w:val="TableParagraph"/>
              <w:spacing w:line="240" w:lineRule="auto" w:before="105"/>
              <w:ind w:left="221" w:right="0"/>
              <w:jc w:val="center"/>
              <w:rPr>
                <w:rFonts w:ascii="Times New Roman" w:hAnsi="Times New Roman" w:cs="Times New Roman" w:eastAsia="Times New Roman" w:hint="default"/>
                <w:sz w:val="18"/>
                <w:szCs w:val="18"/>
              </w:rPr>
            </w:pPr>
            <w:r>
              <w:rPr>
                <w:rFonts w:ascii="Times New Roman"/>
                <w:sz w:val="18"/>
              </w:rPr>
              <w:t>875.18</w:t>
            </w:r>
          </w:p>
        </w:tc>
      </w:tr>
      <w:tr>
        <w:trPr>
          <w:trHeight w:val="1026"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260"/>
              <w:jc w:val="both"/>
              <w:rPr>
                <w:rFonts w:ascii="宋体" w:hAnsi="宋体" w:cs="宋体" w:eastAsia="宋体" w:hint="default"/>
                <w:sz w:val="18"/>
                <w:szCs w:val="18"/>
              </w:rPr>
            </w:pPr>
            <w:r>
              <w:rPr>
                <w:rFonts w:ascii="宋体" w:hAnsi="宋体" w:cs="宋体" w:eastAsia="宋体" w:hint="default"/>
                <w:sz w:val="18"/>
                <w:szCs w:val="18"/>
              </w:rPr>
              <w:t>单项金额不重大 但单独计提坏账 准备的应收账款</w:t>
            </w:r>
          </w:p>
        </w:tc>
        <w:tc>
          <w:tcPr>
            <w:tcW w:w="763"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789" w:type="dxa"/>
            <w:tcBorders>
              <w:top w:val="single" w:sz="4" w:space="0" w:color="000000"/>
              <w:left w:val="single" w:sz="4" w:space="0" w:color="000000"/>
              <w:bottom w:val="single" w:sz="4" w:space="0" w:color="000000"/>
              <w:right w:val="single" w:sz="4" w:space="0" w:color="000000"/>
            </w:tcBorders>
          </w:tcPr>
          <w:p>
            <w:pP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36" w:right="0"/>
              <w:jc w:val="left"/>
              <w:rPr>
                <w:rFonts w:ascii="Times New Roman" w:hAnsi="Times New Roman" w:cs="Times New Roman" w:eastAsia="Times New Roman" w:hint="default"/>
                <w:sz w:val="18"/>
                <w:szCs w:val="18"/>
              </w:rPr>
            </w:pPr>
            <w:r>
              <w:rPr>
                <w:rFonts w:ascii="Times New Roman"/>
                <w:sz w:val="18"/>
              </w:rPr>
              <w:t>709,0</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33.65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186" w:right="0"/>
              <w:jc w:val="left"/>
              <w:rPr>
                <w:rFonts w:ascii="Times New Roman" w:hAnsi="Times New Roman" w:cs="Times New Roman" w:eastAsia="Times New Roman" w:hint="default"/>
                <w:sz w:val="18"/>
                <w:szCs w:val="18"/>
              </w:rPr>
            </w:pPr>
            <w:r>
              <w:rPr>
                <w:rFonts w:ascii="Times New Roman"/>
                <w:sz w:val="18"/>
              </w:rPr>
              <w:t>0.14%</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709,033</w:t>
            </w:r>
          </w:p>
          <w:p>
            <w:pPr>
              <w:pStyle w:val="TableParagraph"/>
              <w:spacing w:line="240" w:lineRule="auto" w:before="105"/>
              <w:ind w:left="475" w:right="0"/>
              <w:jc w:val="left"/>
              <w:rPr>
                <w:rFonts w:ascii="Times New Roman" w:hAnsi="Times New Roman" w:cs="Times New Roman" w:eastAsia="Times New Roman" w:hint="default"/>
                <w:sz w:val="18"/>
                <w:szCs w:val="18"/>
              </w:rPr>
            </w:pPr>
            <w:r>
              <w:rPr>
                <w:rFonts w:ascii="Times New Roman"/>
                <w:sz w:val="18"/>
              </w:rPr>
              <w:t>.65</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93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672,65</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4,485.0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1</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2"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8" w:right="0"/>
              <w:jc w:val="left"/>
              <w:rPr>
                <w:rFonts w:ascii="Times New Roman" w:hAnsi="Times New Roman" w:cs="Times New Roman" w:eastAsia="Times New Roman" w:hint="default"/>
                <w:sz w:val="18"/>
                <w:szCs w:val="18"/>
              </w:rPr>
            </w:pPr>
            <w:r>
              <w:rPr>
                <w:rFonts w:ascii="Times New Roman"/>
                <w:sz w:val="18"/>
              </w:rPr>
              <w:t>93,133,</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656.01</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13.85</w:t>
            </w:r>
          </w:p>
          <w:p>
            <w:pPr>
              <w:pStyle w:val="TableParagraph"/>
              <w:spacing w:line="240" w:lineRule="auto" w:before="105"/>
              <w:ind w:left="501"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579,52</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0,829.0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0</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36" w:right="0"/>
              <w:jc w:val="left"/>
              <w:rPr>
                <w:rFonts w:ascii="Times New Roman" w:hAnsi="Times New Roman" w:cs="Times New Roman" w:eastAsia="Times New Roman" w:hint="default"/>
                <w:sz w:val="18"/>
                <w:szCs w:val="18"/>
              </w:rPr>
            </w:pPr>
            <w:r>
              <w:rPr>
                <w:rFonts w:ascii="Times New Roman"/>
                <w:sz w:val="18"/>
              </w:rPr>
              <w:t>518,4</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29,99</w:t>
            </w:r>
          </w:p>
          <w:p>
            <w:pPr>
              <w:pStyle w:val="TableParagraph"/>
              <w:spacing w:line="240" w:lineRule="auto" w:before="105"/>
              <w:ind w:left="225" w:right="0"/>
              <w:jc w:val="left"/>
              <w:rPr>
                <w:rFonts w:ascii="Times New Roman" w:hAnsi="Times New Roman" w:cs="Times New Roman" w:eastAsia="Times New Roman" w:hint="default"/>
                <w:sz w:val="18"/>
                <w:szCs w:val="18"/>
              </w:rPr>
            </w:pPr>
            <w:r>
              <w:rPr>
                <w:rFonts w:ascii="Times New Roman"/>
                <w:sz w:val="18"/>
              </w:rPr>
              <w:t>1.48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5"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1" w:right="0"/>
              <w:jc w:val="left"/>
              <w:rPr>
                <w:rFonts w:ascii="Times New Roman" w:hAnsi="Times New Roman" w:cs="Times New Roman" w:eastAsia="Times New Roman" w:hint="default"/>
                <w:sz w:val="18"/>
                <w:szCs w:val="18"/>
              </w:rPr>
            </w:pPr>
            <w:r>
              <w:rPr>
                <w:rFonts w:ascii="Times New Roman"/>
                <w:sz w:val="18"/>
              </w:rPr>
              <w:t>70,755,</w:t>
            </w:r>
          </w:p>
          <w:p>
            <w:pPr>
              <w:pStyle w:val="TableParagraph"/>
              <w:spacing w:line="240" w:lineRule="auto" w:before="105"/>
              <w:ind w:left="211" w:right="0"/>
              <w:jc w:val="left"/>
              <w:rPr>
                <w:rFonts w:ascii="Times New Roman" w:hAnsi="Times New Roman" w:cs="Times New Roman" w:eastAsia="Times New Roman" w:hint="default"/>
                <w:sz w:val="18"/>
                <w:szCs w:val="18"/>
              </w:rPr>
            </w:pPr>
            <w:r>
              <w:rPr>
                <w:rFonts w:ascii="Times New Roman"/>
                <w:sz w:val="18"/>
              </w:rPr>
              <w:t>116.30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13.67%</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7" w:right="0"/>
              <w:jc w:val="center"/>
              <w:rPr>
                <w:rFonts w:ascii="Times New Roman" w:hAnsi="Times New Roman" w:cs="Times New Roman" w:eastAsia="Times New Roman" w:hint="default"/>
                <w:sz w:val="18"/>
                <w:szCs w:val="18"/>
              </w:rPr>
            </w:pPr>
            <w:r>
              <w:rPr>
                <w:rFonts w:ascii="Times New Roman"/>
                <w:sz w:val="18"/>
              </w:rPr>
              <w:t>447,674,</w:t>
            </w:r>
          </w:p>
          <w:p>
            <w:pPr>
              <w:pStyle w:val="TableParagraph"/>
              <w:spacing w:line="240" w:lineRule="auto" w:before="105"/>
              <w:ind w:left="221" w:right="0"/>
              <w:jc w:val="center"/>
              <w:rPr>
                <w:rFonts w:ascii="Times New Roman" w:hAnsi="Times New Roman" w:cs="Times New Roman" w:eastAsia="Times New Roman" w:hint="default"/>
                <w:sz w:val="18"/>
                <w:szCs w:val="18"/>
              </w:rPr>
            </w:pPr>
            <w:r>
              <w:rPr>
                <w:rFonts w:ascii="Times New Roman"/>
                <w:sz w:val="18"/>
              </w:rPr>
              <w:t>875.18</w:t>
            </w:r>
          </w:p>
        </w:tc>
      </w:tr>
    </w:tbl>
    <w:p>
      <w:pPr>
        <w:spacing w:after="0" w:line="240" w:lineRule="auto"/>
        <w:jc w:val="center"/>
        <w:rPr>
          <w:rFonts w:ascii="Times New Roman" w:hAnsi="Times New Roman" w:cs="Times New Roman" w:eastAsia="Times New Roman" w:hint="default"/>
          <w:sz w:val="18"/>
          <w:szCs w:val="18"/>
        </w:rPr>
        <w:sectPr>
          <w:pgSz w:w="11910" w:h="16840"/>
          <w:pgMar w:header="907" w:footer="1016" w:top="1100" w:bottom="1200" w:left="1020" w:right="0"/>
        </w:sectPr>
      </w:pPr>
    </w:p>
    <w:p>
      <w:pPr>
        <w:pStyle w:val="BodyText"/>
        <w:spacing w:line="240" w:lineRule="auto" w:before="51"/>
        <w:ind w:right="-20"/>
        <w:jc w:val="left"/>
      </w:pPr>
      <w:r>
        <w:rPr/>
        <w:t>期末单项金额重大并单项计提坏账准备的应收账款：</w:t>
      </w:r>
    </w:p>
    <w:p>
      <w:pPr>
        <w:pStyle w:val="BodyText"/>
        <w:spacing w:line="357" w:lineRule="auto" w:before="117"/>
        <w:ind w:right="160" w:firstLine="91"/>
        <w:jc w:val="left"/>
      </w:pPr>
      <w:r>
        <w:rPr/>
        <w:t>□ 适用 √</w:t>
      </w:r>
      <w:r>
        <w:rPr>
          <w:spacing w:val="-1"/>
        </w:rPr>
        <w:t> </w:t>
      </w:r>
      <w:r>
        <w:rPr/>
        <w:t>不适用</w:t>
      </w:r>
      <w:r>
        <w:rPr/>
        <w:t> 组合中，按账龄分析法计提坏账准备的应收账款：</w:t>
      </w:r>
    </w:p>
    <w:p>
      <w:pPr>
        <w:pStyle w:val="BodyText"/>
        <w:spacing w:line="240" w:lineRule="auto" w:before="29"/>
        <w:ind w:right="-20"/>
        <w:jc w:val="left"/>
      </w:pPr>
      <w:r>
        <w:rPr/>
        <w:t>√ 适用 </w:t>
      </w:r>
      <w:r>
        <w:rPr>
          <w:spacing w:val="1"/>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100" w:bottom="1200" w:left="1020" w:right="0"/>
          <w:cols w:num="2" w:equalWidth="0">
            <w:col w:w="4253" w:space="4665"/>
            <w:col w:w="1972"/>
          </w:cols>
        </w:sectPr>
      </w:pPr>
    </w:p>
    <w:p>
      <w:pPr>
        <w:spacing w:line="240" w:lineRule="auto" w:before="9"/>
        <w:rPr>
          <w:rFonts w:ascii="宋体" w:hAnsi="宋体" w:cs="宋体" w:eastAsia="宋体" w:hint="default"/>
          <w:sz w:val="7"/>
          <w:szCs w:val="7"/>
        </w:rPr>
      </w:pPr>
    </w:p>
    <w:p>
      <w:pPr>
        <w:spacing w:line="414"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4pt;height:20.75pt;mso-position-horizontal-relative:char;mso-position-vertical-relative:line" coordorigin="0,0" coordsize="9588,415">
            <v:group style="position:absolute;left:13;top:13;width:2387;height:397" coordorigin="13,13" coordsize="2387,397">
              <v:shape style="position:absolute;left:13;top:13;width:2387;height:397" coordorigin="13,13" coordsize="2387,397" path="m13,13l2400,13,2400,410,13,410,13,13xe" filled="true" fillcolor="#d2d2d2" stroked="false">
                <v:path arrowok="t"/>
                <v:fill type="solid"/>
              </v:shape>
            </v:group>
            <v:group style="position:absolute;left:2405;top:13;width:7171;height:397" coordorigin="2405,13" coordsize="7171,397">
              <v:shape style="position:absolute;left:2405;top:13;width:7171;height:397" coordorigin="2405,13" coordsize="7171,397" path="m2405,13l9576,13,9576,410,2405,410,2405,13xe" filled="true" fillcolor="#d2d2d2"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0;width:9578;height:2" coordorigin="5,410" coordsize="9578,2">
              <v:shape style="position:absolute;left:5;top:410;width:9578;height:2" coordorigin="5,410" coordsize="9578,0" path="m5,410l9582,410e" filled="false" stroked="true" strokeweight=".48pt" strokecolor="#000000">
                <v:path arrowok="t"/>
              </v:shape>
            </v:group>
            <v:group style="position:absolute;left:10;top:5;width:2;height:400" coordorigin="10,5" coordsize="2,400">
              <v:shape style="position:absolute;left:10;top:5;width:2;height:400" coordorigin="10,5" coordsize="0,400" path="m10,5l10,405e" filled="false" stroked="true" strokeweight=".48pt" strokecolor="#000000">
                <v:path arrowok="t"/>
              </v:shape>
            </v:group>
            <v:group style="position:absolute;left:2402;top:5;width:2;height:400" coordorigin="2402,5" coordsize="2,400">
              <v:shape style="position:absolute;left:2402;top:5;width:2;height:400" coordorigin="2402,5" coordsize="0,400" path="m2402,5l2402,405e" filled="false" stroked="true" strokeweight=".48pt" strokecolor="#000000">
                <v:path arrowok="t"/>
              </v:shape>
            </v:group>
            <v:group style="position:absolute;left:9578;top:5;width:2;height:400" coordorigin="9578,5" coordsize="2,400">
              <v:shape style="position:absolute;left:9578;top:5;width:2;height:400" coordorigin="9578,5" coordsize="0,400" path="m9578,5l9578,405e" filled="false" stroked="true" strokeweight=".48pt" strokecolor="#000000">
                <v:path arrowok="t"/>
              </v:shape>
              <v:shape style="position:absolute;left:10;top:10;width:2392;height:400" type="#_x0000_t202" filled="false" stroked="false">
                <v:textbox inset="0,0,0,0">
                  <w:txbxContent>
                    <w:p>
                      <w:pPr>
                        <w:spacing w:before="55"/>
                        <w:ind w:left="0" w:right="0" w:firstLine="0"/>
                        <w:jc w:val="center"/>
                        <w:rPr>
                          <w:rFonts w:ascii="宋体" w:hAnsi="宋体" w:cs="宋体" w:eastAsia="宋体" w:hint="default"/>
                          <w:sz w:val="18"/>
                          <w:szCs w:val="18"/>
                        </w:rPr>
                      </w:pPr>
                      <w:r>
                        <w:rPr>
                          <w:rFonts w:ascii="宋体" w:hAnsi="宋体" w:cs="宋体" w:eastAsia="宋体" w:hint="default"/>
                          <w:sz w:val="18"/>
                          <w:szCs w:val="18"/>
                        </w:rPr>
                        <w:t>账龄</w:t>
                      </w:r>
                    </w:p>
                  </w:txbxContent>
                </v:textbox>
                <w10:wrap type="none"/>
              </v:shape>
              <v:shape style="position:absolute;left:5629;top:12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group>
          </v:group>
        </w:pict>
      </w:r>
      <w:r>
        <w:rPr>
          <w:rFonts w:ascii="宋体" w:hAnsi="宋体" w:cs="宋体" w:eastAsia="宋体" w:hint="default"/>
          <w:position w:val="-7"/>
          <w:sz w:val="20"/>
          <w:szCs w:val="20"/>
        </w:rPr>
      </w:r>
    </w:p>
    <w:p>
      <w:pPr>
        <w:spacing w:after="0" w:line="414" w:lineRule="exact"/>
        <w:rPr>
          <w:rFonts w:ascii="宋体" w:hAnsi="宋体" w:cs="宋体" w:eastAsia="宋体" w:hint="default"/>
          <w:sz w:val="20"/>
          <w:szCs w:val="20"/>
        </w:rPr>
        <w:sectPr>
          <w:type w:val="continuous"/>
          <w:pgSz w:w="11910" w:h="16840"/>
          <w:pgMar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9568"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469,554,843.02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23,477,742.15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469,554,843.02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23,477,742.15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100,105,932.96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20,021,186.59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39,911,716.49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11,973,514.95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50,841,560.45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25,420,780.23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32,145,067.15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16,072,533.58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18,696,493.30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9,348,246.65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12,240,432.09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12,240,432.09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672,654,485.01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93,133,656.01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13.85%</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pStyle w:val="BodyText"/>
        <w:spacing w:line="360" w:lineRule="auto" w:before="51"/>
        <w:ind w:right="4572"/>
        <w:jc w:val="left"/>
      </w:pPr>
      <w:r>
        <w:rPr/>
        <w:t>确定该组合依据的说明： 组合中，采用余额百分比法计提坏账准备的应收账款：</w:t>
      </w:r>
    </w:p>
    <w:p>
      <w:pPr>
        <w:pStyle w:val="BodyText"/>
        <w:spacing w:line="360" w:lineRule="auto" w:before="25"/>
        <w:ind w:right="4932" w:firstLine="91"/>
        <w:jc w:val="left"/>
      </w:pPr>
      <w:r>
        <w:rPr/>
        <w:t>□ 适用 √</w:t>
      </w:r>
      <w:r>
        <w:rPr>
          <w:spacing w:val="-1"/>
        </w:rPr>
        <w:t> </w:t>
      </w:r>
      <w:r>
        <w:rPr/>
        <w:t>不适用</w:t>
      </w:r>
      <w:r>
        <w:rPr/>
        <w:t> 组合中，采用其他方法计提坏账准备的应收账款：</w:t>
      </w:r>
    </w:p>
    <w:p>
      <w:pPr>
        <w:pStyle w:val="BodyText"/>
        <w:spacing w:line="240" w:lineRule="auto" w:before="27"/>
        <w:ind w:right="-17"/>
        <w:jc w:val="left"/>
      </w:pPr>
      <w:r>
        <w:rPr/>
        <w:t>公司需遵守《深圳证券交易所行业信息披露指引第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号——上市公司从事软件与信息技术服务业务》的披露要求</w:t>
      </w:r>
    </w:p>
    <w:p>
      <w:pPr>
        <w:pStyle w:val="BodyText"/>
        <w:spacing w:line="240" w:lineRule="auto" w:before="101"/>
        <w:ind w:right="-17"/>
        <w:jc w:val="left"/>
      </w:pPr>
      <w:r>
        <w:rPr>
          <w:rFonts w:ascii="Times New Roman" w:hAnsi="Times New Roman" w:cs="Times New Roman" w:eastAsia="Times New Roman" w:hint="default"/>
        </w:rPr>
        <w:t>2)</w:t>
      </w:r>
      <w:r>
        <w:rPr/>
        <w:t>本期计提、收回或转回的坏账准备情况</w:t>
      </w:r>
    </w:p>
    <w:p>
      <w:pPr>
        <w:pStyle w:val="BodyText"/>
        <w:spacing w:line="340" w:lineRule="auto" w:before="103"/>
        <w:ind w:right="2512"/>
        <w:jc w:val="left"/>
      </w:pPr>
      <w:r>
        <w:rPr/>
        <w:t>本期计提坏账准备金额</w:t>
      </w:r>
      <w:r>
        <w:rPr>
          <w:spacing w:val="-47"/>
        </w:rPr>
        <w:t> </w:t>
      </w:r>
      <w:r>
        <w:rPr>
          <w:rFonts w:ascii="Times New Roman" w:hAnsi="Times New Roman" w:cs="Times New Roman" w:eastAsia="Times New Roman" w:hint="default"/>
        </w:rPr>
        <w:t>27,199,543.87</w:t>
      </w:r>
      <w:r>
        <w:rPr>
          <w:rFonts w:ascii="Times New Roman" w:hAnsi="Times New Roman" w:cs="Times New Roman" w:eastAsia="Times New Roman" w:hint="default"/>
          <w:spacing w:val="-3"/>
        </w:rPr>
        <w:t> </w:t>
      </w:r>
      <w:r>
        <w:rPr/>
        <w:t>元；本期收回或转回坏账准备金额</w:t>
      </w:r>
      <w:r>
        <w:rPr>
          <w:spacing w:val="-47"/>
        </w:rPr>
        <w:t> </w:t>
      </w:r>
      <w:r>
        <w:rPr>
          <w:rFonts w:ascii="Times New Roman" w:hAnsi="Times New Roman" w:cs="Times New Roman" w:eastAsia="Times New Roman" w:hint="default"/>
        </w:rPr>
        <w:t>0.00</w:t>
      </w:r>
      <w:r>
        <w:rPr>
          <w:rFonts w:ascii="Times New Roman" w:hAnsi="Times New Roman" w:cs="Times New Roman" w:eastAsia="Times New Roman" w:hint="default"/>
          <w:spacing w:val="-3"/>
        </w:rPr>
        <w:t> </w:t>
      </w:r>
      <w:r>
        <w:rPr/>
        <w:t>元。 其中本期坏账准备收回或转回金额重要的：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21"/>
          <w:szCs w:val="21"/>
        </w:rPr>
      </w:pPr>
    </w:p>
    <w:p>
      <w:pPr>
        <w:pStyle w:val="BodyText"/>
        <w:spacing w:line="240" w:lineRule="auto"/>
        <w:ind w:left="-33" w:right="0"/>
        <w:jc w:val="left"/>
      </w:pPr>
      <w:r>
        <w:rPr/>
        <w:t>单位：元</w:t>
      </w:r>
    </w:p>
    <w:p>
      <w:pPr>
        <w:spacing w:after="0" w:line="240" w:lineRule="auto"/>
        <w:jc w:val="left"/>
        <w:sectPr>
          <w:type w:val="continuous"/>
          <w:pgSz w:w="11910" w:h="16840"/>
          <w:pgMar w:top="1100" w:bottom="1200" w:left="1020" w:right="0"/>
          <w:cols w:num="2" w:equalWidth="0">
            <w:col w:w="9025" w:space="40"/>
            <w:col w:w="1825"/>
          </w:cols>
        </w:sectPr>
      </w:pP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59" w:right="0"/>
              <w:jc w:val="left"/>
              <w:rPr>
                <w:rFonts w:ascii="宋体" w:hAnsi="宋体" w:cs="宋体" w:eastAsia="宋体" w:hint="default"/>
                <w:sz w:val="18"/>
                <w:szCs w:val="18"/>
              </w:rPr>
            </w:pPr>
            <w:r>
              <w:rPr>
                <w:rFonts w:ascii="宋体" w:hAnsi="宋体" w:cs="宋体" w:eastAsia="宋体" w:hint="default"/>
                <w:sz w:val="18"/>
                <w:szCs w:val="18"/>
              </w:rPr>
              <w:t>收回或转回金额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pStyle w:val="BodyText"/>
        <w:spacing w:line="240" w:lineRule="auto" w:before="50"/>
        <w:ind w:right="0"/>
        <w:jc w:val="left"/>
      </w:pPr>
      <w:r>
        <w:rPr>
          <w:rFonts w:ascii="Times New Roman" w:hAnsi="Times New Roman" w:cs="Times New Roman" w:eastAsia="Times New Roman" w:hint="default"/>
        </w:rPr>
        <w:t>3)</w:t>
      </w:r>
      <w:r>
        <w:rPr/>
        <w:t>本期实际核销的应收账款情况</w:t>
      </w:r>
    </w:p>
    <w:p>
      <w:pPr>
        <w:pStyle w:val="BodyText"/>
        <w:spacing w:line="240" w:lineRule="auto" w:before="103"/>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4"/>
        <w:gridCol w:w="4784"/>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4,821,004.16</w:t>
            </w:r>
          </w:p>
        </w:tc>
      </w:tr>
    </w:tbl>
    <w:p>
      <w:pPr>
        <w:pStyle w:val="BodyText"/>
        <w:spacing w:line="240" w:lineRule="auto" w:before="50"/>
        <w:ind w:right="0"/>
        <w:jc w:val="left"/>
      </w:pPr>
      <w:r>
        <w:rPr/>
        <w:t>其中重要的应收账款核销情况：</w:t>
      </w:r>
    </w:p>
    <w:p>
      <w:pPr>
        <w:pStyle w:val="BodyText"/>
        <w:spacing w:line="240" w:lineRule="auto" w:before="117"/>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6"/>
        <w:gridCol w:w="1594"/>
        <w:gridCol w:w="1594"/>
        <w:gridCol w:w="1594"/>
        <w:gridCol w:w="1594"/>
        <w:gridCol w:w="1594"/>
      </w:tblGrid>
      <w:tr>
        <w:trPr>
          <w:trHeight w:val="714"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3"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53"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31" w:right="159" w:hanging="269"/>
              <w:jc w:val="left"/>
              <w:rPr>
                <w:rFonts w:ascii="宋体" w:hAnsi="宋体" w:cs="宋体" w:eastAsia="宋体" w:hint="default"/>
                <w:sz w:val="18"/>
                <w:szCs w:val="18"/>
              </w:rPr>
            </w:pPr>
            <w:r>
              <w:rPr>
                <w:rFonts w:ascii="宋体" w:hAnsi="宋体" w:cs="宋体" w:eastAsia="宋体" w:hint="default"/>
                <w:sz w:val="18"/>
                <w:szCs w:val="18"/>
              </w:rPr>
              <w:t>款项是否由关联 交易产生</w:t>
            </w:r>
          </w:p>
        </w:tc>
      </w:tr>
    </w:tbl>
    <w:p>
      <w:pPr>
        <w:pStyle w:val="BodyText"/>
        <w:spacing w:line="348" w:lineRule="auto" w:before="50"/>
        <w:ind w:right="6824"/>
        <w:jc w:val="left"/>
      </w:pPr>
      <w:r>
        <w:rPr/>
        <w:t>应收账款核销说明： </w:t>
      </w:r>
      <w:r>
        <w:rPr>
          <w:rFonts w:ascii="Times New Roman" w:hAnsi="Times New Roman" w:cs="Times New Roman" w:eastAsia="Times New Roman" w:hint="default"/>
        </w:rPr>
        <w:t>4)</w:t>
      </w:r>
      <w:r>
        <w:rPr/>
        <w:t>按欠款方归集的期末余额前五名的应收账款情况 公司是否需要遵守特殊行业的披露要求</w:t>
      </w:r>
    </w:p>
    <w:p>
      <w:pPr>
        <w:pStyle w:val="BodyText"/>
        <w:spacing w:line="360" w:lineRule="auto" w:before="36"/>
        <w:ind w:right="8954"/>
        <w:jc w:val="left"/>
      </w:pPr>
      <w:r>
        <w:rPr/>
        <w:t>是 软件与信息技术服务业</w:t>
      </w:r>
    </w:p>
    <w:p>
      <w:pPr>
        <w:pStyle w:val="BodyText"/>
        <w:spacing w:line="300" w:lineRule="auto" w:before="25"/>
        <w:ind w:right="1127" w:firstLine="360"/>
        <w:jc w:val="left"/>
      </w:pPr>
      <w:r>
        <w:rPr>
          <w:spacing w:val="-1"/>
        </w:rPr>
        <w:t>期末余额前</w:t>
      </w:r>
      <w:r>
        <w:rPr>
          <w:rFonts w:ascii="Times New Roman" w:hAnsi="Times New Roman" w:cs="Times New Roman" w:eastAsia="Times New Roman" w:hint="default"/>
          <w:spacing w:val="-1"/>
        </w:rPr>
        <w:t>5</w:t>
      </w:r>
      <w:r>
        <w:rPr>
          <w:spacing w:val="-1"/>
        </w:rPr>
        <w:t>名的应收账款合计数为</w:t>
      </w:r>
      <w:r>
        <w:rPr>
          <w:rFonts w:ascii="Times New Roman" w:hAnsi="Times New Roman" w:cs="Times New Roman" w:eastAsia="Times New Roman" w:hint="default"/>
          <w:spacing w:val="-1"/>
        </w:rPr>
        <w:t>103,555,353.66</w:t>
      </w:r>
      <w:r>
        <w:rPr>
          <w:spacing w:val="-1"/>
        </w:rPr>
        <w:t>元，占应收账款期末余额合计数的比例为</w:t>
      </w:r>
      <w:r>
        <w:rPr>
          <w:rFonts w:ascii="Times New Roman" w:hAnsi="Times New Roman" w:cs="Times New Roman" w:eastAsia="Times New Roman" w:hint="default"/>
          <w:spacing w:val="-1"/>
        </w:rPr>
        <w:t>15.40%</w:t>
      </w:r>
      <w:r>
        <w:rPr>
          <w:spacing w:val="-1"/>
        </w:rPr>
        <w:t>，相应计提的坏账准</w:t>
      </w:r>
      <w:r>
        <w:rPr/>
        <w:t> 备合计数为</w:t>
      </w:r>
      <w:r>
        <w:rPr>
          <w:rFonts w:ascii="Times New Roman" w:hAnsi="Times New Roman" w:cs="Times New Roman" w:eastAsia="Times New Roman" w:hint="default"/>
        </w:rPr>
        <w:t>6,380,092.69</w:t>
      </w:r>
      <w:r>
        <w:rPr/>
        <w:t>元。</w:t>
      </w:r>
    </w:p>
    <w:p>
      <w:pPr>
        <w:pStyle w:val="BodyText"/>
        <w:spacing w:line="240" w:lineRule="auto" w:before="53"/>
        <w:ind w:right="0"/>
        <w:jc w:val="left"/>
      </w:pPr>
      <w:r>
        <w:rPr>
          <w:rFonts w:ascii="Times New Roman" w:hAnsi="Times New Roman" w:cs="Times New Roman" w:eastAsia="Times New Roman" w:hint="default"/>
        </w:rPr>
        <w:t>5)</w:t>
      </w:r>
      <w:r>
        <w:rPr/>
        <w:t>因金融资产转移而终止确认的应收账款</w:t>
      </w:r>
    </w:p>
    <w:p>
      <w:pPr>
        <w:spacing w:after="0" w:line="240" w:lineRule="auto"/>
        <w:jc w:val="left"/>
        <w:sectPr>
          <w:type w:val="continuous"/>
          <w:pgSz w:w="11910" w:h="16840"/>
          <w:pgMar w:top="1100" w:bottom="1200" w:left="1020" w:right="0"/>
        </w:sectPr>
      </w:pPr>
    </w:p>
    <w:p>
      <w:pPr>
        <w:spacing w:line="240" w:lineRule="auto" w:before="13"/>
        <w:rPr>
          <w:rFonts w:ascii="宋体" w:hAnsi="宋体" w:cs="宋体" w:eastAsia="宋体" w:hint="default"/>
          <w:sz w:val="22"/>
          <w:szCs w:val="22"/>
        </w:rPr>
      </w:pPr>
    </w:p>
    <w:p>
      <w:pPr>
        <w:pStyle w:val="BodyText"/>
        <w:spacing w:line="338" w:lineRule="auto" w:before="44"/>
        <w:ind w:right="6824"/>
        <w:jc w:val="left"/>
      </w:pPr>
      <w:r>
        <w:rPr>
          <w:rFonts w:ascii="Times New Roman" w:hAnsi="Times New Roman" w:cs="Times New Roman" w:eastAsia="Times New Roman" w:hint="default"/>
        </w:rPr>
        <w:t>6)</w:t>
      </w:r>
      <w:r>
        <w:rPr/>
        <w:t>转移应收账款且继续涉入形成的资产、负债金额 其他说明：</w:t>
      </w:r>
    </w:p>
    <w:p>
      <w:pPr>
        <w:spacing w:line="240" w:lineRule="auto" w:before="5"/>
        <w:rPr>
          <w:rFonts w:ascii="宋体" w:hAnsi="宋体" w:cs="宋体" w:eastAsia="宋体" w:hint="default"/>
          <w:sz w:val="21"/>
          <w:szCs w:val="21"/>
        </w:rPr>
      </w:pPr>
    </w:p>
    <w:p>
      <w:pPr>
        <w:pStyle w:val="Heading3"/>
        <w:spacing w:line="240" w:lineRule="auto"/>
        <w:ind w:right="0"/>
        <w:jc w:val="left"/>
        <w:rPr>
          <w:b w:val="0"/>
          <w:bCs w:val="0"/>
        </w:rPr>
      </w:pPr>
      <w:bookmarkStart w:name="3、预付款项" w:id="233"/>
      <w:bookmarkEnd w:id="233"/>
      <w:r>
        <w:rPr>
          <w:b w:val="0"/>
          <w:bCs w:val="0"/>
        </w:rPr>
      </w:r>
      <w:r>
        <w:rPr>
          <w:rFonts w:ascii="Times New Roman" w:hAnsi="Times New Roman" w:cs="Times New Roman" w:eastAsia="Times New Roman" w:hint="default"/>
        </w:rPr>
        <w:t>3</w:t>
      </w:r>
      <w:r>
        <w:rPr/>
        <w:t>、预付款项</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1）预付款项按账龄列示" w:id="234"/>
      <w:bookmarkEnd w:id="234"/>
      <w:r>
        <w:rPr>
          <w:b w:val="0"/>
          <w:bCs w:val="0"/>
        </w:rPr>
      </w:r>
      <w:r>
        <w:rPr/>
        <w:t>（</w:t>
      </w:r>
      <w:r>
        <w:rPr>
          <w:rFonts w:ascii="Times New Roman" w:hAnsi="Times New Roman" w:cs="Times New Roman" w:eastAsia="Times New Roman" w:hint="default"/>
        </w:rPr>
        <w:t>1</w:t>
      </w:r>
      <w:r>
        <w:rPr/>
        <w:t>）预付款项按账龄列示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5"/>
        <w:gridCol w:w="1914"/>
        <w:gridCol w:w="1914"/>
        <w:gridCol w:w="1915"/>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82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18,895,862.94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79.40%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15,221,188.47</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87.78%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3,482,268.89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14.63%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846,289.83</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4.88%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362,089.88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z w:val="18"/>
              </w:rPr>
              <w:t>1.52%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903,619.72</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5.21%</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1,059,894.42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z w:val="18"/>
              </w:rPr>
              <w:t>4.45%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368,908.84</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2.13%</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2"/>
                <w:sz w:val="18"/>
              </w:rPr>
              <w:t>23,800,116.13</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0"/>
              <w:ind w:right="0"/>
              <w:jc w:val="center"/>
              <w:rPr>
                <w:rFonts w:ascii="Times New Roman" w:hAnsi="Times New Roman" w:cs="Times New Roman" w:eastAsia="Times New Roman" w:hint="default"/>
                <w:sz w:val="18"/>
                <w:szCs w:val="18"/>
              </w:rPr>
            </w:pPr>
            <w:r>
              <w:rPr>
                <w:rFonts w:ascii="Times New Roman"/>
                <w:sz w:val="18"/>
              </w:rPr>
              <w:t>--</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17,340,006.86</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0"/>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40" w:lineRule="auto" w:before="49"/>
        <w:ind w:right="5895"/>
        <w:jc w:val="left"/>
      </w:pPr>
      <w:r>
        <w:rPr/>
        <w:t>账龄超过</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年且金额重要的预付款项未及时结算原因的说明： 期末无账龄超过</w:t>
      </w:r>
      <w:r>
        <w:rPr>
          <w:rFonts w:ascii="Times New Roman" w:hAnsi="Times New Roman" w:cs="Times New Roman" w:eastAsia="Times New Roman" w:hint="default"/>
        </w:rPr>
        <w:t>1</w:t>
      </w:r>
      <w:r>
        <w:rPr/>
        <w:t>年的重要预付款项。</w:t>
      </w:r>
    </w:p>
    <w:p>
      <w:pPr>
        <w:spacing w:line="240" w:lineRule="auto" w:before="5"/>
        <w:rPr>
          <w:rFonts w:ascii="宋体" w:hAnsi="宋体" w:cs="宋体" w:eastAsia="宋体" w:hint="default"/>
          <w:sz w:val="19"/>
          <w:szCs w:val="19"/>
        </w:rPr>
      </w:pPr>
    </w:p>
    <w:p>
      <w:pPr>
        <w:pStyle w:val="Heading3"/>
        <w:spacing w:line="240" w:lineRule="auto"/>
        <w:ind w:right="0"/>
        <w:jc w:val="left"/>
        <w:rPr>
          <w:b w:val="0"/>
          <w:bCs w:val="0"/>
        </w:rPr>
      </w:pPr>
      <w:bookmarkStart w:name="（2）按预付对象归集的期末余额前五名的预付款情况" w:id="235"/>
      <w:bookmarkEnd w:id="235"/>
      <w:r>
        <w:rPr>
          <w:b w:val="0"/>
          <w:bCs w:val="0"/>
        </w:rPr>
      </w:r>
      <w:r>
        <w:rPr/>
        <w:t>（</w:t>
      </w:r>
      <w:r>
        <w:rPr>
          <w:rFonts w:ascii="Times New Roman" w:hAnsi="Times New Roman" w:cs="Times New Roman" w:eastAsia="Times New Roman" w:hint="default"/>
        </w:rPr>
        <w:t>2</w:t>
      </w:r>
      <w:r>
        <w:rPr/>
        <w:t>）按预付对象归集的期末余额前五名的预付款情况</w:t>
      </w:r>
      <w:r>
        <w:rPr>
          <w:b w:val="0"/>
          <w:bCs w:val="0"/>
        </w:rPr>
      </w:r>
    </w:p>
    <w:p>
      <w:pPr>
        <w:spacing w:line="240" w:lineRule="auto" w:before="6"/>
        <w:rPr>
          <w:rFonts w:ascii="宋体" w:hAnsi="宋体" w:cs="宋体" w:eastAsia="宋体" w:hint="default"/>
          <w:b/>
          <w:bCs/>
          <w:sz w:val="26"/>
          <w:szCs w:val="26"/>
        </w:rPr>
      </w:pPr>
    </w:p>
    <w:p>
      <w:pPr>
        <w:pStyle w:val="BodyText"/>
        <w:spacing w:line="340" w:lineRule="auto"/>
        <w:ind w:right="3044"/>
        <w:jc w:val="left"/>
      </w:pPr>
      <w:r>
        <w:rPr/>
        <w:t>期末余额前</w:t>
      </w:r>
      <w:r>
        <w:rPr>
          <w:rFonts w:ascii="Times New Roman" w:hAnsi="Times New Roman" w:cs="Times New Roman" w:eastAsia="Times New Roman" w:hint="default"/>
        </w:rPr>
        <w:t>5</w:t>
      </w:r>
      <w:r>
        <w:rPr/>
        <w:t>名的预付款项合计数为</w:t>
      </w:r>
      <w:r>
        <w:rPr>
          <w:rFonts w:ascii="Times New Roman" w:hAnsi="Times New Roman" w:cs="Times New Roman" w:eastAsia="Times New Roman" w:hint="default"/>
        </w:rPr>
        <w:t>5,843,753.81</w:t>
      </w:r>
      <w:r>
        <w:rPr/>
        <w:t>元，占预付款项期末余额合计数的比例为</w:t>
      </w:r>
      <w:r>
        <w:rPr>
          <w:rFonts w:ascii="Times New Roman" w:hAnsi="Times New Roman" w:cs="Times New Roman" w:eastAsia="Times New Roman" w:hint="default"/>
        </w:rPr>
        <w:t>24.55%</w:t>
      </w:r>
      <w:r>
        <w:rPr/>
        <w:t>。 其他说明：</w:t>
      </w:r>
    </w:p>
    <w:p>
      <w:pPr>
        <w:spacing w:line="240" w:lineRule="auto" w:before="1"/>
        <w:rPr>
          <w:rFonts w:ascii="宋体" w:hAnsi="宋体" w:cs="宋体" w:eastAsia="宋体" w:hint="default"/>
          <w:sz w:val="21"/>
          <w:szCs w:val="21"/>
        </w:rPr>
      </w:pPr>
    </w:p>
    <w:p>
      <w:pPr>
        <w:pStyle w:val="Heading3"/>
        <w:spacing w:line="240" w:lineRule="auto"/>
        <w:ind w:right="0"/>
        <w:jc w:val="left"/>
        <w:rPr>
          <w:b w:val="0"/>
          <w:bCs w:val="0"/>
        </w:rPr>
      </w:pPr>
      <w:bookmarkStart w:name="4、其他应收款" w:id="236"/>
      <w:bookmarkEnd w:id="236"/>
      <w:r>
        <w:rPr>
          <w:b w:val="0"/>
          <w:bCs w:val="0"/>
        </w:rPr>
      </w:r>
      <w:r>
        <w:rPr>
          <w:rFonts w:ascii="Times New Roman" w:hAnsi="Times New Roman" w:cs="Times New Roman" w:eastAsia="Times New Roman" w:hint="default"/>
        </w:rPr>
        <w:t>4</w:t>
      </w:r>
      <w:r>
        <w:rPr/>
        <w:t>、其他应收款</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46,845,184.54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41,735,381.28</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46,845,184.54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41,735,381.28</w:t>
            </w:r>
          </w:p>
        </w:tc>
      </w:tr>
    </w:tbl>
    <w:p>
      <w:pPr>
        <w:spacing w:line="240" w:lineRule="auto" w:before="5"/>
        <w:rPr>
          <w:rFonts w:ascii="宋体" w:hAnsi="宋体" w:cs="宋体" w:eastAsia="宋体" w:hint="default"/>
          <w:sz w:val="19"/>
          <w:szCs w:val="19"/>
        </w:rPr>
      </w:pPr>
    </w:p>
    <w:p>
      <w:pPr>
        <w:pStyle w:val="Heading3"/>
        <w:spacing w:line="240" w:lineRule="auto" w:before="34"/>
        <w:ind w:right="0"/>
        <w:jc w:val="left"/>
        <w:rPr>
          <w:b w:val="0"/>
          <w:bCs w:val="0"/>
        </w:rPr>
      </w:pPr>
      <w:bookmarkStart w:name="（1）应收利息" w:id="237"/>
      <w:bookmarkEnd w:id="237"/>
      <w:r>
        <w:rPr>
          <w:b w:val="0"/>
          <w:bCs w:val="0"/>
        </w:rPr>
      </w:r>
      <w:r>
        <w:rPr/>
        <w:t>（</w:t>
      </w:r>
      <w:r>
        <w:rPr>
          <w:rFonts w:ascii="Times New Roman" w:hAnsi="Times New Roman" w:cs="Times New Roman" w:eastAsia="Times New Roman" w:hint="default"/>
        </w:rPr>
        <w:t>1</w:t>
      </w:r>
      <w:r>
        <w:rPr/>
        <w:t>）应收利息</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0"/>
        <w:jc w:val="left"/>
      </w:pPr>
      <w:r>
        <w:rPr>
          <w:rFonts w:ascii="Times New Roman" w:hAnsi="Times New Roman" w:cs="Times New Roman" w:eastAsia="Times New Roman" w:hint="default"/>
        </w:rPr>
        <w:t>1)</w:t>
      </w:r>
      <w:r>
        <w:rPr/>
        <w:t>应收利息分类</w:t>
      </w:r>
    </w:p>
    <w:p>
      <w:pPr>
        <w:pStyle w:val="BodyText"/>
        <w:spacing w:line="240" w:lineRule="auto" w:before="103"/>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8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49"/>
        <w:ind w:right="0"/>
        <w:jc w:val="left"/>
      </w:pPr>
      <w:r>
        <w:rPr>
          <w:rFonts w:ascii="Times New Roman" w:hAnsi="Times New Roman" w:cs="Times New Roman" w:eastAsia="Times New Roman" w:hint="default"/>
        </w:rPr>
        <w:t>2)</w:t>
      </w:r>
      <w:r>
        <w:rPr/>
        <w:t>重要逾期利息</w:t>
      </w:r>
    </w:p>
    <w:p>
      <w:pPr>
        <w:pStyle w:val="BodyText"/>
        <w:spacing w:line="240" w:lineRule="auto" w:before="103"/>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逾期原因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682" w:right="139" w:hanging="540"/>
              <w:jc w:val="left"/>
              <w:rPr>
                <w:rFonts w:ascii="宋体" w:hAnsi="宋体" w:cs="宋体" w:eastAsia="宋体" w:hint="default"/>
                <w:sz w:val="18"/>
                <w:szCs w:val="18"/>
              </w:rPr>
            </w:pPr>
            <w:r>
              <w:rPr>
                <w:rFonts w:ascii="宋体" w:hAnsi="宋体" w:cs="宋体" w:eastAsia="宋体" w:hint="default"/>
                <w:sz w:val="18"/>
                <w:szCs w:val="18"/>
              </w:rPr>
              <w:t>是否发生减值及其判 断依据</w:t>
            </w:r>
          </w:p>
        </w:tc>
      </w:tr>
    </w:tbl>
    <w:p>
      <w:pPr>
        <w:pStyle w:val="BodyText"/>
        <w:spacing w:line="240" w:lineRule="auto" w:before="50"/>
        <w:ind w:right="0"/>
        <w:jc w:val="left"/>
      </w:pPr>
      <w:r>
        <w:rPr/>
        <w:t>其他说明：</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0"/>
        <w:jc w:val="left"/>
        <w:rPr>
          <w:b w:val="0"/>
          <w:bCs w:val="0"/>
        </w:rPr>
      </w:pPr>
      <w:bookmarkStart w:name="（2）应收股利" w:id="238"/>
      <w:bookmarkEnd w:id="238"/>
      <w:r>
        <w:rPr>
          <w:b w:val="0"/>
          <w:bCs w:val="0"/>
        </w:rPr>
      </w:r>
      <w:r>
        <w:rPr/>
        <w:t>（</w:t>
      </w:r>
      <w:r>
        <w:rPr>
          <w:rFonts w:ascii="Times New Roman" w:hAnsi="Times New Roman" w:cs="Times New Roman" w:eastAsia="Times New Roman" w:hint="default"/>
        </w:rPr>
        <w:t>2</w:t>
      </w:r>
      <w:r>
        <w:rPr/>
        <w:t>）应收股利</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应收股利</w:t>
      </w:r>
    </w:p>
    <w:p>
      <w:pPr>
        <w:pStyle w:val="BodyText"/>
        <w:spacing w:line="240" w:lineRule="auto" w:before="103"/>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8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80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1"/>
        <w:ind w:right="0"/>
        <w:jc w:val="left"/>
      </w:pPr>
      <w:r>
        <w:rPr>
          <w:rFonts w:ascii="Times New Roman" w:hAnsi="Times New Roman" w:cs="Times New Roman" w:eastAsia="Times New Roman" w:hint="default"/>
        </w:rPr>
        <w:t>2)</w:t>
      </w:r>
      <w:r>
        <w:rPr/>
        <w:t>重要的账龄超过</w:t>
      </w:r>
      <w:r>
        <w:rPr>
          <w:spacing w:val="-47"/>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年的应收股利</w:t>
      </w:r>
    </w:p>
    <w:p>
      <w:pPr>
        <w:pStyle w:val="BodyText"/>
        <w:spacing w:line="240" w:lineRule="auto" w:before="101"/>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未收回的原因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682" w:right="139" w:hanging="540"/>
              <w:jc w:val="left"/>
              <w:rPr>
                <w:rFonts w:ascii="宋体" w:hAnsi="宋体" w:cs="宋体" w:eastAsia="宋体" w:hint="default"/>
                <w:sz w:val="18"/>
                <w:szCs w:val="18"/>
              </w:rPr>
            </w:pPr>
            <w:r>
              <w:rPr>
                <w:rFonts w:ascii="宋体" w:hAnsi="宋体" w:cs="宋体" w:eastAsia="宋体" w:hint="default"/>
                <w:sz w:val="18"/>
                <w:szCs w:val="18"/>
              </w:rPr>
              <w:t>是否发生减值及其判 断依据</w:t>
            </w:r>
          </w:p>
        </w:tc>
      </w:tr>
    </w:tbl>
    <w:p>
      <w:pPr>
        <w:pStyle w:val="BodyText"/>
        <w:spacing w:line="240" w:lineRule="auto" w:before="50"/>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3）其他应收款" w:id="239"/>
      <w:bookmarkEnd w:id="239"/>
      <w:r>
        <w:rPr>
          <w:b w:val="0"/>
          <w:bCs w:val="0"/>
        </w:rPr>
      </w:r>
      <w:r>
        <w:rPr/>
        <w:t>（</w:t>
      </w:r>
      <w:r>
        <w:rPr>
          <w:rFonts w:ascii="Times New Roman" w:hAnsi="Times New Roman" w:cs="Times New Roman" w:eastAsia="Times New Roman" w:hint="default"/>
        </w:rPr>
        <w:t>3</w:t>
      </w:r>
      <w:r>
        <w:rPr/>
        <w:t>）其他应收款</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其他应收款分类披露</w:t>
      </w:r>
    </w:p>
    <w:p>
      <w:pPr>
        <w:pStyle w:val="BodyText"/>
        <w:spacing w:line="240" w:lineRule="auto" w:before="101"/>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634"/>
        <w:gridCol w:w="763"/>
        <w:gridCol w:w="762"/>
        <w:gridCol w:w="762"/>
        <w:gridCol w:w="763"/>
        <w:gridCol w:w="789"/>
        <w:gridCol w:w="654"/>
        <w:gridCol w:w="762"/>
        <w:gridCol w:w="813"/>
        <w:gridCol w:w="932"/>
        <w:gridCol w:w="932"/>
      </w:tblGrid>
      <w:tr>
        <w:trPr>
          <w:trHeight w:val="402" w:hRule="exact"/>
        </w:trPr>
        <w:tc>
          <w:tcPr>
            <w:tcW w:w="163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3"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634"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299" w:right="117" w:hanging="180"/>
              <w:jc w:val="left"/>
              <w:rPr>
                <w:rFonts w:ascii="宋体" w:hAnsi="宋体" w:cs="宋体" w:eastAsia="宋体" w:hint="default"/>
                <w:sz w:val="18"/>
                <w:szCs w:val="18"/>
              </w:rPr>
            </w:pPr>
            <w:r>
              <w:rPr>
                <w:rFonts w:ascii="宋体" w:hAnsi="宋体" w:cs="宋体" w:eastAsia="宋体" w:hint="default"/>
                <w:sz w:val="18"/>
                <w:szCs w:val="18"/>
              </w:rPr>
              <w:t>账面价 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372" w:right="188" w:hanging="180"/>
              <w:jc w:val="left"/>
              <w:rPr>
                <w:rFonts w:ascii="宋体" w:hAnsi="宋体" w:cs="宋体" w:eastAsia="宋体" w:hint="default"/>
                <w:sz w:val="18"/>
                <w:szCs w:val="18"/>
              </w:rPr>
            </w:pPr>
            <w:r>
              <w:rPr>
                <w:rFonts w:ascii="宋体" w:hAnsi="宋体" w:cs="宋体" w:eastAsia="宋体" w:hint="default"/>
                <w:sz w:val="18"/>
                <w:szCs w:val="18"/>
              </w:rPr>
              <w:t>账面价 值</w:t>
            </w:r>
          </w:p>
        </w:tc>
      </w:tr>
      <w:tr>
        <w:trPr>
          <w:trHeight w:val="714" w:hRule="exact"/>
        </w:trPr>
        <w:tc>
          <w:tcPr>
            <w:tcW w:w="1634"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285" w:right="106"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9"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370" w:right="190"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1" w:right="260"/>
              <w:jc w:val="both"/>
              <w:rPr>
                <w:rFonts w:ascii="宋体" w:hAnsi="宋体" w:cs="宋体" w:eastAsia="宋体" w:hint="default"/>
                <w:sz w:val="18"/>
                <w:szCs w:val="18"/>
              </w:rPr>
            </w:pPr>
            <w:r>
              <w:rPr>
                <w:rFonts w:ascii="宋体" w:hAnsi="宋体" w:cs="宋体" w:eastAsia="宋体" w:hint="default"/>
                <w:sz w:val="18"/>
                <w:szCs w:val="18"/>
              </w:rPr>
              <w:t>按信用风险特征 组合计提坏账准 备的其他应收款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9" w:right="0"/>
              <w:jc w:val="left"/>
              <w:rPr>
                <w:rFonts w:ascii="Times New Roman" w:hAnsi="Times New Roman" w:cs="Times New Roman" w:eastAsia="Times New Roman" w:hint="default"/>
                <w:sz w:val="18"/>
                <w:szCs w:val="18"/>
              </w:rPr>
            </w:pPr>
            <w:r>
              <w:rPr>
                <w:rFonts w:ascii="Times New Roman"/>
                <w:sz w:val="18"/>
              </w:rPr>
              <w:t>61,210,</w:t>
            </w:r>
          </w:p>
          <w:p>
            <w:pPr>
              <w:pStyle w:val="TableParagraph"/>
              <w:spacing w:line="240" w:lineRule="auto" w:before="105"/>
              <w:ind w:left="155" w:right="0"/>
              <w:jc w:val="left"/>
              <w:rPr>
                <w:rFonts w:ascii="Times New Roman" w:hAnsi="Times New Roman" w:cs="Times New Roman" w:eastAsia="Times New Roman" w:hint="default"/>
                <w:sz w:val="18"/>
                <w:szCs w:val="18"/>
              </w:rPr>
            </w:pPr>
            <w:r>
              <w:rPr>
                <w:rFonts w:ascii="Times New Roman"/>
                <w:sz w:val="18"/>
              </w:rPr>
              <w:t>896.16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2"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8" w:right="0"/>
              <w:jc w:val="left"/>
              <w:rPr>
                <w:rFonts w:ascii="Times New Roman" w:hAnsi="Times New Roman" w:cs="Times New Roman" w:eastAsia="Times New Roman" w:hint="default"/>
                <w:sz w:val="18"/>
                <w:szCs w:val="18"/>
              </w:rPr>
            </w:pPr>
            <w:r>
              <w:rPr>
                <w:rFonts w:ascii="Times New Roman"/>
                <w:sz w:val="18"/>
              </w:rPr>
              <w:t>14,365,</w:t>
            </w:r>
          </w:p>
          <w:p>
            <w:pPr>
              <w:pStyle w:val="TableParagraph"/>
              <w:spacing w:line="240" w:lineRule="auto" w:before="105"/>
              <w:ind w:left="161" w:right="0"/>
              <w:jc w:val="left"/>
              <w:rPr>
                <w:rFonts w:ascii="Times New Roman" w:hAnsi="Times New Roman" w:cs="Times New Roman" w:eastAsia="Times New Roman" w:hint="default"/>
                <w:sz w:val="18"/>
                <w:szCs w:val="18"/>
              </w:rPr>
            </w:pPr>
            <w:r>
              <w:rPr>
                <w:rFonts w:ascii="Times New Roman"/>
                <w:sz w:val="18"/>
              </w:rPr>
              <w:t>711.62</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23.47</w:t>
            </w:r>
          </w:p>
          <w:p>
            <w:pPr>
              <w:pStyle w:val="TableParagraph"/>
              <w:spacing w:line="240" w:lineRule="auto" w:before="105"/>
              <w:ind w:left="501"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6" w:right="0"/>
              <w:jc w:val="left"/>
              <w:rPr>
                <w:rFonts w:ascii="Times New Roman" w:hAnsi="Times New Roman" w:cs="Times New Roman" w:eastAsia="Times New Roman" w:hint="default"/>
                <w:sz w:val="18"/>
                <w:szCs w:val="18"/>
              </w:rPr>
            </w:pPr>
            <w:r>
              <w:rPr>
                <w:rFonts w:ascii="Times New Roman"/>
                <w:sz w:val="18"/>
              </w:rPr>
              <w:t>46,845,</w:t>
            </w:r>
          </w:p>
          <w:p>
            <w:pPr>
              <w:pStyle w:val="TableParagraph"/>
              <w:spacing w:line="240" w:lineRule="auto" w:before="105"/>
              <w:ind w:left="182" w:right="0"/>
              <w:jc w:val="left"/>
              <w:rPr>
                <w:rFonts w:ascii="Times New Roman" w:hAnsi="Times New Roman" w:cs="Times New Roman" w:eastAsia="Times New Roman" w:hint="default"/>
                <w:sz w:val="18"/>
                <w:szCs w:val="18"/>
              </w:rPr>
            </w:pPr>
            <w:r>
              <w:rPr>
                <w:rFonts w:ascii="Times New Roman"/>
                <w:sz w:val="18"/>
              </w:rPr>
              <w:t>184.54</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center"/>
              <w:rPr>
                <w:rFonts w:ascii="Times New Roman" w:hAnsi="Times New Roman" w:cs="Times New Roman" w:eastAsia="Times New Roman" w:hint="default"/>
                <w:sz w:val="18"/>
                <w:szCs w:val="18"/>
              </w:rPr>
            </w:pPr>
            <w:r>
              <w:rPr>
                <w:rFonts w:ascii="Times New Roman"/>
                <w:sz w:val="18"/>
              </w:rPr>
              <w:t>52,72</w:t>
            </w:r>
          </w:p>
          <w:p>
            <w:pPr>
              <w:pStyle w:val="TableParagraph"/>
              <w:spacing w:line="240" w:lineRule="auto" w:before="105"/>
              <w:ind w:left="33" w:right="0"/>
              <w:jc w:val="center"/>
              <w:rPr>
                <w:rFonts w:ascii="Times New Roman" w:hAnsi="Times New Roman" w:cs="Times New Roman" w:eastAsia="Times New Roman" w:hint="default"/>
                <w:sz w:val="18"/>
                <w:szCs w:val="18"/>
              </w:rPr>
            </w:pPr>
            <w:r>
              <w:rPr>
                <w:rFonts w:ascii="Times New Roman"/>
                <w:sz w:val="18"/>
              </w:rPr>
              <w:t>5,585</w:t>
            </w:r>
          </w:p>
          <w:p>
            <w:pPr>
              <w:pStyle w:val="TableParagraph"/>
              <w:spacing w:line="240" w:lineRule="auto" w:before="105"/>
              <w:ind w:left="213" w:right="0"/>
              <w:jc w:val="center"/>
              <w:rPr>
                <w:rFonts w:ascii="Times New Roman" w:hAnsi="Times New Roman" w:cs="Times New Roman" w:eastAsia="Times New Roman" w:hint="default"/>
                <w:sz w:val="18"/>
                <w:szCs w:val="18"/>
              </w:rPr>
            </w:pPr>
            <w:r>
              <w:rPr>
                <w:rFonts w:ascii="Times New Roman"/>
                <w:sz w:val="18"/>
              </w:rPr>
              <w:t>.21</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3" w:right="0"/>
              <w:jc w:val="left"/>
              <w:rPr>
                <w:rFonts w:ascii="Times New Roman" w:hAnsi="Times New Roman" w:cs="Times New Roman" w:eastAsia="Times New Roman" w:hint="default"/>
                <w:sz w:val="18"/>
                <w:szCs w:val="18"/>
              </w:rPr>
            </w:pPr>
            <w:r>
              <w:rPr>
                <w:rFonts w:ascii="Times New Roman"/>
                <w:sz w:val="18"/>
              </w:rPr>
              <w:t>99.18</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1" w:right="0"/>
              <w:jc w:val="left"/>
              <w:rPr>
                <w:rFonts w:ascii="Times New Roman" w:hAnsi="Times New Roman" w:cs="Times New Roman" w:eastAsia="Times New Roman" w:hint="default"/>
                <w:sz w:val="18"/>
                <w:szCs w:val="18"/>
              </w:rPr>
            </w:pPr>
            <w:r>
              <w:rPr>
                <w:rFonts w:ascii="Times New Roman"/>
                <w:sz w:val="18"/>
              </w:rPr>
              <w:t>10,990,</w:t>
            </w:r>
          </w:p>
          <w:p>
            <w:pPr>
              <w:pStyle w:val="TableParagraph"/>
              <w:spacing w:line="240" w:lineRule="auto" w:before="105"/>
              <w:ind w:left="204" w:right="0"/>
              <w:jc w:val="left"/>
              <w:rPr>
                <w:rFonts w:ascii="Times New Roman" w:hAnsi="Times New Roman" w:cs="Times New Roman" w:eastAsia="Times New Roman" w:hint="default"/>
                <w:sz w:val="18"/>
                <w:szCs w:val="18"/>
              </w:rPr>
            </w:pPr>
            <w:r>
              <w:rPr>
                <w:rFonts w:ascii="Times New Roman"/>
                <w:sz w:val="18"/>
              </w:rPr>
              <w:t>203.93</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20.84%</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9" w:right="0"/>
              <w:jc w:val="left"/>
              <w:rPr>
                <w:rFonts w:ascii="Times New Roman" w:hAnsi="Times New Roman" w:cs="Times New Roman" w:eastAsia="Times New Roman" w:hint="default"/>
                <w:sz w:val="18"/>
                <w:szCs w:val="18"/>
              </w:rPr>
            </w:pPr>
            <w:r>
              <w:rPr>
                <w:rFonts w:ascii="Times New Roman"/>
                <w:sz w:val="18"/>
              </w:rPr>
              <w:t>41,735,3</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81.28</w:t>
            </w:r>
          </w:p>
        </w:tc>
      </w:tr>
      <w:tr>
        <w:trPr>
          <w:trHeight w:val="1338"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260"/>
              <w:jc w:val="both"/>
              <w:rPr>
                <w:rFonts w:ascii="宋体" w:hAnsi="宋体" w:cs="宋体" w:eastAsia="宋体" w:hint="default"/>
                <w:sz w:val="18"/>
                <w:szCs w:val="18"/>
              </w:rPr>
            </w:pPr>
            <w:r>
              <w:rPr>
                <w:rFonts w:ascii="宋体" w:hAnsi="宋体" w:cs="宋体" w:eastAsia="宋体" w:hint="default"/>
                <w:sz w:val="18"/>
                <w:szCs w:val="18"/>
              </w:rPr>
              <w:t>单项金额不重大 但单独计提坏账 准备的其他应收 款</w:t>
            </w:r>
          </w:p>
        </w:tc>
        <w:tc>
          <w:tcPr>
            <w:tcW w:w="763"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789" w:type="dxa"/>
            <w:tcBorders>
              <w:top w:val="single" w:sz="4" w:space="0" w:color="000000"/>
              <w:left w:val="single" w:sz="4" w:space="0" w:color="000000"/>
              <w:bottom w:val="single" w:sz="4" w:space="0" w:color="000000"/>
              <w:right w:val="single" w:sz="4" w:space="0" w:color="000000"/>
            </w:tcBorders>
          </w:tcPr>
          <w:p>
            <w:pP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36" w:right="0"/>
              <w:jc w:val="left"/>
              <w:rPr>
                <w:rFonts w:ascii="Times New Roman" w:hAnsi="Times New Roman" w:cs="Times New Roman" w:eastAsia="Times New Roman" w:hint="default"/>
                <w:sz w:val="18"/>
                <w:szCs w:val="18"/>
              </w:rPr>
            </w:pPr>
            <w:r>
              <w:rPr>
                <w:rFonts w:ascii="Times New Roman"/>
                <w:sz w:val="18"/>
              </w:rPr>
              <w:t>434,9</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72.25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86" w:right="0"/>
              <w:jc w:val="left"/>
              <w:rPr>
                <w:rFonts w:ascii="Times New Roman" w:hAnsi="Times New Roman" w:cs="Times New Roman" w:eastAsia="Times New Roman" w:hint="default"/>
                <w:sz w:val="18"/>
                <w:szCs w:val="18"/>
              </w:rPr>
            </w:pPr>
            <w:r>
              <w:rPr>
                <w:rFonts w:ascii="Times New Roman"/>
                <w:sz w:val="18"/>
              </w:rPr>
              <w:t>0.82%</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434,972</w:t>
            </w:r>
          </w:p>
          <w:p>
            <w:pPr>
              <w:pStyle w:val="TableParagraph"/>
              <w:spacing w:line="240" w:lineRule="auto" w:before="105"/>
              <w:ind w:left="475" w:right="0"/>
              <w:jc w:val="left"/>
              <w:rPr>
                <w:rFonts w:ascii="Times New Roman" w:hAnsi="Times New Roman" w:cs="Times New Roman" w:eastAsia="Times New Roman" w:hint="default"/>
                <w:sz w:val="18"/>
                <w:szCs w:val="18"/>
              </w:rPr>
            </w:pPr>
            <w:r>
              <w:rPr>
                <w:rFonts w:ascii="Times New Roman"/>
                <w:sz w:val="18"/>
              </w:rPr>
              <w:t>.25</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93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9" w:right="0"/>
              <w:jc w:val="left"/>
              <w:rPr>
                <w:rFonts w:ascii="Times New Roman" w:hAnsi="Times New Roman" w:cs="Times New Roman" w:eastAsia="Times New Roman" w:hint="default"/>
                <w:sz w:val="18"/>
                <w:szCs w:val="18"/>
              </w:rPr>
            </w:pPr>
            <w:r>
              <w:rPr>
                <w:rFonts w:ascii="Times New Roman"/>
                <w:sz w:val="18"/>
              </w:rPr>
              <w:t>61,210,</w:t>
            </w:r>
          </w:p>
          <w:p>
            <w:pPr>
              <w:pStyle w:val="TableParagraph"/>
              <w:spacing w:line="240" w:lineRule="auto" w:before="105"/>
              <w:ind w:left="155" w:right="0"/>
              <w:jc w:val="left"/>
              <w:rPr>
                <w:rFonts w:ascii="Times New Roman" w:hAnsi="Times New Roman" w:cs="Times New Roman" w:eastAsia="Times New Roman" w:hint="default"/>
                <w:sz w:val="18"/>
                <w:szCs w:val="18"/>
              </w:rPr>
            </w:pPr>
            <w:r>
              <w:rPr>
                <w:rFonts w:ascii="Times New Roman"/>
                <w:sz w:val="18"/>
              </w:rPr>
              <w:t>896.16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2"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8" w:right="0"/>
              <w:jc w:val="left"/>
              <w:rPr>
                <w:rFonts w:ascii="Times New Roman" w:hAnsi="Times New Roman" w:cs="Times New Roman" w:eastAsia="Times New Roman" w:hint="default"/>
                <w:sz w:val="18"/>
                <w:szCs w:val="18"/>
              </w:rPr>
            </w:pPr>
            <w:r>
              <w:rPr>
                <w:rFonts w:ascii="Times New Roman"/>
                <w:sz w:val="18"/>
              </w:rPr>
              <w:t>14,365,</w:t>
            </w:r>
          </w:p>
          <w:p>
            <w:pPr>
              <w:pStyle w:val="TableParagraph"/>
              <w:spacing w:line="240" w:lineRule="auto" w:before="105"/>
              <w:ind w:left="161" w:right="0"/>
              <w:jc w:val="left"/>
              <w:rPr>
                <w:rFonts w:ascii="Times New Roman" w:hAnsi="Times New Roman" w:cs="Times New Roman" w:eastAsia="Times New Roman" w:hint="default"/>
                <w:sz w:val="18"/>
                <w:szCs w:val="18"/>
              </w:rPr>
            </w:pPr>
            <w:r>
              <w:rPr>
                <w:rFonts w:ascii="Times New Roman"/>
                <w:sz w:val="18"/>
              </w:rPr>
              <w:t>711.62</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23.47</w:t>
            </w:r>
          </w:p>
          <w:p>
            <w:pPr>
              <w:pStyle w:val="TableParagraph"/>
              <w:spacing w:line="240" w:lineRule="auto" w:before="105"/>
              <w:ind w:left="501"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6" w:right="0"/>
              <w:jc w:val="left"/>
              <w:rPr>
                <w:rFonts w:ascii="Times New Roman" w:hAnsi="Times New Roman" w:cs="Times New Roman" w:eastAsia="Times New Roman" w:hint="default"/>
                <w:sz w:val="18"/>
                <w:szCs w:val="18"/>
              </w:rPr>
            </w:pPr>
            <w:r>
              <w:rPr>
                <w:rFonts w:ascii="Times New Roman"/>
                <w:sz w:val="18"/>
              </w:rPr>
              <w:t>46,845,</w:t>
            </w:r>
          </w:p>
          <w:p>
            <w:pPr>
              <w:pStyle w:val="TableParagraph"/>
              <w:spacing w:line="240" w:lineRule="auto" w:before="105"/>
              <w:ind w:left="182" w:right="0"/>
              <w:jc w:val="left"/>
              <w:rPr>
                <w:rFonts w:ascii="Times New Roman" w:hAnsi="Times New Roman" w:cs="Times New Roman" w:eastAsia="Times New Roman" w:hint="default"/>
                <w:sz w:val="18"/>
                <w:szCs w:val="18"/>
              </w:rPr>
            </w:pPr>
            <w:r>
              <w:rPr>
                <w:rFonts w:ascii="Times New Roman"/>
                <w:sz w:val="18"/>
              </w:rPr>
              <w:t>184.54</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center"/>
              <w:rPr>
                <w:rFonts w:ascii="Times New Roman" w:hAnsi="Times New Roman" w:cs="Times New Roman" w:eastAsia="Times New Roman" w:hint="default"/>
                <w:sz w:val="18"/>
                <w:szCs w:val="18"/>
              </w:rPr>
            </w:pPr>
            <w:r>
              <w:rPr>
                <w:rFonts w:ascii="Times New Roman"/>
                <w:sz w:val="18"/>
              </w:rPr>
              <w:t>53,16</w:t>
            </w:r>
          </w:p>
          <w:p>
            <w:pPr>
              <w:pStyle w:val="TableParagraph"/>
              <w:spacing w:line="240" w:lineRule="auto" w:before="105"/>
              <w:ind w:left="33" w:right="0"/>
              <w:jc w:val="center"/>
              <w:rPr>
                <w:rFonts w:ascii="Times New Roman" w:hAnsi="Times New Roman" w:cs="Times New Roman" w:eastAsia="Times New Roman" w:hint="default"/>
                <w:sz w:val="18"/>
                <w:szCs w:val="18"/>
              </w:rPr>
            </w:pPr>
            <w:r>
              <w:rPr>
                <w:rFonts w:ascii="Times New Roman"/>
                <w:sz w:val="18"/>
              </w:rPr>
              <w:t>0,557</w:t>
            </w:r>
          </w:p>
          <w:p>
            <w:pPr>
              <w:pStyle w:val="TableParagraph"/>
              <w:spacing w:line="240" w:lineRule="auto" w:before="105"/>
              <w:ind w:left="213" w:right="0"/>
              <w:jc w:val="center"/>
              <w:rPr>
                <w:rFonts w:ascii="Times New Roman" w:hAnsi="Times New Roman" w:cs="Times New Roman" w:eastAsia="Times New Roman" w:hint="default"/>
                <w:sz w:val="18"/>
                <w:szCs w:val="18"/>
              </w:rPr>
            </w:pPr>
            <w:r>
              <w:rPr>
                <w:rFonts w:ascii="Times New Roman"/>
                <w:sz w:val="18"/>
              </w:rPr>
              <w:t>.46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5"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8" w:right="0"/>
              <w:jc w:val="left"/>
              <w:rPr>
                <w:rFonts w:ascii="Times New Roman" w:hAnsi="Times New Roman" w:cs="Times New Roman" w:eastAsia="Times New Roman" w:hint="default"/>
                <w:sz w:val="18"/>
                <w:szCs w:val="18"/>
              </w:rPr>
            </w:pPr>
            <w:r>
              <w:rPr>
                <w:rFonts w:ascii="Times New Roman"/>
                <w:sz w:val="18"/>
              </w:rPr>
              <w:t>11,425,</w:t>
            </w:r>
          </w:p>
          <w:p>
            <w:pPr>
              <w:pStyle w:val="TableParagraph"/>
              <w:spacing w:line="240" w:lineRule="auto" w:before="105"/>
              <w:ind w:left="204" w:right="0"/>
              <w:jc w:val="left"/>
              <w:rPr>
                <w:rFonts w:ascii="Times New Roman" w:hAnsi="Times New Roman" w:cs="Times New Roman" w:eastAsia="Times New Roman" w:hint="default"/>
                <w:sz w:val="18"/>
                <w:szCs w:val="18"/>
              </w:rPr>
            </w:pPr>
            <w:r>
              <w:rPr>
                <w:rFonts w:ascii="Times New Roman"/>
                <w:sz w:val="18"/>
              </w:rPr>
              <w:t>176.18</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21.49%</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9" w:right="0"/>
              <w:jc w:val="left"/>
              <w:rPr>
                <w:rFonts w:ascii="Times New Roman" w:hAnsi="Times New Roman" w:cs="Times New Roman" w:eastAsia="Times New Roman" w:hint="default"/>
                <w:sz w:val="18"/>
                <w:szCs w:val="18"/>
              </w:rPr>
            </w:pPr>
            <w:r>
              <w:rPr>
                <w:rFonts w:ascii="Times New Roman"/>
                <w:sz w:val="18"/>
              </w:rPr>
              <w:t>41,735,3</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81.28</w:t>
            </w:r>
          </w:p>
        </w:tc>
      </w:tr>
    </w:tbl>
    <w:p>
      <w:pPr>
        <w:spacing w:after="0" w:line="240" w:lineRule="auto"/>
        <w:jc w:val="left"/>
        <w:rPr>
          <w:rFonts w:ascii="Times New Roman" w:hAnsi="Times New Roman" w:cs="Times New Roman" w:eastAsia="Times New Roman" w:hint="default"/>
          <w:sz w:val="18"/>
          <w:szCs w:val="18"/>
        </w:rPr>
        <w:sectPr>
          <w:pgSz w:w="11910" w:h="16840"/>
          <w:pgMar w:header="907" w:footer="1016" w:top="1100" w:bottom="1200" w:left="1020" w:right="0"/>
        </w:sectPr>
      </w:pPr>
    </w:p>
    <w:p>
      <w:pPr>
        <w:pStyle w:val="BodyText"/>
        <w:spacing w:line="240" w:lineRule="auto" w:before="50"/>
        <w:ind w:right="-20"/>
        <w:jc w:val="left"/>
      </w:pPr>
      <w:r>
        <w:rPr/>
        <w:t>期末单项金额重大并单项计提坏账准备的其他应收款：</w:t>
      </w:r>
    </w:p>
    <w:p>
      <w:pPr>
        <w:pStyle w:val="BodyText"/>
        <w:spacing w:line="357" w:lineRule="auto" w:before="117"/>
        <w:ind w:right="160" w:firstLine="91"/>
        <w:jc w:val="left"/>
      </w:pPr>
      <w:r>
        <w:rPr/>
        <w:t>□ 适用 √</w:t>
      </w:r>
      <w:r>
        <w:rPr>
          <w:spacing w:val="-1"/>
        </w:rPr>
        <w:t> </w:t>
      </w:r>
      <w:r>
        <w:rPr/>
        <w:t>不适用</w:t>
      </w:r>
      <w:r>
        <w:rPr/>
        <w:t> 组合中，按账龄分析法计提坏账准备的其他应收款：</w:t>
      </w:r>
    </w:p>
    <w:p>
      <w:pPr>
        <w:pStyle w:val="BodyText"/>
        <w:spacing w:line="240" w:lineRule="auto" w:before="29"/>
        <w:ind w:right="-20"/>
        <w:jc w:val="left"/>
      </w:pPr>
      <w:r>
        <w:rPr/>
        <w:t>√ 适用</w:t>
      </w:r>
      <w:r>
        <w:rPr>
          <w:spacing w:val="-1"/>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100" w:bottom="1200" w:left="1020" w:right="0"/>
          <w:cols w:num="2" w:equalWidth="0">
            <w:col w:w="4433" w:space="4485"/>
            <w:col w:w="1972"/>
          </w:cols>
        </w:sectPr>
      </w:pP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1"/>
        <w:gridCol w:w="2393"/>
        <w:gridCol w:w="2392"/>
        <w:gridCol w:w="2392"/>
      </w:tblGrid>
      <w:tr>
        <w:trPr>
          <w:trHeight w:val="402" w:hRule="exact"/>
        </w:trPr>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账龄</w:t>
            </w:r>
          </w:p>
        </w:tc>
        <w:tc>
          <w:tcPr>
            <w:tcW w:w="717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1" w:type="dxa"/>
            <w:vMerge/>
            <w:tcBorders>
              <w:left w:val="single" w:sz="4" w:space="0" w:color="000000"/>
              <w:bottom w:val="single" w:sz="4" w:space="0" w:color="000000"/>
              <w:right w:val="single" w:sz="4" w:space="0" w:color="000000"/>
            </w:tcBorders>
            <w:shd w:val="clear" w:color="auto" w:fill="D2D2D2"/>
          </w:tcPr>
          <w:p>
            <w:pP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9568"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27,141,661.66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1,357,083.08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z w:val="18"/>
              </w:rPr>
              <w:t>5.00%</w:t>
            </w:r>
          </w:p>
        </w:tc>
      </w:tr>
      <w:tr>
        <w:trPr>
          <w:trHeight w:val="400"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27,141,661.66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1,357,083.08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5.00%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391"/>
        <w:gridCol w:w="2393"/>
        <w:gridCol w:w="2392"/>
        <w:gridCol w:w="2392"/>
      </w:tblGrid>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9,872,091.18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1,974,418.24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20.00%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13,506,638.25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4,051,991.48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30.00%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7,416,572.50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3,708,286.25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50.00%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6,039,390.91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3,019,695.45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50.00%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1,377,181.59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688,590.80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50.00%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3,273,932.57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3,273,932.57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61,210,896.16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14,365,711.62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23.47%</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pStyle w:val="BodyText"/>
        <w:spacing w:line="360" w:lineRule="auto" w:before="51"/>
        <w:ind w:right="2186"/>
        <w:jc w:val="left"/>
      </w:pPr>
      <w:r>
        <w:rPr/>
        <w:t>确定该组合依据的说明： 组合中，采用余额百分比法计提坏账准备的其他应收款：</w:t>
      </w:r>
    </w:p>
    <w:p>
      <w:pPr>
        <w:pStyle w:val="BodyText"/>
        <w:spacing w:line="360" w:lineRule="auto" w:before="25"/>
        <w:ind w:right="2546" w:firstLine="91"/>
        <w:jc w:val="left"/>
      </w:pPr>
      <w:r>
        <w:rPr/>
        <w:t>□ 适用 √</w:t>
      </w:r>
      <w:r>
        <w:rPr>
          <w:spacing w:val="-1"/>
        </w:rPr>
        <w:t> </w:t>
      </w:r>
      <w:r>
        <w:rPr/>
        <w:t>不适用</w:t>
      </w:r>
      <w:r>
        <w:rPr/>
        <w:t> 组合中，采用其他方法计提坏账准备的其他应收款：</w:t>
      </w:r>
    </w:p>
    <w:p>
      <w:pPr>
        <w:pStyle w:val="BodyText"/>
        <w:spacing w:line="240" w:lineRule="auto" w:before="27"/>
        <w:ind w:left="204" w:right="2186"/>
        <w:jc w:val="left"/>
      </w:pPr>
      <w:r>
        <w:rPr/>
        <w:t>□ 适用  √</w:t>
      </w:r>
      <w:r>
        <w:rPr>
          <w:spacing w:val="-1"/>
        </w:rPr>
        <w:t> </w:t>
      </w:r>
      <w:r>
        <w:rPr/>
        <w:t>不适用</w:t>
      </w:r>
    </w:p>
    <w:p>
      <w:pPr>
        <w:pStyle w:val="BodyText"/>
        <w:spacing w:line="240" w:lineRule="auto" w:before="115"/>
        <w:ind w:right="2186"/>
        <w:jc w:val="left"/>
      </w:pPr>
      <w:r>
        <w:rPr>
          <w:rFonts w:ascii="Times New Roman" w:hAnsi="Times New Roman" w:cs="Times New Roman" w:eastAsia="Times New Roman" w:hint="default"/>
        </w:rPr>
        <w:t>2)</w:t>
      </w:r>
      <w:r>
        <w:rPr/>
        <w:t>本期计提、收回或转回的坏账准备情况</w:t>
      </w:r>
    </w:p>
    <w:p>
      <w:pPr>
        <w:pStyle w:val="BodyText"/>
        <w:spacing w:line="340" w:lineRule="auto" w:before="103"/>
        <w:ind w:right="-7"/>
        <w:jc w:val="left"/>
      </w:pPr>
      <w:r>
        <w:rPr/>
        <w:t>本期计提坏账准备金额</w:t>
      </w:r>
      <w:r>
        <w:rPr>
          <w:spacing w:val="-47"/>
        </w:rPr>
        <w:t> </w:t>
      </w:r>
      <w:r>
        <w:rPr>
          <w:rFonts w:ascii="Times New Roman" w:hAnsi="Times New Roman" w:cs="Times New Roman" w:eastAsia="Times New Roman" w:hint="default"/>
        </w:rPr>
        <w:t>3,365,507.69</w:t>
      </w:r>
      <w:r>
        <w:rPr>
          <w:rFonts w:ascii="Times New Roman" w:hAnsi="Times New Roman" w:cs="Times New Roman" w:eastAsia="Times New Roman" w:hint="default"/>
          <w:spacing w:val="-3"/>
        </w:rPr>
        <w:t> </w:t>
      </w:r>
      <w:r>
        <w:rPr/>
        <w:t>元；本期收回或转回坏账准备金额</w:t>
      </w:r>
      <w:r>
        <w:rPr>
          <w:spacing w:val="-49"/>
        </w:rPr>
        <w:t> </w:t>
      </w:r>
      <w:r>
        <w:rPr>
          <w:rFonts w:ascii="Times New Roman" w:hAnsi="Times New Roman" w:cs="Times New Roman" w:eastAsia="Times New Roman" w:hint="default"/>
        </w:rPr>
        <w:t>10,000.00</w:t>
      </w:r>
      <w:r>
        <w:rPr>
          <w:rFonts w:ascii="Times New Roman" w:hAnsi="Times New Roman" w:cs="Times New Roman" w:eastAsia="Times New Roman" w:hint="default"/>
          <w:spacing w:val="-3"/>
        </w:rPr>
        <w:t> </w:t>
      </w:r>
      <w:r>
        <w:rPr/>
        <w:t>元。 其中本期坏账准备转回或收回金额重要的：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100" w:bottom="1200" w:left="1020" w:right="0"/>
          <w:cols w:num="2" w:equalWidth="0">
            <w:col w:w="6819" w:space="2099"/>
            <w:col w:w="1972"/>
          </w:cols>
        </w:sectPr>
      </w:pP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1"/>
        <w:gridCol w:w="3191"/>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58" w:right="0"/>
              <w:jc w:val="left"/>
              <w:rPr>
                <w:rFonts w:ascii="宋体" w:hAnsi="宋体" w:cs="宋体" w:eastAsia="宋体" w:hint="default"/>
                <w:sz w:val="18"/>
                <w:szCs w:val="18"/>
              </w:rPr>
            </w:pPr>
            <w:r>
              <w:rPr>
                <w:rFonts w:ascii="宋体" w:hAnsi="宋体" w:cs="宋体" w:eastAsia="宋体" w:hint="default"/>
                <w:sz w:val="18"/>
                <w:szCs w:val="18"/>
              </w:rPr>
              <w:t>转回或收回金额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pStyle w:val="BodyText"/>
        <w:spacing w:line="240" w:lineRule="auto" w:before="50"/>
        <w:ind w:right="0"/>
        <w:jc w:val="left"/>
      </w:pPr>
      <w:r>
        <w:rPr>
          <w:rFonts w:ascii="Times New Roman" w:hAnsi="Times New Roman" w:cs="Times New Roman" w:eastAsia="Times New Roman" w:hint="default"/>
        </w:rPr>
        <w:t>3)</w:t>
      </w:r>
      <w:r>
        <w:rPr/>
        <w:t>本期实际核销的其他应收款情况</w:t>
      </w:r>
    </w:p>
    <w:p>
      <w:pPr>
        <w:pStyle w:val="BodyText"/>
        <w:spacing w:line="240" w:lineRule="auto" w:before="103"/>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434,972.25</w:t>
            </w:r>
          </w:p>
        </w:tc>
      </w:tr>
    </w:tbl>
    <w:p>
      <w:pPr>
        <w:pStyle w:val="BodyText"/>
        <w:spacing w:line="240" w:lineRule="auto" w:before="50"/>
        <w:ind w:right="0"/>
        <w:jc w:val="left"/>
      </w:pPr>
      <w:r>
        <w:rPr/>
        <w:t>其中重要的其他应收款核销情况：</w:t>
      </w:r>
    </w:p>
    <w:p>
      <w:pPr>
        <w:pStyle w:val="BodyText"/>
        <w:spacing w:line="240" w:lineRule="auto" w:before="117"/>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4"/>
        <w:gridCol w:w="1594"/>
        <w:gridCol w:w="1594"/>
        <w:gridCol w:w="1594"/>
        <w:gridCol w:w="1595"/>
        <w:gridCol w:w="1595"/>
      </w:tblGrid>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3"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1" w:right="0"/>
              <w:jc w:val="left"/>
              <w:rPr>
                <w:rFonts w:ascii="宋体" w:hAnsi="宋体" w:cs="宋体" w:eastAsia="宋体" w:hint="default"/>
                <w:sz w:val="18"/>
                <w:szCs w:val="18"/>
              </w:rPr>
            </w:pPr>
            <w:r>
              <w:rPr>
                <w:rFonts w:ascii="宋体" w:hAnsi="宋体" w:cs="宋体" w:eastAsia="宋体" w:hint="default"/>
                <w:sz w:val="18"/>
                <w:szCs w:val="18"/>
              </w:rPr>
              <w:t>其他应收款性质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2"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32" w:right="162" w:hanging="272"/>
              <w:jc w:val="left"/>
              <w:rPr>
                <w:rFonts w:ascii="宋体" w:hAnsi="宋体" w:cs="宋体" w:eastAsia="宋体" w:hint="default"/>
                <w:sz w:val="18"/>
                <w:szCs w:val="18"/>
              </w:rPr>
            </w:pPr>
            <w:r>
              <w:rPr>
                <w:rFonts w:ascii="宋体" w:hAnsi="宋体" w:cs="宋体" w:eastAsia="宋体" w:hint="default"/>
                <w:sz w:val="18"/>
                <w:szCs w:val="18"/>
              </w:rPr>
              <w:t>款项是否由关联 交易产生</w:t>
            </w:r>
          </w:p>
        </w:tc>
      </w:tr>
    </w:tbl>
    <w:p>
      <w:pPr>
        <w:spacing w:after="0" w:line="316" w:lineRule="auto"/>
        <w:jc w:val="left"/>
        <w:rPr>
          <w:rFonts w:ascii="宋体" w:hAnsi="宋体" w:cs="宋体" w:eastAsia="宋体" w:hint="default"/>
          <w:sz w:val="18"/>
          <w:szCs w:val="18"/>
        </w:rPr>
        <w:sectPr>
          <w:type w:val="continuous"/>
          <w:pgSz w:w="11910" w:h="16840"/>
          <w:pgMar w:top="1100" w:bottom="1200" w:left="1020" w:right="0"/>
        </w:sectPr>
      </w:pPr>
    </w:p>
    <w:p>
      <w:pPr>
        <w:pStyle w:val="BodyText"/>
        <w:spacing w:line="240" w:lineRule="auto" w:before="50"/>
        <w:ind w:right="-18"/>
        <w:jc w:val="left"/>
      </w:pPr>
      <w:r>
        <w:rPr/>
        <w:t>其他应收款核销说明：</w:t>
      </w:r>
    </w:p>
    <w:p>
      <w:pPr>
        <w:pStyle w:val="BodyText"/>
        <w:spacing w:line="240" w:lineRule="auto" w:before="117"/>
        <w:ind w:right="-18"/>
        <w:jc w:val="left"/>
      </w:pPr>
      <w:r>
        <w:rPr>
          <w:rFonts w:ascii="Times New Roman" w:hAnsi="Times New Roman" w:cs="Times New Roman" w:eastAsia="Times New Roman" w:hint="default"/>
        </w:rPr>
        <w:t>4)</w:t>
      </w:r>
      <w:r>
        <w:rPr/>
        <w:t>其他应收款按款项性质分类情况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100" w:bottom="1200" w:left="1020" w:right="0"/>
          <w:cols w:num="2" w:equalWidth="0">
            <w:col w:w="2785" w:space="6134"/>
            <w:col w:w="1971"/>
          </w:cols>
        </w:sectPr>
      </w:pP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1"/>
        <w:gridCol w:w="3191"/>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1"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押金保证金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52,141,891.46</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42,673,191.86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3,324,008.12</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4,754,059.29</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5,744,996.58</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5,733,306.31</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61,210,896.16</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53,160,557.46</w:t>
            </w:r>
          </w:p>
        </w:tc>
      </w:tr>
    </w:tbl>
    <w:p>
      <w:pPr>
        <w:pStyle w:val="BodyText"/>
        <w:spacing w:line="240" w:lineRule="auto" w:before="50"/>
        <w:ind w:right="0"/>
        <w:jc w:val="left"/>
      </w:pPr>
      <w:r>
        <w:rPr>
          <w:rFonts w:ascii="Times New Roman" w:hAnsi="Times New Roman" w:cs="Times New Roman" w:eastAsia="Times New Roman" w:hint="default"/>
        </w:rPr>
        <w:t>5)</w:t>
      </w:r>
      <w:r>
        <w:rPr/>
        <w:t>按欠款方归集的期末余额前五名的其他应收款情况</w:t>
      </w:r>
    </w:p>
    <w:p>
      <w:pPr>
        <w:pStyle w:val="BodyText"/>
        <w:spacing w:line="240" w:lineRule="auto" w:before="103"/>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4"/>
        <w:gridCol w:w="1594"/>
        <w:gridCol w:w="1594"/>
        <w:gridCol w:w="1594"/>
        <w:gridCol w:w="1595"/>
        <w:gridCol w:w="1595"/>
      </w:tblGrid>
      <w:tr>
        <w:trPr>
          <w:trHeight w:val="400"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1"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62" w:right="0"/>
              <w:jc w:val="left"/>
              <w:rPr>
                <w:rFonts w:ascii="宋体" w:hAnsi="宋体" w:cs="宋体" w:eastAsia="宋体" w:hint="default"/>
                <w:sz w:val="18"/>
                <w:szCs w:val="18"/>
              </w:rPr>
            </w:pPr>
            <w:r>
              <w:rPr>
                <w:rFonts w:ascii="宋体" w:hAnsi="宋体" w:cs="宋体" w:eastAsia="宋体" w:hint="default"/>
                <w:sz w:val="18"/>
                <w:szCs w:val="18"/>
              </w:rPr>
              <w:t>占其他应收款期</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61" w:right="0"/>
              <w:jc w:val="left"/>
              <w:rPr>
                <w:rFonts w:ascii="宋体" w:hAnsi="宋体" w:cs="宋体" w:eastAsia="宋体" w:hint="default"/>
                <w:sz w:val="18"/>
                <w:szCs w:val="18"/>
              </w:rPr>
            </w:pPr>
            <w:r>
              <w:rPr>
                <w:rFonts w:ascii="宋体" w:hAnsi="宋体" w:cs="宋体" w:eastAsia="宋体" w:hint="default"/>
                <w:sz w:val="18"/>
                <w:szCs w:val="18"/>
              </w:rPr>
              <w:t>坏账准备期末余</w:t>
            </w:r>
          </w:p>
        </w:tc>
      </w:tr>
    </w:tbl>
    <w:p>
      <w:pPr>
        <w:spacing w:after="0" w:line="240" w:lineRule="auto"/>
        <w:jc w:val="left"/>
        <w:rPr>
          <w:rFonts w:ascii="宋体" w:hAnsi="宋体" w:cs="宋体" w:eastAsia="宋体" w:hint="default"/>
          <w:sz w:val="18"/>
          <w:szCs w:val="18"/>
        </w:rPr>
        <w:sectPr>
          <w:type w:val="continuous"/>
          <w:pgSz w:w="11910" w:h="16840"/>
          <w:pgMar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594"/>
        <w:gridCol w:w="1594"/>
        <w:gridCol w:w="1594"/>
        <w:gridCol w:w="1594"/>
        <w:gridCol w:w="1595"/>
        <w:gridCol w:w="1595"/>
      </w:tblGrid>
      <w:tr>
        <w:trPr>
          <w:trHeight w:val="67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1"/>
              <w:ind w:left="611" w:right="160" w:hanging="449"/>
              <w:jc w:val="left"/>
              <w:rPr>
                <w:rFonts w:ascii="宋体" w:hAnsi="宋体" w:cs="宋体" w:eastAsia="宋体" w:hint="default"/>
                <w:sz w:val="18"/>
                <w:szCs w:val="18"/>
              </w:rPr>
            </w:pPr>
            <w:r>
              <w:rPr>
                <w:rFonts w:ascii="宋体" w:hAnsi="宋体" w:cs="宋体" w:eastAsia="宋体" w:hint="default"/>
                <w:sz w:val="18"/>
                <w:szCs w:val="18"/>
              </w:rPr>
              <w:t>末余额合计数的 比例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额</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20"/>
              <w:jc w:val="left"/>
              <w:rPr>
                <w:rFonts w:ascii="宋体" w:hAnsi="宋体" w:cs="宋体" w:eastAsia="宋体" w:hint="default"/>
                <w:sz w:val="18"/>
                <w:szCs w:val="18"/>
              </w:rPr>
            </w:pPr>
            <w:r>
              <w:rPr>
                <w:rFonts w:ascii="宋体" w:hAnsi="宋体" w:cs="宋体" w:eastAsia="宋体" w:hint="default"/>
                <w:sz w:val="18"/>
                <w:szCs w:val="18"/>
              </w:rPr>
              <w:t>中国人民解放军 第八五医院</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4,474,000.00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7.31%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1,342,200.00</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20"/>
              <w:jc w:val="left"/>
              <w:rPr>
                <w:rFonts w:ascii="宋体" w:hAnsi="宋体" w:cs="宋体" w:eastAsia="宋体" w:hint="default"/>
                <w:sz w:val="18"/>
                <w:szCs w:val="18"/>
              </w:rPr>
            </w:pPr>
            <w:r>
              <w:rPr>
                <w:rFonts w:ascii="宋体" w:hAnsi="宋体" w:cs="宋体" w:eastAsia="宋体" w:hint="default"/>
                <w:sz w:val="18"/>
                <w:szCs w:val="18"/>
              </w:rPr>
              <w:t>福建省天海招标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投标保证金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3,250,000.00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5.31%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162,500.00</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中山市财政局</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质量保证金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z w:val="18"/>
              </w:rPr>
              <w:t>4.90%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1,500,000.00</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20"/>
              <w:jc w:val="left"/>
              <w:rPr>
                <w:rFonts w:ascii="宋体" w:hAnsi="宋体" w:cs="宋体" w:eastAsia="宋体" w:hint="default"/>
                <w:sz w:val="18"/>
                <w:szCs w:val="18"/>
              </w:rPr>
            </w:pPr>
            <w:r>
              <w:rPr>
                <w:rFonts w:ascii="宋体" w:hAnsi="宋体" w:cs="宋体" w:eastAsia="宋体" w:hint="default"/>
                <w:sz w:val="18"/>
                <w:szCs w:val="18"/>
              </w:rPr>
              <w:t>北京好望角视真 科技有限公司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投资保证金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4.90%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900,000.00</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20"/>
              <w:jc w:val="left"/>
              <w:rPr>
                <w:rFonts w:ascii="宋体" w:hAnsi="宋体" w:cs="宋体" w:eastAsia="宋体" w:hint="default"/>
                <w:sz w:val="18"/>
                <w:szCs w:val="18"/>
              </w:rPr>
            </w:pPr>
            <w:r>
              <w:rPr>
                <w:rFonts w:ascii="宋体" w:hAnsi="宋体" w:cs="宋体" w:eastAsia="宋体" w:hint="default"/>
                <w:sz w:val="18"/>
                <w:szCs w:val="18"/>
              </w:rPr>
              <w:t>长寿健康保险股 份有限公司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3.43%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630,000.00</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15,824,000.00</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25.85%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4,534,700.00</w:t>
            </w:r>
          </w:p>
        </w:tc>
      </w:tr>
    </w:tbl>
    <w:p>
      <w:pPr>
        <w:pStyle w:val="BodyText"/>
        <w:spacing w:line="240" w:lineRule="auto" w:before="50"/>
        <w:ind w:right="0"/>
        <w:jc w:val="left"/>
      </w:pPr>
      <w:r>
        <w:rPr>
          <w:rFonts w:ascii="Times New Roman" w:hAnsi="Times New Roman" w:cs="Times New Roman" w:eastAsia="Times New Roman" w:hint="default"/>
        </w:rPr>
        <w:t>6)</w:t>
      </w:r>
      <w:r>
        <w:rPr/>
        <w:t>涉及政府补助的应收款项</w:t>
      </w:r>
    </w:p>
    <w:p>
      <w:pPr>
        <w:pStyle w:val="BodyText"/>
        <w:spacing w:line="240" w:lineRule="auto" w:before="103"/>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4"/>
        <w:gridCol w:w="1914"/>
        <w:gridCol w:w="1914"/>
        <w:gridCol w:w="1916"/>
      </w:tblGrid>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政府补助项目名称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期末账龄</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593" w:right="142" w:hanging="452"/>
              <w:jc w:val="left"/>
              <w:rPr>
                <w:rFonts w:ascii="宋体" w:hAnsi="宋体" w:cs="宋体" w:eastAsia="宋体" w:hint="default"/>
                <w:sz w:val="18"/>
                <w:szCs w:val="18"/>
              </w:rPr>
            </w:pPr>
            <w:r>
              <w:rPr>
                <w:rFonts w:ascii="宋体" w:hAnsi="宋体" w:cs="宋体" w:eastAsia="宋体" w:hint="default"/>
                <w:sz w:val="18"/>
                <w:szCs w:val="18"/>
              </w:rPr>
              <w:t>预计收取的时间、金 额及依据</w:t>
            </w:r>
          </w:p>
        </w:tc>
      </w:tr>
    </w:tbl>
    <w:p>
      <w:pPr>
        <w:pStyle w:val="BodyText"/>
        <w:spacing w:line="240" w:lineRule="auto" w:before="51"/>
        <w:ind w:right="0"/>
        <w:jc w:val="left"/>
      </w:pPr>
      <w:r>
        <w:rPr>
          <w:rFonts w:ascii="Times New Roman" w:hAnsi="Times New Roman" w:cs="Times New Roman" w:eastAsia="Times New Roman" w:hint="default"/>
        </w:rPr>
        <w:t>7)</w:t>
      </w:r>
      <w:r>
        <w:rPr/>
        <w:t>因金融资产转移而终止确认的其他应收款</w:t>
      </w:r>
    </w:p>
    <w:p>
      <w:pPr>
        <w:pStyle w:val="BodyText"/>
        <w:spacing w:line="338" w:lineRule="auto" w:before="103"/>
        <w:ind w:right="6644"/>
        <w:jc w:val="left"/>
      </w:pPr>
      <w:r>
        <w:rPr>
          <w:rFonts w:ascii="Times New Roman" w:hAnsi="Times New Roman" w:cs="Times New Roman" w:eastAsia="Times New Roman" w:hint="default"/>
        </w:rPr>
        <w:t>8)</w:t>
      </w:r>
      <w:r>
        <w:rPr/>
        <w:t>转移其他应收款且继续涉入形成的资产、负债金额 其他说明：</w:t>
      </w:r>
    </w:p>
    <w:p>
      <w:pPr>
        <w:spacing w:line="240" w:lineRule="auto" w:before="5"/>
        <w:rPr>
          <w:rFonts w:ascii="宋体" w:hAnsi="宋体" w:cs="宋体" w:eastAsia="宋体" w:hint="default"/>
          <w:sz w:val="21"/>
          <w:szCs w:val="21"/>
        </w:rPr>
      </w:pPr>
    </w:p>
    <w:p>
      <w:pPr>
        <w:pStyle w:val="Heading3"/>
        <w:spacing w:line="240" w:lineRule="auto"/>
        <w:ind w:right="0"/>
        <w:jc w:val="left"/>
        <w:rPr>
          <w:b w:val="0"/>
          <w:bCs w:val="0"/>
        </w:rPr>
      </w:pPr>
      <w:bookmarkStart w:name="5、存货" w:id="240"/>
      <w:bookmarkEnd w:id="240"/>
      <w:r>
        <w:rPr>
          <w:b w:val="0"/>
          <w:bCs w:val="0"/>
        </w:rPr>
      </w:r>
      <w:r>
        <w:rPr>
          <w:rFonts w:ascii="Times New Roman" w:hAnsi="Times New Roman" w:cs="Times New Roman" w:eastAsia="Times New Roman" w:hint="default"/>
        </w:rPr>
        <w:t>5</w:t>
      </w:r>
      <w:r>
        <w:rPr/>
        <w:t>、存货</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7514"/>
        <w:jc w:val="left"/>
      </w:pPr>
      <w:r>
        <w:rPr/>
        <w:t>公司是否需要遵守房地产行业的披露要求 否</w:t>
      </w:r>
    </w:p>
    <w:p>
      <w:pPr>
        <w:spacing w:line="240" w:lineRule="auto" w:before="3"/>
        <w:rPr>
          <w:rFonts w:ascii="宋体" w:hAnsi="宋体" w:cs="宋体" w:eastAsia="宋体" w:hint="default"/>
          <w:sz w:val="20"/>
          <w:szCs w:val="20"/>
        </w:rPr>
      </w:pPr>
    </w:p>
    <w:p>
      <w:pPr>
        <w:pStyle w:val="Heading3"/>
        <w:spacing w:line="240" w:lineRule="auto"/>
        <w:ind w:right="0"/>
        <w:jc w:val="left"/>
        <w:rPr>
          <w:b w:val="0"/>
          <w:bCs w:val="0"/>
        </w:rPr>
      </w:pPr>
      <w:bookmarkStart w:name="（1）存货分类" w:id="241"/>
      <w:bookmarkEnd w:id="241"/>
      <w:r>
        <w:rPr>
          <w:b w:val="0"/>
          <w:bCs w:val="0"/>
        </w:rPr>
      </w:r>
      <w:r>
        <w:rPr/>
        <w:t>（</w:t>
      </w:r>
      <w:r>
        <w:rPr>
          <w:rFonts w:ascii="Times New Roman" w:hAnsi="Times New Roman" w:cs="Times New Roman" w:eastAsia="Times New Roman" w:hint="default"/>
        </w:rPr>
        <w:t>1</w:t>
      </w:r>
      <w:r>
        <w:rPr/>
        <w:t>）存货分类</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7"/>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7"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4,523,242.59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4,523,242.59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5,310,459.23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5,310,459.23</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521,518.26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521,518.26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2"/>
                <w:sz w:val="18"/>
              </w:rPr>
              <w:t>351,411.56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pacing w:val="-1"/>
                <w:sz w:val="18"/>
              </w:rPr>
              <w:t>351,411.56</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82,597,871.47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158,531.10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82,439,340.37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84,635,521.17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472,545.62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84,162,975.55</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87,642,632.32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158,531.10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87,484,101.22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90,297,391.96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1"/>
                <w:sz w:val="18"/>
              </w:rPr>
              <w:t>472,545.62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89,824,846.34</w:t>
            </w:r>
          </w:p>
        </w:tc>
      </w:tr>
    </w:tbl>
    <w:p>
      <w:pPr>
        <w:pStyle w:val="BodyText"/>
        <w:spacing w:line="340" w:lineRule="auto" w:before="49"/>
        <w:ind w:right="2475"/>
        <w:jc w:val="left"/>
      </w:pPr>
      <w:r>
        <w:rPr/>
        <w:t>公司是否需遵守《深圳证券交易所行业信息披露指引第</w:t>
      </w:r>
      <w:r>
        <w:rPr>
          <w:spacing w:val="-45"/>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号—上市公司从事种业、种植业务》的披露要求 否</w:t>
      </w:r>
    </w:p>
    <w:p>
      <w:pPr>
        <w:pStyle w:val="BodyText"/>
        <w:spacing w:line="338" w:lineRule="auto" w:before="41"/>
        <w:ind w:right="1575"/>
        <w:jc w:val="left"/>
      </w:pPr>
      <w:r>
        <w:rPr/>
        <w:t>公司是否需遵守《深圳证券交易所创业板行业信息披露指引第</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号——上市公司从事广播电影电视业务》的披露要求 否</w:t>
      </w:r>
    </w:p>
    <w:p>
      <w:pPr>
        <w:pStyle w:val="BodyText"/>
        <w:spacing w:line="240" w:lineRule="auto" w:before="43"/>
        <w:ind w:right="0"/>
        <w:jc w:val="left"/>
      </w:pPr>
      <w:r>
        <w:rPr/>
        <w:t>公司是否需遵守《深圳证券交易所创业板行业信息披露指引第</w:t>
      </w:r>
      <w:r>
        <w:rPr>
          <w:spacing w:val="-45"/>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号——上市公司从事互联网游戏业务》的披露要求</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right="0"/>
        <w:jc w:val="left"/>
      </w:pPr>
      <w:r>
        <w:rPr/>
        <w:t>否</w:t>
      </w:r>
    </w:p>
    <w:p>
      <w:pPr>
        <w:pStyle w:val="BodyText"/>
        <w:spacing w:line="340" w:lineRule="auto" w:before="115"/>
        <w:ind w:right="2751"/>
        <w:jc w:val="left"/>
      </w:pPr>
      <w:r>
        <w:rPr/>
        <w:t>公司需遵守《深圳证券交易所行业信息披露指引第</w:t>
      </w:r>
      <w:r>
        <w:rPr>
          <w:spacing w:val="-47"/>
        </w:rPr>
        <w:t> </w:t>
      </w:r>
      <w:r>
        <w:rPr>
          <w:rFonts w:ascii="Times New Roman" w:hAnsi="Times New Roman" w:cs="Times New Roman" w:eastAsia="Times New Roman" w:hint="default"/>
        </w:rPr>
        <w:t>11</w:t>
      </w:r>
      <w:r>
        <w:rPr>
          <w:rFonts w:ascii="Times New Roman" w:hAnsi="Times New Roman" w:cs="Times New Roman" w:eastAsia="Times New Roman" w:hint="default"/>
          <w:spacing w:val="-5"/>
        </w:rPr>
        <w:t> </w:t>
      </w:r>
      <w:r>
        <w:rPr/>
        <w:t>号——上市公司从事珠宝相关业务》的披露要求 否</w:t>
      </w:r>
    </w:p>
    <w:p>
      <w:pPr>
        <w:spacing w:line="240" w:lineRule="auto" w:before="3"/>
        <w:rPr>
          <w:rFonts w:ascii="宋体" w:hAnsi="宋体" w:cs="宋体" w:eastAsia="宋体" w:hint="default"/>
          <w:sz w:val="21"/>
          <w:szCs w:val="21"/>
        </w:rPr>
      </w:pPr>
    </w:p>
    <w:p>
      <w:pPr>
        <w:pStyle w:val="Heading3"/>
        <w:spacing w:line="240" w:lineRule="auto"/>
        <w:ind w:right="0"/>
        <w:jc w:val="left"/>
        <w:rPr>
          <w:b w:val="0"/>
          <w:bCs w:val="0"/>
        </w:rPr>
      </w:pPr>
      <w:bookmarkStart w:name="（2）存货跌价准备" w:id="242"/>
      <w:bookmarkEnd w:id="242"/>
      <w:r>
        <w:rPr>
          <w:b w:val="0"/>
          <w:bCs w:val="0"/>
        </w:rPr>
      </w:r>
      <w:r>
        <w:rPr/>
        <w:t>（</w:t>
      </w:r>
      <w:r>
        <w:rPr>
          <w:rFonts w:ascii="Times New Roman" w:hAnsi="Times New Roman" w:cs="Times New Roman" w:eastAsia="Times New Roman" w:hint="default"/>
        </w:rPr>
        <w:t>2</w:t>
      </w:r>
      <w:r>
        <w:rPr/>
        <w:t>）存货跌价准备</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7"/>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1"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1"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97" w:right="0"/>
              <w:jc w:val="left"/>
              <w:rPr>
                <w:rFonts w:ascii="宋体" w:hAnsi="宋体" w:cs="宋体" w:eastAsia="宋体" w:hint="default"/>
                <w:sz w:val="18"/>
                <w:szCs w:val="18"/>
              </w:rPr>
            </w:pPr>
            <w:r>
              <w:rPr>
                <w:rFonts w:ascii="宋体" w:hAnsi="宋体" w:cs="宋体" w:eastAsia="宋体" w:hint="default"/>
                <w:sz w:val="18"/>
                <w:szCs w:val="18"/>
              </w:rPr>
              <w:t>计提</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8"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472,545.62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5" w:right="0"/>
              <w:jc w:val="left"/>
              <w:rPr>
                <w:rFonts w:ascii="Times New Roman" w:hAnsi="Times New Roman" w:cs="Times New Roman" w:eastAsia="Times New Roman" w:hint="default"/>
                <w:sz w:val="18"/>
                <w:szCs w:val="18"/>
              </w:rPr>
            </w:pPr>
            <w:r>
              <w:rPr>
                <w:rFonts w:ascii="Times New Roman"/>
                <w:sz w:val="18"/>
              </w:rPr>
              <w:t>158,531.10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472,545.62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158,531.10</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472,545.62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5" w:right="0"/>
              <w:jc w:val="left"/>
              <w:rPr>
                <w:rFonts w:ascii="Times New Roman" w:hAnsi="Times New Roman" w:cs="Times New Roman" w:eastAsia="Times New Roman" w:hint="default"/>
                <w:sz w:val="18"/>
                <w:szCs w:val="18"/>
              </w:rPr>
            </w:pPr>
            <w:r>
              <w:rPr>
                <w:rFonts w:ascii="Times New Roman"/>
                <w:sz w:val="18"/>
              </w:rPr>
              <w:t>158,531.10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472,545.62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158,531.10</w:t>
            </w:r>
          </w:p>
        </w:tc>
      </w:tr>
    </w:tbl>
    <w:p>
      <w:pPr>
        <w:pStyle w:val="BodyText"/>
        <w:spacing w:line="316" w:lineRule="auto" w:before="10"/>
        <w:ind w:right="0"/>
        <w:jc w:val="left"/>
      </w:pPr>
      <w:r>
        <w:rPr>
          <w:spacing w:val="-2"/>
        </w:rPr>
        <w:t>资产负债表日，存货采用成本与可变现净值孰低计量，按照单个存货成本高于可变现净值的差额计提存货跌价准备。库存商</w:t>
      </w:r>
      <w:r>
        <w:rPr>
          <w:spacing w:val="-65"/>
        </w:rPr>
        <w:t> </w:t>
      </w:r>
      <w:r>
        <w:rPr>
          <w:spacing w:val="-65"/>
        </w:rPr>
      </w:r>
      <w:r>
        <w:rPr/>
        <w:t>品以该存货的估计售价减去估计的销售费用和相关税费后的金额确定其可变现净值。</w:t>
      </w:r>
    </w:p>
    <w:p>
      <w:pPr>
        <w:spacing w:line="240" w:lineRule="auto" w:before="8"/>
        <w:rPr>
          <w:rFonts w:ascii="宋体" w:hAnsi="宋体" w:cs="宋体" w:eastAsia="宋体" w:hint="default"/>
          <w:sz w:val="22"/>
          <w:szCs w:val="22"/>
        </w:rPr>
      </w:pPr>
    </w:p>
    <w:p>
      <w:pPr>
        <w:pStyle w:val="Heading3"/>
        <w:spacing w:line="240" w:lineRule="auto"/>
        <w:ind w:right="0"/>
        <w:jc w:val="left"/>
        <w:rPr>
          <w:b w:val="0"/>
          <w:bCs w:val="0"/>
        </w:rPr>
      </w:pPr>
      <w:bookmarkStart w:name="（3）存货期末余额含有借款费用资本化金额的说明" w:id="243"/>
      <w:bookmarkEnd w:id="243"/>
      <w:r>
        <w:rPr>
          <w:b w:val="0"/>
          <w:bCs w:val="0"/>
        </w:rPr>
      </w:r>
      <w:r>
        <w:rPr/>
        <w:t>（</w:t>
      </w:r>
      <w:r>
        <w:rPr>
          <w:rFonts w:ascii="Times New Roman" w:hAnsi="Times New Roman" w:cs="Times New Roman" w:eastAsia="Times New Roman" w:hint="default"/>
        </w:rPr>
        <w:t>3</w:t>
      </w:r>
      <w:r>
        <w:rPr/>
        <w:t>）存货期末余额含有借款费用资本化金额的说明</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4）期末建造合同形成的已完工未结算资产情况" w:id="244"/>
      <w:bookmarkEnd w:id="244"/>
      <w:r>
        <w:rPr>
          <w:b w:val="0"/>
          <w:bCs w:val="0"/>
        </w:rPr>
      </w:r>
      <w:r>
        <w:rPr/>
        <w:t>（</w:t>
      </w:r>
      <w:r>
        <w:rPr>
          <w:rFonts w:ascii="Times New Roman" w:hAnsi="Times New Roman" w:cs="Times New Roman" w:eastAsia="Times New Roman" w:hint="default"/>
        </w:rPr>
        <w:t>4</w:t>
      </w:r>
      <w:r>
        <w:rPr/>
        <w:t>）期末建造合同形成的已完工未结算资产情况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1132"/>
        <w:jc w:val="right"/>
      </w:pPr>
      <w:r>
        <w:rPr/>
        <w:t>单位：元</w:t>
      </w:r>
    </w:p>
    <w:p>
      <w:pPr>
        <w:spacing w:line="240" w:lineRule="auto" w:before="10"/>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4pt;height:20.85pt;mso-position-horizontal-relative:char;mso-position-vertical-relative:line" coordorigin="0,0" coordsize="9588,417">
            <v:group style="position:absolute;left:13;top:12;width:4778;height:397" coordorigin="13,12" coordsize="4778,397">
              <v:shape style="position:absolute;left:13;top:12;width:4778;height:397" coordorigin="13,12" coordsize="4778,397" path="m13,12l4791,12,4791,409,13,409,13,12xe" filled="true" fillcolor="#d2d2d2" stroked="false">
                <v:path arrowok="t"/>
                <v:fill type="solid"/>
              </v:shape>
            </v:group>
            <v:group style="position:absolute;left:4796;top:12;width:4780;height:397" coordorigin="4796,12" coordsize="4780,397">
              <v:shape style="position:absolute;left:4796;top:12;width:4780;height:397" coordorigin="4796,12" coordsize="4780,397" path="m4796,12l9576,12,9576,409,4796,409,4796,12xe" filled="true" fillcolor="#d2d2d2"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93;top:5;width:2;height:402" coordorigin="4793,5" coordsize="2,402">
              <v:shape style="position:absolute;left:4793;top:5;width:2;height:402" coordorigin="4793,5" coordsize="0,402" path="m4793,5l4793,407e" filled="false" stroked="true" strokeweight=".48pt" strokecolor="#000000">
                <v:path arrowok="t"/>
              </v:shape>
            </v:group>
            <v:group style="position:absolute;left:9578;top:5;width:2;height:402" coordorigin="9578,5" coordsize="2,402">
              <v:shape style="position:absolute;left:9578;top:5;width:2;height:402" coordorigin="9578,5" coordsize="0,402" path="m9578,5l9578,407e" filled="false" stroked="true" strokeweight=".48pt" strokecolor="#000000">
                <v:path arrowok="t"/>
              </v:shape>
              <v:shape style="position:absolute;left:2221;top:12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7004;top:12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group>
          </v:group>
        </w:pict>
      </w:r>
      <w:r>
        <w:rPr>
          <w:rFonts w:ascii="宋体" w:hAnsi="宋体" w:cs="宋体" w:eastAsia="宋体" w:hint="default"/>
          <w:position w:val="-7"/>
          <w:sz w:val="20"/>
          <w:szCs w:val="20"/>
        </w:rPr>
      </w:r>
    </w:p>
    <w:p>
      <w:pPr>
        <w:pStyle w:val="BodyText"/>
        <w:spacing w:line="240" w:lineRule="auto" w:before="50"/>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6、其他流动资产" w:id="245"/>
      <w:bookmarkEnd w:id="245"/>
      <w:r>
        <w:rPr>
          <w:b w:val="0"/>
          <w:bCs w:val="0"/>
        </w:rPr>
      </w:r>
      <w:r>
        <w:rPr>
          <w:rFonts w:ascii="Times New Roman" w:hAnsi="Times New Roman" w:cs="Times New Roman" w:eastAsia="Times New Roman" w:hint="default"/>
        </w:rPr>
        <w:t>6</w:t>
      </w:r>
      <w:r>
        <w:rPr/>
        <w:t>、其他流动资产</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1"/>
        <w:gridCol w:w="3191"/>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银行短期理财产品</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21,700,000.00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待抵扣增值税进项税额</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2,277,778.07</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4,982,378.79</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租赁费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2,298,772.02</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3,296,956.38</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56,168.44</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118,213.91</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4,632,718.53</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30,097,549.08</w:t>
            </w:r>
          </w:p>
        </w:tc>
      </w:tr>
    </w:tbl>
    <w:p>
      <w:pPr>
        <w:pStyle w:val="BodyText"/>
        <w:spacing w:line="240" w:lineRule="auto" w:before="50"/>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7、可供出售金融资产" w:id="246"/>
      <w:bookmarkEnd w:id="246"/>
      <w:r>
        <w:rPr>
          <w:b w:val="0"/>
          <w:bCs w:val="0"/>
        </w:rPr>
      </w:r>
      <w:r>
        <w:rPr>
          <w:rFonts w:ascii="Times New Roman" w:hAnsi="Times New Roman" w:cs="Times New Roman" w:eastAsia="Times New Roman" w:hint="default"/>
        </w:rPr>
        <w:t>7</w:t>
      </w:r>
      <w:r>
        <w:rPr/>
        <w:t>、可供出售金融资产</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1）可供出售金融资产情况" w:id="247"/>
      <w:bookmarkEnd w:id="247"/>
      <w:r>
        <w:rPr>
          <w:b w:val="0"/>
          <w:bCs w:val="0"/>
        </w:rPr>
      </w:r>
      <w:r>
        <w:rPr/>
        <w:t>（</w:t>
      </w:r>
      <w:r>
        <w:rPr>
          <w:rFonts w:ascii="Times New Roman" w:hAnsi="Times New Roman" w:cs="Times New Roman" w:eastAsia="Times New Roman" w:hint="default"/>
        </w:rPr>
        <w:t>1</w:t>
      </w:r>
      <w:r>
        <w:rPr/>
        <w:t>）可供出售金融资产情况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000"/>
        <w:gridCol w:w="1195"/>
        <w:gridCol w:w="1196"/>
        <w:gridCol w:w="1196"/>
        <w:gridCol w:w="1248"/>
        <w:gridCol w:w="1367"/>
        <w:gridCol w:w="1367"/>
      </w:tblGrid>
      <w:tr>
        <w:trPr>
          <w:trHeight w:val="402" w:hRule="exact"/>
        </w:trPr>
        <w:tc>
          <w:tcPr>
            <w:tcW w:w="20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8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98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0" w:hRule="exact"/>
        </w:trPr>
        <w:tc>
          <w:tcPr>
            <w:tcW w:w="2000" w:type="dxa"/>
            <w:vMerge/>
            <w:tcBorders>
              <w:left w:val="single" w:sz="4" w:space="0" w:color="000000"/>
              <w:bottom w:val="single" w:sz="4" w:space="0" w:color="000000"/>
              <w:right w:val="single" w:sz="4" w:space="0" w:color="000000"/>
            </w:tcBorders>
            <w:shd w:val="clear" w:color="auto" w:fill="D2D2D2"/>
          </w:tcPr>
          <w:p>
            <w:pP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3"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after="0" w:line="240"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000"/>
        <w:gridCol w:w="1195"/>
        <w:gridCol w:w="1196"/>
        <w:gridCol w:w="1196"/>
        <w:gridCol w:w="1248"/>
        <w:gridCol w:w="1367"/>
        <w:gridCol w:w="1367"/>
      </w:tblGrid>
      <w:tr>
        <w:trPr>
          <w:trHeight w:val="714" w:hRule="exact"/>
        </w:trPr>
        <w:tc>
          <w:tcPr>
            <w:tcW w:w="20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120,400,000.</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1,800,000.00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2"/>
                <w:sz w:val="18"/>
              </w:rPr>
              <w:t>118,600,000.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167,800,000.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1,800,000.00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29" w:right="0"/>
              <w:jc w:val="left"/>
              <w:rPr>
                <w:rFonts w:ascii="Times New Roman" w:hAnsi="Times New Roman" w:cs="Times New Roman" w:eastAsia="Times New Roman" w:hint="default"/>
                <w:sz w:val="18"/>
                <w:szCs w:val="18"/>
              </w:rPr>
            </w:pPr>
            <w:r>
              <w:rPr>
                <w:rFonts w:ascii="Times New Roman"/>
                <w:sz w:val="18"/>
              </w:rPr>
              <w:t>166,000,000.00</w:t>
            </w:r>
          </w:p>
        </w:tc>
      </w:tr>
      <w:tr>
        <w:trPr>
          <w:trHeight w:val="714" w:hRule="exact"/>
        </w:trPr>
        <w:tc>
          <w:tcPr>
            <w:tcW w:w="20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62" w:right="0"/>
              <w:jc w:val="left"/>
              <w:rPr>
                <w:rFonts w:ascii="宋体" w:hAnsi="宋体" w:cs="宋体" w:eastAsia="宋体" w:hint="default"/>
                <w:sz w:val="18"/>
                <w:szCs w:val="18"/>
              </w:rPr>
            </w:pPr>
            <w:r>
              <w:rPr>
                <w:rFonts w:ascii="宋体" w:hAnsi="宋体" w:cs="宋体" w:eastAsia="宋体" w:hint="default"/>
                <w:sz w:val="18"/>
                <w:szCs w:val="18"/>
              </w:rPr>
              <w:t>按成本计量的</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120,400,000.</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1,800,000.00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2"/>
                <w:sz w:val="18"/>
              </w:rPr>
              <w:t>118,600,000.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167,800,000.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1,800,000.00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29" w:right="0"/>
              <w:jc w:val="left"/>
              <w:rPr>
                <w:rFonts w:ascii="Times New Roman" w:hAnsi="Times New Roman" w:cs="Times New Roman" w:eastAsia="Times New Roman" w:hint="default"/>
                <w:sz w:val="18"/>
                <w:szCs w:val="18"/>
              </w:rPr>
            </w:pPr>
            <w:r>
              <w:rPr>
                <w:rFonts w:ascii="Times New Roman"/>
                <w:sz w:val="18"/>
              </w:rPr>
              <w:t>166,000,000.00</w:t>
            </w:r>
          </w:p>
        </w:tc>
      </w:tr>
      <w:tr>
        <w:trPr>
          <w:trHeight w:val="714" w:hRule="exact"/>
        </w:trPr>
        <w:tc>
          <w:tcPr>
            <w:tcW w:w="20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120,400,000.</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1,800,000.00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2"/>
                <w:sz w:val="18"/>
              </w:rPr>
              <w:t>118,600,000.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167,800,000.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1,800,000.00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29" w:right="0"/>
              <w:jc w:val="left"/>
              <w:rPr>
                <w:rFonts w:ascii="Times New Roman" w:hAnsi="Times New Roman" w:cs="Times New Roman" w:eastAsia="Times New Roman" w:hint="default"/>
                <w:sz w:val="18"/>
                <w:szCs w:val="18"/>
              </w:rPr>
            </w:pPr>
            <w:r>
              <w:rPr>
                <w:rFonts w:ascii="Times New Roman"/>
                <w:sz w:val="18"/>
              </w:rPr>
              <w:t>166,000,000.00</w:t>
            </w:r>
          </w:p>
        </w:tc>
      </w:tr>
    </w:tbl>
    <w:p>
      <w:pPr>
        <w:spacing w:line="240" w:lineRule="auto" w:before="4"/>
        <w:rPr>
          <w:rFonts w:ascii="宋体" w:hAnsi="宋体" w:cs="宋体" w:eastAsia="宋体" w:hint="default"/>
          <w:sz w:val="19"/>
          <w:szCs w:val="19"/>
        </w:rPr>
      </w:pPr>
    </w:p>
    <w:p>
      <w:pPr>
        <w:pStyle w:val="Heading3"/>
        <w:spacing w:line="240" w:lineRule="auto" w:before="34"/>
        <w:ind w:right="0"/>
        <w:jc w:val="left"/>
        <w:rPr>
          <w:b w:val="0"/>
          <w:bCs w:val="0"/>
        </w:rPr>
      </w:pPr>
      <w:bookmarkStart w:name="（2）期末按公允价值计量的可供出售金融资产" w:id="248"/>
      <w:bookmarkEnd w:id="248"/>
      <w:r>
        <w:rPr>
          <w:b w:val="0"/>
          <w:bCs w:val="0"/>
        </w:rPr>
      </w:r>
      <w:r>
        <w:rPr/>
        <w:t>（</w:t>
      </w:r>
      <w:r>
        <w:rPr>
          <w:rFonts w:ascii="Times New Roman" w:hAnsi="Times New Roman" w:cs="Times New Roman" w:eastAsia="Times New Roman" w:hint="default"/>
        </w:rPr>
        <w:t>2</w:t>
      </w:r>
      <w:r>
        <w:rPr/>
        <w:t>）期末按公允价值计量的可供出售金融资产</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862" w:right="139" w:hanging="720"/>
              <w:jc w:val="left"/>
              <w:rPr>
                <w:rFonts w:ascii="宋体" w:hAnsi="宋体" w:cs="宋体" w:eastAsia="宋体" w:hint="default"/>
                <w:sz w:val="18"/>
                <w:szCs w:val="18"/>
              </w:rPr>
            </w:pPr>
            <w:r>
              <w:rPr>
                <w:rFonts w:ascii="宋体" w:hAnsi="宋体" w:cs="宋体" w:eastAsia="宋体" w:hint="default"/>
                <w:sz w:val="18"/>
                <w:szCs w:val="18"/>
              </w:rPr>
              <w:t>可供出售金融资产分 类</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line="240" w:lineRule="auto" w:before="5"/>
        <w:rPr>
          <w:rFonts w:ascii="宋体" w:hAnsi="宋体" w:cs="宋体" w:eastAsia="宋体" w:hint="default"/>
          <w:sz w:val="19"/>
          <w:szCs w:val="19"/>
        </w:rPr>
      </w:pPr>
    </w:p>
    <w:p>
      <w:pPr>
        <w:pStyle w:val="Heading3"/>
        <w:spacing w:line="240" w:lineRule="auto" w:before="34"/>
        <w:ind w:right="0"/>
        <w:jc w:val="left"/>
        <w:rPr>
          <w:b w:val="0"/>
          <w:bCs w:val="0"/>
        </w:rPr>
      </w:pPr>
      <w:bookmarkStart w:name="（3）期末按成本计量的可供出售金融资产" w:id="249"/>
      <w:bookmarkEnd w:id="249"/>
      <w:r>
        <w:rPr>
          <w:b w:val="0"/>
          <w:bCs w:val="0"/>
        </w:rPr>
      </w:r>
      <w:r>
        <w:rPr/>
        <w:t>（</w:t>
      </w:r>
      <w:r>
        <w:rPr>
          <w:rFonts w:ascii="Times New Roman" w:hAnsi="Times New Roman" w:cs="Times New Roman" w:eastAsia="Times New Roman" w:hint="default"/>
        </w:rPr>
        <w:t>3</w:t>
      </w:r>
      <w:r>
        <w:rPr/>
        <w:t>）期末按成本计量的可供出售金融资产</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863"/>
        <w:gridCol w:w="870"/>
        <w:gridCol w:w="870"/>
        <w:gridCol w:w="870"/>
        <w:gridCol w:w="870"/>
        <w:gridCol w:w="870"/>
        <w:gridCol w:w="870"/>
        <w:gridCol w:w="870"/>
        <w:gridCol w:w="870"/>
        <w:gridCol w:w="870"/>
        <w:gridCol w:w="870"/>
      </w:tblGrid>
      <w:tr>
        <w:trPr>
          <w:trHeight w:val="402" w:hRule="exact"/>
        </w:trPr>
        <w:tc>
          <w:tcPr>
            <w:tcW w:w="863" w:type="dxa"/>
            <w:tcBorders>
              <w:top w:val="single" w:sz="4" w:space="0" w:color="000000"/>
              <w:left w:val="single" w:sz="4" w:space="0" w:color="000000"/>
              <w:bottom w:val="nil" w:sz="6" w:space="0" w:color="auto"/>
              <w:right w:val="single" w:sz="4" w:space="0" w:color="000000"/>
            </w:tcBorders>
            <w:shd w:val="clear" w:color="auto" w:fill="D2D2D2"/>
          </w:tcPr>
          <w:p>
            <w:pPr/>
          </w:p>
        </w:tc>
        <w:tc>
          <w:tcPr>
            <w:tcW w:w="348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348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870"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0"/>
              <w:ind w:left="160" w:right="0"/>
              <w:jc w:val="left"/>
              <w:rPr>
                <w:rFonts w:ascii="宋体" w:hAnsi="宋体" w:cs="宋体" w:eastAsia="宋体" w:hint="default"/>
                <w:sz w:val="18"/>
                <w:szCs w:val="18"/>
              </w:rPr>
            </w:pPr>
            <w:r>
              <w:rPr>
                <w:rFonts w:ascii="宋体" w:hAnsi="宋体" w:cs="宋体" w:eastAsia="宋体" w:hint="default"/>
                <w:sz w:val="18"/>
                <w:szCs w:val="18"/>
              </w:rPr>
              <w:t>在被投</w:t>
            </w:r>
          </w:p>
        </w:tc>
        <w:tc>
          <w:tcPr>
            <w:tcW w:w="870"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211" w:hRule="exact"/>
        </w:trPr>
        <w:tc>
          <w:tcPr>
            <w:tcW w:w="86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1" w:lineRule="exact"/>
              <w:ind w:left="157" w:right="0"/>
              <w:jc w:val="left"/>
              <w:rPr>
                <w:rFonts w:ascii="宋体" w:hAnsi="宋体" w:cs="宋体" w:eastAsia="宋体" w:hint="default"/>
                <w:sz w:val="18"/>
                <w:szCs w:val="18"/>
              </w:rPr>
            </w:pPr>
            <w:r>
              <w:rPr>
                <w:rFonts w:ascii="宋体" w:hAnsi="宋体" w:cs="宋体" w:eastAsia="宋体" w:hint="default"/>
                <w:sz w:val="18"/>
                <w:szCs w:val="18"/>
              </w:rPr>
              <w:t>被投资</w:t>
            </w:r>
          </w:p>
        </w:tc>
        <w:tc>
          <w:tcPr>
            <w:tcW w:w="870" w:type="dxa"/>
            <w:tcBorders>
              <w:top w:val="single" w:sz="4" w:space="0" w:color="000000"/>
              <w:left w:val="single" w:sz="4" w:space="0" w:color="000000"/>
              <w:bottom w:val="nil" w:sz="6" w:space="0" w:color="auto"/>
              <w:right w:val="single" w:sz="4" w:space="0" w:color="000000"/>
            </w:tcBorders>
            <w:shd w:val="clear" w:color="auto" w:fill="D2D2D2"/>
          </w:tcPr>
          <w:p>
            <w:pPr/>
          </w:p>
        </w:tc>
        <w:tc>
          <w:tcPr>
            <w:tcW w:w="870" w:type="dxa"/>
            <w:tcBorders>
              <w:top w:val="single" w:sz="4" w:space="0" w:color="000000"/>
              <w:left w:val="single" w:sz="4" w:space="0" w:color="000000"/>
              <w:bottom w:val="nil" w:sz="6" w:space="0" w:color="auto"/>
              <w:right w:val="single" w:sz="4" w:space="0" w:color="000000"/>
            </w:tcBorders>
            <w:shd w:val="clear" w:color="auto" w:fill="D2D2D2"/>
          </w:tcPr>
          <w:p>
            <w:pPr/>
          </w:p>
        </w:tc>
        <w:tc>
          <w:tcPr>
            <w:tcW w:w="870" w:type="dxa"/>
            <w:tcBorders>
              <w:top w:val="single" w:sz="4" w:space="0" w:color="000000"/>
              <w:left w:val="single" w:sz="4" w:space="0" w:color="000000"/>
              <w:bottom w:val="nil" w:sz="6" w:space="0" w:color="auto"/>
              <w:right w:val="single" w:sz="4" w:space="0" w:color="000000"/>
            </w:tcBorders>
            <w:shd w:val="clear" w:color="auto" w:fill="D2D2D2"/>
          </w:tcPr>
          <w:p>
            <w:pPr/>
          </w:p>
        </w:tc>
        <w:tc>
          <w:tcPr>
            <w:tcW w:w="870" w:type="dxa"/>
            <w:tcBorders>
              <w:top w:val="single" w:sz="4" w:space="0" w:color="000000"/>
              <w:left w:val="single" w:sz="4" w:space="0" w:color="000000"/>
              <w:bottom w:val="nil" w:sz="6" w:space="0" w:color="auto"/>
              <w:right w:val="single" w:sz="4" w:space="0" w:color="000000"/>
            </w:tcBorders>
            <w:shd w:val="clear" w:color="auto" w:fill="D2D2D2"/>
          </w:tcPr>
          <w:p>
            <w:pPr/>
          </w:p>
        </w:tc>
        <w:tc>
          <w:tcPr>
            <w:tcW w:w="870" w:type="dxa"/>
            <w:tcBorders>
              <w:top w:val="single" w:sz="4" w:space="0" w:color="000000"/>
              <w:left w:val="single" w:sz="4" w:space="0" w:color="000000"/>
              <w:bottom w:val="nil" w:sz="6" w:space="0" w:color="auto"/>
              <w:right w:val="single" w:sz="4" w:space="0" w:color="000000"/>
            </w:tcBorders>
            <w:shd w:val="clear" w:color="auto" w:fill="D2D2D2"/>
          </w:tcPr>
          <w:p>
            <w:pPr/>
          </w:p>
        </w:tc>
        <w:tc>
          <w:tcPr>
            <w:tcW w:w="870" w:type="dxa"/>
            <w:tcBorders>
              <w:top w:val="single" w:sz="4" w:space="0" w:color="000000"/>
              <w:left w:val="single" w:sz="4" w:space="0" w:color="000000"/>
              <w:bottom w:val="nil" w:sz="6" w:space="0" w:color="auto"/>
              <w:right w:val="single" w:sz="4" w:space="0" w:color="000000"/>
            </w:tcBorders>
            <w:shd w:val="clear" w:color="auto" w:fill="D2D2D2"/>
          </w:tcPr>
          <w:p>
            <w:pPr/>
          </w:p>
        </w:tc>
        <w:tc>
          <w:tcPr>
            <w:tcW w:w="870" w:type="dxa"/>
            <w:tcBorders>
              <w:top w:val="single" w:sz="4" w:space="0" w:color="000000"/>
              <w:left w:val="single" w:sz="4" w:space="0" w:color="000000"/>
              <w:bottom w:val="nil" w:sz="6" w:space="0" w:color="auto"/>
              <w:right w:val="single" w:sz="4" w:space="0" w:color="000000"/>
            </w:tcBorders>
            <w:shd w:val="clear" w:color="auto" w:fill="D2D2D2"/>
          </w:tcPr>
          <w:p>
            <w:pPr/>
          </w:p>
        </w:tc>
        <w:tc>
          <w:tcPr>
            <w:tcW w:w="870" w:type="dxa"/>
            <w:tcBorders>
              <w:top w:val="single" w:sz="4" w:space="0" w:color="000000"/>
              <w:left w:val="single" w:sz="4" w:space="0" w:color="000000"/>
              <w:bottom w:val="nil" w:sz="6" w:space="0" w:color="auto"/>
              <w:right w:val="single" w:sz="4" w:space="0" w:color="000000"/>
            </w:tcBorders>
            <w:shd w:val="clear" w:color="auto" w:fill="D2D2D2"/>
          </w:tcPr>
          <w:p>
            <w:pPr/>
          </w:p>
        </w:tc>
        <w:tc>
          <w:tcPr>
            <w:tcW w:w="87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1" w:lineRule="exact"/>
              <w:ind w:left="160" w:right="0"/>
              <w:jc w:val="left"/>
              <w:rPr>
                <w:rFonts w:ascii="宋体" w:hAnsi="宋体" w:cs="宋体" w:eastAsia="宋体" w:hint="default"/>
                <w:sz w:val="18"/>
                <w:szCs w:val="18"/>
              </w:rPr>
            </w:pPr>
            <w:r>
              <w:rPr>
                <w:rFonts w:ascii="宋体" w:hAnsi="宋体" w:cs="宋体" w:eastAsia="宋体" w:hint="default"/>
                <w:sz w:val="18"/>
                <w:szCs w:val="18"/>
              </w:rPr>
              <w:t>资单位</w:t>
            </w:r>
          </w:p>
        </w:tc>
        <w:tc>
          <w:tcPr>
            <w:tcW w:w="87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1" w:lineRule="exact"/>
              <w:ind w:right="1"/>
              <w:jc w:val="center"/>
              <w:rPr>
                <w:rFonts w:ascii="宋体" w:hAnsi="宋体" w:cs="宋体" w:eastAsia="宋体" w:hint="default"/>
                <w:sz w:val="18"/>
                <w:szCs w:val="18"/>
              </w:rPr>
            </w:pPr>
            <w:r>
              <w:rPr>
                <w:rFonts w:ascii="宋体" w:hAnsi="宋体" w:cs="宋体" w:eastAsia="宋体" w:hint="default"/>
                <w:sz w:val="18"/>
                <w:szCs w:val="18"/>
              </w:rPr>
              <w:t>本期现</w:t>
            </w:r>
          </w:p>
        </w:tc>
      </w:tr>
      <w:tr>
        <w:trPr>
          <w:trHeight w:val="725" w:hRule="exact"/>
        </w:trPr>
        <w:tc>
          <w:tcPr>
            <w:tcW w:w="863"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65"/>
              <w:ind w:left="245" w:right="0"/>
              <w:jc w:val="left"/>
              <w:rPr>
                <w:rFonts w:ascii="宋体" w:hAnsi="宋体" w:cs="宋体" w:eastAsia="宋体" w:hint="default"/>
                <w:sz w:val="18"/>
                <w:szCs w:val="18"/>
              </w:rPr>
            </w:pPr>
            <w:r>
              <w:rPr>
                <w:rFonts w:ascii="宋体" w:hAnsi="宋体" w:cs="宋体" w:eastAsia="宋体" w:hint="default"/>
                <w:sz w:val="18"/>
                <w:szCs w:val="18"/>
              </w:rPr>
              <w:t>单位</w:t>
            </w:r>
          </w:p>
        </w:tc>
        <w:tc>
          <w:tcPr>
            <w:tcW w:w="870"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11"/>
              <w:ind w:left="249"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870"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191" w:lineRule="exact"/>
              <w:ind w:right="1"/>
              <w:jc w:val="center"/>
              <w:rPr>
                <w:rFonts w:ascii="宋体" w:hAnsi="宋体" w:cs="宋体" w:eastAsia="宋体" w:hint="default"/>
                <w:sz w:val="18"/>
                <w:szCs w:val="18"/>
              </w:rPr>
            </w:pPr>
            <w:r>
              <w:rPr>
                <w:rFonts w:ascii="宋体" w:hAnsi="宋体" w:cs="宋体" w:eastAsia="宋体" w:hint="default"/>
                <w:sz w:val="18"/>
                <w:szCs w:val="18"/>
              </w:rPr>
              <w:t>本期增</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加</w:t>
            </w:r>
          </w:p>
        </w:tc>
        <w:tc>
          <w:tcPr>
            <w:tcW w:w="870"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191" w:lineRule="exact"/>
              <w:ind w:right="0"/>
              <w:jc w:val="center"/>
              <w:rPr>
                <w:rFonts w:ascii="宋体" w:hAnsi="宋体" w:cs="宋体" w:eastAsia="宋体" w:hint="default"/>
                <w:sz w:val="18"/>
                <w:szCs w:val="18"/>
              </w:rPr>
            </w:pPr>
            <w:r>
              <w:rPr>
                <w:rFonts w:ascii="宋体" w:hAnsi="宋体" w:cs="宋体" w:eastAsia="宋体" w:hint="default"/>
                <w:sz w:val="18"/>
                <w:szCs w:val="18"/>
              </w:rPr>
              <w:t>本期减</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少</w:t>
            </w:r>
          </w:p>
        </w:tc>
        <w:tc>
          <w:tcPr>
            <w:tcW w:w="870"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11"/>
              <w:ind w:left="250"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870"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11"/>
              <w:ind w:left="249"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870"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191" w:lineRule="exact"/>
              <w:ind w:right="1"/>
              <w:jc w:val="center"/>
              <w:rPr>
                <w:rFonts w:ascii="宋体" w:hAnsi="宋体" w:cs="宋体" w:eastAsia="宋体" w:hint="default"/>
                <w:sz w:val="18"/>
                <w:szCs w:val="18"/>
              </w:rPr>
            </w:pPr>
            <w:r>
              <w:rPr>
                <w:rFonts w:ascii="宋体" w:hAnsi="宋体" w:cs="宋体" w:eastAsia="宋体" w:hint="default"/>
                <w:sz w:val="18"/>
                <w:szCs w:val="18"/>
              </w:rPr>
              <w:t>本期增</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加</w:t>
            </w:r>
          </w:p>
        </w:tc>
        <w:tc>
          <w:tcPr>
            <w:tcW w:w="870"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191" w:lineRule="exact"/>
              <w:ind w:right="0"/>
              <w:jc w:val="center"/>
              <w:rPr>
                <w:rFonts w:ascii="宋体" w:hAnsi="宋体" w:cs="宋体" w:eastAsia="宋体" w:hint="default"/>
                <w:sz w:val="18"/>
                <w:szCs w:val="18"/>
              </w:rPr>
            </w:pPr>
            <w:r>
              <w:rPr>
                <w:rFonts w:ascii="宋体" w:hAnsi="宋体" w:cs="宋体" w:eastAsia="宋体" w:hint="default"/>
                <w:sz w:val="18"/>
                <w:szCs w:val="18"/>
              </w:rPr>
              <w:t>本期减</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少</w:t>
            </w:r>
          </w:p>
        </w:tc>
        <w:tc>
          <w:tcPr>
            <w:tcW w:w="870"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11"/>
              <w:ind w:left="250"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870"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316" w:lineRule="auto" w:before="65"/>
              <w:ind w:left="340" w:right="157" w:hanging="180"/>
              <w:jc w:val="left"/>
              <w:rPr>
                <w:rFonts w:ascii="宋体" w:hAnsi="宋体" w:cs="宋体" w:eastAsia="宋体" w:hint="default"/>
                <w:sz w:val="18"/>
                <w:szCs w:val="18"/>
              </w:rPr>
            </w:pPr>
            <w:r>
              <w:rPr>
                <w:rFonts w:ascii="宋体" w:hAnsi="宋体" w:cs="宋体" w:eastAsia="宋体" w:hint="default"/>
                <w:sz w:val="18"/>
                <w:szCs w:val="18"/>
              </w:rPr>
              <w:t>持股比 例</w:t>
            </w:r>
          </w:p>
        </w:tc>
        <w:tc>
          <w:tcPr>
            <w:tcW w:w="870"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65"/>
              <w:ind w:right="1"/>
              <w:jc w:val="center"/>
              <w:rPr>
                <w:rFonts w:ascii="宋体" w:hAnsi="宋体" w:cs="宋体" w:eastAsia="宋体" w:hint="default"/>
                <w:sz w:val="18"/>
                <w:szCs w:val="18"/>
              </w:rPr>
            </w:pPr>
            <w:r>
              <w:rPr>
                <w:rFonts w:ascii="宋体" w:hAnsi="宋体" w:cs="宋体" w:eastAsia="宋体" w:hint="default"/>
                <w:sz w:val="18"/>
                <w:szCs w:val="18"/>
              </w:rPr>
              <w:t>金红利</w:t>
            </w:r>
          </w:p>
        </w:tc>
      </w:tr>
      <w:tr>
        <w:trPr>
          <w:trHeight w:val="355" w:hRule="exact"/>
        </w:trPr>
        <w:tc>
          <w:tcPr>
            <w:tcW w:w="8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苏州网</w:t>
            </w:r>
          </w:p>
        </w:tc>
        <w:tc>
          <w:tcPr>
            <w:tcW w:w="870" w:type="dxa"/>
            <w:tcBorders>
              <w:top w:val="single" w:sz="4" w:space="0" w:color="000000"/>
              <w:left w:val="single" w:sz="4" w:space="0" w:color="000000"/>
              <w:bottom w:val="nil" w:sz="6" w:space="0" w:color="auto"/>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70" w:type="dxa"/>
            <w:tcBorders>
              <w:top w:val="single" w:sz="4" w:space="0" w:color="000000"/>
              <w:left w:val="single" w:sz="4" w:space="0" w:color="000000"/>
              <w:bottom w:val="nil" w:sz="6" w:space="0" w:color="auto"/>
              <w:right w:val="single" w:sz="4" w:space="0" w:color="000000"/>
            </w:tcBorders>
          </w:tcPr>
          <w:p>
            <w:pPr/>
          </w:p>
        </w:tc>
        <w:tc>
          <w:tcPr>
            <w:tcW w:w="870" w:type="dxa"/>
            <w:tcBorders>
              <w:top w:val="single" w:sz="4" w:space="0" w:color="000000"/>
              <w:left w:val="single" w:sz="4" w:space="0" w:color="000000"/>
              <w:bottom w:val="nil" w:sz="6" w:space="0" w:color="auto"/>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70" w:type="dxa"/>
            <w:tcBorders>
              <w:top w:val="single" w:sz="4" w:space="0" w:color="000000"/>
              <w:left w:val="single" w:sz="4" w:space="0" w:color="000000"/>
              <w:bottom w:val="nil" w:sz="6" w:space="0" w:color="auto"/>
              <w:right w:val="single" w:sz="4" w:space="0" w:color="000000"/>
            </w:tcBorders>
          </w:tcPr>
          <w:p>
            <w:pPr/>
          </w:p>
        </w:tc>
        <w:tc>
          <w:tcPr>
            <w:tcW w:w="870" w:type="dxa"/>
            <w:tcBorders>
              <w:top w:val="single" w:sz="4" w:space="0" w:color="000000"/>
              <w:left w:val="single" w:sz="4" w:space="0" w:color="000000"/>
              <w:bottom w:val="nil" w:sz="6" w:space="0" w:color="auto"/>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r>
      <w:tr>
        <w:trPr>
          <w:trHeight w:val="629" w:hRule="exact"/>
        </w:trPr>
        <w:tc>
          <w:tcPr>
            <w:tcW w:w="863"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209"/>
              <w:jc w:val="left"/>
              <w:rPr>
                <w:rFonts w:ascii="宋体" w:hAnsi="宋体" w:cs="宋体" w:eastAsia="宋体" w:hint="default"/>
                <w:sz w:val="18"/>
                <w:szCs w:val="18"/>
              </w:rPr>
            </w:pPr>
            <w:r>
              <w:rPr>
                <w:rFonts w:ascii="宋体" w:hAnsi="宋体" w:cs="宋体" w:eastAsia="宋体" w:hint="default"/>
                <w:sz w:val="18"/>
                <w:szCs w:val="18"/>
              </w:rPr>
              <w:t>新创业 科技有</w:t>
            </w:r>
          </w:p>
        </w:tc>
        <w:tc>
          <w:tcPr>
            <w:tcW w:w="87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27" w:right="0"/>
              <w:jc w:val="left"/>
              <w:rPr>
                <w:rFonts w:ascii="Times New Roman" w:hAnsi="Times New Roman" w:cs="Times New Roman" w:eastAsia="Times New Roman" w:hint="default"/>
                <w:sz w:val="18"/>
                <w:szCs w:val="18"/>
              </w:rPr>
            </w:pPr>
            <w:r>
              <w:rPr>
                <w:rFonts w:ascii="Times New Roman"/>
                <w:sz w:val="18"/>
              </w:rPr>
              <w:t>1,800,00</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0.00</w:t>
            </w:r>
          </w:p>
        </w:tc>
        <w:tc>
          <w:tcPr>
            <w:tcW w:w="870"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7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28" w:right="0"/>
              <w:jc w:val="left"/>
              <w:rPr>
                <w:rFonts w:ascii="Times New Roman" w:hAnsi="Times New Roman" w:cs="Times New Roman" w:eastAsia="Times New Roman" w:hint="default"/>
                <w:sz w:val="18"/>
                <w:szCs w:val="18"/>
              </w:rPr>
            </w:pPr>
            <w:r>
              <w:rPr>
                <w:rFonts w:ascii="Times New Roman"/>
                <w:sz w:val="18"/>
              </w:rPr>
              <w:t>1,800,00</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0.00</w:t>
            </w:r>
          </w:p>
        </w:tc>
        <w:tc>
          <w:tcPr>
            <w:tcW w:w="87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26" w:right="0"/>
              <w:jc w:val="left"/>
              <w:rPr>
                <w:rFonts w:ascii="Times New Roman" w:hAnsi="Times New Roman" w:cs="Times New Roman" w:eastAsia="Times New Roman" w:hint="default"/>
                <w:sz w:val="18"/>
                <w:szCs w:val="18"/>
              </w:rPr>
            </w:pPr>
            <w:r>
              <w:rPr>
                <w:rFonts w:ascii="Times New Roman"/>
                <w:sz w:val="18"/>
              </w:rPr>
              <w:t>1,800,00</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0.00</w:t>
            </w:r>
          </w:p>
        </w:tc>
        <w:tc>
          <w:tcPr>
            <w:tcW w:w="870"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7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28" w:right="0"/>
              <w:jc w:val="left"/>
              <w:rPr>
                <w:rFonts w:ascii="Times New Roman" w:hAnsi="Times New Roman" w:cs="Times New Roman" w:eastAsia="Times New Roman" w:hint="default"/>
                <w:sz w:val="18"/>
                <w:szCs w:val="18"/>
              </w:rPr>
            </w:pPr>
            <w:r>
              <w:rPr>
                <w:rFonts w:ascii="Times New Roman"/>
                <w:sz w:val="18"/>
              </w:rPr>
              <w:t>1,800,00</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0.00</w:t>
            </w:r>
          </w:p>
        </w:tc>
        <w:tc>
          <w:tcPr>
            <w:tcW w:w="87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18.00%</w:t>
            </w:r>
          </w:p>
        </w:tc>
        <w:tc>
          <w:tcPr>
            <w:tcW w:w="870" w:type="dxa"/>
            <w:vMerge/>
            <w:tcBorders>
              <w:left w:val="single" w:sz="4" w:space="0" w:color="000000"/>
              <w:right w:val="single" w:sz="4" w:space="0" w:color="000000"/>
            </w:tcBorders>
          </w:tcPr>
          <w:p>
            <w:pPr/>
          </w:p>
        </w:tc>
      </w:tr>
      <w:tr>
        <w:trPr>
          <w:trHeight w:val="354" w:hRule="exact"/>
        </w:trPr>
        <w:tc>
          <w:tcPr>
            <w:tcW w:w="8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870" w:type="dxa"/>
            <w:tcBorders>
              <w:top w:val="nil" w:sz="6" w:space="0" w:color="auto"/>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70" w:type="dxa"/>
            <w:tcBorders>
              <w:top w:val="nil" w:sz="6" w:space="0" w:color="auto"/>
              <w:left w:val="single" w:sz="4" w:space="0" w:color="000000"/>
              <w:bottom w:val="single" w:sz="4" w:space="0" w:color="000000"/>
              <w:right w:val="single" w:sz="4" w:space="0" w:color="000000"/>
            </w:tcBorders>
          </w:tcPr>
          <w:p>
            <w:pPr/>
          </w:p>
        </w:tc>
        <w:tc>
          <w:tcPr>
            <w:tcW w:w="870" w:type="dxa"/>
            <w:tcBorders>
              <w:top w:val="nil" w:sz="6" w:space="0" w:color="auto"/>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70" w:type="dxa"/>
            <w:tcBorders>
              <w:top w:val="nil" w:sz="6" w:space="0" w:color="auto"/>
              <w:left w:val="single" w:sz="4" w:space="0" w:color="000000"/>
              <w:bottom w:val="single" w:sz="4" w:space="0" w:color="000000"/>
              <w:right w:val="single" w:sz="4" w:space="0" w:color="000000"/>
            </w:tcBorders>
          </w:tcPr>
          <w:p>
            <w:pPr/>
          </w:p>
        </w:tc>
        <w:tc>
          <w:tcPr>
            <w:tcW w:w="870" w:type="dxa"/>
            <w:tcBorders>
              <w:top w:val="nil" w:sz="6" w:space="0" w:color="auto"/>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r>
      <w:tr>
        <w:trPr>
          <w:trHeight w:val="357" w:hRule="exact"/>
        </w:trPr>
        <w:tc>
          <w:tcPr>
            <w:tcW w:w="8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上海卫</w:t>
            </w:r>
          </w:p>
        </w:tc>
        <w:tc>
          <w:tcPr>
            <w:tcW w:w="870" w:type="dxa"/>
            <w:tcBorders>
              <w:top w:val="single" w:sz="4" w:space="0" w:color="000000"/>
              <w:left w:val="single" w:sz="4" w:space="0" w:color="000000"/>
              <w:bottom w:val="nil" w:sz="6" w:space="0" w:color="auto"/>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70" w:type="dxa"/>
            <w:tcBorders>
              <w:top w:val="single" w:sz="4" w:space="0" w:color="000000"/>
              <w:left w:val="single" w:sz="4" w:space="0" w:color="000000"/>
              <w:bottom w:val="nil" w:sz="6" w:space="0" w:color="auto"/>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70" w:type="dxa"/>
            <w:tcBorders>
              <w:top w:val="single" w:sz="4" w:space="0" w:color="000000"/>
              <w:left w:val="single" w:sz="4" w:space="0" w:color="000000"/>
              <w:bottom w:val="nil" w:sz="6" w:space="0" w:color="auto"/>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r>
      <w:tr>
        <w:trPr>
          <w:trHeight w:val="312" w:hRule="exact"/>
        </w:trPr>
        <w:tc>
          <w:tcPr>
            <w:tcW w:w="8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生信息</w:t>
            </w:r>
          </w:p>
        </w:tc>
        <w:tc>
          <w:tcPr>
            <w:tcW w:w="870" w:type="dxa"/>
            <w:tcBorders>
              <w:top w:val="nil" w:sz="6" w:space="0" w:color="auto"/>
              <w:left w:val="single" w:sz="4" w:space="0" w:color="000000"/>
              <w:bottom w:val="nil" w:sz="6" w:space="0" w:color="auto"/>
              <w:right w:val="single" w:sz="4" w:space="0" w:color="000000"/>
            </w:tcBorders>
          </w:tcPr>
          <w:p>
            <w:pPr/>
          </w:p>
        </w:tc>
        <w:tc>
          <w:tcPr>
            <w:tcW w:w="870"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70" w:type="dxa"/>
            <w:tcBorders>
              <w:top w:val="nil" w:sz="6" w:space="0" w:color="auto"/>
              <w:left w:val="single" w:sz="4" w:space="0" w:color="000000"/>
              <w:bottom w:val="nil" w:sz="6" w:space="0" w:color="auto"/>
              <w:right w:val="single" w:sz="4" w:space="0" w:color="000000"/>
            </w:tcBorders>
          </w:tcPr>
          <w:p>
            <w:pPr/>
          </w:p>
        </w:tc>
        <w:tc>
          <w:tcPr>
            <w:tcW w:w="870"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70" w:type="dxa"/>
            <w:tcBorders>
              <w:top w:val="nil" w:sz="6" w:space="0" w:color="auto"/>
              <w:left w:val="single" w:sz="4" w:space="0" w:color="000000"/>
              <w:bottom w:val="nil" w:sz="6" w:space="0" w:color="auto"/>
              <w:right w:val="single" w:sz="4" w:space="0" w:color="000000"/>
            </w:tcBorders>
          </w:tcPr>
          <w:p>
            <w:pPr/>
          </w:p>
        </w:tc>
        <w:tc>
          <w:tcPr>
            <w:tcW w:w="870" w:type="dxa"/>
            <w:vMerge/>
            <w:tcBorders>
              <w:left w:val="single" w:sz="4" w:space="0" w:color="000000"/>
              <w:right w:val="single" w:sz="4" w:space="0" w:color="000000"/>
            </w:tcBorders>
          </w:tcPr>
          <w:p>
            <w:pPr/>
          </w:p>
        </w:tc>
      </w:tr>
      <w:tr>
        <w:trPr>
          <w:trHeight w:val="629" w:hRule="exact"/>
        </w:trPr>
        <w:tc>
          <w:tcPr>
            <w:tcW w:w="863"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209"/>
              <w:jc w:val="left"/>
              <w:rPr>
                <w:rFonts w:ascii="宋体" w:hAnsi="宋体" w:cs="宋体" w:eastAsia="宋体" w:hint="default"/>
                <w:sz w:val="18"/>
                <w:szCs w:val="18"/>
              </w:rPr>
            </w:pPr>
            <w:r>
              <w:rPr>
                <w:rFonts w:ascii="宋体" w:hAnsi="宋体" w:cs="宋体" w:eastAsia="宋体" w:hint="default"/>
                <w:sz w:val="18"/>
                <w:szCs w:val="18"/>
              </w:rPr>
              <w:t>工程技 术研究</w:t>
            </w:r>
          </w:p>
        </w:tc>
        <w:tc>
          <w:tcPr>
            <w:tcW w:w="87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27" w:right="0"/>
              <w:jc w:val="left"/>
              <w:rPr>
                <w:rFonts w:ascii="Times New Roman" w:hAnsi="Times New Roman" w:cs="Times New Roman" w:eastAsia="Times New Roman" w:hint="default"/>
                <w:sz w:val="18"/>
                <w:szCs w:val="18"/>
              </w:rPr>
            </w:pPr>
            <w:r>
              <w:rPr>
                <w:rFonts w:ascii="Times New Roman"/>
                <w:sz w:val="18"/>
              </w:rPr>
              <w:t>2,000,00</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0.00</w:t>
            </w:r>
          </w:p>
        </w:tc>
        <w:tc>
          <w:tcPr>
            <w:tcW w:w="870"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7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28" w:right="0"/>
              <w:jc w:val="left"/>
              <w:rPr>
                <w:rFonts w:ascii="Times New Roman" w:hAnsi="Times New Roman" w:cs="Times New Roman" w:eastAsia="Times New Roman" w:hint="default"/>
                <w:sz w:val="18"/>
                <w:szCs w:val="18"/>
              </w:rPr>
            </w:pPr>
            <w:r>
              <w:rPr>
                <w:rFonts w:ascii="Times New Roman"/>
                <w:sz w:val="18"/>
              </w:rPr>
              <w:t>2,000,00</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0.00</w:t>
            </w:r>
          </w:p>
        </w:tc>
        <w:tc>
          <w:tcPr>
            <w:tcW w:w="870"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7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7.41%</w:t>
            </w:r>
          </w:p>
        </w:tc>
        <w:tc>
          <w:tcPr>
            <w:tcW w:w="870" w:type="dxa"/>
            <w:vMerge/>
            <w:tcBorders>
              <w:left w:val="single" w:sz="4" w:space="0" w:color="000000"/>
              <w:right w:val="single" w:sz="4" w:space="0" w:color="000000"/>
            </w:tcBorders>
          </w:tcPr>
          <w:p>
            <w:pPr/>
          </w:p>
        </w:tc>
      </w:tr>
      <w:tr>
        <w:trPr>
          <w:trHeight w:val="307" w:hRule="exact"/>
        </w:trPr>
        <w:tc>
          <w:tcPr>
            <w:tcW w:w="86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中心有</w:t>
            </w:r>
          </w:p>
        </w:tc>
        <w:tc>
          <w:tcPr>
            <w:tcW w:w="870" w:type="dxa"/>
            <w:tcBorders>
              <w:top w:val="nil" w:sz="6" w:space="0" w:color="auto"/>
              <w:left w:val="single" w:sz="4" w:space="0" w:color="000000"/>
              <w:bottom w:val="nil" w:sz="6" w:space="0" w:color="auto"/>
              <w:right w:val="single" w:sz="4" w:space="0" w:color="000000"/>
            </w:tcBorders>
          </w:tcPr>
          <w:p>
            <w:pPr/>
          </w:p>
        </w:tc>
        <w:tc>
          <w:tcPr>
            <w:tcW w:w="870"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70" w:type="dxa"/>
            <w:tcBorders>
              <w:top w:val="nil" w:sz="6" w:space="0" w:color="auto"/>
              <w:left w:val="single" w:sz="4" w:space="0" w:color="000000"/>
              <w:bottom w:val="nil" w:sz="6" w:space="0" w:color="auto"/>
              <w:right w:val="single" w:sz="4" w:space="0" w:color="000000"/>
            </w:tcBorders>
          </w:tcPr>
          <w:p>
            <w:pPr/>
          </w:p>
        </w:tc>
        <w:tc>
          <w:tcPr>
            <w:tcW w:w="870"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70" w:type="dxa"/>
            <w:tcBorders>
              <w:top w:val="nil" w:sz="6" w:space="0" w:color="auto"/>
              <w:left w:val="single" w:sz="4" w:space="0" w:color="000000"/>
              <w:bottom w:val="nil" w:sz="6" w:space="0" w:color="auto"/>
              <w:right w:val="single" w:sz="4" w:space="0" w:color="000000"/>
            </w:tcBorders>
          </w:tcPr>
          <w:p>
            <w:pPr/>
          </w:p>
        </w:tc>
        <w:tc>
          <w:tcPr>
            <w:tcW w:w="870" w:type="dxa"/>
            <w:vMerge/>
            <w:tcBorders>
              <w:left w:val="single" w:sz="4" w:space="0" w:color="000000"/>
              <w:right w:val="single" w:sz="4" w:space="0" w:color="000000"/>
            </w:tcBorders>
          </w:tcPr>
          <w:p>
            <w:pPr/>
          </w:p>
        </w:tc>
      </w:tr>
      <w:tr>
        <w:trPr>
          <w:trHeight w:val="357" w:hRule="exact"/>
        </w:trPr>
        <w:tc>
          <w:tcPr>
            <w:tcW w:w="8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870" w:type="dxa"/>
            <w:tcBorders>
              <w:top w:val="nil" w:sz="6" w:space="0" w:color="auto"/>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70" w:type="dxa"/>
            <w:tcBorders>
              <w:top w:val="nil" w:sz="6" w:space="0" w:color="auto"/>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70" w:type="dxa"/>
            <w:tcBorders>
              <w:top w:val="nil" w:sz="6" w:space="0" w:color="auto"/>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r>
      <w:tr>
        <w:trPr>
          <w:trHeight w:val="355" w:hRule="exact"/>
        </w:trPr>
        <w:tc>
          <w:tcPr>
            <w:tcW w:w="8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杭州吾</w:t>
            </w:r>
          </w:p>
        </w:tc>
        <w:tc>
          <w:tcPr>
            <w:tcW w:w="870" w:type="dxa"/>
            <w:tcBorders>
              <w:top w:val="single" w:sz="4" w:space="0" w:color="000000"/>
              <w:left w:val="single" w:sz="4" w:space="0" w:color="000000"/>
              <w:bottom w:val="nil" w:sz="6" w:space="0" w:color="auto"/>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70" w:type="dxa"/>
            <w:tcBorders>
              <w:top w:val="single" w:sz="4" w:space="0" w:color="000000"/>
              <w:left w:val="single" w:sz="4" w:space="0" w:color="000000"/>
              <w:bottom w:val="nil" w:sz="6" w:space="0" w:color="auto"/>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70" w:type="dxa"/>
            <w:tcBorders>
              <w:top w:val="single" w:sz="4" w:space="0" w:color="000000"/>
              <w:left w:val="single" w:sz="4" w:space="0" w:color="000000"/>
              <w:bottom w:val="nil" w:sz="6" w:space="0" w:color="auto"/>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r>
      <w:tr>
        <w:trPr>
          <w:trHeight w:val="936" w:hRule="exact"/>
        </w:trPr>
        <w:tc>
          <w:tcPr>
            <w:tcW w:w="863"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209"/>
              <w:jc w:val="both"/>
              <w:rPr>
                <w:rFonts w:ascii="宋体" w:hAnsi="宋体" w:cs="宋体" w:eastAsia="宋体" w:hint="default"/>
                <w:sz w:val="18"/>
                <w:szCs w:val="18"/>
              </w:rPr>
            </w:pPr>
            <w:r>
              <w:rPr>
                <w:rFonts w:ascii="宋体" w:hAnsi="宋体" w:cs="宋体" w:eastAsia="宋体" w:hint="default"/>
                <w:sz w:val="18"/>
                <w:szCs w:val="18"/>
              </w:rPr>
              <w:t>桐树信 息科技 有限公</w:t>
            </w:r>
          </w:p>
        </w:tc>
        <w:tc>
          <w:tcPr>
            <w:tcW w:w="87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27" w:right="0"/>
              <w:jc w:val="left"/>
              <w:rPr>
                <w:rFonts w:ascii="Times New Roman" w:hAnsi="Times New Roman" w:cs="Times New Roman" w:eastAsia="Times New Roman" w:hint="default"/>
                <w:sz w:val="18"/>
                <w:szCs w:val="18"/>
              </w:rPr>
            </w:pPr>
            <w:r>
              <w:rPr>
                <w:rFonts w:ascii="Times New Roman"/>
                <w:sz w:val="18"/>
              </w:rPr>
              <w:t>5,000,00</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0.00</w:t>
            </w:r>
          </w:p>
        </w:tc>
        <w:tc>
          <w:tcPr>
            <w:tcW w:w="870"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7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28" w:right="0"/>
              <w:jc w:val="left"/>
              <w:rPr>
                <w:rFonts w:ascii="Times New Roman" w:hAnsi="Times New Roman" w:cs="Times New Roman" w:eastAsia="Times New Roman" w:hint="default"/>
                <w:sz w:val="18"/>
                <w:szCs w:val="18"/>
              </w:rPr>
            </w:pPr>
            <w:r>
              <w:rPr>
                <w:rFonts w:ascii="Times New Roman"/>
                <w:sz w:val="18"/>
              </w:rPr>
              <w:t>5,000,00</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0.00</w:t>
            </w:r>
          </w:p>
        </w:tc>
        <w:tc>
          <w:tcPr>
            <w:tcW w:w="870"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7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99"/>
              <w:jc w:val="right"/>
              <w:rPr>
                <w:rFonts w:ascii="Times New Roman" w:hAnsi="Times New Roman" w:cs="Times New Roman" w:eastAsia="Times New Roman" w:hint="default"/>
                <w:sz w:val="18"/>
                <w:szCs w:val="18"/>
              </w:rPr>
            </w:pPr>
            <w:r>
              <w:rPr>
                <w:rFonts w:ascii="Times New Roman"/>
                <w:spacing w:val="-1"/>
                <w:sz w:val="18"/>
              </w:rPr>
              <w:t>10.00%</w:t>
            </w:r>
          </w:p>
        </w:tc>
        <w:tc>
          <w:tcPr>
            <w:tcW w:w="870" w:type="dxa"/>
            <w:vMerge/>
            <w:tcBorders>
              <w:left w:val="single" w:sz="4" w:space="0" w:color="000000"/>
              <w:right w:val="single" w:sz="4" w:space="0" w:color="000000"/>
            </w:tcBorders>
          </w:tcPr>
          <w:p>
            <w:pPr/>
          </w:p>
        </w:tc>
      </w:tr>
      <w:tr>
        <w:trPr>
          <w:trHeight w:val="359" w:hRule="exact"/>
        </w:trPr>
        <w:tc>
          <w:tcPr>
            <w:tcW w:w="8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司</w:t>
            </w:r>
          </w:p>
        </w:tc>
        <w:tc>
          <w:tcPr>
            <w:tcW w:w="870" w:type="dxa"/>
            <w:tcBorders>
              <w:top w:val="nil" w:sz="6" w:space="0" w:color="auto"/>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70" w:type="dxa"/>
            <w:tcBorders>
              <w:top w:val="nil" w:sz="6" w:space="0" w:color="auto"/>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70" w:type="dxa"/>
            <w:tcBorders>
              <w:top w:val="nil" w:sz="6" w:space="0" w:color="auto"/>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r>
      <w:tr>
        <w:trPr>
          <w:trHeight w:val="357" w:hRule="exact"/>
        </w:trPr>
        <w:tc>
          <w:tcPr>
            <w:tcW w:w="8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杭州中</w:t>
            </w:r>
          </w:p>
        </w:tc>
        <w:tc>
          <w:tcPr>
            <w:tcW w:w="870" w:type="dxa"/>
            <w:tcBorders>
              <w:top w:val="single" w:sz="4" w:space="0" w:color="000000"/>
              <w:left w:val="single" w:sz="4" w:space="0" w:color="000000"/>
              <w:bottom w:val="nil" w:sz="6" w:space="0" w:color="auto"/>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70" w:type="dxa"/>
            <w:tcBorders>
              <w:top w:val="single" w:sz="4" w:space="0" w:color="000000"/>
              <w:left w:val="single" w:sz="4" w:space="0" w:color="000000"/>
              <w:bottom w:val="nil" w:sz="6" w:space="0" w:color="auto"/>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c>
          <w:tcPr>
            <w:tcW w:w="870" w:type="dxa"/>
            <w:tcBorders>
              <w:top w:val="single" w:sz="4" w:space="0" w:color="000000"/>
              <w:left w:val="single" w:sz="4" w:space="0" w:color="000000"/>
              <w:bottom w:val="nil" w:sz="6" w:space="0" w:color="auto"/>
              <w:right w:val="single" w:sz="4" w:space="0" w:color="000000"/>
            </w:tcBorders>
          </w:tcPr>
          <w:p>
            <w:pPr/>
          </w:p>
        </w:tc>
        <w:tc>
          <w:tcPr>
            <w:tcW w:w="870" w:type="dxa"/>
            <w:vMerge w:val="restart"/>
            <w:tcBorders>
              <w:top w:val="single" w:sz="4" w:space="0" w:color="000000"/>
              <w:left w:val="single" w:sz="4" w:space="0" w:color="000000"/>
              <w:right w:val="single" w:sz="4" w:space="0" w:color="000000"/>
            </w:tcBorders>
          </w:tcPr>
          <w:p>
            <w:pPr/>
          </w:p>
        </w:tc>
      </w:tr>
      <w:tr>
        <w:trPr>
          <w:trHeight w:val="629" w:hRule="exact"/>
        </w:trPr>
        <w:tc>
          <w:tcPr>
            <w:tcW w:w="863"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209"/>
              <w:jc w:val="left"/>
              <w:rPr>
                <w:rFonts w:ascii="宋体" w:hAnsi="宋体" w:cs="宋体" w:eastAsia="宋体" w:hint="default"/>
                <w:sz w:val="18"/>
                <w:szCs w:val="18"/>
              </w:rPr>
            </w:pPr>
            <w:r>
              <w:rPr>
                <w:rFonts w:ascii="宋体" w:hAnsi="宋体" w:cs="宋体" w:eastAsia="宋体" w:hint="default"/>
                <w:sz w:val="18"/>
                <w:szCs w:val="18"/>
              </w:rPr>
              <w:t>福投资 管理有</w:t>
            </w:r>
          </w:p>
        </w:tc>
        <w:tc>
          <w:tcPr>
            <w:tcW w:w="87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27" w:right="0"/>
              <w:jc w:val="left"/>
              <w:rPr>
                <w:rFonts w:ascii="Times New Roman" w:hAnsi="Times New Roman" w:cs="Times New Roman" w:eastAsia="Times New Roman" w:hint="default"/>
                <w:sz w:val="18"/>
                <w:szCs w:val="18"/>
              </w:rPr>
            </w:pPr>
            <w:r>
              <w:rPr>
                <w:rFonts w:ascii="Times New Roman"/>
                <w:sz w:val="18"/>
              </w:rPr>
              <w:t>1,500,00</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0.00</w:t>
            </w:r>
          </w:p>
        </w:tc>
        <w:tc>
          <w:tcPr>
            <w:tcW w:w="870"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7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28" w:right="0"/>
              <w:jc w:val="left"/>
              <w:rPr>
                <w:rFonts w:ascii="Times New Roman" w:hAnsi="Times New Roman" w:cs="Times New Roman" w:eastAsia="Times New Roman" w:hint="default"/>
                <w:sz w:val="18"/>
                <w:szCs w:val="18"/>
              </w:rPr>
            </w:pPr>
            <w:r>
              <w:rPr>
                <w:rFonts w:ascii="Times New Roman"/>
                <w:sz w:val="18"/>
              </w:rPr>
              <w:t>1,500,00</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0.00</w:t>
            </w:r>
          </w:p>
        </w:tc>
        <w:tc>
          <w:tcPr>
            <w:tcW w:w="870"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70" w:type="dxa"/>
            <w:vMerge/>
            <w:tcBorders>
              <w:left w:val="single" w:sz="4" w:space="0" w:color="000000"/>
              <w:right w:val="single" w:sz="4" w:space="0" w:color="000000"/>
            </w:tcBorders>
          </w:tcPr>
          <w:p>
            <w:pPr/>
          </w:p>
        </w:tc>
        <w:tc>
          <w:tcPr>
            <w:tcW w:w="87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14.42%</w:t>
            </w:r>
          </w:p>
        </w:tc>
        <w:tc>
          <w:tcPr>
            <w:tcW w:w="870" w:type="dxa"/>
            <w:vMerge/>
            <w:tcBorders>
              <w:left w:val="single" w:sz="4" w:space="0" w:color="000000"/>
              <w:right w:val="single" w:sz="4" w:space="0" w:color="000000"/>
            </w:tcBorders>
          </w:tcPr>
          <w:p>
            <w:pPr/>
          </w:p>
        </w:tc>
      </w:tr>
      <w:tr>
        <w:trPr>
          <w:trHeight w:val="353" w:hRule="exact"/>
        </w:trPr>
        <w:tc>
          <w:tcPr>
            <w:tcW w:w="8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870" w:type="dxa"/>
            <w:tcBorders>
              <w:top w:val="nil" w:sz="6" w:space="0" w:color="auto"/>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70" w:type="dxa"/>
            <w:tcBorders>
              <w:top w:val="nil" w:sz="6" w:space="0" w:color="auto"/>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c>
          <w:tcPr>
            <w:tcW w:w="870" w:type="dxa"/>
            <w:tcBorders>
              <w:top w:val="nil" w:sz="6" w:space="0" w:color="auto"/>
              <w:left w:val="single" w:sz="4" w:space="0" w:color="000000"/>
              <w:bottom w:val="single" w:sz="4" w:space="0" w:color="000000"/>
              <w:right w:val="single" w:sz="4" w:space="0" w:color="000000"/>
            </w:tcBorders>
          </w:tcPr>
          <w:p>
            <w:pPr/>
          </w:p>
        </w:tc>
        <w:tc>
          <w:tcPr>
            <w:tcW w:w="870" w:type="dxa"/>
            <w:vMerge/>
            <w:tcBorders>
              <w:left w:val="single" w:sz="4" w:space="0" w:color="000000"/>
              <w:bottom w:val="single" w:sz="4" w:space="0" w:color="000000"/>
              <w:right w:val="single" w:sz="4" w:space="0" w:color="000000"/>
            </w:tcBorders>
          </w:tcPr>
          <w:p>
            <w:pPr/>
          </w:p>
        </w:tc>
      </w:tr>
      <w:tr>
        <w:trPr>
          <w:trHeight w:val="712"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0"/>
              <w:ind w:left="101" w:right="209"/>
              <w:jc w:val="left"/>
              <w:rPr>
                <w:rFonts w:ascii="宋体" w:hAnsi="宋体" w:cs="宋体" w:eastAsia="宋体" w:hint="default"/>
                <w:sz w:val="18"/>
                <w:szCs w:val="18"/>
              </w:rPr>
            </w:pPr>
            <w:r>
              <w:rPr>
                <w:rFonts w:ascii="宋体" w:hAnsi="宋体" w:cs="宋体" w:eastAsia="宋体" w:hint="default"/>
                <w:sz w:val="18"/>
                <w:szCs w:val="18"/>
              </w:rPr>
              <w:t>杭州安 丰上盈</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7" w:right="0"/>
              <w:jc w:val="left"/>
              <w:rPr>
                <w:rFonts w:ascii="Times New Roman" w:hAnsi="Times New Roman" w:cs="Times New Roman" w:eastAsia="Times New Roman" w:hint="default"/>
                <w:sz w:val="18"/>
                <w:szCs w:val="18"/>
              </w:rPr>
            </w:pPr>
            <w:r>
              <w:rPr>
                <w:rFonts w:ascii="Times New Roman"/>
                <w:sz w:val="18"/>
              </w:rPr>
              <w:t>7,500,00</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8" w:right="0"/>
              <w:jc w:val="left"/>
              <w:rPr>
                <w:rFonts w:ascii="Times New Roman" w:hAnsi="Times New Roman" w:cs="Times New Roman" w:eastAsia="Times New Roman" w:hint="default"/>
                <w:sz w:val="18"/>
                <w:szCs w:val="18"/>
              </w:rPr>
            </w:pPr>
            <w:r>
              <w:rPr>
                <w:rFonts w:ascii="Times New Roman"/>
                <w:sz w:val="18"/>
              </w:rPr>
              <w:t>2,500,00</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8" w:right="0"/>
              <w:jc w:val="left"/>
              <w:rPr>
                <w:rFonts w:ascii="Times New Roman" w:hAnsi="Times New Roman" w:cs="Times New Roman" w:eastAsia="Times New Roman" w:hint="default"/>
                <w:sz w:val="18"/>
                <w:szCs w:val="18"/>
              </w:rPr>
            </w:pPr>
            <w:r>
              <w:rPr>
                <w:rFonts w:ascii="Times New Roman"/>
                <w:sz w:val="18"/>
              </w:rPr>
              <w:t>10,000,0</w:t>
            </w:r>
          </w:p>
          <w:p>
            <w:pPr>
              <w:pStyle w:val="TableParagraph"/>
              <w:spacing w:line="240" w:lineRule="auto" w:before="105"/>
              <w:ind w:left="351" w:right="0"/>
              <w:jc w:val="left"/>
              <w:rPr>
                <w:rFonts w:ascii="Times New Roman" w:hAnsi="Times New Roman" w:cs="Times New Roman" w:eastAsia="Times New Roman" w:hint="default"/>
                <w:sz w:val="18"/>
                <w:szCs w:val="18"/>
              </w:rPr>
            </w:pPr>
            <w:r>
              <w:rPr>
                <w:rFonts w:ascii="Times New Roman"/>
                <w:sz w:val="18"/>
              </w:rPr>
              <w:t>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8.47%</w:t>
            </w:r>
          </w:p>
        </w:tc>
        <w:tc>
          <w:tcPr>
            <w:tcW w:w="87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863"/>
        <w:gridCol w:w="870"/>
        <w:gridCol w:w="870"/>
        <w:gridCol w:w="870"/>
        <w:gridCol w:w="870"/>
        <w:gridCol w:w="870"/>
        <w:gridCol w:w="870"/>
        <w:gridCol w:w="870"/>
        <w:gridCol w:w="870"/>
        <w:gridCol w:w="870"/>
        <w:gridCol w:w="870"/>
      </w:tblGrid>
      <w:tr>
        <w:trPr>
          <w:trHeight w:val="1298"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1" w:right="29"/>
              <w:jc w:val="left"/>
              <w:rPr>
                <w:rFonts w:ascii="宋体" w:hAnsi="宋体" w:cs="宋体" w:eastAsia="宋体" w:hint="default"/>
                <w:sz w:val="18"/>
                <w:szCs w:val="18"/>
              </w:rPr>
            </w:pPr>
            <w:r>
              <w:rPr>
                <w:rFonts w:ascii="宋体" w:hAnsi="宋体" w:cs="宋体" w:eastAsia="宋体" w:hint="default"/>
                <w:sz w:val="18"/>
                <w:szCs w:val="18"/>
              </w:rPr>
              <w:t>创业投 资合伙 </w:t>
            </w:r>
            <w:r>
              <w:rPr>
                <w:rFonts w:ascii="宋体" w:hAnsi="宋体" w:cs="宋体" w:eastAsia="宋体" w:hint="default"/>
                <w:spacing w:val="-18"/>
                <w:sz w:val="18"/>
                <w:szCs w:val="18"/>
              </w:rPr>
              <w:t>企业（有</w:t>
            </w:r>
            <w:r>
              <w:rPr>
                <w:rFonts w:ascii="宋体" w:hAnsi="宋体" w:cs="宋体" w:eastAsia="宋体" w:hint="default"/>
                <w:sz w:val="18"/>
                <w:szCs w:val="18"/>
              </w:rPr>
              <w:t> 限合伙）</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2274"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01"/>
              <w:jc w:val="left"/>
              <w:rPr>
                <w:rFonts w:ascii="宋体" w:hAnsi="宋体" w:cs="宋体" w:eastAsia="宋体" w:hint="default"/>
                <w:sz w:val="18"/>
                <w:szCs w:val="18"/>
              </w:rPr>
            </w:pPr>
            <w:r>
              <w:rPr>
                <w:rFonts w:ascii="宋体" w:hAnsi="宋体" w:cs="宋体" w:eastAsia="宋体" w:hint="default"/>
                <w:sz w:val="18"/>
                <w:szCs w:val="18"/>
              </w:rPr>
              <w:t>浙江浙 商产融 股权投 资基金 合伙企 </w:t>
            </w:r>
            <w:r>
              <w:rPr>
                <w:rFonts w:ascii="宋体" w:hAnsi="宋体" w:cs="宋体" w:eastAsia="宋体" w:hint="default"/>
                <w:spacing w:val="-18"/>
                <w:sz w:val="18"/>
                <w:szCs w:val="18"/>
              </w:rPr>
              <w:t>业（有限</w:t>
            </w:r>
            <w:r>
              <w:rPr>
                <w:rFonts w:ascii="宋体" w:hAnsi="宋体" w:cs="宋体" w:eastAsia="宋体" w:hint="default"/>
                <w:sz w:val="18"/>
                <w:szCs w:val="18"/>
              </w:rPr>
              <w:t> 合伙）</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4" w:right="0"/>
              <w:jc w:val="center"/>
              <w:rPr>
                <w:rFonts w:ascii="Times New Roman" w:hAnsi="Times New Roman" w:cs="Times New Roman" w:eastAsia="Times New Roman" w:hint="default"/>
                <w:sz w:val="18"/>
                <w:szCs w:val="18"/>
              </w:rPr>
            </w:pPr>
            <w:r>
              <w:rPr>
                <w:rFonts w:ascii="Times New Roman"/>
                <w:sz w:val="18"/>
              </w:rPr>
              <w:t>100,000,</w:t>
            </w:r>
          </w:p>
          <w:p>
            <w:pPr>
              <w:pStyle w:val="TableParagraph"/>
              <w:spacing w:line="240" w:lineRule="auto" w:before="105"/>
              <w:ind w:left="157" w:right="0"/>
              <w:jc w:val="center"/>
              <w:rPr>
                <w:rFonts w:ascii="Times New Roman" w:hAnsi="Times New Roman" w:cs="Times New Roman" w:eastAsia="Times New Roman" w:hint="default"/>
                <w:sz w:val="18"/>
                <w:szCs w:val="18"/>
              </w:rPr>
            </w:pPr>
            <w:r>
              <w:rPr>
                <w:rFonts w:ascii="Times New Roman"/>
                <w:sz w:val="18"/>
              </w:rPr>
              <w:t>000.00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6" w:right="0"/>
              <w:jc w:val="center"/>
              <w:rPr>
                <w:rFonts w:ascii="Times New Roman" w:hAnsi="Times New Roman" w:cs="Times New Roman" w:eastAsia="Times New Roman" w:hint="default"/>
                <w:sz w:val="18"/>
                <w:szCs w:val="18"/>
              </w:rPr>
            </w:pPr>
            <w:r>
              <w:rPr>
                <w:rFonts w:ascii="Times New Roman"/>
                <w:sz w:val="18"/>
              </w:rPr>
              <w:t>100,000,</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000.00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0.21%</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28" w:right="0"/>
              <w:jc w:val="left"/>
              <w:rPr>
                <w:rFonts w:ascii="Times New Roman" w:hAnsi="Times New Roman" w:cs="Times New Roman" w:eastAsia="Times New Roman" w:hint="default"/>
                <w:sz w:val="18"/>
                <w:szCs w:val="18"/>
              </w:rPr>
            </w:pPr>
            <w:r>
              <w:rPr>
                <w:rFonts w:ascii="Times New Roman"/>
                <w:sz w:val="18"/>
              </w:rPr>
              <w:t>1,448,30</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1.37</w:t>
            </w:r>
          </w:p>
        </w:tc>
      </w:tr>
      <w:tr>
        <w:trPr>
          <w:trHeight w:val="1962"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01"/>
              <w:jc w:val="left"/>
              <w:rPr>
                <w:rFonts w:ascii="宋体" w:hAnsi="宋体" w:cs="宋体" w:eastAsia="宋体" w:hint="default"/>
                <w:sz w:val="18"/>
                <w:szCs w:val="18"/>
              </w:rPr>
            </w:pPr>
            <w:r>
              <w:rPr>
                <w:rFonts w:ascii="宋体" w:hAnsi="宋体" w:cs="宋体" w:eastAsia="宋体" w:hint="default"/>
                <w:sz w:val="18"/>
                <w:szCs w:val="18"/>
              </w:rPr>
              <w:t>浙江大 健康产 业股权 投资基 </w:t>
            </w:r>
            <w:r>
              <w:rPr>
                <w:rFonts w:ascii="宋体" w:hAnsi="宋体" w:cs="宋体" w:eastAsia="宋体" w:hint="default"/>
                <w:spacing w:val="-18"/>
                <w:sz w:val="18"/>
                <w:szCs w:val="18"/>
              </w:rPr>
              <w:t>金（有限</w:t>
            </w:r>
            <w:r>
              <w:rPr>
                <w:rFonts w:ascii="宋体" w:hAnsi="宋体" w:cs="宋体" w:eastAsia="宋体" w:hint="default"/>
                <w:sz w:val="18"/>
                <w:szCs w:val="18"/>
              </w:rPr>
              <w:t> 合伙）</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27" w:right="0"/>
              <w:jc w:val="left"/>
              <w:rPr>
                <w:rFonts w:ascii="Times New Roman" w:hAnsi="Times New Roman" w:cs="Times New Roman" w:eastAsia="Times New Roman" w:hint="default"/>
                <w:sz w:val="18"/>
                <w:szCs w:val="18"/>
              </w:rPr>
            </w:pPr>
            <w:r>
              <w:rPr>
                <w:rFonts w:ascii="Times New Roman"/>
                <w:sz w:val="18"/>
              </w:rPr>
              <w:t>50,000,0</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26" w:right="0"/>
              <w:jc w:val="left"/>
              <w:rPr>
                <w:rFonts w:ascii="Times New Roman" w:hAnsi="Times New Roman" w:cs="Times New Roman" w:eastAsia="Times New Roman" w:hint="default"/>
                <w:sz w:val="18"/>
                <w:szCs w:val="18"/>
              </w:rPr>
            </w:pPr>
            <w:r>
              <w:rPr>
                <w:rFonts w:ascii="Times New Roman"/>
                <w:sz w:val="18"/>
              </w:rPr>
              <w:t>50,000,0</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09"/>
              <w:jc w:val="both"/>
              <w:rPr>
                <w:rFonts w:ascii="宋体" w:hAnsi="宋体" w:cs="宋体" w:eastAsia="宋体" w:hint="default"/>
                <w:sz w:val="18"/>
                <w:szCs w:val="18"/>
              </w:rPr>
            </w:pPr>
            <w:r>
              <w:rPr>
                <w:rFonts w:ascii="宋体" w:hAnsi="宋体" w:cs="宋体" w:eastAsia="宋体" w:hint="default"/>
                <w:sz w:val="18"/>
                <w:szCs w:val="18"/>
              </w:rPr>
              <w:t>杭州枫 业医疗 科技有 限公司</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5.00%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center"/>
              <w:rPr>
                <w:rFonts w:ascii="Times New Roman" w:hAnsi="Times New Roman" w:cs="Times New Roman" w:eastAsia="Times New Roman" w:hint="default"/>
                <w:sz w:val="18"/>
                <w:szCs w:val="18"/>
              </w:rPr>
            </w:pPr>
            <w:r>
              <w:rPr>
                <w:rFonts w:ascii="Times New Roman"/>
                <w:sz w:val="18"/>
              </w:rPr>
              <w:t>167,800,</w:t>
            </w:r>
          </w:p>
          <w:p>
            <w:pPr>
              <w:pStyle w:val="TableParagraph"/>
              <w:spacing w:line="240" w:lineRule="auto" w:before="105"/>
              <w:ind w:left="157" w:right="0"/>
              <w:jc w:val="center"/>
              <w:rPr>
                <w:rFonts w:ascii="Times New Roman" w:hAnsi="Times New Roman" w:cs="Times New Roman" w:eastAsia="Times New Roman" w:hint="default"/>
                <w:sz w:val="18"/>
                <w:szCs w:val="18"/>
              </w:rPr>
            </w:pPr>
            <w:r>
              <w:rPr>
                <w:rFonts w:ascii="Times New Roman"/>
                <w:sz w:val="18"/>
              </w:rPr>
              <w:t>000.00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8" w:right="0"/>
              <w:jc w:val="left"/>
              <w:rPr>
                <w:rFonts w:ascii="Times New Roman" w:hAnsi="Times New Roman" w:cs="Times New Roman" w:eastAsia="Times New Roman" w:hint="default"/>
                <w:sz w:val="18"/>
                <w:szCs w:val="18"/>
              </w:rPr>
            </w:pPr>
            <w:r>
              <w:rPr>
                <w:rFonts w:ascii="Times New Roman"/>
                <w:sz w:val="18"/>
              </w:rPr>
              <w:t>2,600,00</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6" w:right="0"/>
              <w:jc w:val="left"/>
              <w:rPr>
                <w:rFonts w:ascii="Times New Roman" w:hAnsi="Times New Roman" w:cs="Times New Roman" w:eastAsia="Times New Roman" w:hint="default"/>
                <w:sz w:val="18"/>
                <w:szCs w:val="18"/>
              </w:rPr>
            </w:pPr>
            <w:r>
              <w:rPr>
                <w:rFonts w:ascii="Times New Roman"/>
                <w:sz w:val="18"/>
              </w:rPr>
              <w:t>50,000,0</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center"/>
              <w:rPr>
                <w:rFonts w:ascii="Times New Roman" w:hAnsi="Times New Roman" w:cs="Times New Roman" w:eastAsia="Times New Roman" w:hint="default"/>
                <w:sz w:val="18"/>
                <w:szCs w:val="18"/>
              </w:rPr>
            </w:pPr>
            <w:r>
              <w:rPr>
                <w:rFonts w:ascii="Times New Roman"/>
                <w:sz w:val="18"/>
              </w:rPr>
              <w:t>120,400,</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000.00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6" w:right="0"/>
              <w:jc w:val="left"/>
              <w:rPr>
                <w:rFonts w:ascii="Times New Roman" w:hAnsi="Times New Roman" w:cs="Times New Roman" w:eastAsia="Times New Roman" w:hint="default"/>
                <w:sz w:val="18"/>
                <w:szCs w:val="18"/>
              </w:rPr>
            </w:pPr>
            <w:r>
              <w:rPr>
                <w:rFonts w:ascii="Times New Roman"/>
                <w:sz w:val="18"/>
              </w:rPr>
              <w:t>1,800,00</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8" w:right="0"/>
              <w:jc w:val="left"/>
              <w:rPr>
                <w:rFonts w:ascii="Times New Roman" w:hAnsi="Times New Roman" w:cs="Times New Roman" w:eastAsia="Times New Roman" w:hint="default"/>
                <w:sz w:val="18"/>
                <w:szCs w:val="18"/>
              </w:rPr>
            </w:pPr>
            <w:r>
              <w:rPr>
                <w:rFonts w:ascii="Times New Roman"/>
                <w:sz w:val="18"/>
              </w:rPr>
              <w:t>1,800,00</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8" w:right="0"/>
              <w:jc w:val="left"/>
              <w:rPr>
                <w:rFonts w:ascii="Times New Roman" w:hAnsi="Times New Roman" w:cs="Times New Roman" w:eastAsia="Times New Roman" w:hint="default"/>
                <w:sz w:val="18"/>
                <w:szCs w:val="18"/>
              </w:rPr>
            </w:pPr>
            <w:r>
              <w:rPr>
                <w:rFonts w:ascii="Times New Roman"/>
                <w:sz w:val="18"/>
              </w:rPr>
              <w:t>1,448,30</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1.37</w:t>
            </w:r>
          </w:p>
        </w:tc>
      </w:tr>
    </w:tbl>
    <w:p>
      <w:pPr>
        <w:spacing w:line="240" w:lineRule="auto" w:before="4"/>
        <w:rPr>
          <w:rFonts w:ascii="宋体" w:hAnsi="宋体" w:cs="宋体" w:eastAsia="宋体" w:hint="default"/>
          <w:sz w:val="19"/>
          <w:szCs w:val="19"/>
        </w:rPr>
      </w:pPr>
    </w:p>
    <w:p>
      <w:pPr>
        <w:pStyle w:val="Heading3"/>
        <w:spacing w:line="240" w:lineRule="auto" w:before="34"/>
        <w:ind w:right="0"/>
        <w:jc w:val="left"/>
        <w:rPr>
          <w:b w:val="0"/>
          <w:bCs w:val="0"/>
        </w:rPr>
      </w:pPr>
      <w:bookmarkStart w:name="（4）报告期内可供出售金融资产减值的变动情况" w:id="250"/>
      <w:bookmarkEnd w:id="250"/>
      <w:r>
        <w:rPr>
          <w:b w:val="0"/>
          <w:bCs w:val="0"/>
        </w:rPr>
      </w:r>
      <w:r>
        <w:rPr/>
        <w:t>（</w:t>
      </w:r>
      <w:r>
        <w:rPr>
          <w:rFonts w:ascii="Times New Roman" w:hAnsi="Times New Roman" w:cs="Times New Roman" w:eastAsia="Times New Roman" w:hint="default"/>
        </w:rPr>
        <w:t>4</w:t>
      </w:r>
      <w:r>
        <w:rPr/>
        <w:t>）报告期内可供出售金融资产减值的变动情况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862" w:right="139" w:hanging="720"/>
              <w:jc w:val="left"/>
              <w:rPr>
                <w:rFonts w:ascii="宋体" w:hAnsi="宋体" w:cs="宋体" w:eastAsia="宋体" w:hint="default"/>
                <w:sz w:val="18"/>
                <w:szCs w:val="18"/>
              </w:rPr>
            </w:pPr>
            <w:r>
              <w:rPr>
                <w:rFonts w:ascii="宋体" w:hAnsi="宋体" w:cs="宋体" w:eastAsia="宋体" w:hint="default"/>
                <w:sz w:val="18"/>
                <w:szCs w:val="18"/>
              </w:rPr>
              <w:t>可供出售金融资产分 类</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78"/>
              <w:jc w:val="center"/>
              <w:rPr>
                <w:rFonts w:ascii="宋体" w:hAnsi="宋体" w:cs="宋体" w:eastAsia="宋体" w:hint="default"/>
                <w:sz w:val="18"/>
                <w:szCs w:val="18"/>
              </w:rPr>
            </w:pPr>
            <w:r>
              <w:rPr>
                <w:rFonts w:ascii="宋体" w:hAnsi="宋体" w:cs="宋体" w:eastAsia="宋体" w:hint="default"/>
                <w:sz w:val="18"/>
                <w:szCs w:val="18"/>
              </w:rPr>
              <w:t>期初已计提减值余额</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1,800,000.00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1,800,000.00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78"/>
              <w:jc w:val="center"/>
              <w:rPr>
                <w:rFonts w:ascii="宋体" w:hAnsi="宋体" w:cs="宋体" w:eastAsia="宋体" w:hint="default"/>
                <w:sz w:val="18"/>
                <w:szCs w:val="18"/>
              </w:rPr>
            </w:pPr>
            <w:r>
              <w:rPr>
                <w:rFonts w:ascii="宋体" w:hAnsi="宋体" w:cs="宋体" w:eastAsia="宋体" w:hint="default"/>
                <w:sz w:val="18"/>
                <w:szCs w:val="18"/>
              </w:rPr>
              <w:t>期末已计提减值余额</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1,800,000.00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1,800,000.00</w:t>
            </w:r>
          </w:p>
        </w:tc>
      </w:tr>
    </w:tbl>
    <w:p>
      <w:pPr>
        <w:spacing w:line="240" w:lineRule="auto" w:before="4"/>
        <w:rPr>
          <w:rFonts w:ascii="宋体" w:hAnsi="宋体" w:cs="宋体" w:eastAsia="宋体" w:hint="default"/>
          <w:sz w:val="19"/>
          <w:szCs w:val="19"/>
        </w:rPr>
      </w:pPr>
    </w:p>
    <w:p>
      <w:pPr>
        <w:pStyle w:val="Heading3"/>
        <w:spacing w:line="240" w:lineRule="auto" w:before="34"/>
        <w:ind w:right="0"/>
        <w:jc w:val="left"/>
        <w:rPr>
          <w:b w:val="0"/>
          <w:bCs w:val="0"/>
        </w:rPr>
      </w:pPr>
      <w:bookmarkStart w:name="（5）可供出售权益工具期末公允价值严重下跌或非暂时性下跌但未计提减值准备的相关说" w:id="251"/>
      <w:bookmarkEnd w:id="251"/>
      <w:r>
        <w:rPr>
          <w:b w:val="0"/>
          <w:bCs w:val="0"/>
        </w:rPr>
      </w:r>
      <w:r>
        <w:rPr/>
        <w:t>（</w:t>
      </w:r>
      <w:r>
        <w:rPr>
          <w:rFonts w:ascii="Times New Roman" w:hAnsi="Times New Roman" w:cs="Times New Roman" w:eastAsia="Times New Roman" w:hint="default"/>
        </w:rPr>
        <w:t>5</w:t>
      </w:r>
      <w:r>
        <w:rPr/>
        <w:t>）可供出售权益工具期末公允价值严重下跌或非暂时性下跌但未计提减值准备的相关说明</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7"/>
        <w:gridCol w:w="1367"/>
        <w:gridCol w:w="1367"/>
      </w:tblGrid>
      <w:tr>
        <w:trPr>
          <w:trHeight w:val="1026"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17" w:right="138" w:hanging="180"/>
              <w:jc w:val="left"/>
              <w:rPr>
                <w:rFonts w:ascii="宋体" w:hAnsi="宋体" w:cs="宋体" w:eastAsia="宋体" w:hint="default"/>
                <w:sz w:val="18"/>
                <w:szCs w:val="18"/>
              </w:rPr>
            </w:pPr>
            <w:r>
              <w:rPr>
                <w:rFonts w:ascii="宋体" w:hAnsi="宋体" w:cs="宋体" w:eastAsia="宋体" w:hint="default"/>
                <w:sz w:val="18"/>
                <w:szCs w:val="18"/>
              </w:rPr>
              <w:t>可供出售权益 工具项目</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18" w:right="0"/>
              <w:jc w:val="left"/>
              <w:rPr>
                <w:rFonts w:ascii="宋体" w:hAnsi="宋体" w:cs="宋体" w:eastAsia="宋体" w:hint="default"/>
                <w:sz w:val="18"/>
                <w:szCs w:val="18"/>
              </w:rPr>
            </w:pPr>
            <w:r>
              <w:rPr>
                <w:rFonts w:ascii="宋体" w:hAnsi="宋体" w:cs="宋体" w:eastAsia="宋体" w:hint="default"/>
                <w:sz w:val="18"/>
                <w:szCs w:val="18"/>
              </w:rPr>
              <w:t>投资成本</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37" w:right="0"/>
              <w:jc w:val="left"/>
              <w:rPr>
                <w:rFonts w:ascii="宋体" w:hAnsi="宋体" w:cs="宋体" w:eastAsia="宋体" w:hint="default"/>
                <w:sz w:val="18"/>
                <w:szCs w:val="18"/>
              </w:rPr>
            </w:pPr>
            <w:r>
              <w:rPr>
                <w:rFonts w:ascii="宋体" w:hAnsi="宋体" w:cs="宋体" w:eastAsia="宋体" w:hint="default"/>
                <w:sz w:val="18"/>
                <w:szCs w:val="18"/>
              </w:rPr>
              <w:t>期末公允价值</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38" w:right="136"/>
              <w:jc w:val="center"/>
              <w:rPr>
                <w:rFonts w:ascii="宋体" w:hAnsi="宋体" w:cs="宋体" w:eastAsia="宋体" w:hint="default"/>
                <w:sz w:val="18"/>
                <w:szCs w:val="18"/>
              </w:rPr>
            </w:pPr>
            <w:r>
              <w:rPr>
                <w:rFonts w:ascii="宋体" w:hAnsi="宋体" w:cs="宋体" w:eastAsia="宋体" w:hint="default"/>
                <w:sz w:val="18"/>
                <w:szCs w:val="18"/>
              </w:rPr>
              <w:t>公允价值相对 于成本的下跌 幅度</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持续下跌时间</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（个月）</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587" w:right="136" w:hanging="449"/>
              <w:jc w:val="left"/>
              <w:rPr>
                <w:rFonts w:ascii="宋体" w:hAnsi="宋体" w:cs="宋体" w:eastAsia="宋体" w:hint="default"/>
                <w:sz w:val="18"/>
                <w:szCs w:val="18"/>
              </w:rPr>
            </w:pPr>
            <w:r>
              <w:rPr>
                <w:rFonts w:ascii="宋体" w:hAnsi="宋体" w:cs="宋体" w:eastAsia="宋体" w:hint="default"/>
                <w:sz w:val="18"/>
                <w:szCs w:val="18"/>
              </w:rPr>
              <w:t>已计提减值金 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588" w:right="138" w:hanging="452"/>
              <w:jc w:val="left"/>
              <w:rPr>
                <w:rFonts w:ascii="宋体" w:hAnsi="宋体" w:cs="宋体" w:eastAsia="宋体" w:hint="default"/>
                <w:sz w:val="18"/>
                <w:szCs w:val="18"/>
              </w:rPr>
            </w:pPr>
            <w:r>
              <w:rPr>
                <w:rFonts w:ascii="宋体" w:hAnsi="宋体" w:cs="宋体" w:eastAsia="宋体" w:hint="default"/>
                <w:sz w:val="18"/>
                <w:szCs w:val="18"/>
              </w:rPr>
              <w:t>未计提减值原 因</w:t>
            </w:r>
          </w:p>
        </w:tc>
      </w:tr>
    </w:tbl>
    <w:p>
      <w:pPr>
        <w:pStyle w:val="BodyText"/>
        <w:spacing w:line="240" w:lineRule="auto" w:before="50"/>
        <w:ind w:right="0"/>
        <w:jc w:val="left"/>
      </w:pPr>
      <w:r>
        <w:rPr/>
        <w:t>其他说明</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0"/>
        <w:jc w:val="left"/>
        <w:rPr>
          <w:b w:val="0"/>
          <w:bCs w:val="0"/>
        </w:rPr>
      </w:pPr>
      <w:bookmarkStart w:name="8、长期应收款" w:id="252"/>
      <w:bookmarkEnd w:id="252"/>
      <w:r>
        <w:rPr>
          <w:b w:val="0"/>
          <w:bCs w:val="0"/>
        </w:rPr>
      </w:r>
      <w:r>
        <w:rPr>
          <w:rFonts w:ascii="Times New Roman" w:hAnsi="Times New Roman" w:cs="Times New Roman" w:eastAsia="Times New Roman" w:hint="default"/>
        </w:rPr>
        <w:t>8</w:t>
      </w:r>
      <w:r>
        <w:rPr/>
        <w:t>、长期应收款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长期应收款情况" w:id="253"/>
      <w:bookmarkEnd w:id="253"/>
      <w:r>
        <w:rPr>
          <w:b w:val="0"/>
          <w:bCs w:val="0"/>
        </w:rPr>
      </w:r>
      <w:r>
        <w:rPr/>
        <w:t>（</w:t>
      </w:r>
      <w:r>
        <w:rPr>
          <w:rFonts w:ascii="Times New Roman" w:hAnsi="Times New Roman" w:cs="Times New Roman" w:eastAsia="Times New Roman" w:hint="default"/>
        </w:rPr>
        <w:t>1</w:t>
      </w:r>
      <w:r>
        <w:rPr/>
        <w:t>）长期应收款情况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403"/>
        <w:gridCol w:w="1167"/>
        <w:gridCol w:w="1167"/>
        <w:gridCol w:w="1167"/>
        <w:gridCol w:w="1167"/>
        <w:gridCol w:w="1168"/>
        <w:gridCol w:w="1165"/>
        <w:gridCol w:w="1165"/>
      </w:tblGrid>
      <w:tr>
        <w:trPr>
          <w:trHeight w:val="402" w:hRule="exact"/>
        </w:trPr>
        <w:tc>
          <w:tcPr>
            <w:tcW w:w="140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0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50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1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126" w:right="0"/>
              <w:jc w:val="left"/>
              <w:rPr>
                <w:rFonts w:ascii="宋体" w:hAnsi="宋体" w:cs="宋体" w:eastAsia="宋体" w:hint="default"/>
                <w:sz w:val="18"/>
                <w:szCs w:val="18"/>
              </w:rPr>
            </w:pPr>
            <w:r>
              <w:rPr>
                <w:rFonts w:ascii="宋体" w:hAnsi="宋体" w:cs="宋体" w:eastAsia="宋体" w:hint="default"/>
                <w:sz w:val="18"/>
                <w:szCs w:val="18"/>
              </w:rPr>
              <w:t>折现率区间</w:t>
            </w:r>
          </w:p>
        </w:tc>
      </w:tr>
      <w:tr>
        <w:trPr>
          <w:trHeight w:val="402" w:hRule="exact"/>
        </w:trPr>
        <w:tc>
          <w:tcPr>
            <w:tcW w:w="1403" w:type="dxa"/>
            <w:vMerge/>
            <w:tcBorders>
              <w:left w:val="single" w:sz="4" w:space="0" w:color="000000"/>
              <w:bottom w:val="single" w:sz="4" w:space="0" w:color="000000"/>
              <w:right w:val="single" w:sz="4" w:space="0" w:color="000000"/>
            </w:tcBorders>
            <w:shd w:val="clear" w:color="auto" w:fill="D2D2D2"/>
          </w:tcPr>
          <w:p>
            <w:pP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1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1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1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1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5"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债权性投资</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15,000,000.0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15,000,000.0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0</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15,000,000.0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1168"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15,000,000.0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15,000,000.0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1167" w:type="dxa"/>
            <w:tcBorders>
              <w:top w:val="single" w:sz="4" w:space="0" w:color="000000"/>
              <w:left w:val="single" w:sz="4" w:space="0" w:color="000000"/>
              <w:bottom w:val="single" w:sz="4" w:space="0" w:color="000000"/>
              <w:right w:val="single" w:sz="4" w:space="0" w:color="000000"/>
            </w:tcBorders>
          </w:tcPr>
          <w:p>
            <w:pP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15,000,000.0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0</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15,000,000.0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1168"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15,000,000.0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3"/>
        <w:spacing w:line="240" w:lineRule="auto" w:before="34"/>
        <w:ind w:right="0"/>
        <w:jc w:val="left"/>
        <w:rPr>
          <w:b w:val="0"/>
          <w:bCs w:val="0"/>
        </w:rPr>
      </w:pPr>
      <w:bookmarkStart w:name="（2）因金融资产转移而终止确认的长期应收款" w:id="254"/>
      <w:bookmarkEnd w:id="254"/>
      <w:r>
        <w:rPr>
          <w:b w:val="0"/>
          <w:bCs w:val="0"/>
        </w:rPr>
      </w:r>
      <w:r>
        <w:rPr/>
        <w:t>（</w:t>
      </w:r>
      <w:r>
        <w:rPr>
          <w:rFonts w:ascii="Times New Roman" w:hAnsi="Times New Roman" w:cs="Times New Roman" w:eastAsia="Times New Roman" w:hint="default"/>
        </w:rPr>
        <w:t>2</w:t>
      </w:r>
      <w:r>
        <w:rPr/>
        <w:t>）因金融资产转移而终止确认的长期应收款</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3）转移长期应收款且继续涉入形成的资产、负债金额" w:id="255"/>
      <w:bookmarkEnd w:id="255"/>
      <w:r>
        <w:rPr>
          <w:b w:val="0"/>
          <w:bCs w:val="0"/>
        </w:rPr>
      </w:r>
      <w:r>
        <w:rPr/>
        <w:t>（</w:t>
      </w:r>
      <w:r>
        <w:rPr>
          <w:rFonts w:ascii="Times New Roman" w:hAnsi="Times New Roman" w:cs="Times New Roman" w:eastAsia="Times New Roman" w:hint="default"/>
        </w:rPr>
        <w:t>3</w:t>
      </w:r>
      <w:r>
        <w:rPr/>
        <w:t>）转移长期应收款且继续涉入形成的资产、负债金额</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left"/>
      </w:pPr>
      <w:r>
        <w:rPr/>
        <w:t>其他说明</w:t>
      </w:r>
    </w:p>
    <w:p>
      <w:pPr>
        <w:pStyle w:val="BodyText"/>
        <w:spacing w:line="300" w:lineRule="auto" w:before="115"/>
        <w:ind w:right="0" w:firstLine="360"/>
        <w:jc w:val="left"/>
      </w:pPr>
      <w:r>
        <w:rPr>
          <w:spacing w:val="-1"/>
        </w:rPr>
        <w:t>公司作为有限合伙人于</w:t>
      </w:r>
      <w:r>
        <w:rPr>
          <w:rFonts w:ascii="Times New Roman" w:hAnsi="Times New Roman" w:cs="Times New Roman" w:eastAsia="Times New Roman" w:hint="default"/>
          <w:spacing w:val="-1"/>
        </w:rPr>
        <w:t>2016</w:t>
      </w:r>
      <w:r>
        <w:rPr>
          <w:spacing w:val="-1"/>
        </w:rPr>
        <w:t>年对义乌钱塘体育文化投资合伙企业（有限合伙）进行投资，约定每年可以获得</w:t>
      </w:r>
      <w:r>
        <w:rPr>
          <w:rFonts w:ascii="Times New Roman" w:hAnsi="Times New Roman" w:cs="Times New Roman" w:eastAsia="Times New Roman" w:hint="default"/>
          <w:spacing w:val="-1"/>
        </w:rPr>
        <w:t>4.75%</w:t>
      </w:r>
      <w:r>
        <w:rPr>
          <w:spacing w:val="-1"/>
        </w:rPr>
        <w:t>的固</w:t>
      </w:r>
      <w:r>
        <w:rPr/>
        <w:t> 定回报，投资三年后进入退出期，故公司将该项投资认定为长期债权。</w:t>
      </w:r>
    </w:p>
    <w:p>
      <w:pPr>
        <w:spacing w:line="240" w:lineRule="auto" w:before="7"/>
        <w:rPr>
          <w:rFonts w:ascii="宋体" w:hAnsi="宋体" w:cs="宋体" w:eastAsia="宋体" w:hint="default"/>
          <w:sz w:val="23"/>
          <w:szCs w:val="23"/>
        </w:rPr>
      </w:pPr>
    </w:p>
    <w:p>
      <w:pPr>
        <w:pStyle w:val="Heading3"/>
        <w:spacing w:line="240" w:lineRule="auto"/>
        <w:ind w:right="0"/>
        <w:jc w:val="left"/>
        <w:rPr>
          <w:b w:val="0"/>
          <w:bCs w:val="0"/>
        </w:rPr>
      </w:pPr>
      <w:bookmarkStart w:name="9、长期股权投资" w:id="256"/>
      <w:bookmarkEnd w:id="256"/>
      <w:r>
        <w:rPr>
          <w:b w:val="0"/>
          <w:bCs w:val="0"/>
        </w:rPr>
      </w:r>
      <w:r>
        <w:rPr>
          <w:rFonts w:ascii="Times New Roman" w:hAnsi="Times New Roman" w:cs="Times New Roman" w:eastAsia="Times New Roman" w:hint="default"/>
        </w:rPr>
        <w:t>9</w:t>
      </w:r>
      <w:r>
        <w:rPr/>
        <w:t>、长期股权投资</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796"/>
        <w:gridCol w:w="797"/>
        <w:gridCol w:w="797"/>
        <w:gridCol w:w="798"/>
        <w:gridCol w:w="798"/>
        <w:gridCol w:w="798"/>
        <w:gridCol w:w="798"/>
        <w:gridCol w:w="798"/>
        <w:gridCol w:w="798"/>
        <w:gridCol w:w="798"/>
        <w:gridCol w:w="798"/>
        <w:gridCol w:w="798"/>
      </w:tblGrid>
      <w:tr>
        <w:trPr>
          <w:trHeight w:val="402" w:hRule="exact"/>
        </w:trPr>
        <w:tc>
          <w:tcPr>
            <w:tcW w:w="796"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6383"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tcBorders>
              <w:top w:val="single" w:sz="4" w:space="0" w:color="000000"/>
              <w:left w:val="single" w:sz="4" w:space="0" w:color="000000"/>
              <w:bottom w:val="nil" w:sz="6" w:space="0" w:color="auto"/>
              <w:right w:val="single" w:sz="4" w:space="0" w:color="000000"/>
            </w:tcBorders>
            <w:shd w:val="clear" w:color="auto" w:fill="D2D2D2"/>
          </w:tcPr>
          <w:p>
            <w:pPr/>
          </w:p>
        </w:tc>
        <w:tc>
          <w:tcPr>
            <w:tcW w:w="79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339" w:hRule="exact"/>
        </w:trPr>
        <w:tc>
          <w:tcPr>
            <w:tcW w:w="79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12" w:right="120" w:hanging="89"/>
              <w:jc w:val="left"/>
              <w:rPr>
                <w:rFonts w:ascii="宋体" w:hAnsi="宋体" w:cs="宋体" w:eastAsia="宋体" w:hint="default"/>
                <w:sz w:val="18"/>
                <w:szCs w:val="18"/>
              </w:rPr>
            </w:pPr>
            <w:r>
              <w:rPr>
                <w:rFonts w:ascii="宋体" w:hAnsi="宋体" w:cs="宋体" w:eastAsia="宋体" w:hint="default"/>
                <w:sz w:val="18"/>
                <w:szCs w:val="18"/>
              </w:rPr>
              <w:t>被投资 单位</w:t>
            </w: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302" w:right="123"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04" w:right="121" w:hanging="180"/>
              <w:jc w:val="left"/>
              <w:rPr>
                <w:rFonts w:ascii="宋体" w:hAnsi="宋体" w:cs="宋体" w:eastAsia="宋体" w:hint="default"/>
                <w:sz w:val="18"/>
                <w:szCs w:val="18"/>
              </w:rPr>
            </w:pPr>
            <w:r>
              <w:rPr>
                <w:rFonts w:ascii="宋体" w:hAnsi="宋体" w:cs="宋体" w:eastAsia="宋体" w:hint="default"/>
                <w:sz w:val="18"/>
                <w:szCs w:val="18"/>
              </w:rPr>
              <w:t>追加投 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03" w:right="122" w:hanging="180"/>
              <w:jc w:val="left"/>
              <w:rPr>
                <w:rFonts w:ascii="宋体" w:hAnsi="宋体" w:cs="宋体" w:eastAsia="宋体" w:hint="default"/>
                <w:sz w:val="18"/>
                <w:szCs w:val="18"/>
              </w:rPr>
            </w:pPr>
            <w:r>
              <w:rPr>
                <w:rFonts w:ascii="宋体" w:hAnsi="宋体" w:cs="宋体" w:eastAsia="宋体" w:hint="default"/>
                <w:sz w:val="18"/>
                <w:szCs w:val="18"/>
              </w:rPr>
              <w:t>减少投 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25" w:right="121"/>
              <w:jc w:val="both"/>
              <w:rPr>
                <w:rFonts w:ascii="宋体" w:hAnsi="宋体" w:cs="宋体" w:eastAsia="宋体" w:hint="default"/>
                <w:sz w:val="18"/>
                <w:szCs w:val="18"/>
              </w:rPr>
            </w:pPr>
            <w:r>
              <w:rPr>
                <w:rFonts w:ascii="宋体" w:hAnsi="宋体" w:cs="宋体" w:eastAsia="宋体" w:hint="default"/>
                <w:sz w:val="18"/>
                <w:szCs w:val="18"/>
              </w:rPr>
              <w:t>权益法 下确认 的投资 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23" w:right="122"/>
              <w:jc w:val="both"/>
              <w:rPr>
                <w:rFonts w:ascii="宋体" w:hAnsi="宋体" w:cs="宋体" w:eastAsia="宋体" w:hint="default"/>
                <w:sz w:val="18"/>
                <w:szCs w:val="18"/>
              </w:rPr>
            </w:pPr>
            <w:r>
              <w:rPr>
                <w:rFonts w:ascii="宋体" w:hAnsi="宋体" w:cs="宋体" w:eastAsia="宋体" w:hint="default"/>
                <w:sz w:val="18"/>
                <w:szCs w:val="18"/>
              </w:rPr>
              <w:t>其他综 合收益 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25" w:right="121"/>
              <w:jc w:val="left"/>
              <w:rPr>
                <w:rFonts w:ascii="宋体" w:hAnsi="宋体" w:cs="宋体" w:eastAsia="宋体" w:hint="default"/>
                <w:sz w:val="18"/>
                <w:szCs w:val="18"/>
              </w:rPr>
            </w:pPr>
            <w:r>
              <w:rPr>
                <w:rFonts w:ascii="宋体" w:hAnsi="宋体" w:cs="宋体" w:eastAsia="宋体" w:hint="default"/>
                <w:sz w:val="18"/>
                <w:szCs w:val="18"/>
              </w:rPr>
              <w:t>其他权 益变动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23" w:right="122"/>
              <w:jc w:val="both"/>
              <w:rPr>
                <w:rFonts w:ascii="宋体" w:hAnsi="宋体" w:cs="宋体" w:eastAsia="宋体" w:hint="default"/>
                <w:sz w:val="18"/>
                <w:szCs w:val="18"/>
              </w:rPr>
            </w:pPr>
            <w:r>
              <w:rPr>
                <w:rFonts w:ascii="宋体" w:hAnsi="宋体" w:cs="宋体" w:eastAsia="宋体" w:hint="default"/>
                <w:sz w:val="18"/>
                <w:szCs w:val="18"/>
              </w:rPr>
              <w:t>宣告发 放现金 股利或 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25" w:right="121"/>
              <w:jc w:val="left"/>
              <w:rPr>
                <w:rFonts w:ascii="宋体" w:hAnsi="宋体" w:cs="宋体" w:eastAsia="宋体" w:hint="default"/>
                <w:sz w:val="18"/>
                <w:szCs w:val="18"/>
              </w:rPr>
            </w:pPr>
            <w:r>
              <w:rPr>
                <w:rFonts w:ascii="宋体" w:hAnsi="宋体" w:cs="宋体" w:eastAsia="宋体" w:hint="default"/>
                <w:sz w:val="18"/>
                <w:szCs w:val="18"/>
              </w:rPr>
              <w:t>计提减 值准备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1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305" w:right="121" w:hanging="180"/>
              <w:jc w:val="left"/>
              <w:rPr>
                <w:rFonts w:ascii="宋体" w:hAnsi="宋体" w:cs="宋体" w:eastAsia="宋体" w:hint="default"/>
                <w:sz w:val="18"/>
                <w:szCs w:val="18"/>
              </w:rPr>
            </w:pPr>
            <w:r>
              <w:rPr>
                <w:rFonts w:ascii="宋体" w:hAnsi="宋体" w:cs="宋体" w:eastAsia="宋体" w:hint="default"/>
                <w:sz w:val="18"/>
                <w:szCs w:val="18"/>
              </w:rPr>
              <w:t>期末余 额</w:t>
            </w:r>
          </w:p>
        </w:tc>
        <w:tc>
          <w:tcPr>
            <w:tcW w:w="79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316" w:lineRule="auto" w:before="11"/>
              <w:ind w:left="123" w:right="122"/>
              <w:jc w:val="both"/>
              <w:rPr>
                <w:rFonts w:ascii="宋体" w:hAnsi="宋体" w:cs="宋体" w:eastAsia="宋体" w:hint="default"/>
                <w:sz w:val="18"/>
                <w:szCs w:val="18"/>
              </w:rPr>
            </w:pPr>
            <w:r>
              <w:rPr>
                <w:rFonts w:ascii="宋体" w:hAnsi="宋体" w:cs="宋体" w:eastAsia="宋体" w:hint="default"/>
                <w:sz w:val="18"/>
                <w:szCs w:val="18"/>
              </w:rPr>
              <w:t>减值准 备期末 余额</w:t>
            </w:r>
          </w:p>
        </w:tc>
      </w:tr>
      <w:tr>
        <w:trPr>
          <w:trHeight w:val="402" w:hRule="exact"/>
        </w:trPr>
        <w:tc>
          <w:tcPr>
            <w:tcW w:w="9572"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2" w:hRule="exact"/>
        </w:trPr>
        <w:tc>
          <w:tcPr>
            <w:tcW w:w="9572"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356"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北京童</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936"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42"/>
              <w:jc w:val="both"/>
              <w:rPr>
                <w:rFonts w:ascii="宋体" w:hAnsi="宋体" w:cs="宋体" w:eastAsia="宋体" w:hint="default"/>
                <w:sz w:val="18"/>
                <w:szCs w:val="18"/>
              </w:rPr>
            </w:pPr>
            <w:r>
              <w:rPr>
                <w:rFonts w:ascii="宋体" w:hAnsi="宋体" w:cs="宋体" w:eastAsia="宋体" w:hint="default"/>
                <w:sz w:val="18"/>
                <w:szCs w:val="18"/>
              </w:rPr>
              <w:t>康医疗 信息技 术有限</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0" w:right="0"/>
              <w:jc w:val="center"/>
              <w:rPr>
                <w:rFonts w:ascii="Times New Roman" w:hAnsi="Times New Roman" w:cs="Times New Roman" w:eastAsia="Times New Roman" w:hint="default"/>
                <w:sz w:val="18"/>
                <w:szCs w:val="18"/>
              </w:rPr>
            </w:pPr>
            <w:r>
              <w:rPr>
                <w:rFonts w:ascii="Times New Roman"/>
                <w:sz w:val="18"/>
              </w:rPr>
              <w:t>3,476,5</w:t>
            </w:r>
          </w:p>
          <w:p>
            <w:pPr>
              <w:pStyle w:val="TableParagraph"/>
              <w:spacing w:line="240" w:lineRule="auto" w:before="105"/>
              <w:ind w:left="175" w:right="0"/>
              <w:jc w:val="center"/>
              <w:rPr>
                <w:rFonts w:ascii="Times New Roman" w:hAnsi="Times New Roman" w:cs="Times New Roman" w:eastAsia="Times New Roman" w:hint="default"/>
                <w:sz w:val="18"/>
                <w:szCs w:val="18"/>
              </w:rPr>
            </w:pPr>
            <w:r>
              <w:rPr>
                <w:rFonts w:ascii="Times New Roman"/>
                <w:sz w:val="18"/>
              </w:rPr>
              <w:t>64.77</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29,482.</w:t>
            </w:r>
          </w:p>
          <w:p>
            <w:pPr>
              <w:pStyle w:val="TableParagraph"/>
              <w:spacing w:line="240" w:lineRule="auto" w:before="105"/>
              <w:ind w:left="504" w:right="0"/>
              <w:jc w:val="left"/>
              <w:rPr>
                <w:rFonts w:ascii="Times New Roman" w:hAnsi="Times New Roman" w:cs="Times New Roman" w:eastAsia="Times New Roman" w:hint="default"/>
                <w:sz w:val="18"/>
                <w:szCs w:val="18"/>
              </w:rPr>
            </w:pPr>
            <w:r>
              <w:rPr>
                <w:rFonts w:ascii="Times New Roman"/>
                <w:sz w:val="18"/>
              </w:rPr>
              <w:t>57</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3,506,0</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47.34</w:t>
            </w:r>
          </w:p>
        </w:tc>
        <w:tc>
          <w:tcPr>
            <w:tcW w:w="798" w:type="dxa"/>
            <w:vMerge/>
            <w:tcBorders>
              <w:left w:val="single" w:sz="4" w:space="0" w:color="000000"/>
              <w:right w:val="single" w:sz="4" w:space="0" w:color="000000"/>
            </w:tcBorders>
          </w:tcPr>
          <w:p>
            <w:pPr/>
          </w:p>
        </w:tc>
      </w:tr>
      <w:tr>
        <w:trPr>
          <w:trHeight w:val="358"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357"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浙江美</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康网新</w:t>
            </w:r>
          </w:p>
        </w:tc>
        <w:tc>
          <w:tcPr>
            <w:tcW w:w="797" w:type="dxa"/>
            <w:tcBorders>
              <w:top w:val="nil" w:sz="6" w:space="0" w:color="auto"/>
              <w:left w:val="single" w:sz="4" w:space="0" w:color="000000"/>
              <w:bottom w:val="nil" w:sz="6" w:space="0" w:color="auto"/>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316"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云健康</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2,925,3</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-319,33</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2,606,0</w:t>
            </w:r>
          </w:p>
        </w:tc>
        <w:tc>
          <w:tcPr>
            <w:tcW w:w="798" w:type="dxa"/>
            <w:vMerge/>
            <w:tcBorders>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科技股</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0"/>
              <w:jc w:val="right"/>
              <w:rPr>
                <w:rFonts w:ascii="Times New Roman" w:hAnsi="Times New Roman" w:cs="Times New Roman" w:eastAsia="Times New Roman" w:hint="default"/>
                <w:sz w:val="18"/>
                <w:szCs w:val="18"/>
              </w:rPr>
            </w:pPr>
            <w:r>
              <w:rPr>
                <w:rFonts w:ascii="Times New Roman"/>
                <w:sz w:val="18"/>
              </w:rPr>
              <w:t>78.56</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98"/>
              <w:jc w:val="right"/>
              <w:rPr>
                <w:rFonts w:ascii="Times New Roman" w:hAnsi="Times New Roman" w:cs="Times New Roman" w:eastAsia="Times New Roman" w:hint="default"/>
                <w:sz w:val="18"/>
                <w:szCs w:val="18"/>
              </w:rPr>
            </w:pPr>
            <w:r>
              <w:rPr>
                <w:rFonts w:ascii="Times New Roman"/>
                <w:spacing w:val="-2"/>
                <w:sz w:val="18"/>
              </w:rPr>
              <w:t>1.11</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0"/>
              <w:jc w:val="right"/>
              <w:rPr>
                <w:rFonts w:ascii="Times New Roman" w:hAnsi="Times New Roman" w:cs="Times New Roman" w:eastAsia="Times New Roman" w:hint="default"/>
                <w:sz w:val="18"/>
                <w:szCs w:val="18"/>
              </w:rPr>
            </w:pPr>
            <w:r>
              <w:rPr>
                <w:rFonts w:ascii="Times New Roman"/>
                <w:spacing w:val="-1"/>
                <w:sz w:val="18"/>
              </w:rPr>
              <w:t>47.45</w:t>
            </w:r>
          </w:p>
        </w:tc>
        <w:tc>
          <w:tcPr>
            <w:tcW w:w="798" w:type="dxa"/>
            <w:vMerge/>
            <w:tcBorders>
              <w:left w:val="single" w:sz="4" w:space="0" w:color="000000"/>
              <w:right w:val="single" w:sz="4" w:space="0" w:color="000000"/>
            </w:tcBorders>
          </w:tcPr>
          <w:p>
            <w:pPr/>
          </w:p>
        </w:tc>
      </w:tr>
      <w:tr>
        <w:trPr>
          <w:trHeight w:val="308"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份有限</w:t>
            </w:r>
          </w:p>
        </w:tc>
        <w:tc>
          <w:tcPr>
            <w:tcW w:w="797" w:type="dxa"/>
            <w:tcBorders>
              <w:top w:val="nil" w:sz="6" w:space="0" w:color="auto"/>
              <w:left w:val="single" w:sz="4" w:space="0" w:color="000000"/>
              <w:bottom w:val="nil" w:sz="6" w:space="0" w:color="auto"/>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355"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bl>
    <w:p>
      <w:pPr>
        <w:spacing w:after="0"/>
        <w:sectPr>
          <w:footerReference w:type="default" r:id="rId43"/>
          <w:pgSz w:w="11910" w:h="16840"/>
          <w:pgMar w:footer="1016" w:header="907" w:top="1100" w:bottom="1200" w:left="1020" w:right="0"/>
          <w:pgNumType w:start="14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796"/>
        <w:gridCol w:w="797"/>
        <w:gridCol w:w="797"/>
        <w:gridCol w:w="798"/>
        <w:gridCol w:w="798"/>
        <w:gridCol w:w="798"/>
        <w:gridCol w:w="798"/>
        <w:gridCol w:w="798"/>
        <w:gridCol w:w="798"/>
        <w:gridCol w:w="798"/>
        <w:gridCol w:w="798"/>
        <w:gridCol w:w="798"/>
      </w:tblGrid>
      <w:tr>
        <w:trPr>
          <w:trHeight w:val="356"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浙江创</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936"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42"/>
              <w:jc w:val="both"/>
              <w:rPr>
                <w:rFonts w:ascii="宋体" w:hAnsi="宋体" w:cs="宋体" w:eastAsia="宋体" w:hint="default"/>
                <w:sz w:val="18"/>
                <w:szCs w:val="18"/>
              </w:rPr>
            </w:pPr>
            <w:r>
              <w:rPr>
                <w:rFonts w:ascii="宋体" w:hAnsi="宋体" w:cs="宋体" w:eastAsia="宋体" w:hint="default"/>
                <w:sz w:val="18"/>
                <w:szCs w:val="18"/>
              </w:rPr>
              <w:t>源环境 科技股 份有限</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35,767,</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058.36</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8,247,7</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69.35</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44,014,</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827.71</w:t>
            </w:r>
          </w:p>
        </w:tc>
        <w:tc>
          <w:tcPr>
            <w:tcW w:w="798" w:type="dxa"/>
            <w:vMerge/>
            <w:tcBorders>
              <w:left w:val="single" w:sz="4" w:space="0" w:color="000000"/>
              <w:right w:val="single" w:sz="4" w:space="0" w:color="000000"/>
            </w:tcBorders>
          </w:tcPr>
          <w:p>
            <w:pPr/>
          </w:p>
        </w:tc>
      </w:tr>
      <w:tr>
        <w:trPr>
          <w:trHeight w:val="358"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358"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浙江大</w:t>
            </w: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健康产</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936"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42"/>
              <w:jc w:val="both"/>
              <w:rPr>
                <w:rFonts w:ascii="宋体" w:hAnsi="宋体" w:cs="宋体" w:eastAsia="宋体" w:hint="default"/>
                <w:sz w:val="18"/>
                <w:szCs w:val="18"/>
              </w:rPr>
            </w:pPr>
            <w:r>
              <w:rPr>
                <w:rFonts w:ascii="宋体" w:hAnsi="宋体" w:cs="宋体" w:eastAsia="宋体" w:hint="default"/>
                <w:sz w:val="18"/>
                <w:szCs w:val="18"/>
              </w:rPr>
              <w:t>业股权 投资基 金（有</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50,000,</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000.00</w:t>
            </w: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30" w:right="0"/>
              <w:jc w:val="left"/>
              <w:rPr>
                <w:rFonts w:ascii="Times New Roman" w:hAnsi="Times New Roman" w:cs="Times New Roman" w:eastAsia="Times New Roman" w:hint="default"/>
                <w:sz w:val="18"/>
                <w:szCs w:val="18"/>
              </w:rPr>
            </w:pPr>
            <w:r>
              <w:rPr>
                <w:rFonts w:ascii="Times New Roman"/>
                <w:sz w:val="18"/>
              </w:rPr>
              <w:t>-667,98</w:t>
            </w:r>
          </w:p>
          <w:p>
            <w:pPr>
              <w:pStyle w:val="TableParagraph"/>
              <w:spacing w:line="240" w:lineRule="auto" w:before="105"/>
              <w:ind w:left="370" w:right="0"/>
              <w:jc w:val="left"/>
              <w:rPr>
                <w:rFonts w:ascii="Times New Roman" w:hAnsi="Times New Roman" w:cs="Times New Roman" w:eastAsia="Times New Roman" w:hint="default"/>
                <w:sz w:val="18"/>
                <w:szCs w:val="18"/>
              </w:rPr>
            </w:pPr>
            <w:r>
              <w:rPr>
                <w:rFonts w:ascii="Times New Roman"/>
                <w:sz w:val="18"/>
              </w:rPr>
              <w:t>9.36</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49,332,</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010.64</w:t>
            </w:r>
          </w:p>
        </w:tc>
        <w:tc>
          <w:tcPr>
            <w:tcW w:w="798" w:type="dxa"/>
            <w:vMerge/>
            <w:tcBorders>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限合</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356"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伙）</w:t>
            </w: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356"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舟山创</w:t>
            </w: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融投资</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629"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42"/>
              <w:jc w:val="left"/>
              <w:rPr>
                <w:rFonts w:ascii="宋体" w:hAnsi="宋体" w:cs="宋体" w:eastAsia="宋体" w:hint="default"/>
                <w:sz w:val="18"/>
                <w:szCs w:val="18"/>
              </w:rPr>
            </w:pPr>
            <w:r>
              <w:rPr>
                <w:rFonts w:ascii="宋体" w:hAnsi="宋体" w:cs="宋体" w:eastAsia="宋体" w:hint="default"/>
                <w:sz w:val="18"/>
                <w:szCs w:val="18"/>
              </w:rPr>
              <w:t>管理合 伙企业</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43" w:right="0"/>
              <w:jc w:val="left"/>
              <w:rPr>
                <w:rFonts w:ascii="Times New Roman" w:hAnsi="Times New Roman" w:cs="Times New Roman" w:eastAsia="Times New Roman" w:hint="default"/>
                <w:sz w:val="18"/>
                <w:szCs w:val="18"/>
              </w:rPr>
            </w:pPr>
            <w:r>
              <w:rPr>
                <w:rFonts w:ascii="Times New Roman"/>
                <w:sz w:val="18"/>
              </w:rPr>
              <w:t>50,000,</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000.00</w:t>
            </w: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486.82</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44" w:right="0"/>
              <w:jc w:val="left"/>
              <w:rPr>
                <w:rFonts w:ascii="Times New Roman" w:hAnsi="Times New Roman" w:cs="Times New Roman" w:eastAsia="Times New Roman" w:hint="default"/>
                <w:sz w:val="18"/>
                <w:szCs w:val="18"/>
              </w:rPr>
            </w:pPr>
            <w:r>
              <w:rPr>
                <w:rFonts w:ascii="Times New Roman"/>
                <w:sz w:val="18"/>
              </w:rPr>
              <w:t>50,000,</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486.82</w:t>
            </w:r>
          </w:p>
        </w:tc>
        <w:tc>
          <w:tcPr>
            <w:tcW w:w="798" w:type="dxa"/>
            <w:vMerge/>
            <w:tcBorders>
              <w:left w:val="single" w:sz="4" w:space="0" w:color="000000"/>
              <w:right w:val="single" w:sz="4" w:space="0" w:color="000000"/>
            </w:tcBorders>
          </w:tcPr>
          <w:p>
            <w:pPr/>
          </w:p>
        </w:tc>
      </w:tr>
      <w:tr>
        <w:trPr>
          <w:trHeight w:val="307"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（有限</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358"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合伙）</w:t>
            </w: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358"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杭州安</w:t>
            </w: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丰创健</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936"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42"/>
              <w:jc w:val="both"/>
              <w:rPr>
                <w:rFonts w:ascii="宋体" w:hAnsi="宋体" w:cs="宋体" w:eastAsia="宋体" w:hint="default"/>
                <w:sz w:val="18"/>
                <w:szCs w:val="18"/>
              </w:rPr>
            </w:pPr>
            <w:r>
              <w:rPr>
                <w:rFonts w:ascii="宋体" w:hAnsi="宋体" w:cs="宋体" w:eastAsia="宋体" w:hint="default"/>
                <w:sz w:val="18"/>
                <w:szCs w:val="18"/>
              </w:rPr>
              <w:t>创业投 资合伙 企业</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25,000,</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000.00</w:t>
            </w: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30" w:right="0"/>
              <w:jc w:val="left"/>
              <w:rPr>
                <w:rFonts w:ascii="Times New Roman" w:hAnsi="Times New Roman" w:cs="Times New Roman" w:eastAsia="Times New Roman" w:hint="default"/>
                <w:sz w:val="18"/>
                <w:szCs w:val="18"/>
              </w:rPr>
            </w:pPr>
            <w:r>
              <w:rPr>
                <w:rFonts w:ascii="Times New Roman"/>
                <w:sz w:val="18"/>
              </w:rPr>
              <w:t>-987,69</w:t>
            </w:r>
          </w:p>
          <w:p>
            <w:pPr>
              <w:pStyle w:val="TableParagraph"/>
              <w:spacing w:line="240" w:lineRule="auto" w:before="105"/>
              <w:ind w:left="370" w:right="0"/>
              <w:jc w:val="left"/>
              <w:rPr>
                <w:rFonts w:ascii="Times New Roman" w:hAnsi="Times New Roman" w:cs="Times New Roman" w:eastAsia="Times New Roman" w:hint="default"/>
                <w:sz w:val="18"/>
                <w:szCs w:val="18"/>
              </w:rPr>
            </w:pPr>
            <w:r>
              <w:rPr>
                <w:rFonts w:ascii="Times New Roman"/>
                <w:sz w:val="18"/>
              </w:rPr>
              <w:t>9.02</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24,012,</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300.98</w:t>
            </w:r>
          </w:p>
        </w:tc>
        <w:tc>
          <w:tcPr>
            <w:tcW w:w="798" w:type="dxa"/>
            <w:vMerge/>
            <w:tcBorders>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（有限</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356"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合伙）</w:t>
            </w: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356"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成都米</w:t>
            </w: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7"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索信息</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-280,66</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Times New Roman" w:hAnsi="Times New Roman" w:cs="Times New Roman" w:eastAsia="Times New Roman" w:hint="default"/>
                <w:sz w:val="18"/>
                <w:szCs w:val="18"/>
              </w:rPr>
            </w:pPr>
            <w:r>
              <w:rPr>
                <w:rFonts w:ascii="Times New Roman"/>
                <w:spacing w:val="-1"/>
                <w:sz w:val="18"/>
              </w:rPr>
              <w:t>719,33</w:t>
            </w:r>
          </w:p>
        </w:tc>
        <w:tc>
          <w:tcPr>
            <w:tcW w:w="798" w:type="dxa"/>
            <w:vMerge/>
            <w:tcBorders>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技术有</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pacing w:val="-1"/>
                <w:sz w:val="18"/>
              </w:rPr>
              <w:t>00.00</w:t>
            </w: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pacing w:val="-1"/>
                <w:sz w:val="18"/>
              </w:rPr>
              <w:t>4.28</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Times New Roman" w:hAnsi="Times New Roman" w:cs="Times New Roman" w:eastAsia="Times New Roman" w:hint="default"/>
                <w:sz w:val="18"/>
                <w:szCs w:val="18"/>
              </w:rPr>
            </w:pPr>
            <w:r>
              <w:rPr>
                <w:rFonts w:ascii="Times New Roman"/>
                <w:spacing w:val="-1"/>
                <w:sz w:val="18"/>
              </w:rPr>
              <w:t>5.72</w:t>
            </w:r>
          </w:p>
        </w:tc>
        <w:tc>
          <w:tcPr>
            <w:tcW w:w="798" w:type="dxa"/>
            <w:vMerge/>
            <w:tcBorders>
              <w:left w:val="single" w:sz="4" w:space="0" w:color="000000"/>
              <w:right w:val="single" w:sz="4" w:space="0" w:color="000000"/>
            </w:tcBorders>
          </w:tcPr>
          <w:p>
            <w:pPr/>
          </w:p>
        </w:tc>
      </w:tr>
      <w:tr>
        <w:trPr>
          <w:trHeight w:val="353"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42,169,</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001.69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126,00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0,000.0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6,022,0</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54.97</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174,19</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1,056.6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42,169,</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001.69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126,00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0,000.0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6,022,0</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54.97</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174,19</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1,056.6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w:t>
            </w:r>
          </w:p>
        </w:tc>
        <w:tc>
          <w:tcPr>
            <w:tcW w:w="798"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10、投资性房地产" w:id="257"/>
      <w:bookmarkEnd w:id="257"/>
      <w:r>
        <w:rPr>
          <w:b w:val="0"/>
          <w:bCs w:val="0"/>
        </w:rPr>
      </w:r>
      <w:r>
        <w:rPr>
          <w:rFonts w:ascii="Times New Roman" w:hAnsi="Times New Roman" w:cs="Times New Roman" w:eastAsia="Times New Roman" w:hint="default"/>
        </w:rPr>
        <w:t>10</w:t>
      </w:r>
      <w:r>
        <w:rPr/>
        <w:t>、投资性房地产</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1）采用成本计量模式的投资性房地产" w:id="258"/>
      <w:bookmarkEnd w:id="258"/>
      <w:r>
        <w:rPr>
          <w:b w:val="0"/>
          <w:bCs w:val="0"/>
        </w:rPr>
      </w:r>
      <w:r>
        <w:rPr/>
        <w:t>（</w:t>
      </w:r>
      <w:r>
        <w:rPr>
          <w:rFonts w:ascii="Times New Roman" w:hAnsi="Times New Roman" w:cs="Times New Roman" w:eastAsia="Times New Roman" w:hint="default"/>
        </w:rPr>
        <w:t>1</w:t>
      </w:r>
      <w:r>
        <w:rPr/>
        <w:t>）采用成本计量模式的投资性房地产</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 适用</w:t>
      </w:r>
      <w:r>
        <w:rPr>
          <w:spacing w:val="-1"/>
        </w:rPr>
        <w:t> </w:t>
      </w:r>
      <w:r>
        <w:rPr/>
        <w:t>□不适用</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240" w:lineRule="auto" w:before="44"/>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1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0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4,669,984.15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4,669,984.15</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）外购</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01" w:right="101" w:firstLine="328"/>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）存货</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固定资</w:t>
            </w:r>
            <w:r>
              <w:rPr>
                <w:rFonts w:ascii="宋体" w:hAnsi="宋体" w:cs="宋体" w:eastAsia="宋体" w:hint="default"/>
                <w:sz w:val="18"/>
                <w:szCs w:val="18"/>
              </w:rPr>
              <w:t> 产</w:t>
            </w:r>
            <w:r>
              <w:rPr>
                <w:rFonts w:ascii="Times New Roman" w:hAnsi="Times New Roman" w:cs="Times New Roman" w:eastAsia="Times New Roman" w:hint="default"/>
                <w:sz w:val="18"/>
                <w:szCs w:val="18"/>
              </w:rPr>
              <w:t>\</w:t>
            </w:r>
            <w:r>
              <w:rPr>
                <w:rFonts w:ascii="宋体" w:hAnsi="宋体" w:cs="宋体" w:eastAsia="宋体" w:hint="default"/>
                <w:sz w:val="18"/>
                <w:szCs w:val="18"/>
              </w:rPr>
              <w:t>在建工程转入</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5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）企业合并增</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加</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4,669,984.15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4,669,984.15</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1" w:right="178"/>
              <w:jc w:val="left"/>
              <w:rPr>
                <w:rFonts w:ascii="宋体" w:hAnsi="宋体" w:cs="宋体" w:eastAsia="宋体" w:hint="default"/>
                <w:sz w:val="18"/>
                <w:szCs w:val="18"/>
              </w:rPr>
            </w:pPr>
            <w:r>
              <w:rPr>
                <w:rFonts w:ascii="宋体" w:hAnsi="宋体" w:cs="宋体" w:eastAsia="宋体" w:hint="default"/>
                <w:sz w:val="18"/>
                <w:szCs w:val="18"/>
              </w:rPr>
              <w:t>二、累计折旧和累计 摊销</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978,149.51</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978,149.51</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221,925.24</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221,925.24</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01"/>
              <w:jc w:val="righ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）计提或摊销</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221,925.24</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221,925.24</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1,200,074.75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1,200,074.75</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01"/>
              <w:jc w:val="righ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、本期减少金额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0"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1"/>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3,469,909.40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3,469,909.40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21"/>
              <w:jc w:val="righ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3,691,834.64</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3,691,834.64</w:t>
            </w:r>
          </w:p>
        </w:tc>
      </w:tr>
    </w:tbl>
    <w:p>
      <w:pPr>
        <w:spacing w:line="240" w:lineRule="auto" w:before="4"/>
        <w:rPr>
          <w:rFonts w:ascii="宋体" w:hAnsi="宋体" w:cs="宋体" w:eastAsia="宋体" w:hint="default"/>
          <w:sz w:val="19"/>
          <w:szCs w:val="19"/>
        </w:rPr>
      </w:pPr>
    </w:p>
    <w:p>
      <w:pPr>
        <w:pStyle w:val="Heading3"/>
        <w:spacing w:line="240" w:lineRule="auto" w:before="34"/>
        <w:ind w:right="0"/>
        <w:jc w:val="left"/>
        <w:rPr>
          <w:b w:val="0"/>
          <w:bCs w:val="0"/>
        </w:rPr>
      </w:pPr>
      <w:bookmarkStart w:name="（2）采用公允价值计量模式的投资性房地产" w:id="259"/>
      <w:bookmarkEnd w:id="259"/>
      <w:r>
        <w:rPr>
          <w:b w:val="0"/>
          <w:bCs w:val="0"/>
        </w:rPr>
      </w:r>
      <w:r>
        <w:rPr/>
        <w:t>（</w:t>
      </w:r>
      <w:r>
        <w:rPr>
          <w:rFonts w:ascii="Times New Roman" w:hAnsi="Times New Roman" w:cs="Times New Roman" w:eastAsia="Times New Roman" w:hint="default"/>
        </w:rPr>
        <w:t>2</w:t>
      </w:r>
      <w:r>
        <w:rPr/>
        <w:t>）采用公允价值计量模式的投资性房地产</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204" w:right="0"/>
        <w:jc w:val="left"/>
      </w:pPr>
      <w:r>
        <w:rPr/>
        <w:t>□ 适用  √</w:t>
      </w:r>
      <w:r>
        <w:rPr>
          <w:spacing w:val="-1"/>
        </w:rPr>
        <w:t> </w:t>
      </w:r>
      <w:r>
        <w:rPr/>
        <w:t>不适用</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3）未办妥产权证书的投资性房地产情况" w:id="260"/>
      <w:bookmarkEnd w:id="260"/>
      <w:r>
        <w:rPr>
          <w:b w:val="0"/>
          <w:bCs w:val="0"/>
        </w:rPr>
      </w:r>
      <w:r>
        <w:rPr/>
        <w:t>（</w:t>
      </w:r>
      <w:r>
        <w:rPr>
          <w:rFonts w:ascii="Times New Roman" w:hAnsi="Times New Roman" w:cs="Times New Roman" w:eastAsia="Times New Roman" w:hint="default"/>
        </w:rPr>
        <w:t>3</w:t>
      </w:r>
      <w:r>
        <w:rPr/>
        <w:t>）未办妥产权证书的投资性房地产情况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1"/>
        <w:gridCol w:w="3191"/>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未办妥产权证书原因</w:t>
            </w:r>
          </w:p>
        </w:tc>
      </w:tr>
    </w:tbl>
    <w:p>
      <w:pPr>
        <w:pStyle w:val="BodyText"/>
        <w:spacing w:line="240" w:lineRule="auto" w:before="49"/>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11、固定资产" w:id="261"/>
      <w:bookmarkEnd w:id="261"/>
      <w:r>
        <w:rPr>
          <w:b w:val="0"/>
          <w:bCs w:val="0"/>
        </w:rPr>
      </w:r>
      <w:r>
        <w:rPr>
          <w:rFonts w:ascii="Times New Roman" w:hAnsi="Times New Roman" w:cs="Times New Roman" w:eastAsia="Times New Roman" w:hint="default"/>
        </w:rPr>
        <w:t>11</w:t>
      </w:r>
      <w:r>
        <w:rPr/>
        <w:t>、固定资产</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4"/>
        <w:gridCol w:w="3187"/>
        <w:gridCol w:w="3188"/>
      </w:tblGrid>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300,209,659.68</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310,211,428.25</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300,209,659.68</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310,211,428.25</w:t>
            </w:r>
          </w:p>
        </w:tc>
      </w:tr>
    </w:tbl>
    <w:p>
      <w:pPr>
        <w:spacing w:line="240" w:lineRule="auto" w:before="2"/>
        <w:rPr>
          <w:rFonts w:ascii="宋体" w:hAnsi="宋体" w:cs="宋体" w:eastAsia="宋体" w:hint="default"/>
          <w:sz w:val="19"/>
          <w:szCs w:val="19"/>
        </w:rPr>
      </w:pPr>
    </w:p>
    <w:p>
      <w:pPr>
        <w:pStyle w:val="Heading3"/>
        <w:spacing w:line="240" w:lineRule="auto" w:before="34"/>
        <w:ind w:right="0"/>
        <w:jc w:val="left"/>
        <w:rPr>
          <w:b w:val="0"/>
          <w:bCs w:val="0"/>
        </w:rPr>
      </w:pPr>
      <w:bookmarkStart w:name="（1）固定资产情况" w:id="262"/>
      <w:bookmarkEnd w:id="262"/>
      <w:r>
        <w:rPr>
          <w:b w:val="0"/>
          <w:bCs w:val="0"/>
        </w:rPr>
      </w:r>
      <w:r>
        <w:rPr/>
        <w:t>（</w:t>
      </w:r>
      <w:r>
        <w:rPr>
          <w:rFonts w:ascii="Times New Roman" w:hAnsi="Times New Roman" w:cs="Times New Roman" w:eastAsia="Times New Roman" w:hint="default"/>
        </w:rPr>
        <w:t>1</w:t>
      </w:r>
      <w:r>
        <w:rPr/>
        <w:t>）固定资产情况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4"/>
        <w:gridCol w:w="1594"/>
        <w:gridCol w:w="1594"/>
        <w:gridCol w:w="1594"/>
        <w:gridCol w:w="1594"/>
        <w:gridCol w:w="1594"/>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0"/>
              <w:ind w:left="25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0"/>
              <w:ind w:left="43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0"/>
              <w:ind w:left="431"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0"/>
              <w:ind w:left="431"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293,398,769.64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4,821,596.87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28,913,594.91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46,055,744.81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373,189,706.23</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263"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10,683,816.66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326,503.42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2,231,645.27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5,572,112.62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18,814,077.97</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2"/>
                <w:sz w:val="18"/>
              </w:rPr>
              <w:t>111,567.44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175,006.68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2,231,645.27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5,572,112.62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8,090,332.01</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29"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）在建工 程转入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10,572,249.22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151,496.74</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10,723,745.96</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29"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 并增加</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263"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5,156,827.63</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1,025,414.79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15,142,219.04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21,324,461.46</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594"/>
        <w:gridCol w:w="1594"/>
        <w:gridCol w:w="1594"/>
        <w:gridCol w:w="1594"/>
        <w:gridCol w:w="1594"/>
        <w:gridCol w:w="1594"/>
      </w:tblGrid>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29"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 报废</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5,156,827.63</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1,025,414.79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7,968,384.27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14,150,626.69</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其他减少</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7,173,834.77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7,173,834.77</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298,925,758.67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5,148,100.29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2"/>
                <w:sz w:val="18"/>
              </w:rPr>
              <w:t>30,119,825.39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36,485,638.39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370,679,322.74</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27,831,876.93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2,512,642.85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11,926,946.48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20,706,811.72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62,978,277.98</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263"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8,636,684.03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329,383.14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4,984,995.47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3,873,024.21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17,824,086.85</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309"/>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8,636,684.03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329,383.14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4,984,995.47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3,873,024.21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17,824,086.85</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263"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1,206,734.82</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971,504.05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8,154,462.90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10,332,701.77</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29"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 报废</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1,206,734.82</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971,504.05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7,595,744.90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9,773,983.77</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其他减少</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558,718.00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558,718.00</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35,261,826.14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2,842,025.99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15,940,437.90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16,425,373.03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70,469,663.06</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263"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09"/>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263"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29" w:firstLine="36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 报废</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263"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 值</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263,663,932.53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2,306,074.30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14,179,387.49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20,060,265.36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300,209,659.68</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263"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 值</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265,566,892.71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2,308,954.02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16,986,648.43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25,348,933.09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310,211,428.25</w:t>
            </w:r>
          </w:p>
        </w:tc>
      </w:tr>
    </w:tbl>
    <w:p>
      <w:pPr>
        <w:spacing w:line="240" w:lineRule="auto" w:before="3"/>
        <w:rPr>
          <w:rFonts w:ascii="宋体" w:hAnsi="宋体" w:cs="宋体" w:eastAsia="宋体" w:hint="default"/>
          <w:sz w:val="19"/>
          <w:szCs w:val="19"/>
        </w:rPr>
      </w:pPr>
    </w:p>
    <w:p>
      <w:pPr>
        <w:pStyle w:val="Heading3"/>
        <w:spacing w:line="240" w:lineRule="auto" w:before="34"/>
        <w:ind w:right="0"/>
        <w:jc w:val="left"/>
        <w:rPr>
          <w:b w:val="0"/>
          <w:bCs w:val="0"/>
        </w:rPr>
      </w:pPr>
      <w:bookmarkStart w:name="（2）暂时闲置的固定资产情况" w:id="263"/>
      <w:bookmarkEnd w:id="263"/>
      <w:r>
        <w:rPr>
          <w:b w:val="0"/>
          <w:bCs w:val="0"/>
        </w:rPr>
      </w:r>
      <w:r>
        <w:rPr/>
        <w:t>（</w:t>
      </w:r>
      <w:r>
        <w:rPr>
          <w:rFonts w:ascii="Times New Roman" w:hAnsi="Times New Roman" w:cs="Times New Roman" w:eastAsia="Times New Roman" w:hint="default"/>
        </w:rPr>
        <w:t>2</w:t>
      </w:r>
      <w:r>
        <w:rPr/>
        <w:t>）暂时闲置的固定资产情况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after="0" w:line="240" w:lineRule="auto"/>
        <w:jc w:val="right"/>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594"/>
        <w:gridCol w:w="1596"/>
        <w:gridCol w:w="1594"/>
        <w:gridCol w:w="1594"/>
        <w:gridCol w:w="1594"/>
        <w:gridCol w:w="1594"/>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2"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2"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1"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备注</w:t>
            </w:r>
          </w:p>
        </w:tc>
      </w:tr>
    </w:tbl>
    <w:p>
      <w:pPr>
        <w:spacing w:line="240" w:lineRule="auto" w:before="4"/>
        <w:rPr>
          <w:rFonts w:ascii="宋体" w:hAnsi="宋体" w:cs="宋体" w:eastAsia="宋体" w:hint="default"/>
          <w:sz w:val="19"/>
          <w:szCs w:val="19"/>
        </w:rPr>
      </w:pPr>
    </w:p>
    <w:p>
      <w:pPr>
        <w:pStyle w:val="Heading3"/>
        <w:spacing w:line="240" w:lineRule="auto" w:before="34"/>
        <w:ind w:right="0"/>
        <w:jc w:val="left"/>
        <w:rPr>
          <w:b w:val="0"/>
          <w:bCs w:val="0"/>
        </w:rPr>
      </w:pPr>
      <w:bookmarkStart w:name="（3）通过融资租赁租入的固定资产情况" w:id="264"/>
      <w:bookmarkEnd w:id="264"/>
      <w:r>
        <w:rPr>
          <w:b w:val="0"/>
          <w:bCs w:val="0"/>
        </w:rPr>
      </w:r>
      <w:r>
        <w:rPr/>
        <w:t>（</w:t>
      </w:r>
      <w:r>
        <w:rPr>
          <w:rFonts w:ascii="Times New Roman" w:hAnsi="Times New Roman" w:cs="Times New Roman" w:eastAsia="Times New Roman" w:hint="default"/>
        </w:rPr>
        <w:t>3</w:t>
      </w:r>
      <w:r>
        <w:rPr/>
        <w:t>）通过融资租赁租入的固定资产情况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240" w:lineRule="auto" w:before="5"/>
        <w:rPr>
          <w:rFonts w:ascii="宋体" w:hAnsi="宋体" w:cs="宋体" w:eastAsia="宋体" w:hint="default"/>
          <w:sz w:val="19"/>
          <w:szCs w:val="19"/>
        </w:rPr>
      </w:pPr>
    </w:p>
    <w:p>
      <w:pPr>
        <w:pStyle w:val="Heading3"/>
        <w:spacing w:line="240" w:lineRule="auto" w:before="34"/>
        <w:ind w:right="0"/>
        <w:jc w:val="left"/>
        <w:rPr>
          <w:b w:val="0"/>
          <w:bCs w:val="0"/>
        </w:rPr>
      </w:pPr>
      <w:bookmarkStart w:name="（4）通过经营租赁租出的固定资产" w:id="265"/>
      <w:bookmarkEnd w:id="265"/>
      <w:r>
        <w:rPr>
          <w:b w:val="0"/>
          <w:bCs w:val="0"/>
        </w:rPr>
      </w:r>
      <w:r>
        <w:rPr/>
        <w:t>（</w:t>
      </w:r>
      <w:r>
        <w:rPr>
          <w:rFonts w:ascii="Times New Roman" w:hAnsi="Times New Roman" w:cs="Times New Roman" w:eastAsia="Times New Roman" w:hint="default"/>
        </w:rPr>
        <w:t>4</w:t>
      </w:r>
      <w:r>
        <w:rPr/>
        <w:t>）通过经营租赁租出的固定资产</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期末账面价值</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2"/>
                <w:sz w:val="18"/>
              </w:rPr>
              <w:t>52,113,337.88</w:t>
            </w:r>
          </w:p>
        </w:tc>
      </w:tr>
    </w:tbl>
    <w:p>
      <w:pPr>
        <w:spacing w:line="240" w:lineRule="auto" w:before="3"/>
        <w:rPr>
          <w:rFonts w:ascii="宋体" w:hAnsi="宋体" w:cs="宋体" w:eastAsia="宋体" w:hint="default"/>
          <w:sz w:val="19"/>
          <w:szCs w:val="19"/>
        </w:rPr>
      </w:pPr>
    </w:p>
    <w:p>
      <w:pPr>
        <w:pStyle w:val="Heading3"/>
        <w:spacing w:line="240" w:lineRule="auto" w:before="34"/>
        <w:ind w:right="0"/>
        <w:jc w:val="left"/>
        <w:rPr>
          <w:b w:val="0"/>
          <w:bCs w:val="0"/>
        </w:rPr>
      </w:pPr>
      <w:bookmarkStart w:name="（5）未办妥产权证书的固定资产情况" w:id="266"/>
      <w:bookmarkEnd w:id="266"/>
      <w:r>
        <w:rPr>
          <w:b w:val="0"/>
          <w:bCs w:val="0"/>
        </w:rPr>
      </w:r>
      <w:r>
        <w:rPr/>
        <w:t>（</w:t>
      </w:r>
      <w:r>
        <w:rPr>
          <w:rFonts w:ascii="Times New Roman" w:hAnsi="Times New Roman" w:cs="Times New Roman" w:eastAsia="Times New Roman" w:hint="default"/>
        </w:rPr>
        <w:t>5</w:t>
      </w:r>
      <w:r>
        <w:rPr/>
        <w:t>）未办妥产权证书的固定资产情况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89"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公寓</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3,941,775.87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正在办理相关手续</w:t>
            </w:r>
          </w:p>
        </w:tc>
      </w:tr>
    </w:tbl>
    <w:p>
      <w:pPr>
        <w:pStyle w:val="BodyText"/>
        <w:spacing w:line="240" w:lineRule="auto" w:before="49"/>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6）固定资产清理" w:id="267"/>
      <w:bookmarkEnd w:id="267"/>
      <w:r>
        <w:rPr>
          <w:b w:val="0"/>
          <w:bCs w:val="0"/>
        </w:rPr>
      </w:r>
      <w:r>
        <w:rPr/>
        <w:t>（</w:t>
      </w:r>
      <w:r>
        <w:rPr>
          <w:rFonts w:ascii="Times New Roman" w:hAnsi="Times New Roman" w:cs="Times New Roman" w:eastAsia="Times New Roman" w:hint="default"/>
        </w:rPr>
        <w:t>6</w:t>
      </w:r>
      <w:r>
        <w:rPr/>
        <w:t>）固定资产清理</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1"/>
        <w:gridCol w:w="319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1"/>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12、在建工程" w:id="268"/>
      <w:bookmarkEnd w:id="268"/>
      <w:r>
        <w:rPr>
          <w:b w:val="0"/>
          <w:bCs w:val="0"/>
        </w:rPr>
      </w:r>
      <w:r>
        <w:rPr>
          <w:rFonts w:ascii="Times New Roman" w:hAnsi="Times New Roman" w:cs="Times New Roman" w:eastAsia="Times New Roman" w:hint="default"/>
        </w:rPr>
        <w:t>12</w:t>
      </w:r>
      <w:r>
        <w:rPr/>
        <w:t>、在建工程</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895"/>
        <w:gridCol w:w="3814"/>
        <w:gridCol w:w="3859"/>
      </w:tblGrid>
      <w:tr>
        <w:trPr>
          <w:trHeight w:val="402" w:hRule="exact"/>
        </w:trPr>
        <w:tc>
          <w:tcPr>
            <w:tcW w:w="18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8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8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59,837,374.74</w:t>
            </w:r>
          </w:p>
        </w:tc>
        <w:tc>
          <w:tcPr>
            <w:tcW w:w="3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35,404,389.82</w:t>
            </w:r>
          </w:p>
        </w:tc>
      </w:tr>
      <w:tr>
        <w:trPr>
          <w:trHeight w:val="402" w:hRule="exact"/>
        </w:trPr>
        <w:tc>
          <w:tcPr>
            <w:tcW w:w="18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59,837,374.74</w:t>
            </w:r>
          </w:p>
        </w:tc>
        <w:tc>
          <w:tcPr>
            <w:tcW w:w="3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35,404,389.82</w:t>
            </w:r>
          </w:p>
        </w:tc>
      </w:tr>
    </w:tbl>
    <w:p>
      <w:pPr>
        <w:spacing w:line="240" w:lineRule="auto" w:before="3"/>
        <w:rPr>
          <w:rFonts w:ascii="宋体" w:hAnsi="宋体" w:cs="宋体" w:eastAsia="宋体" w:hint="default"/>
          <w:sz w:val="19"/>
          <w:szCs w:val="19"/>
        </w:rPr>
      </w:pPr>
    </w:p>
    <w:p>
      <w:pPr>
        <w:pStyle w:val="Heading3"/>
        <w:spacing w:line="240" w:lineRule="auto" w:before="34"/>
        <w:ind w:right="0"/>
        <w:jc w:val="left"/>
        <w:rPr>
          <w:b w:val="0"/>
          <w:bCs w:val="0"/>
        </w:rPr>
      </w:pPr>
      <w:bookmarkStart w:name="（1）在建工程情况" w:id="269"/>
      <w:bookmarkEnd w:id="269"/>
      <w:r>
        <w:rPr>
          <w:b w:val="0"/>
          <w:bCs w:val="0"/>
        </w:rPr>
      </w:r>
      <w:r>
        <w:rPr/>
        <w:t>（</w:t>
      </w:r>
      <w:r>
        <w:rPr>
          <w:rFonts w:ascii="Times New Roman" w:hAnsi="Times New Roman" w:cs="Times New Roman" w:eastAsia="Times New Roman" w:hint="default"/>
        </w:rPr>
        <w:t>1</w:t>
      </w:r>
      <w:r>
        <w:rPr/>
        <w:t>）在建工程情况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7"/>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67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74"/>
              <w:jc w:val="left"/>
              <w:rPr>
                <w:rFonts w:ascii="宋体" w:hAnsi="宋体" w:cs="宋体" w:eastAsia="宋体" w:hint="default"/>
                <w:sz w:val="18"/>
                <w:szCs w:val="18"/>
              </w:rPr>
            </w:pPr>
            <w:r>
              <w:rPr>
                <w:rFonts w:ascii="宋体" w:hAnsi="宋体" w:cs="宋体" w:eastAsia="宋体" w:hint="default"/>
                <w:sz w:val="18"/>
                <w:szCs w:val="18"/>
              </w:rPr>
              <w:t>中山市区域卫 生信息平台建</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219" w:right="0"/>
              <w:jc w:val="left"/>
              <w:rPr>
                <w:rFonts w:ascii="Times New Roman" w:hAnsi="Times New Roman" w:cs="Times New Roman" w:eastAsia="Times New Roman" w:hint="default"/>
                <w:sz w:val="18"/>
                <w:szCs w:val="18"/>
              </w:rPr>
            </w:pPr>
            <w:r>
              <w:rPr>
                <w:rFonts w:ascii="Times New Roman"/>
                <w:sz w:val="18"/>
              </w:rPr>
              <w:t>57,216,475.81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14" w:right="0"/>
              <w:jc w:val="center"/>
              <w:rPr>
                <w:rFonts w:ascii="Times New Roman" w:hAnsi="Times New Roman" w:cs="Times New Roman" w:eastAsia="Times New Roman" w:hint="default"/>
                <w:sz w:val="18"/>
                <w:szCs w:val="18"/>
              </w:rPr>
            </w:pPr>
            <w:r>
              <w:rPr>
                <w:rFonts w:ascii="Times New Roman"/>
                <w:sz w:val="18"/>
              </w:rPr>
              <w:t>57,216,475.81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23" w:right="0"/>
              <w:jc w:val="center"/>
              <w:rPr>
                <w:rFonts w:ascii="Times New Roman" w:hAnsi="Times New Roman" w:cs="Times New Roman" w:eastAsia="Times New Roman" w:hint="default"/>
                <w:sz w:val="18"/>
                <w:szCs w:val="18"/>
              </w:rPr>
            </w:pPr>
            <w:r>
              <w:rPr>
                <w:rFonts w:ascii="Times New Roman"/>
                <w:sz w:val="18"/>
              </w:rPr>
              <w:t>30,115,818.07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226" w:right="0"/>
              <w:jc w:val="left"/>
              <w:rPr>
                <w:rFonts w:ascii="Times New Roman" w:hAnsi="Times New Roman" w:cs="Times New Roman" w:eastAsia="Times New Roman" w:hint="default"/>
                <w:sz w:val="18"/>
                <w:szCs w:val="18"/>
              </w:rPr>
            </w:pPr>
            <w:r>
              <w:rPr>
                <w:rFonts w:ascii="Times New Roman"/>
                <w:sz w:val="18"/>
              </w:rPr>
              <w:t>30,115,818.07</w:t>
            </w:r>
          </w:p>
        </w:tc>
      </w:tr>
    </w:tbl>
    <w:p>
      <w:pPr>
        <w:spacing w:after="0" w:line="240" w:lineRule="auto"/>
        <w:jc w:val="lef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7"/>
        <w:gridCol w:w="1367"/>
        <w:gridCol w:w="1367"/>
      </w:tblGrid>
      <w:tr>
        <w:trPr>
          <w:trHeight w:val="36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设运营项目</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零星工程</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2,620,898.93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2,620,898.93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05" w:right="0"/>
              <w:jc w:val="center"/>
              <w:rPr>
                <w:rFonts w:ascii="Times New Roman" w:hAnsi="Times New Roman" w:cs="Times New Roman" w:eastAsia="Times New Roman" w:hint="default"/>
                <w:sz w:val="18"/>
                <w:szCs w:val="18"/>
              </w:rPr>
            </w:pPr>
            <w:r>
              <w:rPr>
                <w:rFonts w:ascii="Times New Roman"/>
                <w:sz w:val="18"/>
              </w:rPr>
              <w:t>5,288,571.75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5,288,571.75</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59,837,374.74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59,837,374.74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6" w:right="0"/>
              <w:jc w:val="center"/>
              <w:rPr>
                <w:rFonts w:ascii="Times New Roman" w:hAnsi="Times New Roman" w:cs="Times New Roman" w:eastAsia="Times New Roman" w:hint="default"/>
                <w:sz w:val="18"/>
                <w:szCs w:val="18"/>
              </w:rPr>
            </w:pPr>
            <w:r>
              <w:rPr>
                <w:rFonts w:ascii="Times New Roman"/>
                <w:sz w:val="18"/>
              </w:rPr>
              <w:t>35,404,389.82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35,404,389.82</w:t>
            </w:r>
          </w:p>
        </w:tc>
      </w:tr>
    </w:tbl>
    <w:p>
      <w:pPr>
        <w:spacing w:line="240" w:lineRule="auto" w:before="4"/>
        <w:rPr>
          <w:rFonts w:ascii="宋体" w:hAnsi="宋体" w:cs="宋体" w:eastAsia="宋体" w:hint="default"/>
          <w:sz w:val="19"/>
          <w:szCs w:val="19"/>
        </w:rPr>
      </w:pPr>
    </w:p>
    <w:p>
      <w:pPr>
        <w:pStyle w:val="Heading3"/>
        <w:spacing w:line="240" w:lineRule="auto" w:before="34"/>
        <w:ind w:right="0"/>
        <w:jc w:val="left"/>
        <w:rPr>
          <w:b w:val="0"/>
          <w:bCs w:val="0"/>
        </w:rPr>
      </w:pPr>
      <w:bookmarkStart w:name="（2）重要在建工程项目本期变动情况" w:id="270"/>
      <w:bookmarkEnd w:id="270"/>
      <w:r>
        <w:rPr>
          <w:b w:val="0"/>
          <w:bCs w:val="0"/>
        </w:rPr>
      </w:r>
      <w:r>
        <w:rPr/>
        <w:t>（</w:t>
      </w:r>
      <w:r>
        <w:rPr>
          <w:rFonts w:ascii="Times New Roman" w:hAnsi="Times New Roman" w:cs="Times New Roman" w:eastAsia="Times New Roman" w:hint="default"/>
        </w:rPr>
        <w:t>2</w:t>
      </w:r>
      <w:r>
        <w:rPr/>
        <w:t>）重要在建工程项目本期变动情况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732"/>
        <w:gridCol w:w="736"/>
        <w:gridCol w:w="736"/>
        <w:gridCol w:w="736"/>
        <w:gridCol w:w="736"/>
        <w:gridCol w:w="736"/>
        <w:gridCol w:w="736"/>
        <w:gridCol w:w="736"/>
        <w:gridCol w:w="736"/>
        <w:gridCol w:w="736"/>
        <w:gridCol w:w="736"/>
        <w:gridCol w:w="736"/>
        <w:gridCol w:w="736"/>
      </w:tblGrid>
      <w:tr>
        <w:trPr>
          <w:trHeight w:val="1962"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1" w:right="179"/>
              <w:jc w:val="left"/>
              <w:rPr>
                <w:rFonts w:ascii="宋体" w:hAnsi="宋体" w:cs="宋体" w:eastAsia="宋体" w:hint="default"/>
                <w:sz w:val="18"/>
                <w:szCs w:val="18"/>
              </w:rPr>
            </w:pPr>
            <w:r>
              <w:rPr>
                <w:rFonts w:ascii="宋体" w:hAnsi="宋体" w:cs="宋体" w:eastAsia="宋体" w:hint="default"/>
                <w:sz w:val="18"/>
                <w:szCs w:val="18"/>
              </w:rPr>
              <w:t>项目 名称</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72" w:right="180" w:hanging="89"/>
              <w:jc w:val="left"/>
              <w:rPr>
                <w:rFonts w:ascii="宋体" w:hAnsi="宋体" w:cs="宋体" w:eastAsia="宋体" w:hint="default"/>
                <w:sz w:val="18"/>
                <w:szCs w:val="18"/>
              </w:rPr>
            </w:pPr>
            <w:r>
              <w:rPr>
                <w:rFonts w:ascii="宋体" w:hAnsi="宋体" w:cs="宋体" w:eastAsia="宋体" w:hint="default"/>
                <w:sz w:val="18"/>
                <w:szCs w:val="18"/>
              </w:rPr>
              <w:t>预算 数</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1" w:right="182"/>
              <w:jc w:val="left"/>
              <w:rPr>
                <w:rFonts w:ascii="宋体" w:hAnsi="宋体" w:cs="宋体" w:eastAsia="宋体" w:hint="default"/>
                <w:sz w:val="18"/>
                <w:szCs w:val="18"/>
              </w:rPr>
            </w:pPr>
            <w:r>
              <w:rPr>
                <w:rFonts w:ascii="宋体" w:hAnsi="宋体" w:cs="宋体" w:eastAsia="宋体" w:hint="default"/>
                <w:sz w:val="18"/>
                <w:szCs w:val="18"/>
              </w:rPr>
              <w:t>期初 余额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182" w:right="181"/>
              <w:jc w:val="both"/>
              <w:rPr>
                <w:rFonts w:ascii="宋体" w:hAnsi="宋体" w:cs="宋体" w:eastAsia="宋体" w:hint="default"/>
                <w:sz w:val="18"/>
                <w:szCs w:val="18"/>
              </w:rPr>
            </w:pPr>
            <w:r>
              <w:rPr>
                <w:rFonts w:ascii="宋体" w:hAnsi="宋体" w:cs="宋体" w:eastAsia="宋体" w:hint="default"/>
                <w:sz w:val="18"/>
                <w:szCs w:val="18"/>
              </w:rPr>
              <w:t>本期 增加 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83" w:right="180"/>
              <w:jc w:val="both"/>
              <w:rPr>
                <w:rFonts w:ascii="宋体" w:hAnsi="宋体" w:cs="宋体" w:eastAsia="宋体" w:hint="default"/>
                <w:sz w:val="18"/>
                <w:szCs w:val="18"/>
              </w:rPr>
            </w:pPr>
            <w:r>
              <w:rPr>
                <w:rFonts w:ascii="宋体" w:hAnsi="宋体" w:cs="宋体" w:eastAsia="宋体" w:hint="default"/>
                <w:sz w:val="18"/>
                <w:szCs w:val="18"/>
              </w:rPr>
              <w:t>本期 转入 固定 资产 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81" w:right="182"/>
              <w:jc w:val="both"/>
              <w:rPr>
                <w:rFonts w:ascii="宋体" w:hAnsi="宋体" w:cs="宋体" w:eastAsia="宋体" w:hint="default"/>
                <w:sz w:val="18"/>
                <w:szCs w:val="18"/>
              </w:rPr>
            </w:pPr>
            <w:r>
              <w:rPr>
                <w:rFonts w:ascii="宋体" w:hAnsi="宋体" w:cs="宋体" w:eastAsia="宋体" w:hint="default"/>
                <w:sz w:val="18"/>
                <w:szCs w:val="18"/>
              </w:rPr>
              <w:t>本期 其他 减少 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2" w:right="181"/>
              <w:jc w:val="left"/>
              <w:rPr>
                <w:rFonts w:ascii="宋体" w:hAnsi="宋体" w:cs="宋体" w:eastAsia="宋体" w:hint="default"/>
                <w:sz w:val="18"/>
                <w:szCs w:val="18"/>
              </w:rPr>
            </w:pPr>
            <w:r>
              <w:rPr>
                <w:rFonts w:ascii="宋体" w:hAnsi="宋体" w:cs="宋体" w:eastAsia="宋体" w:hint="default"/>
                <w:sz w:val="18"/>
                <w:szCs w:val="18"/>
              </w:rPr>
              <w:t>期末 余额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83" w:right="180"/>
              <w:jc w:val="both"/>
              <w:rPr>
                <w:rFonts w:ascii="宋体" w:hAnsi="宋体" w:cs="宋体" w:eastAsia="宋体" w:hint="default"/>
                <w:sz w:val="18"/>
                <w:szCs w:val="18"/>
              </w:rPr>
            </w:pPr>
            <w:r>
              <w:rPr>
                <w:rFonts w:ascii="宋体" w:hAnsi="宋体" w:cs="宋体" w:eastAsia="宋体" w:hint="default"/>
                <w:sz w:val="18"/>
                <w:szCs w:val="18"/>
              </w:rPr>
              <w:t>工程 累计 投入 占预 算比 例</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2" w:right="182"/>
              <w:jc w:val="left"/>
              <w:rPr>
                <w:rFonts w:ascii="宋体" w:hAnsi="宋体" w:cs="宋体" w:eastAsia="宋体" w:hint="default"/>
                <w:sz w:val="18"/>
                <w:szCs w:val="18"/>
              </w:rPr>
            </w:pPr>
            <w:r>
              <w:rPr>
                <w:rFonts w:ascii="宋体" w:hAnsi="宋体" w:cs="宋体" w:eastAsia="宋体" w:hint="default"/>
                <w:sz w:val="18"/>
                <w:szCs w:val="18"/>
              </w:rPr>
              <w:t>工程 进度</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82" w:right="181"/>
              <w:jc w:val="both"/>
              <w:rPr>
                <w:rFonts w:ascii="宋体" w:hAnsi="宋体" w:cs="宋体" w:eastAsia="宋体" w:hint="default"/>
                <w:sz w:val="18"/>
                <w:szCs w:val="18"/>
              </w:rPr>
            </w:pPr>
            <w:r>
              <w:rPr>
                <w:rFonts w:ascii="宋体" w:hAnsi="宋体" w:cs="宋体" w:eastAsia="宋体" w:hint="default"/>
                <w:sz w:val="18"/>
                <w:szCs w:val="18"/>
              </w:rPr>
              <w:t>利息 资本 化累 计金 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83" w:right="82" w:hanging="82"/>
              <w:jc w:val="left"/>
              <w:rPr>
                <w:rFonts w:ascii="宋体" w:hAnsi="宋体" w:cs="宋体" w:eastAsia="宋体" w:hint="default"/>
                <w:sz w:val="18"/>
                <w:szCs w:val="18"/>
              </w:rPr>
            </w:pPr>
            <w:r>
              <w:rPr>
                <w:rFonts w:ascii="宋体" w:hAnsi="宋体" w:cs="宋体" w:eastAsia="宋体" w:hint="default"/>
                <w:sz w:val="18"/>
                <w:szCs w:val="18"/>
              </w:rPr>
              <w:t>其中： 本期 利息 资本 化金 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81" w:right="182"/>
              <w:jc w:val="both"/>
              <w:rPr>
                <w:rFonts w:ascii="宋体" w:hAnsi="宋体" w:cs="宋体" w:eastAsia="宋体" w:hint="default"/>
                <w:sz w:val="18"/>
                <w:szCs w:val="18"/>
              </w:rPr>
            </w:pPr>
            <w:r>
              <w:rPr>
                <w:rFonts w:ascii="宋体" w:hAnsi="宋体" w:cs="宋体" w:eastAsia="宋体" w:hint="default"/>
                <w:sz w:val="18"/>
                <w:szCs w:val="18"/>
              </w:rPr>
              <w:t>本期 利息 资本 化率</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2" w:right="181"/>
              <w:jc w:val="left"/>
              <w:rPr>
                <w:rFonts w:ascii="宋体" w:hAnsi="宋体" w:cs="宋体" w:eastAsia="宋体" w:hint="default"/>
                <w:sz w:val="18"/>
                <w:szCs w:val="18"/>
              </w:rPr>
            </w:pPr>
            <w:r>
              <w:rPr>
                <w:rFonts w:ascii="宋体" w:hAnsi="宋体" w:cs="宋体" w:eastAsia="宋体" w:hint="default"/>
                <w:sz w:val="18"/>
                <w:szCs w:val="18"/>
              </w:rPr>
              <w:t>资金 来源</w:t>
            </w:r>
          </w:p>
        </w:tc>
      </w:tr>
      <w:tr>
        <w:trPr>
          <w:trHeight w:val="357" w:hRule="exact"/>
        </w:trPr>
        <w:tc>
          <w:tcPr>
            <w:tcW w:w="73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中山</w:t>
            </w: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vMerge w:val="restart"/>
            <w:tcBorders>
              <w:top w:val="single" w:sz="4" w:space="0" w:color="000000"/>
              <w:left w:val="single" w:sz="4" w:space="0" w:color="000000"/>
              <w:right w:val="single" w:sz="4" w:space="0" w:color="000000"/>
            </w:tcBorders>
          </w:tcPr>
          <w:p>
            <w:pPr/>
          </w:p>
        </w:tc>
        <w:tc>
          <w:tcPr>
            <w:tcW w:w="736" w:type="dxa"/>
            <w:vMerge w:val="restart"/>
            <w:tcBorders>
              <w:top w:val="single" w:sz="4" w:space="0" w:color="000000"/>
              <w:left w:val="single" w:sz="4" w:space="0" w:color="000000"/>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vMerge w:val="restart"/>
            <w:tcBorders>
              <w:top w:val="single" w:sz="4" w:space="0" w:color="000000"/>
              <w:left w:val="single" w:sz="4" w:space="0" w:color="000000"/>
              <w:right w:val="single" w:sz="4" w:space="0" w:color="000000"/>
            </w:tcBorders>
          </w:tcPr>
          <w:p>
            <w:pPr/>
          </w:p>
        </w:tc>
        <w:tc>
          <w:tcPr>
            <w:tcW w:w="736" w:type="dxa"/>
            <w:vMerge w:val="restart"/>
            <w:tcBorders>
              <w:top w:val="single" w:sz="4" w:space="0" w:color="000000"/>
              <w:left w:val="single" w:sz="4" w:space="0" w:color="000000"/>
              <w:right w:val="single" w:sz="4" w:space="0" w:color="000000"/>
            </w:tcBorders>
          </w:tcPr>
          <w:p>
            <w:pPr/>
          </w:p>
        </w:tc>
        <w:tc>
          <w:tcPr>
            <w:tcW w:w="736" w:type="dxa"/>
            <w:vMerge w:val="restart"/>
            <w:tcBorders>
              <w:top w:val="single" w:sz="4" w:space="0" w:color="000000"/>
              <w:left w:val="single" w:sz="4" w:space="0" w:color="000000"/>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73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市区</w:t>
            </w: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3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域卫</w:t>
            </w: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r>
      <w:tr>
        <w:trPr>
          <w:trHeight w:val="941" w:hRule="exact"/>
        </w:trPr>
        <w:tc>
          <w:tcPr>
            <w:tcW w:w="732"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258"/>
              <w:jc w:val="both"/>
              <w:rPr>
                <w:rFonts w:ascii="宋体" w:hAnsi="宋体" w:cs="宋体" w:eastAsia="宋体" w:hint="default"/>
                <w:sz w:val="18"/>
                <w:szCs w:val="18"/>
              </w:rPr>
            </w:pPr>
            <w:r>
              <w:rPr>
                <w:rFonts w:ascii="宋体" w:hAnsi="宋体" w:cs="宋体" w:eastAsia="宋体" w:hint="default"/>
                <w:sz w:val="18"/>
                <w:szCs w:val="18"/>
              </w:rPr>
              <w:t>生信 息平 台建</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74" w:right="0"/>
              <w:jc w:val="left"/>
              <w:rPr>
                <w:rFonts w:ascii="Times New Roman" w:hAnsi="Times New Roman" w:cs="Times New Roman" w:eastAsia="Times New Roman" w:hint="default"/>
                <w:sz w:val="18"/>
                <w:szCs w:val="18"/>
              </w:rPr>
            </w:pPr>
            <w:r>
              <w:rPr>
                <w:rFonts w:ascii="Times New Roman"/>
                <w:sz w:val="18"/>
              </w:rPr>
              <w:t>8,350.</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00</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99"/>
              <w:jc w:val="right"/>
              <w:rPr>
                <w:rFonts w:ascii="Times New Roman" w:hAnsi="Times New Roman" w:cs="Times New Roman" w:eastAsia="Times New Roman" w:hint="default"/>
                <w:sz w:val="18"/>
                <w:szCs w:val="18"/>
              </w:rPr>
            </w:pPr>
            <w:r>
              <w:rPr>
                <w:rFonts w:ascii="Times New Roman"/>
                <w:spacing w:val="-2"/>
                <w:sz w:val="18"/>
              </w:rPr>
              <w:t>30,115</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,818.0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7</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27,100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,657.7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w:t>
            </w: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57,216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,475.8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17" w:right="0"/>
              <w:jc w:val="left"/>
              <w:rPr>
                <w:rFonts w:ascii="Times New Roman" w:hAnsi="Times New Roman" w:cs="Times New Roman" w:eastAsia="Times New Roman" w:hint="default"/>
                <w:sz w:val="18"/>
                <w:szCs w:val="18"/>
              </w:rPr>
            </w:pPr>
            <w:r>
              <w:rPr>
                <w:rFonts w:ascii="Times New Roman"/>
                <w:sz w:val="18"/>
              </w:rPr>
              <w:t>68.52</w:t>
            </w:r>
          </w:p>
          <w:p>
            <w:pPr>
              <w:pStyle w:val="TableParagraph"/>
              <w:spacing w:line="240" w:lineRule="auto" w:before="105"/>
              <w:ind w:left="473"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91"/>
              <w:jc w:val="right"/>
              <w:rPr>
                <w:rFonts w:ascii="Times New Roman" w:hAnsi="Times New Roman" w:cs="Times New Roman" w:eastAsia="Times New Roman" w:hint="default"/>
                <w:sz w:val="18"/>
                <w:szCs w:val="18"/>
              </w:rPr>
            </w:pPr>
            <w:r>
              <w:rPr>
                <w:rFonts w:ascii="Times New Roman"/>
                <w:spacing w:val="-1"/>
                <w:sz w:val="18"/>
              </w:rPr>
              <w:t>90%</w:t>
            </w: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260"/>
              <w:jc w:val="right"/>
              <w:rPr>
                <w:rFonts w:ascii="宋体" w:hAnsi="宋体" w:cs="宋体" w:eastAsia="宋体" w:hint="default"/>
                <w:sz w:val="18"/>
                <w:szCs w:val="18"/>
              </w:rPr>
            </w:pPr>
            <w:r>
              <w:rPr>
                <w:rFonts w:ascii="宋体" w:hAnsi="宋体" w:cs="宋体" w:eastAsia="宋体" w:hint="default"/>
                <w:sz w:val="18"/>
                <w:szCs w:val="18"/>
              </w:rPr>
              <w:t>其他</w:t>
            </w:r>
          </w:p>
        </w:tc>
      </w:tr>
      <w:tr>
        <w:trPr>
          <w:trHeight w:val="307" w:hRule="exact"/>
        </w:trPr>
        <w:tc>
          <w:tcPr>
            <w:tcW w:w="73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设运</w:t>
            </w: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73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营项</w:t>
            </w: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73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目</w:t>
            </w: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vMerge/>
            <w:tcBorders>
              <w:left w:val="single" w:sz="4" w:space="0" w:color="000000"/>
              <w:bottom w:val="single" w:sz="4" w:space="0" w:color="000000"/>
              <w:right w:val="single" w:sz="4" w:space="0" w:color="000000"/>
            </w:tcBorders>
          </w:tcPr>
          <w:p>
            <w:pPr/>
          </w:p>
        </w:tc>
        <w:tc>
          <w:tcPr>
            <w:tcW w:w="736" w:type="dxa"/>
            <w:vMerge/>
            <w:tcBorders>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vMerge/>
            <w:tcBorders>
              <w:left w:val="single" w:sz="4" w:space="0" w:color="000000"/>
              <w:bottom w:val="single" w:sz="4" w:space="0" w:color="000000"/>
              <w:right w:val="single" w:sz="4" w:space="0" w:color="000000"/>
            </w:tcBorders>
          </w:tcPr>
          <w:p>
            <w:pPr/>
          </w:p>
        </w:tc>
        <w:tc>
          <w:tcPr>
            <w:tcW w:w="736" w:type="dxa"/>
            <w:vMerge/>
            <w:tcBorders>
              <w:left w:val="single" w:sz="4" w:space="0" w:color="000000"/>
              <w:bottom w:val="single" w:sz="4" w:space="0" w:color="000000"/>
              <w:right w:val="single" w:sz="4" w:space="0" w:color="000000"/>
            </w:tcBorders>
          </w:tcPr>
          <w:p>
            <w:pPr/>
          </w:p>
        </w:tc>
        <w:tc>
          <w:tcPr>
            <w:tcW w:w="736" w:type="dxa"/>
            <w:vMerge/>
            <w:tcBorders>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r>
      <w:tr>
        <w:trPr>
          <w:trHeight w:val="1026" w:hRule="exact"/>
        </w:trPr>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01" w:right="258"/>
              <w:jc w:val="left"/>
              <w:rPr>
                <w:rFonts w:ascii="宋体" w:hAnsi="宋体" w:cs="宋体" w:eastAsia="宋体" w:hint="default"/>
                <w:sz w:val="18"/>
                <w:szCs w:val="18"/>
              </w:rPr>
            </w:pPr>
            <w:r>
              <w:rPr>
                <w:rFonts w:ascii="宋体" w:hAnsi="宋体" w:cs="宋体" w:eastAsia="宋体" w:hint="default"/>
                <w:sz w:val="18"/>
                <w:szCs w:val="18"/>
              </w:rPr>
              <w:t>零星 工程</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5,288,</w:t>
            </w:r>
          </w:p>
          <w:p>
            <w:pPr>
              <w:pStyle w:val="TableParagraph"/>
              <w:spacing w:line="240" w:lineRule="auto" w:before="105"/>
              <w:ind w:left="129" w:right="0"/>
              <w:jc w:val="left"/>
              <w:rPr>
                <w:rFonts w:ascii="Times New Roman" w:hAnsi="Times New Roman" w:cs="Times New Roman" w:eastAsia="Times New Roman" w:hint="default"/>
                <w:sz w:val="18"/>
                <w:szCs w:val="18"/>
              </w:rPr>
            </w:pPr>
            <w:r>
              <w:rPr>
                <w:rFonts w:ascii="Times New Roman"/>
                <w:sz w:val="18"/>
              </w:rPr>
              <w:t>571.75</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19,946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,800.8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8</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10,723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,745.9</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2"/>
                <w:sz w:val="18"/>
              </w:rPr>
              <w:t>11,890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,727.7</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4</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73" w:right="0"/>
              <w:jc w:val="left"/>
              <w:rPr>
                <w:rFonts w:ascii="Times New Roman" w:hAnsi="Times New Roman" w:cs="Times New Roman" w:eastAsia="Times New Roman" w:hint="default"/>
                <w:sz w:val="18"/>
                <w:szCs w:val="18"/>
              </w:rPr>
            </w:pPr>
            <w:r>
              <w:rPr>
                <w:rFonts w:ascii="Times New Roman"/>
                <w:sz w:val="18"/>
              </w:rPr>
              <w:t>2,620,</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898.93</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260"/>
              <w:jc w:val="right"/>
              <w:rPr>
                <w:rFonts w:ascii="宋体" w:hAnsi="宋体" w:cs="宋体" w:eastAsia="宋体" w:hint="default"/>
                <w:sz w:val="18"/>
                <w:szCs w:val="18"/>
              </w:rPr>
            </w:pPr>
            <w:r>
              <w:rPr>
                <w:rFonts w:ascii="宋体" w:hAnsi="宋体" w:cs="宋体" w:eastAsia="宋体" w:hint="default"/>
                <w:sz w:val="18"/>
                <w:szCs w:val="18"/>
              </w:rPr>
              <w:t>其他</w:t>
            </w:r>
          </w:p>
        </w:tc>
      </w:tr>
      <w:tr>
        <w:trPr>
          <w:trHeight w:val="1026"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7"/>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74" w:right="0"/>
              <w:jc w:val="left"/>
              <w:rPr>
                <w:rFonts w:ascii="Times New Roman" w:hAnsi="Times New Roman" w:cs="Times New Roman" w:eastAsia="Times New Roman" w:hint="default"/>
                <w:sz w:val="18"/>
                <w:szCs w:val="18"/>
              </w:rPr>
            </w:pPr>
            <w:r>
              <w:rPr>
                <w:rFonts w:ascii="Times New Roman"/>
                <w:sz w:val="18"/>
              </w:rPr>
              <w:t>8,350.</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35,404</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,389.8</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2</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47,047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,458.6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2</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10,723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,745.9</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2"/>
                <w:sz w:val="18"/>
              </w:rPr>
              <w:t>11,890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,727.7</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4</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59,837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,374.7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300"/>
              <w:jc w:val="right"/>
              <w:rPr>
                <w:rFonts w:ascii="Times New Roman" w:hAnsi="Times New Roman" w:cs="Times New Roman" w:eastAsia="Times New Roman" w:hint="default"/>
                <w:sz w:val="18"/>
                <w:szCs w:val="18"/>
              </w:rPr>
            </w:pPr>
            <w:r>
              <w:rPr>
                <w:rFonts w:ascii="Times New Roman"/>
                <w:sz w:val="18"/>
              </w:rPr>
              <w:t>--</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99"/>
              <w:jc w:val="right"/>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3"/>
        <w:spacing w:line="240" w:lineRule="auto" w:before="34"/>
        <w:ind w:right="0"/>
        <w:jc w:val="left"/>
        <w:rPr>
          <w:b w:val="0"/>
          <w:bCs w:val="0"/>
        </w:rPr>
      </w:pPr>
      <w:bookmarkStart w:name="（3）本期计提在建工程减值准备情况" w:id="271"/>
      <w:bookmarkEnd w:id="271"/>
      <w:r>
        <w:rPr>
          <w:b w:val="0"/>
          <w:bCs w:val="0"/>
        </w:rPr>
      </w:r>
      <w:r>
        <w:rPr/>
        <w:t>（</w:t>
      </w:r>
      <w:r>
        <w:rPr>
          <w:rFonts w:ascii="Times New Roman" w:hAnsi="Times New Roman" w:cs="Times New Roman" w:eastAsia="Times New Roman" w:hint="default"/>
        </w:rPr>
        <w:t>3</w:t>
      </w:r>
      <w:r>
        <w:rPr/>
        <w:t>）本期计提在建工程减值准备情况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1"/>
        <w:gridCol w:w="319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49" w:right="0"/>
              <w:jc w:val="left"/>
              <w:rPr>
                <w:rFonts w:ascii="宋体" w:hAnsi="宋体" w:cs="宋体" w:eastAsia="宋体" w:hint="default"/>
                <w:sz w:val="18"/>
                <w:szCs w:val="18"/>
              </w:rPr>
            </w:pPr>
            <w:r>
              <w:rPr>
                <w:rFonts w:ascii="宋体" w:hAnsi="宋体" w:cs="宋体" w:eastAsia="宋体" w:hint="default"/>
                <w:sz w:val="18"/>
                <w:szCs w:val="18"/>
              </w:rPr>
              <w:t>本期计提金额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计提原因</w:t>
            </w:r>
          </w:p>
        </w:tc>
      </w:tr>
    </w:tbl>
    <w:p>
      <w:pPr>
        <w:pStyle w:val="BodyText"/>
        <w:spacing w:line="240" w:lineRule="auto" w:before="49"/>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4）工程物资" w:id="272"/>
      <w:bookmarkEnd w:id="272"/>
      <w:r>
        <w:rPr>
          <w:b w:val="0"/>
          <w:bCs w:val="0"/>
        </w:rPr>
      </w:r>
      <w:r>
        <w:rPr/>
        <w:t>（</w:t>
      </w:r>
      <w:r>
        <w:rPr>
          <w:rFonts w:ascii="Times New Roman" w:hAnsi="Times New Roman" w:cs="Times New Roman" w:eastAsia="Times New Roman" w:hint="default"/>
        </w:rPr>
        <w:t>4</w:t>
      </w:r>
      <w:r>
        <w:rPr/>
        <w:t>）工程物资</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132"/>
        <w:gridCol w:w="1329"/>
        <w:gridCol w:w="1328"/>
        <w:gridCol w:w="1196"/>
        <w:gridCol w:w="1196"/>
        <w:gridCol w:w="1196"/>
        <w:gridCol w:w="1191"/>
      </w:tblGrid>
      <w:tr>
        <w:trPr>
          <w:trHeight w:val="402" w:hRule="exact"/>
        </w:trPr>
        <w:tc>
          <w:tcPr>
            <w:tcW w:w="21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5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58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2132" w:type="dxa"/>
            <w:vMerge/>
            <w:tcBorders>
              <w:left w:val="single" w:sz="4" w:space="0" w:color="000000"/>
              <w:bottom w:val="single" w:sz="4" w:space="0" w:color="000000"/>
              <w:right w:val="single" w:sz="4" w:space="0" w:color="000000"/>
            </w:tcBorders>
            <w:shd w:val="clear" w:color="auto" w:fill="D2D2D2"/>
          </w:tcPr>
          <w:p>
            <w:pPr/>
          </w:p>
        </w:tc>
        <w:tc>
          <w:tcPr>
            <w:tcW w:w="13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9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33"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3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33"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30"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pStyle w:val="BodyText"/>
        <w:spacing w:line="240" w:lineRule="auto" w:before="49"/>
        <w:ind w:right="0"/>
        <w:jc w:val="left"/>
      </w:pPr>
      <w:r>
        <w:rPr/>
        <w:t>其他说明：</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0"/>
        <w:jc w:val="left"/>
        <w:rPr>
          <w:b w:val="0"/>
          <w:bCs w:val="0"/>
        </w:rPr>
      </w:pPr>
      <w:bookmarkStart w:name="13、无形资产" w:id="273"/>
      <w:bookmarkEnd w:id="273"/>
      <w:r>
        <w:rPr>
          <w:b w:val="0"/>
          <w:bCs w:val="0"/>
        </w:rPr>
      </w:r>
      <w:r>
        <w:rPr>
          <w:rFonts w:ascii="Times New Roman" w:hAnsi="Times New Roman" w:cs="Times New Roman" w:eastAsia="Times New Roman" w:hint="default"/>
        </w:rPr>
        <w:t>13</w:t>
      </w:r>
      <w:r>
        <w:rPr/>
        <w:t>、无形资产</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无形资产情况" w:id="274"/>
      <w:bookmarkEnd w:id="274"/>
      <w:r>
        <w:rPr>
          <w:b w:val="0"/>
          <w:bCs w:val="0"/>
        </w:rPr>
      </w:r>
      <w:r>
        <w:rPr/>
        <w:t>（</w:t>
      </w:r>
      <w:r>
        <w:rPr>
          <w:rFonts w:ascii="Times New Roman" w:hAnsi="Times New Roman" w:cs="Times New Roman" w:eastAsia="Times New Roman" w:hint="default"/>
        </w:rPr>
        <w:t>1</w:t>
      </w:r>
      <w:r>
        <w:rPr/>
        <w:t>）无形资产情况</w:t>
      </w:r>
      <w:r>
        <w:rPr>
          <w:b w:val="0"/>
          <w:bCs w:val="0"/>
        </w:rPr>
      </w:r>
    </w:p>
    <w:p>
      <w:pPr>
        <w:spacing w:line="240" w:lineRule="auto" w:before="4"/>
        <w:rPr>
          <w:rFonts w:ascii="宋体" w:hAnsi="宋体" w:cs="宋体" w:eastAsia="宋体" w:hint="default"/>
          <w:b/>
          <w:bCs/>
          <w:sz w:val="26"/>
          <w:szCs w:val="26"/>
        </w:rPr>
      </w:pPr>
    </w:p>
    <w:p>
      <w:pPr>
        <w:pStyle w:val="BodyText"/>
        <w:spacing w:line="340" w:lineRule="auto"/>
        <w:ind w:right="1755"/>
        <w:jc w:val="left"/>
      </w:pPr>
      <w:r>
        <w:rPr/>
        <w:t>公司是否需遵守《深圳证券交易所创业板行业信息披露指引第</w:t>
      </w:r>
      <w:r>
        <w:rPr>
          <w:spacing w:val="-45"/>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号——上市公司从事互联网游戏业务》的披露要求 否</w:t>
      </w:r>
    </w:p>
    <w:p>
      <w:pPr>
        <w:pStyle w:val="BodyText"/>
        <w:spacing w:line="240" w:lineRule="auto" w:before="41"/>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4"/>
        <w:gridCol w:w="1594"/>
        <w:gridCol w:w="1594"/>
        <w:gridCol w:w="1594"/>
        <w:gridCol w:w="1594"/>
        <w:gridCol w:w="1594"/>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41"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21"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43" w:right="0"/>
              <w:jc w:val="left"/>
              <w:rPr>
                <w:rFonts w:ascii="宋体" w:hAnsi="宋体" w:cs="宋体" w:eastAsia="宋体" w:hint="default"/>
                <w:sz w:val="18"/>
                <w:szCs w:val="18"/>
              </w:rPr>
            </w:pPr>
            <w:r>
              <w:rPr>
                <w:rFonts w:ascii="宋体" w:hAnsi="宋体" w:cs="宋体" w:eastAsia="宋体" w:hint="default"/>
                <w:sz w:val="18"/>
                <w:szCs w:val="18"/>
              </w:rPr>
              <w:t>非专利技术</w:t>
            </w:r>
          </w:p>
        </w:tc>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软件</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3,797,541.36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500,000.00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30,897,950.55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35,195,491.91</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26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36,871,077.78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36,871,077.78</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29"/>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8,805,482.17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8,805,482.17</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）内部</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研发</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28,065,595.61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28,065,595.61</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01" w:right="129" w:firstLine="54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 合并增加</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01" w:right="263"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29"/>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3,797,541.36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1"/>
                <w:sz w:val="18"/>
              </w:rPr>
              <w:t>500,000.00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67,769,028.33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72,066,569.69</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1"/>
                <w:sz w:val="18"/>
              </w:rPr>
              <w:t>310,132.76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1"/>
                <w:sz w:val="18"/>
              </w:rPr>
              <w:t>212,500.08</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11,518,733.17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12,041,366.01</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01" w:right="26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75,950.88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50,000.04</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6,236,740.16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6,362,691.08</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29"/>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75,950.88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50,000.04</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6,236,740.16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6,362,691.08</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26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 金额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29"/>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386,083.64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262,500.12</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17,755,473.33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18,404,057.09</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0"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9"/>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594"/>
        <w:gridCol w:w="1594"/>
        <w:gridCol w:w="1594"/>
        <w:gridCol w:w="1594"/>
        <w:gridCol w:w="1594"/>
        <w:gridCol w:w="1594"/>
      </w:tblGrid>
      <w:tr>
        <w:trPr>
          <w:trHeight w:val="36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26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 金额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26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 价值</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3,411,457.72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237,499.88</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50,013,555.00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53,662,512.60</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26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 价值</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3,487,408.60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287,499.92</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19,379,217.38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23,154,125.90</w:t>
            </w:r>
          </w:p>
        </w:tc>
      </w:tr>
    </w:tbl>
    <w:p>
      <w:pPr>
        <w:pStyle w:val="BodyText"/>
        <w:spacing w:line="240" w:lineRule="auto" w:before="51"/>
        <w:ind w:right="0"/>
        <w:jc w:val="left"/>
      </w:pPr>
      <w:r>
        <w:rPr/>
        <w:t>本期末通过公司内部研发形成的无形资产占无形资产余额的比例</w:t>
      </w:r>
      <w:r>
        <w:rPr>
          <w:spacing w:val="-49"/>
        </w:rPr>
        <w:t> </w:t>
      </w:r>
      <w:r>
        <w:rPr>
          <w:rFonts w:ascii="Times New Roman" w:hAnsi="Times New Roman" w:cs="Times New Roman" w:eastAsia="Times New Roman" w:hint="default"/>
        </w:rPr>
        <w:t>38.94%</w:t>
      </w:r>
      <w:r>
        <w:rPr/>
        <w:t>。</w:t>
      </w:r>
    </w:p>
    <w:p>
      <w:pPr>
        <w:spacing w:line="240" w:lineRule="auto" w:before="10"/>
        <w:rPr>
          <w:rFonts w:ascii="宋体" w:hAnsi="宋体" w:cs="宋体" w:eastAsia="宋体" w:hint="default"/>
          <w:sz w:val="25"/>
          <w:szCs w:val="25"/>
        </w:rPr>
      </w:pPr>
    </w:p>
    <w:p>
      <w:pPr>
        <w:pStyle w:val="Heading3"/>
        <w:spacing w:line="240" w:lineRule="auto"/>
        <w:ind w:right="0"/>
        <w:jc w:val="left"/>
        <w:rPr>
          <w:b w:val="0"/>
          <w:bCs w:val="0"/>
        </w:rPr>
      </w:pPr>
      <w:bookmarkStart w:name="（2）未办妥产权证书的土地使用权情况" w:id="275"/>
      <w:bookmarkEnd w:id="275"/>
      <w:r>
        <w:rPr>
          <w:b w:val="0"/>
          <w:bCs w:val="0"/>
        </w:rPr>
      </w:r>
      <w:r>
        <w:rPr/>
        <w:t>（</w:t>
      </w:r>
      <w:r>
        <w:rPr>
          <w:rFonts w:ascii="Times New Roman" w:hAnsi="Times New Roman" w:cs="Times New Roman" w:eastAsia="Times New Roman" w:hint="default"/>
        </w:rPr>
        <w:t>2</w:t>
      </w:r>
      <w:r>
        <w:rPr/>
        <w:t>）未办妥产权证书的土地使用权情况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89"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bl>
    <w:p>
      <w:pPr>
        <w:pStyle w:val="BodyText"/>
        <w:spacing w:line="240" w:lineRule="auto" w:before="50"/>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14、开发支出" w:id="276"/>
      <w:bookmarkEnd w:id="276"/>
      <w:r>
        <w:rPr>
          <w:b w:val="0"/>
          <w:bCs w:val="0"/>
        </w:rPr>
      </w:r>
      <w:r>
        <w:rPr>
          <w:rFonts w:ascii="Times New Roman" w:hAnsi="Times New Roman" w:cs="Times New Roman" w:eastAsia="Times New Roman" w:hint="default"/>
        </w:rPr>
        <w:t>14</w:t>
      </w:r>
      <w:r>
        <w:rPr/>
        <w:t>、开发支出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63"/>
        <w:gridCol w:w="1063"/>
        <w:gridCol w:w="1063"/>
        <w:gridCol w:w="1063"/>
        <w:gridCol w:w="1063"/>
        <w:gridCol w:w="1063"/>
        <w:gridCol w:w="1063"/>
        <w:gridCol w:w="1063"/>
        <w:gridCol w:w="1063"/>
      </w:tblGrid>
      <w:tr>
        <w:trPr>
          <w:trHeight w:val="402" w:hRule="exact"/>
        </w:trPr>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318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47"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318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48"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6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063"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27"/>
              <w:jc w:val="center"/>
              <w:rPr>
                <w:rFonts w:ascii="宋体" w:hAnsi="宋体" w:cs="宋体" w:eastAsia="宋体" w:hint="default"/>
                <w:sz w:val="18"/>
                <w:szCs w:val="18"/>
              </w:rPr>
            </w:pPr>
            <w:r>
              <w:rPr>
                <w:rFonts w:ascii="宋体" w:hAnsi="宋体" w:cs="宋体" w:eastAsia="宋体" w:hint="default"/>
                <w:sz w:val="18"/>
                <w:szCs w:val="18"/>
              </w:rPr>
              <w:t>软件系统</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1"/>
                <w:sz w:val="18"/>
              </w:rPr>
              <w:t>4,795,473.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91</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4,795,473.</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91</w:t>
            </w:r>
          </w:p>
        </w:tc>
      </w:tr>
      <w:tr>
        <w:trPr>
          <w:trHeight w:val="714" w:hRule="exact"/>
        </w:trPr>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4,795,473.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91</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4,795,473.</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91</w:t>
            </w:r>
          </w:p>
        </w:tc>
      </w:tr>
    </w:tbl>
    <w:p>
      <w:pPr>
        <w:pStyle w:val="BodyText"/>
        <w:spacing w:line="240" w:lineRule="auto" w:before="51"/>
        <w:ind w:right="0"/>
        <w:jc w:val="left"/>
      </w:pPr>
      <w:r>
        <w:rPr/>
        <w:t>其他说明</w:t>
      </w:r>
    </w:p>
    <w:p>
      <w:pPr>
        <w:pStyle w:val="BodyText"/>
        <w:spacing w:line="316" w:lineRule="auto" w:before="115"/>
        <w:ind w:right="1132" w:firstLine="360"/>
        <w:jc w:val="both"/>
      </w:pPr>
      <w:r>
        <w:rPr>
          <w:spacing w:val="-2"/>
        </w:rPr>
        <w:t>上述开发项目经前期论证，其完成项目开发并销售具有技术可行性；经市场需求分析，产品存在一定的市场并能够为企</w:t>
      </w:r>
      <w:r>
        <w:rPr/>
        <w:t> </w:t>
      </w:r>
      <w:r>
        <w:rPr>
          <w:spacing w:val="-2"/>
        </w:rPr>
        <w:t>业带来相应的效益；公司有足够的研发能力、资金能力等资源，来完成项目的开发和产品的销售。因此，以上项目在立项并</w:t>
      </w:r>
      <w:r>
        <w:rPr>
          <w:spacing w:val="-65"/>
        </w:rPr>
        <w:t> </w:t>
      </w:r>
      <w:r>
        <w:rPr>
          <w:spacing w:val="-65"/>
        </w:rPr>
      </w:r>
      <w:r>
        <w:rPr>
          <w:spacing w:val="-2"/>
        </w:rPr>
        <w:t>确定研发项目开发方案后，已进入开发阶段，符合《企业会计准则第6号-无形资产》中各项研发资本化要求，及公司内部阶</w:t>
      </w:r>
      <w:r>
        <w:rPr>
          <w:spacing w:val="-64"/>
        </w:rPr>
        <w:t> </w:t>
      </w:r>
      <w:r>
        <w:rPr>
          <w:spacing w:val="-64"/>
        </w:rPr>
      </w:r>
      <w:r>
        <w:rPr/>
        <w:t>段性要求，开始进行资本化。截至期末，上述开发项目均在开发中。</w:t>
      </w:r>
    </w:p>
    <w:p>
      <w:pPr>
        <w:spacing w:line="240" w:lineRule="auto" w:before="8"/>
        <w:rPr>
          <w:rFonts w:ascii="宋体" w:hAnsi="宋体" w:cs="宋体" w:eastAsia="宋体" w:hint="default"/>
          <w:sz w:val="22"/>
          <w:szCs w:val="22"/>
        </w:rPr>
      </w:pPr>
    </w:p>
    <w:p>
      <w:pPr>
        <w:pStyle w:val="Heading3"/>
        <w:spacing w:line="240" w:lineRule="auto"/>
        <w:ind w:right="0"/>
        <w:jc w:val="left"/>
        <w:rPr>
          <w:b w:val="0"/>
          <w:bCs w:val="0"/>
        </w:rPr>
      </w:pPr>
      <w:bookmarkStart w:name="15、商誉" w:id="277"/>
      <w:bookmarkEnd w:id="277"/>
      <w:r>
        <w:rPr>
          <w:b w:val="0"/>
          <w:bCs w:val="0"/>
        </w:rPr>
      </w:r>
      <w:r>
        <w:rPr>
          <w:rFonts w:ascii="Times New Roman" w:hAnsi="Times New Roman" w:cs="Times New Roman" w:eastAsia="Times New Roman" w:hint="default"/>
        </w:rPr>
        <w:t>15</w:t>
      </w:r>
      <w:r>
        <w:rPr/>
        <w:t>、商誉</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1）商誉账面原值" w:id="278"/>
      <w:bookmarkEnd w:id="278"/>
      <w:r>
        <w:rPr>
          <w:b w:val="0"/>
          <w:bCs w:val="0"/>
        </w:rPr>
      </w:r>
      <w:r>
        <w:rPr/>
        <w:t>（</w:t>
      </w:r>
      <w:r>
        <w:rPr>
          <w:rFonts w:ascii="Times New Roman" w:hAnsi="Times New Roman" w:cs="Times New Roman" w:eastAsia="Times New Roman" w:hint="default"/>
        </w:rPr>
        <w:t>1</w:t>
      </w:r>
      <w:r>
        <w:rPr/>
        <w:t>）商誉账面原值</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0" w:right="1132"/>
        <w:jc w:val="right"/>
      </w:pPr>
      <w:r>
        <w:rPr/>
        <w:t>单位：元</w:t>
      </w:r>
    </w:p>
    <w:p>
      <w:pPr>
        <w:spacing w:after="0" w:line="240" w:lineRule="auto"/>
        <w:jc w:val="right"/>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367"/>
        <w:gridCol w:w="1367"/>
        <w:gridCol w:w="1367"/>
        <w:gridCol w:w="1367"/>
        <w:gridCol w:w="1367"/>
        <w:gridCol w:w="1367"/>
        <w:gridCol w:w="1367"/>
      </w:tblGrid>
      <w:tr>
        <w:trPr>
          <w:trHeight w:val="1026"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37" w:right="137"/>
              <w:jc w:val="center"/>
              <w:rPr>
                <w:rFonts w:ascii="宋体" w:hAnsi="宋体" w:cs="宋体" w:eastAsia="宋体" w:hint="default"/>
                <w:sz w:val="18"/>
                <w:szCs w:val="18"/>
              </w:rPr>
            </w:pPr>
            <w:r>
              <w:rPr>
                <w:rFonts w:ascii="宋体" w:hAnsi="宋体" w:cs="宋体" w:eastAsia="宋体" w:hint="default"/>
                <w:sz w:val="18"/>
                <w:szCs w:val="18"/>
              </w:rPr>
              <w:t>被投资单位名 称或形成商誉 的事项</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31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31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51"/>
              <w:ind w:left="101" w:right="173"/>
              <w:jc w:val="left"/>
              <w:rPr>
                <w:rFonts w:ascii="宋体" w:hAnsi="宋体" w:cs="宋体" w:eastAsia="宋体" w:hint="default"/>
                <w:sz w:val="18"/>
                <w:szCs w:val="18"/>
              </w:rPr>
            </w:pPr>
            <w:r>
              <w:rPr>
                <w:rFonts w:ascii="宋体" w:hAnsi="宋体" w:cs="宋体" w:eastAsia="宋体" w:hint="default"/>
                <w:sz w:val="18"/>
                <w:szCs w:val="18"/>
              </w:rPr>
              <w:t>杭州惟勤科技 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1,121,977.72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1,121,977.72</w:t>
            </w:r>
          </w:p>
        </w:tc>
      </w:tr>
      <w:tr>
        <w:trPr>
          <w:trHeight w:val="1338"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50"/>
              <w:ind w:left="101" w:right="173"/>
              <w:jc w:val="both"/>
              <w:rPr>
                <w:rFonts w:ascii="宋体" w:hAnsi="宋体" w:cs="宋体" w:eastAsia="宋体" w:hint="default"/>
                <w:sz w:val="18"/>
                <w:szCs w:val="18"/>
              </w:rPr>
            </w:pPr>
            <w:r>
              <w:rPr>
                <w:rFonts w:ascii="宋体" w:hAnsi="宋体" w:cs="宋体" w:eastAsia="宋体" w:hint="default"/>
                <w:sz w:val="18"/>
                <w:szCs w:val="18"/>
              </w:rPr>
              <w:t>广东中拓信息 技术有限公司 和中山市蓝天 电脑有限公司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19,965,281.29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19,965,281.29</w:t>
            </w:r>
          </w:p>
        </w:tc>
      </w:tr>
      <w:tr>
        <w:trPr>
          <w:trHeight w:val="1026"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51"/>
              <w:ind w:left="101" w:right="173"/>
              <w:jc w:val="both"/>
              <w:rPr>
                <w:rFonts w:ascii="宋体" w:hAnsi="宋体" w:cs="宋体" w:eastAsia="宋体" w:hint="default"/>
                <w:sz w:val="18"/>
                <w:szCs w:val="18"/>
              </w:rPr>
            </w:pPr>
            <w:r>
              <w:rPr>
                <w:rFonts w:ascii="宋体" w:hAnsi="宋体" w:cs="宋体" w:eastAsia="宋体" w:hint="default"/>
                <w:sz w:val="18"/>
                <w:szCs w:val="18"/>
              </w:rPr>
              <w:t>杭州慧康物联 网科技有限公 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1,021,541,839.</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57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1,021,541,839.</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57</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50"/>
              <w:ind w:left="101" w:right="173"/>
              <w:jc w:val="left"/>
              <w:rPr>
                <w:rFonts w:ascii="宋体" w:hAnsi="宋体" w:cs="宋体" w:eastAsia="宋体" w:hint="default"/>
                <w:sz w:val="18"/>
                <w:szCs w:val="18"/>
              </w:rPr>
            </w:pPr>
            <w:r>
              <w:rPr>
                <w:rFonts w:ascii="宋体" w:hAnsi="宋体" w:cs="宋体" w:eastAsia="宋体" w:hint="default"/>
                <w:sz w:val="18"/>
                <w:szCs w:val="18"/>
              </w:rPr>
              <w:t>杭州卓腾信息 技术有限公司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15,989,472.27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15,989,472.27</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51"/>
              <w:ind w:left="101" w:right="173"/>
              <w:jc w:val="left"/>
              <w:rPr>
                <w:rFonts w:ascii="宋体" w:hAnsi="宋体" w:cs="宋体" w:eastAsia="宋体" w:hint="default"/>
                <w:sz w:val="18"/>
                <w:szCs w:val="18"/>
              </w:rPr>
            </w:pPr>
            <w:r>
              <w:rPr>
                <w:rFonts w:ascii="宋体" w:hAnsi="宋体" w:cs="宋体" w:eastAsia="宋体" w:hint="default"/>
                <w:sz w:val="18"/>
                <w:szCs w:val="18"/>
              </w:rPr>
              <w:t>杭州梅清数码 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14,733,850.83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14,733,850.83</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50"/>
              <w:ind w:left="101" w:right="173"/>
              <w:jc w:val="left"/>
              <w:rPr>
                <w:rFonts w:ascii="宋体" w:hAnsi="宋体" w:cs="宋体" w:eastAsia="宋体" w:hint="default"/>
                <w:sz w:val="18"/>
                <w:szCs w:val="18"/>
              </w:rPr>
            </w:pPr>
            <w:r>
              <w:rPr>
                <w:rFonts w:ascii="宋体" w:hAnsi="宋体" w:cs="宋体" w:eastAsia="宋体" w:hint="default"/>
                <w:sz w:val="18"/>
                <w:szCs w:val="18"/>
              </w:rPr>
              <w:t>杭州美诺泰科 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34,652,019.35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34,652,019.35</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1,108,004,441.</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03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1,108,004,441.</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03</w:t>
            </w:r>
          </w:p>
        </w:tc>
      </w:tr>
    </w:tbl>
    <w:p>
      <w:pPr>
        <w:spacing w:line="240" w:lineRule="auto" w:before="3"/>
        <w:rPr>
          <w:rFonts w:ascii="宋体" w:hAnsi="宋体" w:cs="宋体" w:eastAsia="宋体" w:hint="default"/>
          <w:sz w:val="19"/>
          <w:szCs w:val="19"/>
        </w:rPr>
      </w:pPr>
    </w:p>
    <w:p>
      <w:pPr>
        <w:pStyle w:val="Heading3"/>
        <w:spacing w:line="240" w:lineRule="auto" w:before="34"/>
        <w:ind w:right="0"/>
        <w:jc w:val="left"/>
        <w:rPr>
          <w:b w:val="0"/>
          <w:bCs w:val="0"/>
        </w:rPr>
      </w:pPr>
      <w:bookmarkStart w:name="（2）商誉减值准备" w:id="279"/>
      <w:bookmarkEnd w:id="279"/>
      <w:r>
        <w:rPr>
          <w:b w:val="0"/>
          <w:bCs w:val="0"/>
        </w:rPr>
      </w:r>
      <w:r>
        <w:rPr/>
        <w:t>（</w:t>
      </w:r>
      <w:r>
        <w:rPr>
          <w:rFonts w:ascii="Times New Roman" w:hAnsi="Times New Roman" w:cs="Times New Roman" w:eastAsia="Times New Roman" w:hint="default"/>
        </w:rPr>
        <w:t>2</w:t>
      </w:r>
      <w:r>
        <w:rPr/>
        <w:t>）商誉减值准备</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7"/>
        <w:gridCol w:w="1367"/>
        <w:gridCol w:w="2734"/>
        <w:gridCol w:w="2734"/>
        <w:gridCol w:w="1367"/>
      </w:tblGrid>
      <w:tr>
        <w:trPr>
          <w:trHeight w:val="358" w:hRule="exact"/>
        </w:trPr>
        <w:tc>
          <w:tcPr>
            <w:tcW w:w="1367"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被投资单位名</w:t>
            </w: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c>
          <w:tcPr>
            <w:tcW w:w="2734" w:type="dxa"/>
            <w:tcBorders>
              <w:top w:val="single" w:sz="4" w:space="0" w:color="000000"/>
              <w:left w:val="single" w:sz="4" w:space="0" w:color="000000"/>
              <w:bottom w:val="nil" w:sz="6" w:space="0" w:color="auto"/>
              <w:right w:val="single" w:sz="4" w:space="0" w:color="000000"/>
            </w:tcBorders>
            <w:shd w:val="clear" w:color="auto" w:fill="D2D2D2"/>
          </w:tcPr>
          <w:p>
            <w:pPr/>
          </w:p>
        </w:tc>
        <w:tc>
          <w:tcPr>
            <w:tcW w:w="2734"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12" w:hRule="exact"/>
        </w:trPr>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称或形成商誉</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31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31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56" w:hRule="exact"/>
        </w:trPr>
        <w:tc>
          <w:tcPr>
            <w:tcW w:w="136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的事项</w:t>
            </w: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c>
          <w:tcPr>
            <w:tcW w:w="2734" w:type="dxa"/>
            <w:tcBorders>
              <w:top w:val="nil" w:sz="6" w:space="0" w:color="auto"/>
              <w:left w:val="single" w:sz="4" w:space="0" w:color="000000"/>
              <w:bottom w:val="single" w:sz="4" w:space="0" w:color="000000"/>
              <w:right w:val="single" w:sz="4" w:space="0" w:color="000000"/>
            </w:tcBorders>
            <w:shd w:val="clear" w:color="auto" w:fill="D2D2D2"/>
          </w:tcPr>
          <w:p>
            <w:pPr/>
          </w:p>
        </w:tc>
        <w:tc>
          <w:tcPr>
            <w:tcW w:w="2734"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r>
    </w:tbl>
    <w:p>
      <w:pPr>
        <w:pStyle w:val="BodyText"/>
        <w:spacing w:line="240" w:lineRule="auto" w:before="50"/>
        <w:ind w:right="0"/>
        <w:jc w:val="left"/>
      </w:pPr>
      <w:r>
        <w:rPr/>
        <w:t>商誉所在资产组或资产组组合的相关信息</w:t>
      </w:r>
    </w:p>
    <w:p>
      <w:pPr>
        <w:spacing w:line="240" w:lineRule="auto" w:before="2"/>
        <w:rPr>
          <w:rFonts w:ascii="宋体" w:hAnsi="宋体" w:cs="宋体" w:eastAsia="宋体" w:hint="default"/>
          <w:sz w:val="8"/>
          <w:szCs w:val="8"/>
        </w:rPr>
      </w:pPr>
    </w:p>
    <w:tbl>
      <w:tblPr>
        <w:tblW w:w="0" w:type="auto"/>
        <w:jc w:val="left"/>
        <w:tblInd w:w="678" w:type="dxa"/>
        <w:tblLayout w:type="fixed"/>
        <w:tblCellMar>
          <w:top w:w="0" w:type="dxa"/>
          <w:left w:w="0" w:type="dxa"/>
          <w:bottom w:w="0" w:type="dxa"/>
          <w:right w:w="0" w:type="dxa"/>
        </w:tblCellMar>
        <w:tblLook w:val="01E0"/>
      </w:tblPr>
      <w:tblGrid>
        <w:gridCol w:w="2637"/>
        <w:gridCol w:w="1985"/>
        <w:gridCol w:w="1854"/>
        <w:gridCol w:w="2023"/>
      </w:tblGrid>
      <w:tr>
        <w:trPr>
          <w:trHeight w:val="966" w:hRule="exact"/>
        </w:trPr>
        <w:tc>
          <w:tcPr>
            <w:tcW w:w="2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5" w:right="0"/>
              <w:jc w:val="left"/>
              <w:rPr>
                <w:rFonts w:ascii="宋体" w:hAnsi="宋体" w:cs="宋体" w:eastAsia="宋体" w:hint="default"/>
                <w:sz w:val="18"/>
                <w:szCs w:val="18"/>
              </w:rPr>
            </w:pPr>
            <w:r>
              <w:rPr>
                <w:rFonts w:ascii="宋体" w:hAnsi="宋体" w:cs="宋体" w:eastAsia="宋体" w:hint="default"/>
                <w:sz w:val="18"/>
                <w:szCs w:val="18"/>
              </w:rPr>
              <w:t>资产组或资产组组合的构成</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0"/>
              <w:ind w:left="716" w:right="85" w:hanging="629"/>
              <w:jc w:val="left"/>
              <w:rPr>
                <w:rFonts w:ascii="宋体" w:hAnsi="宋体" w:cs="宋体" w:eastAsia="宋体" w:hint="default"/>
                <w:sz w:val="18"/>
                <w:szCs w:val="18"/>
              </w:rPr>
            </w:pPr>
            <w:r>
              <w:rPr>
                <w:rFonts w:ascii="宋体" w:hAnsi="宋体" w:cs="宋体" w:eastAsia="宋体" w:hint="default"/>
                <w:sz w:val="18"/>
                <w:szCs w:val="18"/>
              </w:rPr>
              <w:t>杭州惟勤科技有限公司 资产组</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0"/>
              <w:ind w:left="22" w:right="19"/>
              <w:jc w:val="center"/>
              <w:rPr>
                <w:rFonts w:ascii="宋体" w:hAnsi="宋体" w:cs="宋体" w:eastAsia="宋体" w:hint="default"/>
                <w:sz w:val="18"/>
                <w:szCs w:val="18"/>
              </w:rPr>
            </w:pPr>
            <w:r>
              <w:rPr>
                <w:rFonts w:ascii="宋体" w:hAnsi="宋体" w:cs="宋体" w:eastAsia="宋体" w:hint="default"/>
                <w:sz w:val="18"/>
                <w:szCs w:val="18"/>
              </w:rPr>
              <w:t>广东中拓信息技术有限 公司和中山市蓝天电脑 有限公司资产组</w:t>
            </w:r>
          </w:p>
        </w:tc>
        <w:tc>
          <w:tcPr>
            <w:tcW w:w="202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0"/>
              <w:ind w:left="557" w:right="14" w:hanging="540"/>
              <w:jc w:val="left"/>
              <w:rPr>
                <w:rFonts w:ascii="宋体" w:hAnsi="宋体" w:cs="宋体" w:eastAsia="宋体" w:hint="default"/>
                <w:sz w:val="18"/>
                <w:szCs w:val="18"/>
              </w:rPr>
            </w:pPr>
            <w:r>
              <w:rPr>
                <w:rFonts w:ascii="宋体" w:hAnsi="宋体" w:cs="宋体" w:eastAsia="宋体" w:hint="default"/>
                <w:sz w:val="18"/>
                <w:szCs w:val="18"/>
              </w:rPr>
              <w:t>杭州慧康物联网科技有限 公司资产组</w:t>
            </w:r>
          </w:p>
        </w:tc>
      </w:tr>
      <w:tr>
        <w:trPr>
          <w:trHeight w:val="342" w:hRule="exact"/>
        </w:trPr>
        <w:tc>
          <w:tcPr>
            <w:tcW w:w="2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5" w:right="0"/>
              <w:jc w:val="left"/>
              <w:rPr>
                <w:rFonts w:ascii="宋体" w:hAnsi="宋体" w:cs="宋体" w:eastAsia="宋体" w:hint="default"/>
                <w:sz w:val="18"/>
                <w:szCs w:val="18"/>
              </w:rPr>
            </w:pPr>
            <w:r>
              <w:rPr>
                <w:rFonts w:ascii="宋体" w:hAnsi="宋体" w:cs="宋体" w:eastAsia="宋体" w:hint="default"/>
                <w:sz w:val="18"/>
                <w:szCs w:val="18"/>
              </w:rPr>
              <w:t>资产组的账面价值</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5,136,039.02</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810" w:right="0"/>
              <w:jc w:val="left"/>
              <w:rPr>
                <w:rFonts w:ascii="Times New Roman" w:hAnsi="Times New Roman" w:cs="Times New Roman" w:eastAsia="Times New Roman" w:hint="default"/>
                <w:sz w:val="18"/>
                <w:szCs w:val="18"/>
              </w:rPr>
            </w:pPr>
            <w:r>
              <w:rPr>
                <w:rFonts w:ascii="Times New Roman"/>
                <w:sz w:val="18"/>
              </w:rPr>
              <w:t>16,118,608.81</w:t>
            </w:r>
          </w:p>
        </w:tc>
        <w:tc>
          <w:tcPr>
            <w:tcW w:w="2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87"/>
              <w:jc w:val="right"/>
              <w:rPr>
                <w:rFonts w:ascii="Times New Roman" w:hAnsi="Times New Roman" w:cs="Times New Roman" w:eastAsia="Times New Roman" w:hint="default"/>
                <w:sz w:val="18"/>
                <w:szCs w:val="18"/>
              </w:rPr>
            </w:pPr>
            <w:r>
              <w:rPr>
                <w:rFonts w:ascii="Times New Roman"/>
                <w:spacing w:val="-1"/>
                <w:sz w:val="18"/>
              </w:rPr>
              <w:t>45,036,456.07</w:t>
            </w:r>
          </w:p>
        </w:tc>
      </w:tr>
      <w:tr>
        <w:trPr>
          <w:trHeight w:val="654" w:hRule="exact"/>
        </w:trPr>
        <w:tc>
          <w:tcPr>
            <w:tcW w:w="2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5" w:right="0"/>
              <w:jc w:val="left"/>
              <w:rPr>
                <w:rFonts w:ascii="宋体" w:hAnsi="宋体" w:cs="宋体" w:eastAsia="宋体" w:hint="default"/>
                <w:sz w:val="18"/>
                <w:szCs w:val="18"/>
              </w:rPr>
            </w:pPr>
            <w:r>
              <w:rPr>
                <w:rFonts w:ascii="宋体" w:hAnsi="宋体" w:cs="宋体" w:eastAsia="宋体" w:hint="default"/>
                <w:spacing w:val="6"/>
                <w:sz w:val="18"/>
                <w:szCs w:val="18"/>
              </w:rPr>
              <w:t>分摊至本资产组的商誉账面价值</w:t>
            </w:r>
          </w:p>
          <w:p>
            <w:pPr>
              <w:pStyle w:val="TableParagraph"/>
              <w:spacing w:line="240" w:lineRule="auto" w:before="76"/>
              <w:ind w:left="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包含少数股东商誉</w:t>
            </w:r>
            <w:r>
              <w:rPr>
                <w:rFonts w:ascii="Times New Roman" w:hAnsi="Times New Roman" w:cs="Times New Roman" w:eastAsia="Times New Roman" w:hint="default"/>
                <w:sz w:val="18"/>
                <w:szCs w:val="18"/>
              </w:rPr>
              <w:t>)</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2,199,956.31</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802" w:right="0"/>
              <w:jc w:val="left"/>
              <w:rPr>
                <w:rFonts w:ascii="Times New Roman" w:hAnsi="Times New Roman" w:cs="Times New Roman" w:eastAsia="Times New Roman" w:hint="default"/>
                <w:sz w:val="18"/>
                <w:szCs w:val="18"/>
              </w:rPr>
            </w:pPr>
            <w:r>
              <w:rPr>
                <w:rFonts w:ascii="Times New Roman"/>
                <w:sz w:val="18"/>
              </w:rPr>
              <w:t>24,956,601.61</w:t>
            </w:r>
          </w:p>
        </w:tc>
        <w:tc>
          <w:tcPr>
            <w:tcW w:w="2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85"/>
              <w:jc w:val="right"/>
              <w:rPr>
                <w:rFonts w:ascii="Times New Roman" w:hAnsi="Times New Roman" w:cs="Times New Roman" w:eastAsia="Times New Roman" w:hint="default"/>
                <w:sz w:val="18"/>
                <w:szCs w:val="18"/>
              </w:rPr>
            </w:pPr>
            <w:r>
              <w:rPr>
                <w:rFonts w:ascii="Times New Roman"/>
                <w:spacing w:val="-1"/>
                <w:sz w:val="18"/>
              </w:rPr>
              <w:t>1,021,541,839.57</w:t>
            </w:r>
          </w:p>
        </w:tc>
      </w:tr>
      <w:tr>
        <w:trPr>
          <w:trHeight w:val="342" w:hRule="exact"/>
        </w:trPr>
        <w:tc>
          <w:tcPr>
            <w:tcW w:w="2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5" w:right="0"/>
              <w:jc w:val="left"/>
              <w:rPr>
                <w:rFonts w:ascii="宋体" w:hAnsi="宋体" w:cs="宋体" w:eastAsia="宋体" w:hint="default"/>
                <w:sz w:val="18"/>
                <w:szCs w:val="18"/>
              </w:rPr>
            </w:pPr>
            <w:r>
              <w:rPr>
                <w:rFonts w:ascii="宋体" w:hAnsi="宋体" w:cs="宋体" w:eastAsia="宋体" w:hint="default"/>
                <w:sz w:val="18"/>
                <w:szCs w:val="18"/>
              </w:rPr>
              <w:t>包含商誉的资产组的账面价值</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7,335,995.34</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802" w:right="0"/>
              <w:jc w:val="left"/>
              <w:rPr>
                <w:rFonts w:ascii="Times New Roman" w:hAnsi="Times New Roman" w:cs="Times New Roman" w:eastAsia="Times New Roman" w:hint="default"/>
                <w:sz w:val="18"/>
                <w:szCs w:val="18"/>
              </w:rPr>
            </w:pPr>
            <w:r>
              <w:rPr>
                <w:rFonts w:ascii="Times New Roman"/>
                <w:sz w:val="18"/>
              </w:rPr>
              <w:t>41,075,210.42</w:t>
            </w:r>
          </w:p>
        </w:tc>
        <w:tc>
          <w:tcPr>
            <w:tcW w:w="2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85"/>
              <w:jc w:val="right"/>
              <w:rPr>
                <w:rFonts w:ascii="Times New Roman" w:hAnsi="Times New Roman" w:cs="Times New Roman" w:eastAsia="Times New Roman" w:hint="default"/>
                <w:sz w:val="18"/>
                <w:szCs w:val="18"/>
              </w:rPr>
            </w:pPr>
            <w:r>
              <w:rPr>
                <w:rFonts w:ascii="Times New Roman"/>
                <w:spacing w:val="-1"/>
                <w:sz w:val="18"/>
              </w:rPr>
              <w:t>1,066,578,295.64</w:t>
            </w:r>
          </w:p>
        </w:tc>
      </w:tr>
      <w:tr>
        <w:trPr>
          <w:trHeight w:val="966" w:hRule="exact"/>
        </w:trPr>
        <w:tc>
          <w:tcPr>
            <w:tcW w:w="26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0"/>
              <w:ind w:left="5" w:right="3"/>
              <w:jc w:val="both"/>
              <w:rPr>
                <w:rFonts w:ascii="宋体" w:hAnsi="宋体" w:cs="宋体" w:eastAsia="宋体" w:hint="default"/>
                <w:sz w:val="18"/>
                <w:szCs w:val="18"/>
              </w:rPr>
            </w:pPr>
            <w:r>
              <w:rPr>
                <w:rFonts w:ascii="宋体" w:hAnsi="宋体" w:cs="宋体" w:eastAsia="宋体" w:hint="default"/>
                <w:spacing w:val="6"/>
                <w:sz w:val="18"/>
                <w:szCs w:val="18"/>
              </w:rPr>
              <w:t>资产组或资产组组合是否与购买</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6"/>
                <w:sz w:val="18"/>
                <w:szCs w:val="18"/>
              </w:rPr>
              <w:t>日、以前年度商誉减值测试时所确</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定的资产组或资产组组合一致</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83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是</w:t>
            </w:r>
          </w:p>
        </w:tc>
      </w:tr>
    </w:tbl>
    <w:p>
      <w:pPr>
        <w:pStyle w:val="Heading4"/>
        <w:spacing w:line="262" w:lineRule="exact"/>
        <w:ind w:right="0"/>
        <w:jc w:val="left"/>
      </w:pPr>
      <w:r>
        <w:rPr/>
        <w:t>（续上表）</w:t>
      </w:r>
    </w:p>
    <w:p>
      <w:pPr>
        <w:spacing w:line="240" w:lineRule="auto" w:before="12"/>
        <w:rPr>
          <w:rFonts w:ascii="宋体" w:hAnsi="宋体" w:cs="宋体" w:eastAsia="宋体" w:hint="default"/>
          <w:sz w:val="3"/>
          <w:szCs w:val="3"/>
        </w:rPr>
      </w:pPr>
    </w:p>
    <w:tbl>
      <w:tblPr>
        <w:tblW w:w="0" w:type="auto"/>
        <w:jc w:val="left"/>
        <w:tblInd w:w="678" w:type="dxa"/>
        <w:tblLayout w:type="fixed"/>
        <w:tblCellMar>
          <w:top w:w="0" w:type="dxa"/>
          <w:left w:w="0" w:type="dxa"/>
          <w:bottom w:w="0" w:type="dxa"/>
          <w:right w:w="0" w:type="dxa"/>
        </w:tblCellMar>
        <w:tblLook w:val="01E0"/>
      </w:tblPr>
      <w:tblGrid>
        <w:gridCol w:w="2637"/>
        <w:gridCol w:w="1985"/>
        <w:gridCol w:w="1854"/>
        <w:gridCol w:w="2023"/>
      </w:tblGrid>
      <w:tr>
        <w:trPr>
          <w:trHeight w:val="652" w:hRule="exact"/>
        </w:trPr>
        <w:tc>
          <w:tcPr>
            <w:tcW w:w="2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5" w:right="0"/>
              <w:jc w:val="left"/>
              <w:rPr>
                <w:rFonts w:ascii="宋体" w:hAnsi="宋体" w:cs="宋体" w:eastAsia="宋体" w:hint="default"/>
                <w:sz w:val="18"/>
                <w:szCs w:val="18"/>
              </w:rPr>
            </w:pPr>
            <w:r>
              <w:rPr>
                <w:rFonts w:ascii="宋体" w:hAnsi="宋体" w:cs="宋体" w:eastAsia="宋体" w:hint="default"/>
                <w:sz w:val="18"/>
                <w:szCs w:val="18"/>
              </w:rPr>
              <w:t>资产组或资产组组合的构成</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536" w:right="85" w:hanging="449"/>
              <w:jc w:val="left"/>
              <w:rPr>
                <w:rFonts w:ascii="宋体" w:hAnsi="宋体" w:cs="宋体" w:eastAsia="宋体" w:hint="default"/>
                <w:sz w:val="18"/>
                <w:szCs w:val="18"/>
              </w:rPr>
            </w:pPr>
            <w:r>
              <w:rPr>
                <w:rFonts w:ascii="宋体" w:hAnsi="宋体" w:cs="宋体" w:eastAsia="宋体" w:hint="default"/>
                <w:sz w:val="18"/>
                <w:szCs w:val="18"/>
              </w:rPr>
              <w:t>杭州卓腾信息技术有限 公司资产组</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71" w:right="19" w:hanging="449"/>
              <w:jc w:val="left"/>
              <w:rPr>
                <w:rFonts w:ascii="宋体" w:hAnsi="宋体" w:cs="宋体" w:eastAsia="宋体" w:hint="default"/>
                <w:sz w:val="18"/>
                <w:szCs w:val="18"/>
              </w:rPr>
            </w:pPr>
            <w:r>
              <w:rPr>
                <w:rFonts w:ascii="宋体" w:hAnsi="宋体" w:cs="宋体" w:eastAsia="宋体" w:hint="default"/>
                <w:sz w:val="18"/>
                <w:szCs w:val="18"/>
              </w:rPr>
              <w:t>杭州梅清数码科技有限 公司资产组</w:t>
            </w:r>
          </w:p>
        </w:tc>
        <w:tc>
          <w:tcPr>
            <w:tcW w:w="202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645" w:right="14" w:hanging="629"/>
              <w:jc w:val="left"/>
              <w:rPr>
                <w:rFonts w:ascii="宋体" w:hAnsi="宋体" w:cs="宋体" w:eastAsia="宋体" w:hint="default"/>
                <w:sz w:val="18"/>
                <w:szCs w:val="18"/>
              </w:rPr>
            </w:pPr>
            <w:r>
              <w:rPr>
                <w:rFonts w:ascii="宋体" w:hAnsi="宋体" w:cs="宋体" w:eastAsia="宋体" w:hint="default"/>
                <w:sz w:val="18"/>
                <w:szCs w:val="18"/>
              </w:rPr>
              <w:t>杭州美诺泰科科技有限公 司资产组</w:t>
            </w:r>
          </w:p>
        </w:tc>
      </w:tr>
    </w:tbl>
    <w:p>
      <w:pPr>
        <w:spacing w:after="0" w:line="316" w:lineRule="auto"/>
        <w:jc w:val="left"/>
        <w:rPr>
          <w:rFonts w:ascii="宋体" w:hAnsi="宋体" w:cs="宋体" w:eastAsia="宋体" w:hint="default"/>
          <w:sz w:val="18"/>
          <w:szCs w:val="18"/>
        </w:rPr>
        <w:sectPr>
          <w:footerReference w:type="default" r:id="rId44"/>
          <w:pgSz w:w="11910" w:h="16840"/>
          <w:pgMar w:footer="1016" w:header="907" w:top="1100" w:bottom="1200" w:left="1020" w:right="0"/>
          <w:pgNumType w:start="149"/>
        </w:sectPr>
      </w:pPr>
    </w:p>
    <w:p>
      <w:pPr>
        <w:spacing w:line="240" w:lineRule="auto" w:before="6"/>
        <w:rPr>
          <w:rFonts w:ascii="宋体" w:hAnsi="宋体" w:cs="宋体" w:eastAsia="宋体" w:hint="default"/>
          <w:sz w:val="25"/>
          <w:szCs w:val="25"/>
        </w:rPr>
      </w:pPr>
    </w:p>
    <w:tbl>
      <w:tblPr>
        <w:tblW w:w="0" w:type="auto"/>
        <w:jc w:val="left"/>
        <w:tblInd w:w="678" w:type="dxa"/>
        <w:tblLayout w:type="fixed"/>
        <w:tblCellMar>
          <w:top w:w="0" w:type="dxa"/>
          <w:left w:w="0" w:type="dxa"/>
          <w:bottom w:w="0" w:type="dxa"/>
          <w:right w:w="0" w:type="dxa"/>
        </w:tblCellMar>
        <w:tblLook w:val="01E0"/>
      </w:tblPr>
      <w:tblGrid>
        <w:gridCol w:w="2637"/>
        <w:gridCol w:w="1985"/>
        <w:gridCol w:w="1854"/>
        <w:gridCol w:w="2023"/>
      </w:tblGrid>
      <w:tr>
        <w:trPr>
          <w:trHeight w:val="342" w:hRule="exact"/>
        </w:trPr>
        <w:tc>
          <w:tcPr>
            <w:tcW w:w="2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5" w:right="0"/>
              <w:jc w:val="left"/>
              <w:rPr>
                <w:rFonts w:ascii="宋体" w:hAnsi="宋体" w:cs="宋体" w:eastAsia="宋体" w:hint="default"/>
                <w:sz w:val="18"/>
                <w:szCs w:val="18"/>
              </w:rPr>
            </w:pPr>
            <w:r>
              <w:rPr>
                <w:rFonts w:ascii="宋体" w:hAnsi="宋体" w:cs="宋体" w:eastAsia="宋体" w:hint="default"/>
                <w:sz w:val="18"/>
                <w:szCs w:val="18"/>
              </w:rPr>
              <w:t>资产组的账面价值</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
              <w:jc w:val="right"/>
              <w:rPr>
                <w:rFonts w:ascii="Times New Roman" w:hAnsi="Times New Roman" w:cs="Times New Roman" w:eastAsia="Times New Roman" w:hint="default"/>
                <w:sz w:val="18"/>
                <w:szCs w:val="18"/>
              </w:rPr>
            </w:pPr>
            <w:r>
              <w:rPr>
                <w:rFonts w:ascii="Times New Roman"/>
                <w:spacing w:val="-1"/>
                <w:sz w:val="18"/>
              </w:rPr>
              <w:t>3,048,060.85</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802" w:right="0"/>
              <w:jc w:val="left"/>
              <w:rPr>
                <w:rFonts w:ascii="Times New Roman" w:hAnsi="Times New Roman" w:cs="Times New Roman" w:eastAsia="Times New Roman" w:hint="default"/>
                <w:sz w:val="18"/>
                <w:szCs w:val="18"/>
              </w:rPr>
            </w:pPr>
            <w:r>
              <w:rPr>
                <w:rFonts w:ascii="Times New Roman"/>
                <w:sz w:val="18"/>
              </w:rPr>
              <w:t>32,837,007.62</w:t>
            </w:r>
          </w:p>
        </w:tc>
        <w:tc>
          <w:tcPr>
            <w:tcW w:w="2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888" w:right="0"/>
              <w:jc w:val="left"/>
              <w:rPr>
                <w:rFonts w:ascii="Times New Roman" w:hAnsi="Times New Roman" w:cs="Times New Roman" w:eastAsia="Times New Roman" w:hint="default"/>
                <w:sz w:val="18"/>
                <w:szCs w:val="18"/>
              </w:rPr>
            </w:pPr>
            <w:r>
              <w:rPr>
                <w:rFonts w:ascii="Times New Roman"/>
                <w:sz w:val="18"/>
              </w:rPr>
              <w:t>15,055,778.77</w:t>
            </w:r>
          </w:p>
        </w:tc>
      </w:tr>
      <w:tr>
        <w:trPr>
          <w:trHeight w:val="654" w:hRule="exact"/>
        </w:trPr>
        <w:tc>
          <w:tcPr>
            <w:tcW w:w="2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5" w:right="0"/>
              <w:jc w:val="left"/>
              <w:rPr>
                <w:rFonts w:ascii="宋体" w:hAnsi="宋体" w:cs="宋体" w:eastAsia="宋体" w:hint="default"/>
                <w:sz w:val="18"/>
                <w:szCs w:val="18"/>
              </w:rPr>
            </w:pPr>
            <w:r>
              <w:rPr>
                <w:rFonts w:ascii="宋体" w:hAnsi="宋体" w:cs="宋体" w:eastAsia="宋体" w:hint="default"/>
                <w:spacing w:val="6"/>
                <w:sz w:val="18"/>
                <w:szCs w:val="18"/>
              </w:rPr>
              <w:t>分摊至本资产组的商誉账面价值</w:t>
            </w:r>
          </w:p>
          <w:p>
            <w:pPr>
              <w:pStyle w:val="TableParagraph"/>
              <w:spacing w:line="240" w:lineRule="auto" w:before="76"/>
              <w:ind w:left="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包含少数股东商誉</w:t>
            </w:r>
            <w:r>
              <w:rPr>
                <w:rFonts w:ascii="Times New Roman" w:hAnsi="Times New Roman" w:cs="Times New Roman" w:eastAsia="Times New Roman" w:hint="default"/>
                <w:sz w:val="18"/>
                <w:szCs w:val="18"/>
              </w:rPr>
              <w:t>)</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17,987,931.45</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802" w:right="0"/>
              <w:jc w:val="left"/>
              <w:rPr>
                <w:rFonts w:ascii="Times New Roman" w:hAnsi="Times New Roman" w:cs="Times New Roman" w:eastAsia="Times New Roman" w:hint="default"/>
                <w:sz w:val="18"/>
                <w:szCs w:val="18"/>
              </w:rPr>
            </w:pPr>
            <w:r>
              <w:rPr>
                <w:rFonts w:ascii="Times New Roman"/>
                <w:sz w:val="18"/>
              </w:rPr>
              <w:t>28,889,903.59</w:t>
            </w:r>
          </w:p>
        </w:tc>
        <w:tc>
          <w:tcPr>
            <w:tcW w:w="2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888" w:right="0"/>
              <w:jc w:val="left"/>
              <w:rPr>
                <w:rFonts w:ascii="Times New Roman" w:hAnsi="Times New Roman" w:cs="Times New Roman" w:eastAsia="Times New Roman" w:hint="default"/>
                <w:sz w:val="18"/>
                <w:szCs w:val="18"/>
              </w:rPr>
            </w:pPr>
            <w:r>
              <w:rPr>
                <w:rFonts w:ascii="Times New Roman"/>
                <w:sz w:val="18"/>
              </w:rPr>
              <w:t>34,652,019.35</w:t>
            </w:r>
          </w:p>
        </w:tc>
      </w:tr>
      <w:tr>
        <w:trPr>
          <w:trHeight w:val="342" w:hRule="exact"/>
        </w:trPr>
        <w:tc>
          <w:tcPr>
            <w:tcW w:w="2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5" w:right="0"/>
              <w:jc w:val="left"/>
              <w:rPr>
                <w:rFonts w:ascii="宋体" w:hAnsi="宋体" w:cs="宋体" w:eastAsia="宋体" w:hint="default"/>
                <w:sz w:val="18"/>
                <w:szCs w:val="18"/>
              </w:rPr>
            </w:pPr>
            <w:r>
              <w:rPr>
                <w:rFonts w:ascii="宋体" w:hAnsi="宋体" w:cs="宋体" w:eastAsia="宋体" w:hint="default"/>
                <w:sz w:val="18"/>
                <w:szCs w:val="18"/>
              </w:rPr>
              <w:t>包含商誉的资产组的账面价值</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
              <w:jc w:val="right"/>
              <w:rPr>
                <w:rFonts w:ascii="Times New Roman" w:hAnsi="Times New Roman" w:cs="Times New Roman" w:eastAsia="Times New Roman" w:hint="default"/>
                <w:sz w:val="18"/>
                <w:szCs w:val="18"/>
              </w:rPr>
            </w:pPr>
            <w:r>
              <w:rPr>
                <w:rFonts w:ascii="Times New Roman"/>
                <w:spacing w:val="-1"/>
                <w:sz w:val="18"/>
              </w:rPr>
              <w:t>21,035,992.30</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810" w:right="0"/>
              <w:jc w:val="left"/>
              <w:rPr>
                <w:rFonts w:ascii="Times New Roman" w:hAnsi="Times New Roman" w:cs="Times New Roman" w:eastAsia="Times New Roman" w:hint="default"/>
                <w:sz w:val="18"/>
                <w:szCs w:val="18"/>
              </w:rPr>
            </w:pPr>
            <w:r>
              <w:rPr>
                <w:rFonts w:ascii="Times New Roman"/>
                <w:sz w:val="18"/>
              </w:rPr>
              <w:t>61,726,911.21</w:t>
            </w:r>
          </w:p>
        </w:tc>
        <w:tc>
          <w:tcPr>
            <w:tcW w:w="2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888" w:right="0"/>
              <w:jc w:val="left"/>
              <w:rPr>
                <w:rFonts w:ascii="Times New Roman" w:hAnsi="Times New Roman" w:cs="Times New Roman" w:eastAsia="Times New Roman" w:hint="default"/>
                <w:sz w:val="18"/>
                <w:szCs w:val="18"/>
              </w:rPr>
            </w:pPr>
            <w:r>
              <w:rPr>
                <w:rFonts w:ascii="Times New Roman"/>
                <w:sz w:val="18"/>
              </w:rPr>
              <w:t>49,707,798.12</w:t>
            </w:r>
          </w:p>
        </w:tc>
      </w:tr>
      <w:tr>
        <w:trPr>
          <w:trHeight w:val="966" w:hRule="exact"/>
        </w:trPr>
        <w:tc>
          <w:tcPr>
            <w:tcW w:w="26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0"/>
              <w:ind w:left="5" w:right="3"/>
              <w:jc w:val="both"/>
              <w:rPr>
                <w:rFonts w:ascii="宋体" w:hAnsi="宋体" w:cs="宋体" w:eastAsia="宋体" w:hint="default"/>
                <w:sz w:val="18"/>
                <w:szCs w:val="18"/>
              </w:rPr>
            </w:pPr>
            <w:r>
              <w:rPr>
                <w:rFonts w:ascii="宋体" w:hAnsi="宋体" w:cs="宋体" w:eastAsia="宋体" w:hint="default"/>
                <w:spacing w:val="6"/>
                <w:sz w:val="18"/>
                <w:szCs w:val="18"/>
              </w:rPr>
              <w:t>资产组或资产组组合是否与购买</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6"/>
                <w:sz w:val="18"/>
                <w:szCs w:val="18"/>
              </w:rPr>
              <w:t>日、以前年度商誉减值测试时所确</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定的资产组或资产组组合一致</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1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83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20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17"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line="240" w:lineRule="auto" w:before="3"/>
        <w:rPr>
          <w:rFonts w:ascii="宋体" w:hAnsi="宋体" w:cs="宋体" w:eastAsia="宋体" w:hint="default"/>
          <w:sz w:val="24"/>
          <w:szCs w:val="24"/>
        </w:rPr>
      </w:pPr>
    </w:p>
    <w:p>
      <w:pPr>
        <w:pStyle w:val="BodyText"/>
        <w:spacing w:line="316" w:lineRule="auto" w:before="44"/>
        <w:ind w:right="0"/>
        <w:jc w:val="left"/>
      </w:pPr>
      <w:r>
        <w:rPr>
          <w:spacing w:val="-2"/>
        </w:rPr>
        <w:t>说明商誉减值测试过程、关键参数（如预计未来现金流量现值时的预测期增长率、稳定期增长率、利润率、折现率、预测期</w:t>
      </w:r>
      <w:r>
        <w:rPr>
          <w:spacing w:val="-66"/>
        </w:rPr>
        <w:t> </w:t>
      </w:r>
      <w:r>
        <w:rPr>
          <w:spacing w:val="-66"/>
        </w:rPr>
      </w:r>
      <w:r>
        <w:rPr/>
        <w:t>等）及商誉减值损失的确认方法：</w:t>
      </w:r>
    </w:p>
    <w:p>
      <w:pPr>
        <w:pStyle w:val="BodyText"/>
        <w:spacing w:line="309" w:lineRule="auto" w:before="59"/>
        <w:ind w:right="1051" w:firstLine="420"/>
        <w:jc w:val="left"/>
      </w:pPr>
      <w:r>
        <w:rPr/>
        <w:t>期末，公司对杭州惟勤科技有限公司、广东中拓信息技术有限公司和中山市蓝天电脑有限公司、杭州慧康物联网科技 有限公司、杭州卓腾信息技术有限公司、杭州梅清数码科技有限公司、杭州美诺泰科科技有限公司的商誉进行了减值测试。 商誉的可收回金额按照上述公司的预计未来现金流量的现值计算，其预计现金流量根据公司</w:t>
      </w:r>
      <w:r>
        <w:rPr>
          <w:rFonts w:ascii="Times New Roman" w:hAnsi="Times New Roman" w:cs="Times New Roman" w:eastAsia="Times New Roman" w:hint="default"/>
        </w:rPr>
        <w:t>5</w:t>
      </w:r>
      <w:r>
        <w:rPr/>
        <w:t>年期现金流量预测为基础，现</w:t>
      </w:r>
      <w:r>
        <w:rPr>
          <w:spacing w:val="-85"/>
        </w:rPr>
        <w:t> </w:t>
      </w:r>
      <w:r>
        <w:rPr>
          <w:spacing w:val="-85"/>
        </w:rPr>
      </w:r>
      <w:r>
        <w:rPr/>
        <w:t>金流量预测使用的折现率为</w:t>
      </w:r>
      <w:r>
        <w:rPr>
          <w:rFonts w:ascii="Times New Roman" w:hAnsi="Times New Roman" w:cs="Times New Roman" w:eastAsia="Times New Roman" w:hint="default"/>
        </w:rPr>
        <w:t>13.38%-15.00%</w:t>
      </w:r>
      <w:r>
        <w:rPr/>
        <w:t>，根据历史实际经营数据、行业发展趋势、预期收入增长率、毛利率等指标编制</w:t>
      </w:r>
      <w:r>
        <w:rPr>
          <w:spacing w:val="-86"/>
        </w:rPr>
        <w:t> </w:t>
      </w:r>
      <w:r>
        <w:rPr>
          <w:spacing w:val="-86"/>
        </w:rPr>
      </w:r>
      <w:r>
        <w:rPr/>
        <w:t>预测未来</w:t>
      </w:r>
      <w:r>
        <w:rPr>
          <w:rFonts w:ascii="Times New Roman" w:hAnsi="Times New Roman" w:cs="Times New Roman" w:eastAsia="Times New Roman" w:hint="default"/>
        </w:rPr>
        <w:t>5</w:t>
      </w:r>
      <w:r>
        <w:rPr/>
        <w:t>年现金流量，预测期以后的现金流量维持不变。</w:t>
      </w:r>
    </w:p>
    <w:p>
      <w:pPr>
        <w:pStyle w:val="BodyText"/>
        <w:spacing w:line="316" w:lineRule="auto" w:before="5"/>
        <w:ind w:right="0" w:firstLine="420"/>
        <w:jc w:val="left"/>
      </w:pPr>
      <w:r>
        <w:rPr/>
        <w:t>减值测试中采用的其他关键数据包括：产品预计售价、销量、生产成本及其他相关费用。 </w:t>
      </w:r>
      <w:r>
        <w:rPr>
          <w:spacing w:val="-2"/>
        </w:rPr>
        <w:t>公司根据历史经验及对市场发展的预测确定上述关键数据。公司采用的折现率是反映当前市场货币时间价值和相关资产组特</w:t>
      </w:r>
      <w:r>
        <w:rPr>
          <w:spacing w:val="-64"/>
        </w:rPr>
        <w:t> </w:t>
      </w:r>
      <w:r>
        <w:rPr>
          <w:spacing w:val="-64"/>
        </w:rPr>
      </w:r>
      <w:r>
        <w:rPr/>
        <w:t>定风险的税前利率。</w:t>
      </w:r>
    </w:p>
    <w:p>
      <w:pPr>
        <w:pStyle w:val="BodyText"/>
        <w:spacing w:line="316" w:lineRule="auto" w:before="19"/>
        <w:ind w:right="1130" w:firstLine="424"/>
        <w:jc w:val="both"/>
      </w:pPr>
      <w:r>
        <w:rPr/>
        <w:t>期末，经测试，上述包含对杭州惟勤科技有限公司、广东中拓信息技术有限公司和中山市蓝天电脑有限公司、杭州慧 </w:t>
      </w:r>
      <w:r>
        <w:rPr>
          <w:spacing w:val="-2"/>
        </w:rPr>
        <w:t>康物联网科技有限公司、杭州卓腾信息技术有限公司、杭州梅清数码科技有限公司、杭州美诺泰科科技有限公司商誉的资产</w:t>
      </w:r>
      <w:r>
        <w:rPr>
          <w:spacing w:val="-63"/>
        </w:rPr>
        <w:t> </w:t>
      </w:r>
      <w:r>
        <w:rPr>
          <w:spacing w:val="-63"/>
        </w:rPr>
      </w:r>
      <w:r>
        <w:rPr/>
        <w:t>组的可收回金额均高于其账面价值，商誉并未出现减值损失。</w:t>
      </w:r>
    </w:p>
    <w:p>
      <w:pPr>
        <w:pStyle w:val="BodyText"/>
        <w:spacing w:line="357" w:lineRule="auto" w:before="59"/>
        <w:ind w:left="472" w:right="0" w:hanging="360"/>
        <w:jc w:val="left"/>
      </w:pPr>
      <w:r>
        <w:rPr/>
        <w:t>商誉减值测试的影响 </w:t>
      </w:r>
      <w:r>
        <w:rPr>
          <w:spacing w:val="-2"/>
        </w:rPr>
        <w:t>杭州慧康物联网科技有限公司</w:t>
      </w:r>
      <w:r>
        <w:rPr>
          <w:rFonts w:ascii="Times New Roman" w:hAnsi="Times New Roman" w:cs="Times New Roman" w:eastAsia="Times New Roman" w:hint="default"/>
          <w:spacing w:val="-2"/>
        </w:rPr>
        <w:t>2018</w:t>
      </w:r>
      <w:r>
        <w:rPr>
          <w:spacing w:val="-2"/>
        </w:rPr>
        <w:t>年度实现的扣除非经常性损益后净利润为</w:t>
      </w:r>
      <w:r>
        <w:rPr>
          <w:rFonts w:ascii="Times New Roman" w:hAnsi="Times New Roman" w:cs="Times New Roman" w:eastAsia="Times New Roman" w:hint="default"/>
          <w:spacing w:val="-2"/>
        </w:rPr>
        <w:t>11,427.94</w:t>
      </w:r>
      <w:r>
        <w:rPr>
          <w:spacing w:val="-2"/>
        </w:rPr>
        <w:t>万元，已完成</w:t>
      </w:r>
      <w:r>
        <w:rPr>
          <w:rFonts w:ascii="Times New Roman" w:hAnsi="Times New Roman" w:cs="Times New Roman" w:eastAsia="Times New Roman" w:hint="default"/>
          <w:spacing w:val="-2"/>
        </w:rPr>
        <w:t>2018</w:t>
      </w:r>
      <w:r>
        <w:rPr>
          <w:spacing w:val="-2"/>
        </w:rPr>
        <w:t>年度承诺的净利</w:t>
      </w:r>
    </w:p>
    <w:p>
      <w:pPr>
        <w:pStyle w:val="BodyText"/>
        <w:spacing w:line="201" w:lineRule="exact"/>
        <w:ind w:right="0"/>
        <w:jc w:val="left"/>
      </w:pPr>
      <w:r>
        <w:rPr/>
        <w:t>润，未见商誉减值迹象。</w:t>
      </w:r>
    </w:p>
    <w:p>
      <w:pPr>
        <w:pStyle w:val="BodyText"/>
        <w:spacing w:line="300" w:lineRule="auto" w:before="76"/>
        <w:ind w:right="1124"/>
        <w:jc w:val="left"/>
      </w:pPr>
      <w:r>
        <w:rPr/>
        <w:t>广东中拓信息技术有限公司和中山市蓝天电脑有限公司</w:t>
      </w:r>
      <w:r>
        <w:rPr>
          <w:rFonts w:ascii="Times New Roman" w:hAnsi="Times New Roman" w:cs="Times New Roman" w:eastAsia="Times New Roman" w:hint="default"/>
        </w:rPr>
        <w:t>2018</w:t>
      </w:r>
      <w:r>
        <w:rPr/>
        <w:t>年度实现营业收入为</w:t>
      </w:r>
      <w:r>
        <w:rPr>
          <w:rFonts w:ascii="Times New Roman" w:hAnsi="Times New Roman" w:cs="Times New Roman" w:eastAsia="Times New Roman" w:hint="default"/>
        </w:rPr>
        <w:t>5,414.81</w:t>
      </w:r>
      <w:r>
        <w:rPr/>
        <w:t>万元，扣除非经常性损益后净利润 为</w:t>
      </w:r>
      <w:r>
        <w:rPr>
          <w:rFonts w:ascii="Times New Roman" w:hAnsi="Times New Roman" w:cs="Times New Roman" w:eastAsia="Times New Roman" w:hint="default"/>
        </w:rPr>
        <w:t>949.87</w:t>
      </w:r>
      <w:r>
        <w:rPr/>
        <w:t>万元，已完成</w:t>
      </w:r>
      <w:r>
        <w:rPr>
          <w:rFonts w:ascii="Times New Roman" w:hAnsi="Times New Roman" w:cs="Times New Roman" w:eastAsia="Times New Roman" w:hint="default"/>
        </w:rPr>
        <w:t>2018</w:t>
      </w:r>
      <w:r>
        <w:rPr/>
        <w:t>年度承诺的营业收入及净利润，未见商誉减值迹象。</w:t>
      </w:r>
    </w:p>
    <w:p>
      <w:pPr>
        <w:spacing w:line="240" w:lineRule="auto" w:before="0"/>
        <w:rPr>
          <w:rFonts w:ascii="宋体" w:hAnsi="宋体" w:cs="宋体" w:eastAsia="宋体" w:hint="default"/>
          <w:sz w:val="18"/>
          <w:szCs w:val="18"/>
        </w:rPr>
      </w:pPr>
    </w:p>
    <w:p>
      <w:pPr>
        <w:pStyle w:val="BodyText"/>
        <w:spacing w:line="240" w:lineRule="auto" w:before="130"/>
        <w:ind w:right="0"/>
        <w:jc w:val="left"/>
      </w:pPr>
      <w:r>
        <w:rPr/>
        <w:t>其他说明</w:t>
      </w:r>
    </w:p>
    <w:p>
      <w:pPr>
        <w:pStyle w:val="BodyText"/>
        <w:spacing w:line="240" w:lineRule="auto" w:before="117"/>
        <w:ind w:left="472" w:right="0"/>
        <w:jc w:val="left"/>
      </w:pPr>
      <w:r>
        <w:rPr>
          <w:rFonts w:ascii="Times New Roman" w:hAnsi="Times New Roman" w:cs="Times New Roman" w:eastAsia="Times New Roman" w:hint="default"/>
        </w:rPr>
        <w:t>2016</w:t>
      </w:r>
      <w:r>
        <w:rPr/>
        <w:t>年，本公司收购广东中拓信息技术有限公司和中山市蓝天电脑有限公司系一揽子交易，合并计算商誉。</w:t>
      </w:r>
    </w:p>
    <w:p>
      <w:pPr>
        <w:spacing w:line="240" w:lineRule="auto" w:before="10"/>
        <w:rPr>
          <w:rFonts w:ascii="宋体" w:hAnsi="宋体" w:cs="宋体" w:eastAsia="宋体" w:hint="default"/>
          <w:sz w:val="25"/>
          <w:szCs w:val="25"/>
        </w:rPr>
      </w:pPr>
    </w:p>
    <w:p>
      <w:pPr>
        <w:pStyle w:val="Heading3"/>
        <w:spacing w:line="240" w:lineRule="auto"/>
        <w:ind w:right="0"/>
        <w:jc w:val="left"/>
        <w:rPr>
          <w:b w:val="0"/>
          <w:bCs w:val="0"/>
        </w:rPr>
      </w:pPr>
      <w:bookmarkStart w:name="16、长期待摊费用" w:id="280"/>
      <w:bookmarkEnd w:id="280"/>
      <w:r>
        <w:rPr>
          <w:b w:val="0"/>
          <w:bCs w:val="0"/>
        </w:rPr>
      </w:r>
      <w:r>
        <w:rPr>
          <w:rFonts w:ascii="Times New Roman" w:hAnsi="Times New Roman" w:cs="Times New Roman" w:eastAsia="Times New Roman" w:hint="default"/>
        </w:rPr>
        <w:t>16</w:t>
      </w:r>
      <w:r>
        <w:rPr/>
        <w:t>、长期待摊费用</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4"/>
        <w:gridCol w:w="1596"/>
        <w:gridCol w:w="1594"/>
        <w:gridCol w:w="1594"/>
        <w:gridCol w:w="1594"/>
        <w:gridCol w:w="1594"/>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2"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2"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1"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20"/>
              <w:jc w:val="left"/>
              <w:rPr>
                <w:rFonts w:ascii="宋体" w:hAnsi="宋体" w:cs="宋体" w:eastAsia="宋体" w:hint="default"/>
                <w:sz w:val="18"/>
                <w:szCs w:val="18"/>
              </w:rPr>
            </w:pPr>
            <w:r>
              <w:rPr>
                <w:rFonts w:ascii="宋体" w:hAnsi="宋体" w:cs="宋体" w:eastAsia="宋体" w:hint="default"/>
                <w:sz w:val="18"/>
                <w:szCs w:val="18"/>
              </w:rPr>
              <w:t>租入固定资产改 良支出</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517,859.85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1,349,114.22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339,070.39</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1,527,903.68</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96"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18,505,844.51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914,174.15</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17,591,670.36</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517,859.85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19,854,958.73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1,253,244.54</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2"/>
                <w:sz w:val="18"/>
              </w:rPr>
              <w:t>19,119,574.04</w:t>
            </w:r>
          </w:p>
        </w:tc>
      </w:tr>
    </w:tbl>
    <w:p>
      <w:pPr>
        <w:pStyle w:val="BodyText"/>
        <w:spacing w:line="240" w:lineRule="auto" w:before="51"/>
        <w:ind w:right="0"/>
        <w:jc w:val="left"/>
      </w:pPr>
      <w:r>
        <w:rPr/>
        <w:t>其他说明</w:t>
      </w:r>
    </w:p>
    <w:p>
      <w:pPr>
        <w:spacing w:after="0" w:line="240" w:lineRule="auto"/>
        <w:jc w:val="left"/>
        <w:sectPr>
          <w:footerReference w:type="default" r:id="rId45"/>
          <w:pgSz w:w="11910" w:h="16840"/>
          <w:pgMar w:footer="1016" w:header="907" w:top="1100" w:bottom="1200" w:left="1020" w:right="0"/>
          <w:pgNumType w:start="150"/>
        </w:sectPr>
      </w:pPr>
    </w:p>
    <w:p>
      <w:pPr>
        <w:spacing w:line="240" w:lineRule="auto" w:before="10"/>
        <w:rPr>
          <w:rFonts w:ascii="宋体" w:hAnsi="宋体" w:cs="宋体" w:eastAsia="宋体" w:hint="default"/>
          <w:sz w:val="21"/>
          <w:szCs w:val="21"/>
        </w:rPr>
      </w:pPr>
    </w:p>
    <w:p>
      <w:pPr>
        <w:pStyle w:val="Heading3"/>
        <w:spacing w:line="240" w:lineRule="auto" w:before="34"/>
        <w:ind w:right="0"/>
        <w:jc w:val="left"/>
        <w:rPr>
          <w:b w:val="0"/>
          <w:bCs w:val="0"/>
        </w:rPr>
      </w:pPr>
      <w:bookmarkStart w:name="17、递延所得税资产/递延所得税负债" w:id="281"/>
      <w:bookmarkEnd w:id="281"/>
      <w:r>
        <w:rPr>
          <w:b w:val="0"/>
          <w:bCs w:val="0"/>
        </w:rPr>
      </w:r>
      <w:r>
        <w:rPr>
          <w:rFonts w:ascii="Times New Roman" w:hAnsi="Times New Roman" w:cs="Times New Roman" w:eastAsia="Times New Roman" w:hint="default"/>
        </w:rPr>
        <w:t>17</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未经抵销的递延所得税资产" w:id="282"/>
      <w:bookmarkEnd w:id="282"/>
      <w:r>
        <w:rPr>
          <w:b w:val="0"/>
          <w:bCs w:val="0"/>
        </w:rPr>
      </w:r>
      <w:r>
        <w:rPr/>
        <w:t>（</w:t>
      </w:r>
      <w:r>
        <w:rPr>
          <w:rFonts w:ascii="Times New Roman" w:hAnsi="Times New Roman" w:cs="Times New Roman" w:eastAsia="Times New Roman" w:hint="default"/>
        </w:rPr>
        <w:t>1</w:t>
      </w:r>
      <w:r>
        <w:rPr/>
        <w:t>）未经抵销的递延所得税资产</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90,588,784.13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9,853,267.74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67,173,967.79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7,082,924.78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90,588,784.13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9,853,267.74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67,173,967.79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7,082,924.78</w:t>
            </w:r>
          </w:p>
        </w:tc>
      </w:tr>
    </w:tbl>
    <w:p>
      <w:pPr>
        <w:spacing w:line="240" w:lineRule="auto" w:before="3"/>
        <w:rPr>
          <w:rFonts w:ascii="宋体" w:hAnsi="宋体" w:cs="宋体" w:eastAsia="宋体" w:hint="default"/>
          <w:sz w:val="19"/>
          <w:szCs w:val="19"/>
        </w:rPr>
      </w:pPr>
    </w:p>
    <w:p>
      <w:pPr>
        <w:pStyle w:val="Heading3"/>
        <w:spacing w:line="240" w:lineRule="auto" w:before="34"/>
        <w:ind w:right="0"/>
        <w:jc w:val="left"/>
        <w:rPr>
          <w:b w:val="0"/>
          <w:bCs w:val="0"/>
        </w:rPr>
      </w:pPr>
      <w:bookmarkStart w:name="（2）未经抵销的递延所得税负债" w:id="283"/>
      <w:bookmarkEnd w:id="283"/>
      <w:r>
        <w:rPr>
          <w:b w:val="0"/>
          <w:bCs w:val="0"/>
        </w:rPr>
      </w:r>
      <w:r>
        <w:rPr/>
        <w:t>（</w:t>
      </w:r>
      <w:r>
        <w:rPr>
          <w:rFonts w:ascii="Times New Roman" w:hAnsi="Times New Roman" w:cs="Times New Roman" w:eastAsia="Times New Roman" w:hint="default"/>
        </w:rPr>
        <w:t>2</w:t>
      </w:r>
      <w:r>
        <w:rPr/>
        <w:t>）未经抵销的递延所得税负债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32"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2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32"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2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r>
    </w:tbl>
    <w:p>
      <w:pPr>
        <w:spacing w:line="240" w:lineRule="auto" w:before="3"/>
        <w:rPr>
          <w:rFonts w:ascii="宋体" w:hAnsi="宋体" w:cs="宋体" w:eastAsia="宋体" w:hint="default"/>
          <w:sz w:val="19"/>
          <w:szCs w:val="19"/>
        </w:rPr>
      </w:pPr>
    </w:p>
    <w:p>
      <w:pPr>
        <w:pStyle w:val="Heading3"/>
        <w:spacing w:line="240" w:lineRule="auto" w:before="34"/>
        <w:ind w:right="0"/>
        <w:jc w:val="left"/>
        <w:rPr>
          <w:b w:val="0"/>
          <w:bCs w:val="0"/>
        </w:rPr>
      </w:pPr>
      <w:bookmarkStart w:name="（3）以抵销后净额列示的递延所得税资产或负债" w:id="284"/>
      <w:bookmarkEnd w:id="284"/>
      <w:r>
        <w:rPr>
          <w:b w:val="0"/>
          <w:bCs w:val="0"/>
        </w:rPr>
      </w:r>
      <w:r>
        <w:rPr/>
        <w:t>（</w:t>
      </w:r>
      <w:r>
        <w:rPr>
          <w:rFonts w:ascii="Times New Roman" w:hAnsi="Times New Roman" w:cs="Times New Roman" w:eastAsia="Times New Roman" w:hint="default"/>
        </w:rPr>
        <w:t>3</w:t>
      </w:r>
      <w:r>
        <w:rPr/>
        <w:t>）以抵销后净额列示的递延所得税资产或负债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23" w:right="140" w:hanging="180"/>
              <w:jc w:val="left"/>
              <w:rPr>
                <w:rFonts w:ascii="宋体" w:hAnsi="宋体" w:cs="宋体" w:eastAsia="宋体" w:hint="default"/>
                <w:sz w:val="18"/>
                <w:szCs w:val="18"/>
              </w:rPr>
            </w:pPr>
            <w:r>
              <w:rPr>
                <w:rFonts w:ascii="宋体" w:hAnsi="宋体" w:cs="宋体" w:eastAsia="宋体" w:hint="default"/>
                <w:sz w:val="18"/>
                <w:szCs w:val="18"/>
              </w:rPr>
              <w:t>递延所得税资产和负 债期末互抵金额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31" w:right="139" w:hanging="89"/>
              <w:jc w:val="left"/>
              <w:rPr>
                <w:rFonts w:ascii="宋体" w:hAnsi="宋体" w:cs="宋体" w:eastAsia="宋体" w:hint="default"/>
                <w:sz w:val="18"/>
                <w:szCs w:val="18"/>
              </w:rPr>
            </w:pPr>
            <w:r>
              <w:rPr>
                <w:rFonts w:ascii="宋体" w:hAnsi="宋体" w:cs="宋体" w:eastAsia="宋体" w:hint="default"/>
                <w:sz w:val="18"/>
                <w:szCs w:val="18"/>
              </w:rPr>
              <w:t>抵销后递延所得税资 产或负债期末余额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21" w:right="140" w:hanging="180"/>
              <w:jc w:val="left"/>
              <w:rPr>
                <w:rFonts w:ascii="宋体" w:hAnsi="宋体" w:cs="宋体" w:eastAsia="宋体" w:hint="default"/>
                <w:sz w:val="18"/>
                <w:szCs w:val="18"/>
              </w:rPr>
            </w:pPr>
            <w:r>
              <w:rPr>
                <w:rFonts w:ascii="宋体" w:hAnsi="宋体" w:cs="宋体" w:eastAsia="宋体" w:hint="default"/>
                <w:sz w:val="18"/>
                <w:szCs w:val="18"/>
              </w:rPr>
              <w:t>递延所得税资产和负 债期初互抵金额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31" w:right="139" w:hanging="89"/>
              <w:jc w:val="left"/>
              <w:rPr>
                <w:rFonts w:ascii="宋体" w:hAnsi="宋体" w:cs="宋体" w:eastAsia="宋体" w:hint="default"/>
                <w:sz w:val="18"/>
                <w:szCs w:val="18"/>
              </w:rPr>
            </w:pPr>
            <w:r>
              <w:rPr>
                <w:rFonts w:ascii="宋体" w:hAnsi="宋体" w:cs="宋体" w:eastAsia="宋体" w:hint="default"/>
                <w:sz w:val="18"/>
                <w:szCs w:val="18"/>
              </w:rPr>
              <w:t>抵销后递延所得税资 产或负债期初余额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55" w:right="0"/>
              <w:jc w:val="left"/>
              <w:rPr>
                <w:rFonts w:ascii="Times New Roman" w:hAnsi="Times New Roman" w:cs="Times New Roman" w:eastAsia="Times New Roman" w:hint="default"/>
                <w:sz w:val="18"/>
                <w:szCs w:val="18"/>
              </w:rPr>
            </w:pPr>
            <w:r>
              <w:rPr>
                <w:rFonts w:ascii="Times New Roman"/>
                <w:sz w:val="18"/>
              </w:rPr>
              <w:t>9,853,267.74</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55" w:right="0"/>
              <w:jc w:val="left"/>
              <w:rPr>
                <w:rFonts w:ascii="Times New Roman" w:hAnsi="Times New Roman" w:cs="Times New Roman" w:eastAsia="Times New Roman" w:hint="default"/>
                <w:sz w:val="18"/>
                <w:szCs w:val="18"/>
              </w:rPr>
            </w:pPr>
            <w:r>
              <w:rPr>
                <w:rFonts w:ascii="Times New Roman"/>
                <w:sz w:val="18"/>
              </w:rPr>
              <w:t>7,082,924.78</w:t>
            </w:r>
          </w:p>
        </w:tc>
      </w:tr>
    </w:tbl>
    <w:p>
      <w:pPr>
        <w:spacing w:line="240" w:lineRule="auto" w:before="5"/>
        <w:rPr>
          <w:rFonts w:ascii="宋体" w:hAnsi="宋体" w:cs="宋体" w:eastAsia="宋体" w:hint="default"/>
          <w:sz w:val="19"/>
          <w:szCs w:val="19"/>
        </w:rPr>
      </w:pPr>
    </w:p>
    <w:p>
      <w:pPr>
        <w:pStyle w:val="Heading3"/>
        <w:spacing w:line="240" w:lineRule="auto" w:before="34"/>
        <w:ind w:right="0"/>
        <w:jc w:val="left"/>
        <w:rPr>
          <w:b w:val="0"/>
          <w:bCs w:val="0"/>
        </w:rPr>
      </w:pPr>
      <w:bookmarkStart w:name="（4）未确认递延所得税资产明细" w:id="285"/>
      <w:bookmarkEnd w:id="285"/>
      <w:r>
        <w:rPr>
          <w:b w:val="0"/>
          <w:bCs w:val="0"/>
        </w:rPr>
      </w:r>
      <w:r>
        <w:rPr/>
        <w:t>（</w:t>
      </w:r>
      <w:r>
        <w:rPr>
          <w:rFonts w:ascii="Times New Roman" w:hAnsi="Times New Roman" w:cs="Times New Roman" w:eastAsia="Times New Roman" w:hint="default"/>
        </w:rPr>
        <w:t>4</w:t>
      </w:r>
      <w:r>
        <w:rPr/>
        <w:t>）未确认递延所得税资产明细</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1"/>
                <w:sz w:val="18"/>
              </w:rPr>
              <w:t>18,869,114.60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17,278,870.31</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18,869,114.60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17,278,870.31</w:t>
            </w:r>
          </w:p>
        </w:tc>
      </w:tr>
    </w:tbl>
    <w:p>
      <w:pPr>
        <w:spacing w:line="240" w:lineRule="auto" w:before="4"/>
        <w:rPr>
          <w:rFonts w:ascii="宋体" w:hAnsi="宋体" w:cs="宋体" w:eastAsia="宋体" w:hint="default"/>
          <w:sz w:val="19"/>
          <w:szCs w:val="19"/>
        </w:rPr>
      </w:pPr>
    </w:p>
    <w:p>
      <w:pPr>
        <w:pStyle w:val="Heading3"/>
        <w:spacing w:line="240" w:lineRule="auto" w:before="34"/>
        <w:ind w:right="0"/>
        <w:jc w:val="left"/>
        <w:rPr>
          <w:b w:val="0"/>
          <w:bCs w:val="0"/>
        </w:rPr>
      </w:pPr>
      <w:bookmarkStart w:name="（5）未确认递延所得税资产的可抵扣亏损将于以下年度到期" w:id="286"/>
      <w:bookmarkEnd w:id="286"/>
      <w:r>
        <w:rPr>
          <w:b w:val="0"/>
          <w:bCs w:val="0"/>
        </w:rPr>
      </w:r>
      <w:r>
        <w:rPr/>
        <w:t>（</w:t>
      </w:r>
      <w:r>
        <w:rPr>
          <w:rFonts w:ascii="Times New Roman" w:hAnsi="Times New Roman" w:cs="Times New Roman" w:eastAsia="Times New Roman" w:hint="default"/>
        </w:rPr>
        <w:t>5</w:t>
      </w:r>
      <w:r>
        <w:rPr/>
        <w:t>）未确认递延所得税资产的可抵扣亏损将于以下年度到期</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89"/>
        <w:gridCol w:w="2395"/>
        <w:gridCol w:w="2392"/>
        <w:gridCol w:w="2392"/>
      </w:tblGrid>
      <w:tr>
        <w:trPr>
          <w:trHeight w:val="402" w:hRule="exact"/>
        </w:trPr>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年份</w:t>
            </w:r>
          </w:p>
        </w:tc>
        <w:tc>
          <w:tcPr>
            <w:tcW w:w="2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备注</w:t>
            </w:r>
          </w:p>
        </w:tc>
      </w:tr>
    </w:tbl>
    <w:p>
      <w:pPr>
        <w:pStyle w:val="BodyText"/>
        <w:spacing w:line="240" w:lineRule="auto" w:before="49"/>
        <w:ind w:right="0"/>
        <w:jc w:val="left"/>
      </w:pPr>
      <w:r>
        <w:rPr/>
        <w:t>其他说明：</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0"/>
        <w:jc w:val="left"/>
        <w:rPr>
          <w:b w:val="0"/>
          <w:bCs w:val="0"/>
        </w:rPr>
      </w:pPr>
      <w:bookmarkStart w:name="18、短期借款" w:id="287"/>
      <w:bookmarkEnd w:id="287"/>
      <w:r>
        <w:rPr>
          <w:b w:val="0"/>
          <w:bCs w:val="0"/>
        </w:rPr>
      </w:r>
      <w:r>
        <w:rPr>
          <w:rFonts w:ascii="Times New Roman" w:hAnsi="Times New Roman" w:cs="Times New Roman" w:eastAsia="Times New Roman" w:hint="default"/>
        </w:rPr>
        <w:t>18</w:t>
      </w:r>
      <w:r>
        <w:rPr/>
        <w:t>、短期借款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短期借款分类" w:id="288"/>
      <w:bookmarkEnd w:id="288"/>
      <w:r>
        <w:rPr>
          <w:b w:val="0"/>
          <w:bCs w:val="0"/>
        </w:rPr>
      </w:r>
      <w:r>
        <w:rPr/>
        <w:t>（</w:t>
      </w:r>
      <w:r>
        <w:rPr>
          <w:rFonts w:ascii="Times New Roman" w:hAnsi="Times New Roman" w:cs="Times New Roman" w:eastAsia="Times New Roman" w:hint="default"/>
        </w:rPr>
        <w:t>1</w:t>
      </w:r>
      <w:r>
        <w:rPr/>
        <w:t>）短期借款分类</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177,500,000.00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100,000,000.00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177,500,000.00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100,000,000.00</w:t>
            </w:r>
          </w:p>
        </w:tc>
      </w:tr>
    </w:tbl>
    <w:p>
      <w:pPr>
        <w:pStyle w:val="BodyText"/>
        <w:spacing w:line="240" w:lineRule="auto" w:before="49"/>
        <w:ind w:right="0"/>
        <w:jc w:val="left"/>
      </w:pPr>
      <w:r>
        <w:rPr/>
        <w:t>短期借款分类的说明：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2）已逾期未偿还的短期借款情况" w:id="289"/>
      <w:bookmarkEnd w:id="289"/>
      <w:r>
        <w:rPr>
          <w:b w:val="0"/>
          <w:bCs w:val="0"/>
        </w:rPr>
      </w:r>
      <w:r>
        <w:rPr/>
        <w:t>（</w:t>
      </w:r>
      <w:r>
        <w:rPr>
          <w:rFonts w:ascii="Times New Roman" w:hAnsi="Times New Roman" w:cs="Times New Roman" w:eastAsia="Times New Roman" w:hint="default"/>
        </w:rPr>
        <w:t>2</w:t>
      </w:r>
      <w:r>
        <w:rPr/>
        <w:t>）已逾期未偿还的短期借款情况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本期末已逾期未偿还的短期借款总额为元，其中重要的已逾期未偿还的短期借款情况如下：</w:t>
      </w:r>
    </w:p>
    <w:p>
      <w:pPr>
        <w:pStyle w:val="BodyText"/>
        <w:spacing w:line="240" w:lineRule="auto" w:before="117"/>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借款利率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逾期利率</w:t>
            </w:r>
          </w:p>
        </w:tc>
      </w:tr>
    </w:tbl>
    <w:p>
      <w:pPr>
        <w:pStyle w:val="BodyText"/>
        <w:spacing w:line="240" w:lineRule="auto" w:before="51"/>
        <w:ind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19、应付票据及应付账款" w:id="290"/>
      <w:bookmarkEnd w:id="290"/>
      <w:r>
        <w:rPr>
          <w:b w:val="0"/>
          <w:bCs w:val="0"/>
        </w:rPr>
      </w:r>
      <w:r>
        <w:rPr>
          <w:rFonts w:ascii="Times New Roman" w:hAnsi="Times New Roman" w:cs="Times New Roman" w:eastAsia="Times New Roman" w:hint="default"/>
        </w:rPr>
        <w:t>19</w:t>
      </w:r>
      <w:r>
        <w:rPr/>
        <w:t>、应付票据及应付账款</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7,249,126.60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1,886,791.00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224,340,891.35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159,527,181.08</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231,590,017.95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161,413,972.08</w:t>
            </w:r>
          </w:p>
        </w:tc>
      </w:tr>
    </w:tbl>
    <w:p>
      <w:pPr>
        <w:spacing w:line="240" w:lineRule="auto" w:before="5"/>
        <w:rPr>
          <w:rFonts w:ascii="宋体" w:hAnsi="宋体" w:cs="宋体" w:eastAsia="宋体" w:hint="default"/>
          <w:sz w:val="19"/>
          <w:szCs w:val="19"/>
        </w:rPr>
      </w:pPr>
    </w:p>
    <w:p>
      <w:pPr>
        <w:pStyle w:val="Heading3"/>
        <w:spacing w:line="240" w:lineRule="auto" w:before="34"/>
        <w:ind w:right="0"/>
        <w:jc w:val="left"/>
        <w:rPr>
          <w:b w:val="0"/>
          <w:bCs w:val="0"/>
        </w:rPr>
      </w:pPr>
      <w:bookmarkStart w:name="（1）应付票据分类列示" w:id="291"/>
      <w:bookmarkEnd w:id="291"/>
      <w:r>
        <w:rPr>
          <w:b w:val="0"/>
          <w:bCs w:val="0"/>
        </w:rPr>
      </w:r>
      <w:r>
        <w:rPr/>
        <w:t>（</w:t>
      </w:r>
      <w:r>
        <w:rPr>
          <w:rFonts w:ascii="Times New Roman" w:hAnsi="Times New Roman" w:cs="Times New Roman" w:eastAsia="Times New Roman" w:hint="default"/>
        </w:rPr>
        <w:t>1</w:t>
      </w:r>
      <w:r>
        <w:rPr/>
        <w:t>）应付票据分类列示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7,249,126.60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1,886,791.00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7,249,126.60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1,886,791.00</w:t>
            </w:r>
          </w:p>
        </w:tc>
      </w:tr>
    </w:tbl>
    <w:p>
      <w:pPr>
        <w:pStyle w:val="BodyText"/>
        <w:spacing w:line="240" w:lineRule="auto" w:before="51"/>
        <w:ind w:right="0"/>
        <w:jc w:val="left"/>
      </w:pPr>
      <w:r>
        <w:rPr/>
        <w:t>本期末已到期未支付的应付票据总额为</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spacing w:line="240" w:lineRule="auto" w:before="10"/>
        <w:rPr>
          <w:rFonts w:ascii="宋体" w:hAnsi="宋体" w:cs="宋体" w:eastAsia="宋体" w:hint="default"/>
          <w:sz w:val="25"/>
          <w:szCs w:val="25"/>
        </w:rPr>
      </w:pPr>
    </w:p>
    <w:p>
      <w:pPr>
        <w:pStyle w:val="Heading3"/>
        <w:spacing w:line="240" w:lineRule="auto"/>
        <w:ind w:right="0"/>
        <w:jc w:val="left"/>
        <w:rPr>
          <w:b w:val="0"/>
          <w:bCs w:val="0"/>
        </w:rPr>
      </w:pPr>
      <w:bookmarkStart w:name="（2）应付账款列示" w:id="292"/>
      <w:bookmarkEnd w:id="292"/>
      <w:r>
        <w:rPr>
          <w:b w:val="0"/>
          <w:bCs w:val="0"/>
        </w:rPr>
      </w:r>
      <w:r>
        <w:rPr/>
        <w:t>（</w:t>
      </w:r>
      <w:r>
        <w:rPr>
          <w:rFonts w:ascii="Times New Roman" w:hAnsi="Times New Roman" w:cs="Times New Roman" w:eastAsia="Times New Roman" w:hint="default"/>
        </w:rPr>
        <w:t>2</w:t>
      </w:r>
      <w:r>
        <w:rPr/>
        <w:t>）应付账款列示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206,054,550.66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135,989,593.06</w:t>
            </w:r>
          </w:p>
        </w:tc>
      </w:tr>
      <w:tr>
        <w:trPr>
          <w:trHeight w:val="400"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工程款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6,744,403.06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16,396,088.64</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11,541,937.63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7,141,499.38</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224,340,891.35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159,527,181.08</w:t>
            </w:r>
          </w:p>
        </w:tc>
      </w:tr>
    </w:tbl>
    <w:p>
      <w:pPr>
        <w:spacing w:line="240" w:lineRule="auto" w:before="3"/>
        <w:rPr>
          <w:rFonts w:ascii="宋体" w:hAnsi="宋体" w:cs="宋体" w:eastAsia="宋体" w:hint="default"/>
          <w:sz w:val="19"/>
          <w:szCs w:val="19"/>
        </w:rPr>
      </w:pPr>
    </w:p>
    <w:p>
      <w:pPr>
        <w:pStyle w:val="Heading3"/>
        <w:spacing w:line="240" w:lineRule="auto" w:before="34"/>
        <w:ind w:right="0"/>
        <w:jc w:val="left"/>
        <w:rPr>
          <w:b w:val="0"/>
          <w:bCs w:val="0"/>
        </w:rPr>
      </w:pPr>
      <w:bookmarkStart w:name="（3）账龄超过1年的重要应付账款" w:id="293"/>
      <w:bookmarkEnd w:id="293"/>
      <w:r>
        <w:rPr>
          <w:b w:val="0"/>
          <w:bCs w:val="0"/>
        </w:rPr>
      </w:r>
      <w:r>
        <w:rPr/>
        <w:t>（</w:t>
      </w:r>
      <w:r>
        <w:rPr>
          <w:rFonts w:ascii="Times New Roman" w:hAnsi="Times New Roman" w:cs="Times New Roman" w:eastAsia="Times New Roman" w:hint="default"/>
        </w:rPr>
        <w:t>3</w:t>
      </w:r>
      <w:r>
        <w:rPr/>
        <w:t>）账龄超过</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t>年的重要应付账款</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7"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bl>
    <w:p>
      <w:pPr>
        <w:pStyle w:val="BodyText"/>
        <w:spacing w:line="240" w:lineRule="auto" w:before="50"/>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20、预收款项" w:id="294"/>
      <w:bookmarkEnd w:id="294"/>
      <w:r>
        <w:rPr>
          <w:b w:val="0"/>
          <w:bCs w:val="0"/>
        </w:rPr>
      </w:r>
      <w:r>
        <w:rPr>
          <w:rFonts w:ascii="Times New Roman" w:hAnsi="Times New Roman" w:cs="Times New Roman" w:eastAsia="Times New Roman" w:hint="default"/>
        </w:rPr>
        <w:t>20</w:t>
      </w:r>
      <w:r>
        <w:rPr/>
        <w:t>、预收款项</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1）预收款项列示" w:id="295"/>
      <w:bookmarkEnd w:id="295"/>
      <w:r>
        <w:rPr>
          <w:b w:val="0"/>
          <w:bCs w:val="0"/>
        </w:rPr>
      </w:r>
      <w:r>
        <w:rPr/>
        <w:t>（</w:t>
      </w:r>
      <w:r>
        <w:rPr>
          <w:rFonts w:ascii="Times New Roman" w:hAnsi="Times New Roman" w:cs="Times New Roman" w:eastAsia="Times New Roman" w:hint="default"/>
        </w:rPr>
        <w:t>1</w:t>
      </w:r>
      <w:r>
        <w:rPr/>
        <w:t>）预收款项列示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150,543,651.20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171,602,219.70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630,828.52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457,383.17</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151,174,479.72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172,059,602.87</w:t>
            </w:r>
          </w:p>
        </w:tc>
      </w:tr>
    </w:tbl>
    <w:p>
      <w:pPr>
        <w:spacing w:line="240" w:lineRule="auto" w:before="2"/>
        <w:rPr>
          <w:rFonts w:ascii="宋体" w:hAnsi="宋体" w:cs="宋体" w:eastAsia="宋体" w:hint="default"/>
          <w:sz w:val="19"/>
          <w:szCs w:val="19"/>
        </w:rPr>
      </w:pPr>
    </w:p>
    <w:p>
      <w:pPr>
        <w:pStyle w:val="Heading3"/>
        <w:spacing w:line="240" w:lineRule="auto" w:before="34"/>
        <w:ind w:right="0"/>
        <w:jc w:val="left"/>
        <w:rPr>
          <w:b w:val="0"/>
          <w:bCs w:val="0"/>
        </w:rPr>
      </w:pPr>
      <w:bookmarkStart w:name="（2）账龄超过1年的重要预收款项" w:id="296"/>
      <w:bookmarkEnd w:id="296"/>
      <w:r>
        <w:rPr>
          <w:b w:val="0"/>
          <w:bCs w:val="0"/>
        </w:rPr>
      </w:r>
      <w:r>
        <w:rPr/>
        <w:t>（</w:t>
      </w:r>
      <w:r>
        <w:rPr>
          <w:rFonts w:ascii="Times New Roman" w:hAnsi="Times New Roman" w:cs="Times New Roman" w:eastAsia="Times New Roman" w:hint="default"/>
        </w:rPr>
        <w:t>2</w:t>
      </w:r>
      <w:r>
        <w:rPr/>
        <w:t>）账龄超过</w:t>
      </w:r>
      <w:r>
        <w:rPr>
          <w:spacing w:val="-55"/>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t>年的重要预收款项</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77"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bl>
    <w:p>
      <w:pPr>
        <w:spacing w:line="240" w:lineRule="auto" w:before="5"/>
        <w:rPr>
          <w:rFonts w:ascii="宋体" w:hAnsi="宋体" w:cs="宋体" w:eastAsia="宋体" w:hint="default"/>
          <w:sz w:val="19"/>
          <w:szCs w:val="19"/>
        </w:rPr>
      </w:pPr>
    </w:p>
    <w:p>
      <w:pPr>
        <w:pStyle w:val="Heading3"/>
        <w:spacing w:line="240" w:lineRule="auto" w:before="34"/>
        <w:ind w:right="0"/>
        <w:jc w:val="left"/>
        <w:rPr>
          <w:b w:val="0"/>
          <w:bCs w:val="0"/>
        </w:rPr>
      </w:pPr>
      <w:bookmarkStart w:name="（3）期末建造合同形成的已结算未完工项目情况" w:id="297"/>
      <w:bookmarkEnd w:id="297"/>
      <w:r>
        <w:rPr>
          <w:b w:val="0"/>
          <w:bCs w:val="0"/>
        </w:rPr>
      </w:r>
      <w:r>
        <w:rPr/>
        <w:t>（</w:t>
      </w:r>
      <w:r>
        <w:rPr>
          <w:rFonts w:ascii="Times New Roman" w:hAnsi="Times New Roman" w:cs="Times New Roman" w:eastAsia="Times New Roman" w:hint="default"/>
        </w:rPr>
        <w:t>3</w:t>
      </w:r>
      <w:r>
        <w:rPr/>
        <w:t>）期末建造合同形成的已结算未完工项目情况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单位：元</w:t>
      </w:r>
    </w:p>
    <w:p>
      <w:pPr>
        <w:spacing w:line="240" w:lineRule="auto" w:before="11"/>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4pt;height:20.85pt;mso-position-horizontal-relative:char;mso-position-vertical-relative:line" coordorigin="0,0" coordsize="9588,417">
            <v:group style="position:absolute;left:13;top:12;width:4774;height:397" coordorigin="13,12" coordsize="4774,397">
              <v:shape style="position:absolute;left:13;top:12;width:4774;height:397" coordorigin="13,12" coordsize="4774,397" path="m13,12l4787,12,4787,409,13,409,13,12xe" filled="true" fillcolor="#d2d2d2" stroked="false">
                <v:path arrowok="t"/>
                <v:fill type="solid"/>
              </v:shape>
            </v:group>
            <v:group style="position:absolute;left:4792;top:12;width:4784;height:397" coordorigin="4792,12" coordsize="4784,397">
              <v:shape style="position:absolute;left:4792;top:12;width:4784;height:397" coordorigin="4792,12" coordsize="4784,397" path="m4792,12l9576,12,9576,409,4792,409,4792,12xe" filled="true" fillcolor="#d2d2d2"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89;top:5;width:2;height:402" coordorigin="4789,5" coordsize="2,402">
              <v:shape style="position:absolute;left:4789;top:5;width:2;height:402" coordorigin="4789,5" coordsize="0,402" path="m4789,5l4789,407e" filled="false" stroked="true" strokeweight=".48pt" strokecolor="#000000">
                <v:path arrowok="t"/>
              </v:shape>
            </v:group>
            <v:group style="position:absolute;left:9578;top:5;width:2;height:402" coordorigin="9578,5" coordsize="2,402">
              <v:shape style="position:absolute;left:9578;top:5;width:2;height:402" coordorigin="9578,5" coordsize="0,402" path="m9578,5l9578,407e" filled="false" stroked="true" strokeweight=".48pt" strokecolor="#000000">
                <v:path arrowok="t"/>
              </v:shape>
              <v:shape style="position:absolute;left:2219;top:12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7002;top:12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group>
          </v:group>
        </w:pict>
      </w:r>
      <w:r>
        <w:rPr>
          <w:rFonts w:ascii="宋体" w:hAnsi="宋体" w:cs="宋体" w:eastAsia="宋体" w:hint="default"/>
          <w:position w:val="-7"/>
          <w:sz w:val="20"/>
          <w:szCs w:val="20"/>
        </w:rPr>
      </w:r>
    </w:p>
    <w:p>
      <w:pPr>
        <w:pStyle w:val="BodyText"/>
        <w:spacing w:line="240" w:lineRule="auto" w:before="49"/>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21、应付职工薪酬" w:id="298"/>
      <w:bookmarkEnd w:id="298"/>
      <w:r>
        <w:rPr>
          <w:b w:val="0"/>
          <w:bCs w:val="0"/>
        </w:rPr>
      </w:r>
      <w:r>
        <w:rPr>
          <w:rFonts w:ascii="Times New Roman" w:hAnsi="Times New Roman" w:cs="Times New Roman" w:eastAsia="Times New Roman" w:hint="default"/>
        </w:rPr>
        <w:t>21</w:t>
      </w:r>
      <w:r>
        <w:rPr/>
        <w:t>、应付职工薪酬</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1）应付职工薪酬列示" w:id="299"/>
      <w:bookmarkEnd w:id="299"/>
      <w:r>
        <w:rPr>
          <w:b w:val="0"/>
          <w:bCs w:val="0"/>
        </w:rPr>
      </w:r>
      <w:r>
        <w:rPr/>
        <w:t>（</w:t>
      </w:r>
      <w:r>
        <w:rPr>
          <w:rFonts w:ascii="Times New Roman" w:hAnsi="Times New Roman" w:cs="Times New Roman" w:eastAsia="Times New Roman" w:hint="default"/>
        </w:rPr>
        <w:t>1</w:t>
      </w:r>
      <w:r>
        <w:rPr/>
        <w:t>）应付职工薪酬列示</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47,541,551.86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444,105,165.85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447,997,003.10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43,649,714.61</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18"/>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 提存计划</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2,616,837.03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28,292,182.56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29,469,346.14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1,439,673.45</w:t>
            </w:r>
          </w:p>
        </w:tc>
      </w:tr>
      <w:tr>
        <w:trPr>
          <w:trHeight w:val="400"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916"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457,093.00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457,093.00</w:t>
            </w: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67" w:right="0"/>
              <w:jc w:val="left"/>
              <w:rPr>
                <w:rFonts w:ascii="Times New Roman" w:hAnsi="Times New Roman" w:cs="Times New Roman" w:eastAsia="Times New Roman" w:hint="default"/>
                <w:sz w:val="18"/>
                <w:szCs w:val="18"/>
              </w:rPr>
            </w:pPr>
            <w:r>
              <w:rPr>
                <w:rFonts w:ascii="Times New Roman"/>
                <w:sz w:val="18"/>
              </w:rPr>
              <w:t>50,158,388.89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675" w:right="0"/>
              <w:jc w:val="left"/>
              <w:rPr>
                <w:rFonts w:ascii="Times New Roman" w:hAnsi="Times New Roman" w:cs="Times New Roman" w:eastAsia="Times New Roman" w:hint="default"/>
                <w:sz w:val="18"/>
                <w:szCs w:val="18"/>
              </w:rPr>
            </w:pPr>
            <w:r>
              <w:rPr>
                <w:rFonts w:ascii="Times New Roman"/>
                <w:sz w:val="18"/>
              </w:rPr>
              <w:t>472,854,441.41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676" w:right="0"/>
              <w:jc w:val="left"/>
              <w:rPr>
                <w:rFonts w:ascii="Times New Roman" w:hAnsi="Times New Roman" w:cs="Times New Roman" w:eastAsia="Times New Roman" w:hint="default"/>
                <w:sz w:val="18"/>
                <w:szCs w:val="18"/>
              </w:rPr>
            </w:pPr>
            <w:r>
              <w:rPr>
                <w:rFonts w:ascii="Times New Roman"/>
                <w:sz w:val="18"/>
              </w:rPr>
              <w:t>477,923,442.24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66" w:right="0"/>
              <w:jc w:val="left"/>
              <w:rPr>
                <w:rFonts w:ascii="Times New Roman" w:hAnsi="Times New Roman" w:cs="Times New Roman" w:eastAsia="Times New Roman" w:hint="default"/>
                <w:sz w:val="18"/>
                <w:szCs w:val="18"/>
              </w:rPr>
            </w:pPr>
            <w:r>
              <w:rPr>
                <w:rFonts w:ascii="Times New Roman"/>
                <w:sz w:val="18"/>
              </w:rPr>
              <w:t>45,089,388.06</w:t>
            </w:r>
          </w:p>
        </w:tc>
      </w:tr>
    </w:tbl>
    <w:p>
      <w:pPr>
        <w:spacing w:line="240" w:lineRule="auto" w:before="4"/>
        <w:rPr>
          <w:rFonts w:ascii="宋体" w:hAnsi="宋体" w:cs="宋体" w:eastAsia="宋体" w:hint="default"/>
          <w:sz w:val="19"/>
          <w:szCs w:val="19"/>
        </w:rPr>
      </w:pPr>
    </w:p>
    <w:p>
      <w:pPr>
        <w:pStyle w:val="Heading3"/>
        <w:spacing w:line="240" w:lineRule="auto" w:before="34"/>
        <w:ind w:right="0"/>
        <w:jc w:val="left"/>
        <w:rPr>
          <w:b w:val="0"/>
          <w:bCs w:val="0"/>
        </w:rPr>
      </w:pPr>
      <w:bookmarkStart w:name="（2）短期薪酬列示" w:id="300"/>
      <w:bookmarkEnd w:id="300"/>
      <w:r>
        <w:rPr>
          <w:b w:val="0"/>
          <w:bCs w:val="0"/>
        </w:rPr>
      </w:r>
      <w:r>
        <w:rPr/>
        <w:t>（</w:t>
      </w:r>
      <w:r>
        <w:rPr>
          <w:rFonts w:ascii="Times New Roman" w:hAnsi="Times New Roman" w:cs="Times New Roman" w:eastAsia="Times New Roman" w:hint="default"/>
        </w:rPr>
        <w:t>2</w:t>
      </w:r>
      <w:r>
        <w:rPr/>
        <w:t>）短期薪酬列示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1" w:right="10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、工资、奖金、津贴</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和补贴</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43,459,563.72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380,657,873.54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382,708,442.05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41,408,995.21</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350,070.96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25,902,933.41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26,253,004.37</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2,184,676.63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18,661,019.97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19,562,877.40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1,282,819.20</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其中：医疗保险</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1,974,201.36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16,742,568.94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17,572,790.84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1,143,979.46</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2" w:right="0"/>
              <w:jc w:val="left"/>
              <w:rPr>
                <w:rFonts w:ascii="宋体" w:hAnsi="宋体" w:cs="宋体" w:eastAsia="宋体" w:hint="default"/>
                <w:sz w:val="18"/>
                <w:szCs w:val="18"/>
              </w:rPr>
            </w:pPr>
            <w:r>
              <w:rPr>
                <w:rFonts w:ascii="宋体" w:hAnsi="宋体" w:cs="宋体" w:eastAsia="宋体" w:hint="default"/>
                <w:sz w:val="18"/>
                <w:szCs w:val="18"/>
              </w:rPr>
              <w:t>工伤保险</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36,291.52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415,162.74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6"/>
              <w:jc w:val="right"/>
              <w:rPr>
                <w:rFonts w:ascii="Times New Roman" w:hAnsi="Times New Roman" w:cs="Times New Roman" w:eastAsia="Times New Roman" w:hint="default"/>
                <w:sz w:val="18"/>
                <w:szCs w:val="18"/>
              </w:rPr>
            </w:pPr>
            <w:r>
              <w:rPr>
                <w:rFonts w:ascii="Times New Roman"/>
                <w:spacing w:val="-1"/>
                <w:sz w:val="18"/>
              </w:rPr>
              <w:t>406,785.11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44,669.15</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02" w:right="0"/>
              <w:jc w:val="left"/>
              <w:rPr>
                <w:rFonts w:ascii="宋体" w:hAnsi="宋体" w:cs="宋体" w:eastAsia="宋体" w:hint="default"/>
                <w:sz w:val="18"/>
                <w:szCs w:val="18"/>
              </w:rPr>
            </w:pPr>
            <w:r>
              <w:rPr>
                <w:rFonts w:ascii="宋体" w:hAnsi="宋体" w:cs="宋体" w:eastAsia="宋体" w:hint="default"/>
                <w:sz w:val="18"/>
                <w:szCs w:val="18"/>
              </w:rPr>
              <w:t>生育保险</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174,183.75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1,503,288.29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1,583,301.45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94,170.59</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398,073.00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17,595,173.09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17,875,886.09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117,360.00</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0"/>
              <w:ind w:left="101" w:right="10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、工会经费和职工教</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育经费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1,149,167.55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1,288,165.84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1,596,793.19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840,540.20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47,541,551.86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444,105,165.85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447,997,003.10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43,649,714.61</w:t>
            </w:r>
          </w:p>
        </w:tc>
      </w:tr>
    </w:tbl>
    <w:p>
      <w:pPr>
        <w:spacing w:line="240" w:lineRule="auto" w:before="4"/>
        <w:rPr>
          <w:rFonts w:ascii="宋体" w:hAnsi="宋体" w:cs="宋体" w:eastAsia="宋体" w:hint="default"/>
          <w:sz w:val="19"/>
          <w:szCs w:val="19"/>
        </w:rPr>
      </w:pPr>
    </w:p>
    <w:p>
      <w:pPr>
        <w:pStyle w:val="Heading3"/>
        <w:spacing w:line="240" w:lineRule="auto" w:before="34"/>
        <w:ind w:right="0"/>
        <w:jc w:val="left"/>
        <w:rPr>
          <w:b w:val="0"/>
          <w:bCs w:val="0"/>
        </w:rPr>
      </w:pPr>
      <w:bookmarkStart w:name="（3）设定提存计划列示" w:id="301"/>
      <w:bookmarkEnd w:id="301"/>
      <w:r>
        <w:rPr>
          <w:b w:val="0"/>
          <w:bCs w:val="0"/>
        </w:rPr>
      </w:r>
      <w:r>
        <w:rPr/>
        <w:t>（</w:t>
      </w:r>
      <w:r>
        <w:rPr>
          <w:rFonts w:ascii="Times New Roman" w:hAnsi="Times New Roman" w:cs="Times New Roman" w:eastAsia="Times New Roman" w:hint="default"/>
        </w:rPr>
        <w:t>3</w:t>
      </w:r>
      <w:r>
        <w:rPr/>
        <w:t>）设定提存计划列示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、基本养老保险</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2,525,426.75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27,152,287.31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28,284,439.78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1,393,274.28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、失业保险费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91,410.28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1,139,895.25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1,184,906.36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46,399.17</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2,616,837.03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28,292,182.56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29,469,346.14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1,439,673.45</w:t>
            </w:r>
          </w:p>
        </w:tc>
      </w:tr>
    </w:tbl>
    <w:p>
      <w:pPr>
        <w:pStyle w:val="BodyText"/>
        <w:spacing w:line="240" w:lineRule="auto" w:before="49"/>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22、应交税费" w:id="302"/>
      <w:bookmarkEnd w:id="302"/>
      <w:r>
        <w:rPr>
          <w:b w:val="0"/>
          <w:bCs w:val="0"/>
        </w:rPr>
      </w:r>
      <w:r>
        <w:rPr>
          <w:rFonts w:ascii="Times New Roman" w:hAnsi="Times New Roman" w:cs="Times New Roman" w:eastAsia="Times New Roman" w:hint="default"/>
        </w:rPr>
        <w:t>22</w:t>
      </w:r>
      <w:r>
        <w:rPr/>
        <w:t>、应交税费</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28,556,414.94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18,218,438.09</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11,866,841.44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21,266,238.94</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1"/>
                <w:sz w:val="18"/>
              </w:rPr>
              <w:t>176,437.87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692,932.16</w:t>
            </w:r>
          </w:p>
        </w:tc>
      </w:tr>
      <w:tr>
        <w:trPr>
          <w:trHeight w:val="400"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2,352,045.72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1,438,449.97</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1,027,460.17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618,252.83</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地方教育附加</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673,434.10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394,675.93</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727,075.30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170,216.07</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13,630.23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z w:val="18"/>
              </w:rPr>
              <w:t>26.37</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180,006.48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57,761.35</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残疾人保障金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75,956.45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67,700.04</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水利建设专项基金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199.95</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45,649,502.65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42,924,691.75</w:t>
            </w:r>
          </w:p>
        </w:tc>
      </w:tr>
    </w:tbl>
    <w:p>
      <w:pPr>
        <w:pStyle w:val="BodyText"/>
        <w:spacing w:line="240" w:lineRule="auto" w:before="50"/>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23、其他应付款" w:id="303"/>
      <w:bookmarkEnd w:id="303"/>
      <w:r>
        <w:rPr>
          <w:b w:val="0"/>
          <w:bCs w:val="0"/>
        </w:rPr>
      </w:r>
      <w:r>
        <w:rPr>
          <w:rFonts w:ascii="Times New Roman" w:hAnsi="Times New Roman" w:cs="Times New Roman" w:eastAsia="Times New Roman" w:hint="default"/>
        </w:rPr>
        <w:t>23</w:t>
      </w:r>
      <w:r>
        <w:rPr/>
        <w:t>、其他应付款</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263,113.28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183,333.33</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380,001.60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2"/>
                <w:sz w:val="18"/>
              </w:rPr>
              <w:t>59,117,283.95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79,789,115.80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59,760,398.83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79,972,449.13</w:t>
            </w:r>
          </w:p>
        </w:tc>
      </w:tr>
    </w:tbl>
    <w:p>
      <w:pPr>
        <w:spacing w:line="240" w:lineRule="auto" w:before="5"/>
        <w:rPr>
          <w:rFonts w:ascii="宋体" w:hAnsi="宋体" w:cs="宋体" w:eastAsia="宋体" w:hint="default"/>
          <w:sz w:val="19"/>
          <w:szCs w:val="19"/>
        </w:rPr>
      </w:pPr>
    </w:p>
    <w:p>
      <w:pPr>
        <w:pStyle w:val="Heading3"/>
        <w:spacing w:line="240" w:lineRule="auto" w:before="34"/>
        <w:ind w:right="0"/>
        <w:jc w:val="left"/>
        <w:rPr>
          <w:b w:val="0"/>
          <w:bCs w:val="0"/>
        </w:rPr>
      </w:pPr>
      <w:bookmarkStart w:name="（1）应付利息" w:id="304"/>
      <w:bookmarkEnd w:id="304"/>
      <w:r>
        <w:rPr>
          <w:b w:val="0"/>
          <w:bCs w:val="0"/>
        </w:rPr>
      </w:r>
      <w:r>
        <w:rPr/>
        <w:t>（</w:t>
      </w:r>
      <w:r>
        <w:rPr>
          <w:rFonts w:ascii="Times New Roman" w:hAnsi="Times New Roman" w:cs="Times New Roman" w:eastAsia="Times New Roman" w:hint="default"/>
        </w:rPr>
        <w:t>1</w:t>
      </w:r>
      <w:r>
        <w:rPr/>
        <w:t>）应付利息</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263,113.28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183,333.33</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263,113.28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183,333.33</w:t>
            </w:r>
          </w:p>
        </w:tc>
      </w:tr>
    </w:tbl>
    <w:p>
      <w:pPr>
        <w:pStyle w:val="BodyText"/>
        <w:spacing w:line="240" w:lineRule="auto" w:before="51"/>
        <w:ind w:right="0"/>
        <w:jc w:val="left"/>
      </w:pPr>
      <w:r>
        <w:rPr/>
        <w:t>重要的已逾期未支付的利息情况：</w:t>
      </w:r>
    </w:p>
    <w:p>
      <w:pPr>
        <w:pStyle w:val="BodyText"/>
        <w:spacing w:line="240" w:lineRule="auto" w:before="115"/>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借款单位</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逾期金额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逾期原因</w:t>
            </w:r>
          </w:p>
        </w:tc>
      </w:tr>
    </w:tbl>
    <w:p>
      <w:pPr>
        <w:pStyle w:val="BodyText"/>
        <w:spacing w:line="240" w:lineRule="auto" w:before="49"/>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2）应付股利" w:id="305"/>
      <w:bookmarkEnd w:id="305"/>
      <w:r>
        <w:rPr>
          <w:b w:val="0"/>
          <w:bCs w:val="0"/>
        </w:rPr>
      </w:r>
      <w:r>
        <w:rPr/>
        <w:t>（</w:t>
      </w:r>
      <w:r>
        <w:rPr>
          <w:rFonts w:ascii="Times New Roman" w:hAnsi="Times New Roman" w:cs="Times New Roman" w:eastAsia="Times New Roman" w:hint="default"/>
        </w:rPr>
        <w:t>2</w:t>
      </w:r>
      <w:r>
        <w:rPr/>
        <w:t>）应付股利</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普通股股利</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1"/>
                <w:sz w:val="18"/>
              </w:rPr>
              <w:t>380,001.60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380,001.60</w:t>
            </w:r>
          </w:p>
        </w:tc>
        <w:tc>
          <w:tcPr>
            <w:tcW w:w="3189"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0"/>
        <w:ind w:right="0"/>
        <w:jc w:val="left"/>
      </w:pPr>
      <w:r>
        <w:rPr/>
        <w:t>其他说明，包括重要的超过</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年未支付的应付股利，应披露未支付原因：</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0"/>
        <w:jc w:val="left"/>
        <w:rPr>
          <w:b w:val="0"/>
          <w:bCs w:val="0"/>
        </w:rPr>
      </w:pPr>
      <w:bookmarkStart w:name="（3）其他应付款" w:id="306"/>
      <w:bookmarkEnd w:id="306"/>
      <w:r>
        <w:rPr>
          <w:b w:val="0"/>
          <w:bCs w:val="0"/>
        </w:rPr>
      </w:r>
      <w:r>
        <w:rPr/>
        <w:t>（</w:t>
      </w:r>
      <w:r>
        <w:rPr>
          <w:rFonts w:ascii="Times New Roman" w:hAnsi="Times New Roman" w:cs="Times New Roman" w:eastAsia="Times New Roman" w:hint="default"/>
        </w:rPr>
        <w:t>3</w:t>
      </w:r>
      <w:r>
        <w:rPr/>
        <w:t>）其他应付款</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按款项性质列示其他应付款</w:t>
      </w:r>
    </w:p>
    <w:p>
      <w:pPr>
        <w:pStyle w:val="BodyText"/>
        <w:spacing w:line="240" w:lineRule="auto" w:before="103"/>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押金保证金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15,628,719.82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3,559,973.32</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应付报销款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7,462,928.79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8,132,823.93</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限制性股票回购义务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29,968,333.46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61,355,035.98</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6,057,301.88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6,741,282.57</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2"/>
                <w:sz w:val="18"/>
              </w:rPr>
              <w:t>59,117,283.95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79,789,115.80</w:t>
            </w:r>
          </w:p>
        </w:tc>
      </w:tr>
    </w:tbl>
    <w:p>
      <w:pPr>
        <w:pStyle w:val="BodyText"/>
        <w:spacing w:line="240" w:lineRule="auto" w:before="50"/>
        <w:ind w:right="0"/>
        <w:jc w:val="left"/>
      </w:pPr>
      <w:r>
        <w:rPr>
          <w:rFonts w:ascii="Times New Roman" w:hAnsi="Times New Roman" w:cs="Times New Roman" w:eastAsia="Times New Roman" w:hint="default"/>
        </w:rPr>
        <w:t>2)</w:t>
      </w:r>
      <w:r>
        <w:rPr/>
        <w:t>账龄超过</w:t>
      </w:r>
      <w:r>
        <w:rPr>
          <w:spacing w:val="-47"/>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年的重要其他应付款</w:t>
      </w:r>
    </w:p>
    <w:p>
      <w:pPr>
        <w:pStyle w:val="BodyText"/>
        <w:spacing w:line="240" w:lineRule="auto" w:before="103"/>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77"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限制性股票回购义务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29,968,333.46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尚未解锁</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29,968,333.46</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right="0"/>
        <w:jc w:val="left"/>
      </w:pPr>
      <w:r>
        <w:rPr/>
        <w:t>其他说明</w:t>
      </w:r>
    </w:p>
    <w:p>
      <w:pPr>
        <w:pStyle w:val="BodyText"/>
        <w:spacing w:line="309" w:lineRule="auto" w:before="117"/>
        <w:ind w:right="0" w:firstLine="360"/>
        <w:jc w:val="left"/>
      </w:pPr>
      <w:r>
        <w:rPr/>
        <w:t>限制性股票回购义务具体情况详见本财务报表附注库存股之注释。另，库存股项目列示的限制性股票回购义务 </w:t>
      </w:r>
      <w:r>
        <w:rPr>
          <w:rFonts w:ascii="Times New Roman" w:hAnsi="Times New Roman" w:cs="Times New Roman" w:eastAsia="Times New Roman" w:hint="default"/>
          <w:spacing w:val="-1"/>
        </w:rPr>
        <w:t>30,481,062.21</w:t>
      </w:r>
      <w:r>
        <w:rPr>
          <w:spacing w:val="-1"/>
        </w:rPr>
        <w:t>元大于其他应付款</w:t>
      </w:r>
      <w:r>
        <w:rPr>
          <w:rFonts w:ascii="Times New Roman" w:hAnsi="Times New Roman" w:cs="Times New Roman" w:eastAsia="Times New Roman" w:hint="default"/>
          <w:spacing w:val="-1"/>
        </w:rPr>
        <w:t>29,968,333.46</w:t>
      </w:r>
      <w:r>
        <w:rPr>
          <w:spacing w:val="-1"/>
        </w:rPr>
        <w:t>元的差额</w:t>
      </w:r>
      <w:r>
        <w:rPr>
          <w:rFonts w:ascii="Times New Roman" w:hAnsi="Times New Roman" w:cs="Times New Roman" w:eastAsia="Times New Roman" w:hint="default"/>
          <w:spacing w:val="-1"/>
        </w:rPr>
        <w:t>512,728.75</w:t>
      </w:r>
      <w:r>
        <w:rPr>
          <w:spacing w:val="-1"/>
        </w:rPr>
        <w:t>元，系本期公司已回购徐周等</w:t>
      </w:r>
      <w:r>
        <w:rPr>
          <w:rFonts w:ascii="Times New Roman" w:hAnsi="Times New Roman" w:cs="Times New Roman" w:eastAsia="Times New Roman" w:hint="default"/>
          <w:spacing w:val="-1"/>
        </w:rPr>
        <w:t>7</w:t>
      </w:r>
      <w:r>
        <w:rPr>
          <w:spacing w:val="-1"/>
        </w:rPr>
        <w:t>位自然人限制性股票</w:t>
      </w:r>
      <w:r>
        <w:rPr>
          <w:rFonts w:ascii="Times New Roman" w:hAnsi="Times New Roman" w:cs="Times New Roman" w:eastAsia="Times New Roman" w:hint="default"/>
          <w:spacing w:val="-1"/>
        </w:rPr>
        <w:t>57,750</w:t>
      </w:r>
      <w:r>
        <w:rPr>
          <w:rFonts w:ascii="Times New Roman" w:hAnsi="Times New Roman" w:cs="Times New Roman" w:eastAsia="Times New Roman" w:hint="default"/>
          <w:spacing w:val="13"/>
        </w:rPr>
        <w:t> </w:t>
      </w:r>
      <w:r>
        <w:rPr>
          <w:rFonts w:ascii="Times New Roman" w:hAnsi="Times New Roman" w:cs="Times New Roman" w:eastAsia="Times New Roman" w:hint="default"/>
          <w:spacing w:val="13"/>
        </w:rPr>
      </w:r>
      <w:r>
        <w:rPr/>
        <w:t>股，但尚未完成股票注销手续所致。</w:t>
      </w:r>
    </w:p>
    <w:p>
      <w:pPr>
        <w:spacing w:line="240" w:lineRule="auto" w:before="11"/>
        <w:rPr>
          <w:rFonts w:ascii="宋体" w:hAnsi="宋体" w:cs="宋体" w:eastAsia="宋体" w:hint="default"/>
          <w:sz w:val="22"/>
          <w:szCs w:val="22"/>
        </w:rPr>
      </w:pPr>
    </w:p>
    <w:p>
      <w:pPr>
        <w:pStyle w:val="Heading3"/>
        <w:spacing w:line="240" w:lineRule="auto"/>
        <w:ind w:right="0"/>
        <w:jc w:val="left"/>
        <w:rPr>
          <w:b w:val="0"/>
          <w:bCs w:val="0"/>
        </w:rPr>
      </w:pPr>
      <w:bookmarkStart w:name="24、递延收益" w:id="307"/>
      <w:bookmarkEnd w:id="307"/>
      <w:r>
        <w:rPr>
          <w:b w:val="0"/>
          <w:bCs w:val="0"/>
        </w:rPr>
      </w:r>
      <w:r>
        <w:rPr>
          <w:rFonts w:ascii="Times New Roman" w:hAnsi="Times New Roman" w:cs="Times New Roman" w:eastAsia="Times New Roman" w:hint="default"/>
        </w:rPr>
        <w:t>24</w:t>
      </w:r>
      <w:r>
        <w:rPr/>
        <w:t>、递延收益</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4"/>
        <w:gridCol w:w="1596"/>
        <w:gridCol w:w="1594"/>
        <w:gridCol w:w="1594"/>
        <w:gridCol w:w="1594"/>
        <w:gridCol w:w="1594"/>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7" w:right="0"/>
              <w:jc w:val="left"/>
              <w:rPr>
                <w:rFonts w:ascii="Times New Roman" w:hAnsi="Times New Roman" w:cs="Times New Roman" w:eastAsia="Times New Roman" w:hint="default"/>
                <w:sz w:val="18"/>
                <w:szCs w:val="18"/>
              </w:rPr>
            </w:pPr>
            <w:r>
              <w:rPr>
                <w:rFonts w:ascii="Times New Roman"/>
                <w:sz w:val="18"/>
              </w:rPr>
              <w:t>20,643,883.64</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6" w:right="0"/>
              <w:jc w:val="left"/>
              <w:rPr>
                <w:rFonts w:ascii="Times New Roman" w:hAnsi="Times New Roman" w:cs="Times New Roman" w:eastAsia="Times New Roman" w:hint="default"/>
                <w:sz w:val="18"/>
                <w:szCs w:val="18"/>
              </w:rPr>
            </w:pPr>
            <w:r>
              <w:rPr>
                <w:rFonts w:ascii="Times New Roman"/>
                <w:sz w:val="18"/>
              </w:rPr>
              <w:t>10,856,916.36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9,786,967.28</w:t>
            </w: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7" w:right="0"/>
              <w:jc w:val="left"/>
              <w:rPr>
                <w:rFonts w:ascii="Times New Roman" w:hAnsi="Times New Roman" w:cs="Times New Roman" w:eastAsia="Times New Roman" w:hint="default"/>
                <w:sz w:val="18"/>
                <w:szCs w:val="18"/>
              </w:rPr>
            </w:pPr>
            <w:r>
              <w:rPr>
                <w:rFonts w:ascii="Times New Roman"/>
                <w:sz w:val="18"/>
              </w:rPr>
              <w:t>20,643,883.64</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6" w:right="0"/>
              <w:jc w:val="left"/>
              <w:rPr>
                <w:rFonts w:ascii="Times New Roman" w:hAnsi="Times New Roman" w:cs="Times New Roman" w:eastAsia="Times New Roman" w:hint="default"/>
                <w:sz w:val="18"/>
                <w:szCs w:val="18"/>
              </w:rPr>
            </w:pPr>
            <w:r>
              <w:rPr>
                <w:rFonts w:ascii="Times New Roman"/>
                <w:sz w:val="18"/>
              </w:rPr>
              <w:t>10,856,916.36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9,786,967.28</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0"/>
        <w:ind w:right="0"/>
        <w:jc w:val="left"/>
      </w:pPr>
      <w:r>
        <w:rPr/>
        <w:t>涉及政府补助的项目：</w:t>
      </w:r>
    </w:p>
    <w:p>
      <w:pPr>
        <w:pStyle w:val="BodyText"/>
        <w:spacing w:line="240" w:lineRule="auto" w:before="117"/>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63"/>
        <w:gridCol w:w="1065"/>
        <w:gridCol w:w="1063"/>
        <w:gridCol w:w="1063"/>
        <w:gridCol w:w="1063"/>
        <w:gridCol w:w="1063"/>
        <w:gridCol w:w="1063"/>
        <w:gridCol w:w="1063"/>
        <w:gridCol w:w="1063"/>
      </w:tblGrid>
      <w:tr>
        <w:trPr>
          <w:trHeight w:val="1026" w:hRule="exact"/>
        </w:trPr>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66" w:right="0"/>
              <w:jc w:val="left"/>
              <w:rPr>
                <w:rFonts w:ascii="宋体" w:hAnsi="宋体" w:cs="宋体" w:eastAsia="宋体" w:hint="default"/>
                <w:sz w:val="18"/>
                <w:szCs w:val="18"/>
              </w:rPr>
            </w:pPr>
            <w:r>
              <w:rPr>
                <w:rFonts w:ascii="宋体" w:hAnsi="宋体" w:cs="宋体" w:eastAsia="宋体" w:hint="default"/>
                <w:sz w:val="18"/>
                <w:szCs w:val="18"/>
              </w:rPr>
              <w:t>负债项目</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66"/>
              <w:jc w:val="right"/>
              <w:rPr>
                <w:rFonts w:ascii="宋体" w:hAnsi="宋体" w:cs="宋体" w:eastAsia="宋体" w:hint="default"/>
                <w:sz w:val="18"/>
                <w:szCs w:val="18"/>
              </w:rPr>
            </w:pPr>
            <w:r>
              <w:rPr>
                <w:rFonts w:ascii="宋体" w:hAnsi="宋体" w:cs="宋体" w:eastAsia="宋体" w:hint="default"/>
                <w:sz w:val="18"/>
                <w:szCs w:val="18"/>
              </w:rPr>
              <w:t>期初余额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65" w:right="166"/>
              <w:jc w:val="left"/>
              <w:rPr>
                <w:rFonts w:ascii="宋体" w:hAnsi="宋体" w:cs="宋体" w:eastAsia="宋体" w:hint="default"/>
                <w:sz w:val="18"/>
                <w:szCs w:val="18"/>
              </w:rPr>
            </w:pPr>
            <w:r>
              <w:rPr>
                <w:rFonts w:ascii="宋体" w:hAnsi="宋体" w:cs="宋体" w:eastAsia="宋体" w:hint="default"/>
                <w:sz w:val="18"/>
                <w:szCs w:val="18"/>
              </w:rPr>
              <w:t>本期新增 补助金额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65" w:right="166"/>
              <w:jc w:val="both"/>
              <w:rPr>
                <w:rFonts w:ascii="宋体" w:hAnsi="宋体" w:cs="宋体" w:eastAsia="宋体" w:hint="default"/>
                <w:sz w:val="18"/>
                <w:szCs w:val="18"/>
              </w:rPr>
            </w:pPr>
            <w:r>
              <w:rPr>
                <w:rFonts w:ascii="宋体" w:hAnsi="宋体" w:cs="宋体" w:eastAsia="宋体" w:hint="default"/>
                <w:sz w:val="18"/>
                <w:szCs w:val="18"/>
              </w:rPr>
              <w:t>本期计入 营业外收 入金额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65" w:right="165"/>
              <w:jc w:val="center"/>
              <w:rPr>
                <w:rFonts w:ascii="宋体" w:hAnsi="宋体" w:cs="宋体" w:eastAsia="宋体" w:hint="default"/>
                <w:sz w:val="18"/>
                <w:szCs w:val="18"/>
              </w:rPr>
            </w:pPr>
            <w:r>
              <w:rPr>
                <w:rFonts w:ascii="宋体" w:hAnsi="宋体" w:cs="宋体" w:eastAsia="宋体" w:hint="default"/>
                <w:sz w:val="18"/>
                <w:szCs w:val="18"/>
              </w:rPr>
              <w:t>本期计入 其他收益 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65" w:right="165"/>
              <w:jc w:val="center"/>
              <w:rPr>
                <w:rFonts w:ascii="宋体" w:hAnsi="宋体" w:cs="宋体" w:eastAsia="宋体" w:hint="default"/>
                <w:sz w:val="18"/>
                <w:szCs w:val="18"/>
              </w:rPr>
            </w:pPr>
            <w:r>
              <w:rPr>
                <w:rFonts w:ascii="宋体" w:hAnsi="宋体" w:cs="宋体" w:eastAsia="宋体" w:hint="default"/>
                <w:sz w:val="18"/>
                <w:szCs w:val="18"/>
              </w:rPr>
              <w:t>本期冲减 成本费用 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66"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66"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140" w:right="141" w:firstLine="2"/>
              <w:jc w:val="center"/>
              <w:rPr>
                <w:rFonts w:ascii="宋体" w:hAnsi="宋体" w:cs="宋体" w:eastAsia="宋体" w:hint="default"/>
                <w:sz w:val="18"/>
                <w:szCs w:val="18"/>
              </w:rPr>
            </w:pPr>
            <w:r>
              <w:rPr>
                <w:rFonts w:ascii="宋体" w:hAnsi="宋体" w:cs="宋体" w:eastAsia="宋体" w:hint="default"/>
                <w:sz w:val="18"/>
                <w:szCs w:val="18"/>
              </w:rPr>
              <w:t>与资产相 关</w:t>
            </w:r>
            <w:r>
              <w:rPr>
                <w:rFonts w:ascii="Times New Roman" w:hAnsi="Times New Roman" w:cs="Times New Roman" w:eastAsia="Times New Roman" w:hint="default"/>
                <w:sz w:val="18"/>
                <w:szCs w:val="18"/>
              </w:rPr>
              <w:t>/</w:t>
            </w:r>
            <w:r>
              <w:rPr>
                <w:rFonts w:ascii="宋体" w:hAnsi="宋体" w:cs="宋体" w:eastAsia="宋体" w:hint="default"/>
                <w:sz w:val="18"/>
                <w:szCs w:val="18"/>
              </w:rPr>
              <w:t>与收益 相关</w:t>
            </w:r>
          </w:p>
        </w:tc>
      </w:tr>
      <w:tr>
        <w:trPr>
          <w:trHeight w:val="357" w:hRule="exact"/>
        </w:trPr>
        <w:tc>
          <w:tcPr>
            <w:tcW w:w="10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战略性新</w:t>
            </w:r>
          </w:p>
        </w:tc>
        <w:tc>
          <w:tcPr>
            <w:tcW w:w="1065" w:type="dxa"/>
            <w:tcBorders>
              <w:top w:val="single" w:sz="4" w:space="0" w:color="000000"/>
              <w:left w:val="single" w:sz="4" w:space="0" w:color="000000"/>
              <w:bottom w:val="nil" w:sz="6" w:space="0" w:color="auto"/>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316" w:hRule="exact"/>
        </w:trPr>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兴产业</w:t>
            </w:r>
            <w:r>
              <w:rPr>
                <w:rFonts w:ascii="Times New Roman" w:hAnsi="Times New Roman" w:cs="Times New Roman" w:eastAsia="Times New Roman" w:hint="default"/>
                <w:sz w:val="18"/>
                <w:szCs w:val="18"/>
              </w:rPr>
              <w:t>"</w:t>
            </w:r>
            <w:r>
              <w:rPr>
                <w:rFonts w:ascii="宋体" w:hAnsi="宋体" w:cs="宋体" w:eastAsia="宋体" w:hint="default"/>
                <w:sz w:val="18"/>
                <w:szCs w:val="18"/>
              </w:rPr>
              <w:t>智</w:t>
            </w:r>
          </w:p>
        </w:tc>
        <w:tc>
          <w:tcPr>
            <w:tcW w:w="1065" w:type="dxa"/>
            <w:tcBorders>
              <w:top w:val="nil" w:sz="6" w:space="0" w:color="auto"/>
              <w:left w:val="single" w:sz="4" w:space="0" w:color="000000"/>
              <w:bottom w:val="nil" w:sz="6" w:space="0" w:color="auto"/>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慧医疗</w:t>
            </w:r>
            <w:r>
              <w:rPr>
                <w:rFonts w:ascii="Times New Roman" w:hAnsi="Times New Roman" w:cs="Times New Roman" w:eastAsia="Times New Roman" w:hint="default"/>
                <w:sz w:val="18"/>
                <w:szCs w:val="18"/>
              </w:rPr>
              <w:t>"</w:t>
            </w:r>
            <w:r>
              <w:rPr>
                <w:rFonts w:ascii="宋体" w:hAnsi="宋体" w:cs="宋体" w:eastAsia="宋体" w:hint="default"/>
                <w:sz w:val="18"/>
                <w:szCs w:val="18"/>
              </w:rPr>
              <w:t>软</w:t>
            </w:r>
          </w:p>
        </w:tc>
        <w:tc>
          <w:tcPr>
            <w:tcW w:w="1065" w:type="dxa"/>
            <w:tcBorders>
              <w:top w:val="nil" w:sz="6" w:space="0" w:color="auto"/>
              <w:left w:val="single" w:sz="4" w:space="0" w:color="000000"/>
              <w:bottom w:val="nil" w:sz="6" w:space="0" w:color="auto"/>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件技术创</w:t>
            </w:r>
          </w:p>
        </w:tc>
        <w:tc>
          <w:tcPr>
            <w:tcW w:w="1065"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0"/>
              <w:jc w:val="right"/>
              <w:rPr>
                <w:rFonts w:ascii="Times New Roman" w:hAnsi="Times New Roman" w:cs="Times New Roman" w:eastAsia="Times New Roman" w:hint="default"/>
                <w:sz w:val="18"/>
                <w:szCs w:val="18"/>
              </w:rPr>
            </w:pPr>
            <w:r>
              <w:rPr>
                <w:rFonts w:ascii="Times New Roman"/>
                <w:spacing w:val="-1"/>
                <w:sz w:val="18"/>
              </w:rPr>
              <w:t>10,000,000</w:t>
            </w: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2"/>
              <w:jc w:val="right"/>
              <w:rPr>
                <w:rFonts w:ascii="Times New Roman" w:hAnsi="Times New Roman" w:cs="Times New Roman" w:eastAsia="Times New Roman" w:hint="default"/>
                <w:sz w:val="18"/>
                <w:szCs w:val="18"/>
              </w:rPr>
            </w:pPr>
            <w:r>
              <w:rPr>
                <w:rFonts w:ascii="Times New Roman"/>
                <w:spacing w:val="-1"/>
                <w:sz w:val="18"/>
              </w:rPr>
              <w:t>10,000,000</w:t>
            </w: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与收益相</w:t>
            </w:r>
          </w:p>
        </w:tc>
      </w:tr>
      <w:tr>
        <w:trPr>
          <w:trHeight w:val="312" w:hRule="exact"/>
        </w:trPr>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新综合试</w:t>
            </w:r>
          </w:p>
        </w:tc>
        <w:tc>
          <w:tcPr>
            <w:tcW w:w="1065"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0"/>
              <w:jc w:val="right"/>
              <w:rPr>
                <w:rFonts w:ascii="Times New Roman" w:hAnsi="Times New Roman" w:cs="Times New Roman" w:eastAsia="Times New Roman" w:hint="default"/>
                <w:sz w:val="18"/>
                <w:szCs w:val="18"/>
              </w:rPr>
            </w:pPr>
            <w:r>
              <w:rPr>
                <w:rFonts w:ascii="Times New Roman"/>
                <w:sz w:val="18"/>
              </w:rPr>
              <w:t>.00</w:t>
            </w: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99"/>
              <w:jc w:val="right"/>
              <w:rPr>
                <w:rFonts w:ascii="Times New Roman" w:hAnsi="Times New Roman" w:cs="Times New Roman" w:eastAsia="Times New Roman" w:hint="default"/>
                <w:sz w:val="18"/>
                <w:szCs w:val="18"/>
              </w:rPr>
            </w:pPr>
            <w:r>
              <w:rPr>
                <w:rFonts w:ascii="Times New Roman"/>
                <w:sz w:val="18"/>
              </w:rPr>
              <w:t>.00</w:t>
            </w: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3" w:right="0"/>
              <w:jc w:val="left"/>
              <w:rPr>
                <w:rFonts w:ascii="宋体" w:hAnsi="宋体" w:cs="宋体" w:eastAsia="宋体" w:hint="default"/>
                <w:sz w:val="18"/>
                <w:szCs w:val="18"/>
              </w:rPr>
            </w:pPr>
            <w:r>
              <w:rPr>
                <w:rFonts w:ascii="宋体" w:hAnsi="宋体" w:cs="宋体" w:eastAsia="宋体" w:hint="default"/>
                <w:sz w:val="18"/>
                <w:szCs w:val="18"/>
              </w:rPr>
              <w:t>关</w:t>
            </w:r>
          </w:p>
        </w:tc>
      </w:tr>
      <w:tr>
        <w:trPr>
          <w:trHeight w:val="308" w:hRule="exact"/>
        </w:trPr>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点企业研</w:t>
            </w:r>
          </w:p>
        </w:tc>
        <w:tc>
          <w:tcPr>
            <w:tcW w:w="1065" w:type="dxa"/>
            <w:tcBorders>
              <w:top w:val="nil" w:sz="6" w:space="0" w:color="auto"/>
              <w:left w:val="single" w:sz="4" w:space="0" w:color="000000"/>
              <w:bottom w:val="nil" w:sz="6" w:space="0" w:color="auto"/>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究院建设</w:t>
            </w:r>
          </w:p>
        </w:tc>
        <w:tc>
          <w:tcPr>
            <w:tcW w:w="1065" w:type="dxa"/>
            <w:tcBorders>
              <w:top w:val="nil" w:sz="6" w:space="0" w:color="auto"/>
              <w:left w:val="single" w:sz="4" w:space="0" w:color="000000"/>
              <w:bottom w:val="nil" w:sz="6" w:space="0" w:color="auto"/>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355" w:hRule="exact"/>
        </w:trPr>
        <w:tc>
          <w:tcPr>
            <w:tcW w:w="10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5" w:type="dxa"/>
            <w:tcBorders>
              <w:top w:val="nil" w:sz="6" w:space="0" w:color="auto"/>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063"/>
        <w:gridCol w:w="1065"/>
        <w:gridCol w:w="1063"/>
        <w:gridCol w:w="1063"/>
        <w:gridCol w:w="1063"/>
        <w:gridCol w:w="1063"/>
        <w:gridCol w:w="1063"/>
        <w:gridCol w:w="1063"/>
        <w:gridCol w:w="1063"/>
      </w:tblGrid>
      <w:tr>
        <w:trPr>
          <w:trHeight w:val="356" w:hRule="exact"/>
        </w:trPr>
        <w:tc>
          <w:tcPr>
            <w:tcW w:w="10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基于电子</w:t>
            </w:r>
          </w:p>
        </w:tc>
        <w:tc>
          <w:tcPr>
            <w:tcW w:w="1065" w:type="dxa"/>
            <w:tcBorders>
              <w:top w:val="single" w:sz="4" w:space="0" w:color="000000"/>
              <w:left w:val="single" w:sz="4" w:space="0" w:color="000000"/>
              <w:bottom w:val="nil" w:sz="6" w:space="0" w:color="auto"/>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1063"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229"/>
              <w:jc w:val="both"/>
              <w:rPr>
                <w:rFonts w:ascii="宋体" w:hAnsi="宋体" w:cs="宋体" w:eastAsia="宋体" w:hint="default"/>
                <w:sz w:val="18"/>
                <w:szCs w:val="18"/>
              </w:rPr>
            </w:pPr>
            <w:r>
              <w:rPr>
                <w:rFonts w:ascii="宋体" w:hAnsi="宋体" w:cs="宋体" w:eastAsia="宋体" w:hint="default"/>
                <w:sz w:val="18"/>
                <w:szCs w:val="18"/>
              </w:rPr>
              <w:t>健康档案 的智能社 区医疗服</w:t>
            </w:r>
          </w:p>
        </w:tc>
        <w:tc>
          <w:tcPr>
            <w:tcW w:w="106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40" w:right="0"/>
              <w:jc w:val="center"/>
              <w:rPr>
                <w:rFonts w:ascii="Times New Roman" w:hAnsi="Times New Roman" w:cs="Times New Roman" w:eastAsia="Times New Roman" w:hint="default"/>
                <w:sz w:val="18"/>
                <w:szCs w:val="18"/>
              </w:rPr>
            </w:pPr>
            <w:r>
              <w:rPr>
                <w:rFonts w:ascii="Times New Roman"/>
                <w:sz w:val="18"/>
              </w:rPr>
              <w:t>600,000.00</w:t>
            </w: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36" w:right="0"/>
              <w:jc w:val="center"/>
              <w:rPr>
                <w:rFonts w:ascii="Times New Roman" w:hAnsi="Times New Roman" w:cs="Times New Roman" w:eastAsia="Times New Roman" w:hint="default"/>
                <w:sz w:val="18"/>
                <w:szCs w:val="18"/>
              </w:rPr>
            </w:pPr>
            <w:r>
              <w:rPr>
                <w:rFonts w:ascii="Times New Roman"/>
                <w:sz w:val="18"/>
              </w:rPr>
              <w:t>600,000.00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3" w:right="227"/>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358" w:hRule="exact"/>
        </w:trPr>
        <w:tc>
          <w:tcPr>
            <w:tcW w:w="10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务系统</w:t>
            </w:r>
          </w:p>
        </w:tc>
        <w:tc>
          <w:tcPr>
            <w:tcW w:w="1065" w:type="dxa"/>
            <w:tcBorders>
              <w:top w:val="nil" w:sz="6" w:space="0" w:color="auto"/>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358" w:hRule="exact"/>
        </w:trPr>
        <w:tc>
          <w:tcPr>
            <w:tcW w:w="10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面向医院</w:t>
            </w:r>
          </w:p>
        </w:tc>
        <w:tc>
          <w:tcPr>
            <w:tcW w:w="1065" w:type="dxa"/>
            <w:tcBorders>
              <w:top w:val="single" w:sz="4" w:space="0" w:color="000000"/>
              <w:left w:val="single" w:sz="4" w:space="0" w:color="000000"/>
              <w:bottom w:val="nil" w:sz="6" w:space="0" w:color="auto"/>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317" w:hRule="exact"/>
        </w:trPr>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IT </w:t>
            </w:r>
            <w:r>
              <w:rPr>
                <w:rFonts w:ascii="宋体" w:hAnsi="宋体" w:cs="宋体" w:eastAsia="宋体" w:hint="default"/>
                <w:sz w:val="18"/>
                <w:szCs w:val="18"/>
              </w:rPr>
              <w:t>系统的</w:t>
            </w:r>
          </w:p>
        </w:tc>
        <w:tc>
          <w:tcPr>
            <w:tcW w:w="1065" w:type="dxa"/>
            <w:tcBorders>
              <w:top w:val="nil" w:sz="6" w:space="0" w:color="auto"/>
              <w:left w:val="single" w:sz="4" w:space="0" w:color="000000"/>
              <w:bottom w:val="nil" w:sz="6" w:space="0" w:color="auto"/>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619" w:hRule="exact"/>
        </w:trPr>
        <w:tc>
          <w:tcPr>
            <w:tcW w:w="1063" w:type="dxa"/>
            <w:tcBorders>
              <w:top w:val="nil" w:sz="6" w:space="0" w:color="auto"/>
              <w:left w:val="single" w:sz="4" w:space="0" w:color="000000"/>
              <w:bottom w:val="nil" w:sz="6" w:space="0" w:color="auto"/>
              <w:right w:val="single" w:sz="4" w:space="0" w:color="000000"/>
            </w:tcBorders>
          </w:tcPr>
          <w:p>
            <w:pPr>
              <w:pStyle w:val="TableParagraph"/>
              <w:spacing w:line="316" w:lineRule="auto" w:before="5"/>
              <w:ind w:left="101" w:right="229"/>
              <w:jc w:val="left"/>
              <w:rPr>
                <w:rFonts w:ascii="宋体" w:hAnsi="宋体" w:cs="宋体" w:eastAsia="宋体" w:hint="default"/>
                <w:sz w:val="18"/>
                <w:szCs w:val="18"/>
              </w:rPr>
            </w:pPr>
            <w:r>
              <w:rPr>
                <w:rFonts w:ascii="宋体" w:hAnsi="宋体" w:cs="宋体" w:eastAsia="宋体" w:hint="default"/>
                <w:sz w:val="18"/>
                <w:szCs w:val="18"/>
              </w:rPr>
              <w:t>综合运维 服务托管</w:t>
            </w:r>
          </w:p>
        </w:tc>
        <w:tc>
          <w:tcPr>
            <w:tcW w:w="106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40" w:right="0"/>
              <w:jc w:val="center"/>
              <w:rPr>
                <w:rFonts w:ascii="Times New Roman" w:hAnsi="Times New Roman" w:cs="Times New Roman" w:eastAsia="Times New Roman" w:hint="default"/>
                <w:sz w:val="18"/>
                <w:szCs w:val="18"/>
              </w:rPr>
            </w:pPr>
            <w:r>
              <w:rPr>
                <w:rFonts w:ascii="Times New Roman"/>
                <w:sz w:val="18"/>
              </w:rPr>
              <w:t>801,000.00</w:t>
            </w: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4" w:right="0"/>
              <w:jc w:val="center"/>
              <w:rPr>
                <w:rFonts w:ascii="Times New Roman" w:hAnsi="Times New Roman" w:cs="Times New Roman" w:eastAsia="Times New Roman" w:hint="default"/>
                <w:sz w:val="18"/>
                <w:szCs w:val="18"/>
              </w:rPr>
            </w:pPr>
            <w:r>
              <w:rPr>
                <w:rFonts w:ascii="Times New Roman"/>
                <w:sz w:val="18"/>
              </w:rPr>
              <w:t>801,000.00</w:t>
            </w: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316" w:lineRule="auto" w:before="5"/>
              <w:ind w:left="103" w:right="227"/>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312" w:hRule="exact"/>
        </w:trPr>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支撑平台</w:t>
            </w:r>
          </w:p>
        </w:tc>
        <w:tc>
          <w:tcPr>
            <w:tcW w:w="1065" w:type="dxa"/>
            <w:tcBorders>
              <w:top w:val="nil" w:sz="6" w:space="0" w:color="auto"/>
              <w:left w:val="single" w:sz="4" w:space="0" w:color="000000"/>
              <w:bottom w:val="nil" w:sz="6" w:space="0" w:color="auto"/>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356" w:hRule="exact"/>
        </w:trPr>
        <w:tc>
          <w:tcPr>
            <w:tcW w:w="10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研发</w:t>
            </w:r>
          </w:p>
        </w:tc>
        <w:tc>
          <w:tcPr>
            <w:tcW w:w="1065" w:type="dxa"/>
            <w:tcBorders>
              <w:top w:val="nil" w:sz="6" w:space="0" w:color="auto"/>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356" w:hRule="exact"/>
        </w:trPr>
        <w:tc>
          <w:tcPr>
            <w:tcW w:w="10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基于有源</w:t>
            </w:r>
          </w:p>
        </w:tc>
        <w:tc>
          <w:tcPr>
            <w:tcW w:w="1065" w:type="dxa"/>
            <w:tcBorders>
              <w:top w:val="single" w:sz="4" w:space="0" w:color="000000"/>
              <w:left w:val="single" w:sz="4" w:space="0" w:color="000000"/>
              <w:bottom w:val="nil" w:sz="6" w:space="0" w:color="auto"/>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射频识别</w:t>
            </w:r>
          </w:p>
        </w:tc>
        <w:tc>
          <w:tcPr>
            <w:tcW w:w="1065" w:type="dxa"/>
            <w:tcBorders>
              <w:top w:val="nil" w:sz="6" w:space="0" w:color="auto"/>
              <w:left w:val="single" w:sz="4" w:space="0" w:color="000000"/>
              <w:bottom w:val="nil" w:sz="6" w:space="0" w:color="auto"/>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629" w:hRule="exact"/>
        </w:trPr>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技术</w:t>
            </w:r>
          </w:p>
          <w:p>
            <w:pPr>
              <w:pStyle w:val="TableParagraph"/>
              <w:spacing w:line="240" w:lineRule="auto" w:before="76"/>
              <w:ind w:left="10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RFID</w:t>
            </w:r>
            <w:r>
              <w:rPr>
                <w:rFonts w:ascii="宋体" w:hAnsi="宋体" w:cs="宋体" w:eastAsia="宋体" w:hint="default"/>
                <w:sz w:val="18"/>
                <w:szCs w:val="18"/>
              </w:rPr>
              <w:t>）</w:t>
            </w:r>
          </w:p>
        </w:tc>
        <w:tc>
          <w:tcPr>
            <w:tcW w:w="106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0" w:right="0"/>
              <w:jc w:val="center"/>
              <w:rPr>
                <w:rFonts w:ascii="Times New Roman" w:hAnsi="Times New Roman" w:cs="Times New Roman" w:eastAsia="Times New Roman" w:hint="default"/>
                <w:sz w:val="18"/>
                <w:szCs w:val="18"/>
              </w:rPr>
            </w:pPr>
            <w:r>
              <w:rPr>
                <w:rFonts w:ascii="Times New Roman"/>
                <w:sz w:val="18"/>
              </w:rPr>
              <w:t>298,800.00</w:t>
            </w: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298,800.00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3" w:right="227"/>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307" w:hRule="exact"/>
        </w:trPr>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1" w:right="0"/>
              <w:jc w:val="left"/>
              <w:rPr>
                <w:rFonts w:ascii="宋体" w:hAnsi="宋体" w:cs="宋体" w:eastAsia="宋体" w:hint="default"/>
                <w:sz w:val="18"/>
                <w:szCs w:val="18"/>
              </w:rPr>
            </w:pPr>
            <w:r>
              <w:rPr>
                <w:rFonts w:ascii="宋体" w:hAnsi="宋体" w:cs="宋体" w:eastAsia="宋体" w:hint="default"/>
                <w:sz w:val="18"/>
                <w:szCs w:val="18"/>
              </w:rPr>
              <w:t>婴儿智能</w:t>
            </w:r>
          </w:p>
        </w:tc>
        <w:tc>
          <w:tcPr>
            <w:tcW w:w="1065" w:type="dxa"/>
            <w:tcBorders>
              <w:top w:val="nil" w:sz="6" w:space="0" w:color="auto"/>
              <w:left w:val="single" w:sz="4" w:space="0" w:color="000000"/>
              <w:bottom w:val="nil" w:sz="6" w:space="0" w:color="auto"/>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358" w:hRule="exact"/>
        </w:trPr>
        <w:tc>
          <w:tcPr>
            <w:tcW w:w="10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防盗系统</w:t>
            </w:r>
          </w:p>
        </w:tc>
        <w:tc>
          <w:tcPr>
            <w:tcW w:w="1065" w:type="dxa"/>
            <w:tcBorders>
              <w:top w:val="nil" w:sz="6" w:space="0" w:color="auto"/>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358" w:hRule="exact"/>
        </w:trPr>
        <w:tc>
          <w:tcPr>
            <w:tcW w:w="10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高端软件</w:t>
            </w:r>
          </w:p>
        </w:tc>
        <w:tc>
          <w:tcPr>
            <w:tcW w:w="1065" w:type="dxa"/>
            <w:tcBorders>
              <w:top w:val="single" w:sz="4" w:space="0" w:color="000000"/>
              <w:left w:val="single" w:sz="4" w:space="0" w:color="000000"/>
              <w:bottom w:val="nil" w:sz="6" w:space="0" w:color="auto"/>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1063"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229"/>
              <w:jc w:val="both"/>
              <w:rPr>
                <w:rFonts w:ascii="宋体" w:hAnsi="宋体" w:cs="宋体" w:eastAsia="宋体" w:hint="default"/>
                <w:sz w:val="18"/>
                <w:szCs w:val="18"/>
              </w:rPr>
            </w:pPr>
            <w:r>
              <w:rPr>
                <w:rFonts w:ascii="宋体" w:hAnsi="宋体" w:cs="宋体" w:eastAsia="宋体" w:hint="default"/>
                <w:sz w:val="18"/>
                <w:szCs w:val="18"/>
              </w:rPr>
              <w:t>及应用系 统集聚发 展实施项</w:t>
            </w:r>
          </w:p>
        </w:tc>
        <w:tc>
          <w:tcPr>
            <w:tcW w:w="106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3,240,000.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00</w:t>
            </w: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3,240,000.</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3" w:right="227"/>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356" w:hRule="exact"/>
        </w:trPr>
        <w:tc>
          <w:tcPr>
            <w:tcW w:w="10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目</w:t>
            </w:r>
          </w:p>
        </w:tc>
        <w:tc>
          <w:tcPr>
            <w:tcW w:w="1065" w:type="dxa"/>
            <w:tcBorders>
              <w:top w:val="nil" w:sz="6" w:space="0" w:color="auto"/>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356" w:hRule="exact"/>
        </w:trPr>
        <w:tc>
          <w:tcPr>
            <w:tcW w:w="10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基于移动</w:t>
            </w:r>
          </w:p>
        </w:tc>
        <w:tc>
          <w:tcPr>
            <w:tcW w:w="1065" w:type="dxa"/>
            <w:tcBorders>
              <w:top w:val="single" w:sz="4" w:space="0" w:color="000000"/>
              <w:left w:val="single" w:sz="4" w:space="0" w:color="000000"/>
              <w:bottom w:val="nil" w:sz="6" w:space="0" w:color="auto"/>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1063"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229"/>
              <w:jc w:val="both"/>
              <w:rPr>
                <w:rFonts w:ascii="宋体" w:hAnsi="宋体" w:cs="宋体" w:eastAsia="宋体" w:hint="default"/>
                <w:sz w:val="18"/>
                <w:szCs w:val="18"/>
              </w:rPr>
            </w:pPr>
            <w:r>
              <w:rPr>
                <w:rFonts w:ascii="宋体" w:hAnsi="宋体" w:cs="宋体" w:eastAsia="宋体" w:hint="default"/>
                <w:sz w:val="18"/>
                <w:szCs w:val="18"/>
              </w:rPr>
              <w:t>互联网的 网络医院 云服务平</w:t>
            </w:r>
          </w:p>
        </w:tc>
        <w:tc>
          <w:tcPr>
            <w:tcW w:w="106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2,980,000.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00</w:t>
            </w: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2,980,000.</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3" w:right="227"/>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358" w:hRule="exact"/>
        </w:trPr>
        <w:tc>
          <w:tcPr>
            <w:tcW w:w="10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台</w:t>
            </w:r>
          </w:p>
        </w:tc>
        <w:tc>
          <w:tcPr>
            <w:tcW w:w="1065" w:type="dxa"/>
            <w:tcBorders>
              <w:top w:val="nil" w:sz="6" w:space="0" w:color="auto"/>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358" w:hRule="exact"/>
        </w:trPr>
        <w:tc>
          <w:tcPr>
            <w:tcW w:w="10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创业智慧</w:t>
            </w:r>
          </w:p>
        </w:tc>
        <w:tc>
          <w:tcPr>
            <w:tcW w:w="1065" w:type="dxa"/>
            <w:tcBorders>
              <w:top w:val="single" w:sz="4" w:space="0" w:color="000000"/>
              <w:left w:val="single" w:sz="4" w:space="0" w:color="000000"/>
              <w:bottom w:val="nil" w:sz="6" w:space="0" w:color="auto"/>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1063"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229"/>
              <w:jc w:val="both"/>
              <w:rPr>
                <w:rFonts w:ascii="宋体" w:hAnsi="宋体" w:cs="宋体" w:eastAsia="宋体" w:hint="default"/>
                <w:sz w:val="18"/>
                <w:szCs w:val="18"/>
              </w:rPr>
            </w:pPr>
            <w:r>
              <w:rPr>
                <w:rFonts w:ascii="宋体" w:hAnsi="宋体" w:cs="宋体" w:eastAsia="宋体" w:hint="default"/>
                <w:sz w:val="18"/>
                <w:szCs w:val="18"/>
              </w:rPr>
              <w:t>医疗软件 生产基地 建设工程</w:t>
            </w:r>
          </w:p>
        </w:tc>
        <w:tc>
          <w:tcPr>
            <w:tcW w:w="106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1,411,200.0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28" w:right="0"/>
              <w:jc w:val="center"/>
              <w:rPr>
                <w:rFonts w:ascii="Times New Roman" w:hAnsi="Times New Roman" w:cs="Times New Roman" w:eastAsia="Times New Roman" w:hint="default"/>
                <w:sz w:val="18"/>
                <w:szCs w:val="18"/>
              </w:rPr>
            </w:pPr>
            <w:r>
              <w:rPr>
                <w:rFonts w:ascii="Times New Roman"/>
                <w:sz w:val="18"/>
              </w:rPr>
              <w:t>28,800.00</w:t>
            </w: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1,382,400.</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3" w:right="227"/>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356" w:hRule="exact"/>
        </w:trPr>
        <w:tc>
          <w:tcPr>
            <w:tcW w:w="10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开工奖励</w:t>
            </w:r>
          </w:p>
        </w:tc>
        <w:tc>
          <w:tcPr>
            <w:tcW w:w="1065" w:type="dxa"/>
            <w:tcBorders>
              <w:top w:val="nil" w:sz="6" w:space="0" w:color="auto"/>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356" w:hRule="exact"/>
        </w:trPr>
        <w:tc>
          <w:tcPr>
            <w:tcW w:w="10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创业智慧</w:t>
            </w:r>
          </w:p>
        </w:tc>
        <w:tc>
          <w:tcPr>
            <w:tcW w:w="1065" w:type="dxa"/>
            <w:tcBorders>
              <w:top w:val="single" w:sz="4" w:space="0" w:color="000000"/>
              <w:left w:val="single" w:sz="4" w:space="0" w:color="000000"/>
              <w:bottom w:val="nil" w:sz="6" w:space="0" w:color="auto"/>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vMerge w:val="restart"/>
            <w:tcBorders>
              <w:top w:val="single" w:sz="4" w:space="0" w:color="000000"/>
              <w:left w:val="single" w:sz="4" w:space="0" w:color="000000"/>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1063"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229"/>
              <w:jc w:val="both"/>
              <w:rPr>
                <w:rFonts w:ascii="宋体" w:hAnsi="宋体" w:cs="宋体" w:eastAsia="宋体" w:hint="default"/>
                <w:sz w:val="18"/>
                <w:szCs w:val="18"/>
              </w:rPr>
            </w:pPr>
            <w:r>
              <w:rPr>
                <w:rFonts w:ascii="宋体" w:hAnsi="宋体" w:cs="宋体" w:eastAsia="宋体" w:hint="default"/>
                <w:sz w:val="18"/>
                <w:szCs w:val="18"/>
              </w:rPr>
              <w:t>医疗软件 生产基地 建设工程</w:t>
            </w:r>
          </w:p>
        </w:tc>
        <w:tc>
          <w:tcPr>
            <w:tcW w:w="106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1,312,883.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64</w:t>
            </w: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35" w:right="0"/>
              <w:jc w:val="center"/>
              <w:rPr>
                <w:rFonts w:ascii="Times New Roman" w:hAnsi="Times New Roman" w:cs="Times New Roman" w:eastAsia="Times New Roman" w:hint="default"/>
                <w:sz w:val="18"/>
                <w:szCs w:val="18"/>
              </w:rPr>
            </w:pPr>
            <w:r>
              <w:rPr>
                <w:rFonts w:ascii="Times New Roman"/>
                <w:sz w:val="18"/>
              </w:rPr>
              <w:t>27,116.36</w:t>
            </w:r>
          </w:p>
        </w:tc>
        <w:tc>
          <w:tcPr>
            <w:tcW w:w="1063"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1,285,767.</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28</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3" w:right="227"/>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358" w:hRule="exact"/>
        </w:trPr>
        <w:tc>
          <w:tcPr>
            <w:tcW w:w="10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竣工奖励</w:t>
            </w:r>
          </w:p>
        </w:tc>
        <w:tc>
          <w:tcPr>
            <w:tcW w:w="1065" w:type="dxa"/>
            <w:tcBorders>
              <w:top w:val="nil" w:sz="6" w:space="0" w:color="auto"/>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714" w:hRule="exact"/>
        </w:trPr>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20,643,883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.64</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10,856,916</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.36</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9,786,967.</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28</w:t>
            </w:r>
          </w:p>
        </w:tc>
        <w:tc>
          <w:tcPr>
            <w:tcW w:w="1063"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0"/>
        <w:ind w:right="0"/>
        <w:jc w:val="left"/>
      </w:pPr>
      <w:r>
        <w:rPr/>
        <w:t>其他说明：</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0"/>
        <w:jc w:val="left"/>
        <w:rPr>
          <w:b w:val="0"/>
          <w:bCs w:val="0"/>
        </w:rPr>
      </w:pPr>
      <w:bookmarkStart w:name="25、股本" w:id="308"/>
      <w:bookmarkEnd w:id="308"/>
      <w:r>
        <w:rPr>
          <w:b w:val="0"/>
          <w:bCs w:val="0"/>
        </w:rPr>
      </w:r>
      <w:r>
        <w:rPr>
          <w:rFonts w:ascii="Times New Roman" w:hAnsi="Times New Roman" w:cs="Times New Roman" w:eastAsia="Times New Roman" w:hint="default"/>
        </w:rPr>
        <w:t>25</w:t>
      </w:r>
      <w:r>
        <w:rPr/>
        <w:t>、股本</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195"/>
        <w:gridCol w:w="1197"/>
        <w:gridCol w:w="1196"/>
        <w:gridCol w:w="1196"/>
        <w:gridCol w:w="1196"/>
        <w:gridCol w:w="1196"/>
        <w:gridCol w:w="1196"/>
        <w:gridCol w:w="1196"/>
      </w:tblGrid>
      <w:tr>
        <w:trPr>
          <w:trHeight w:val="402" w:hRule="exact"/>
        </w:trPr>
        <w:tc>
          <w:tcPr>
            <w:tcW w:w="1195" w:type="dxa"/>
            <w:vMerge w:val="restart"/>
            <w:tcBorders>
              <w:top w:val="single" w:sz="4" w:space="0" w:color="000000"/>
              <w:left w:val="single" w:sz="4" w:space="0" w:color="000000"/>
              <w:right w:val="single" w:sz="4" w:space="0" w:color="000000"/>
            </w:tcBorders>
            <w:shd w:val="clear" w:color="auto" w:fill="D2D2D2"/>
          </w:tcPr>
          <w:p>
            <w:pPr/>
          </w:p>
        </w:tc>
        <w:tc>
          <w:tcPr>
            <w:tcW w:w="11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2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98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23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195" w:type="dxa"/>
            <w:vMerge/>
            <w:tcBorders>
              <w:left w:val="single" w:sz="4" w:space="0" w:color="000000"/>
              <w:bottom w:val="single" w:sz="4" w:space="0" w:color="000000"/>
              <w:right w:val="single" w:sz="4" w:space="0" w:color="000000"/>
            </w:tcBorders>
            <w:shd w:val="clear" w:color="auto" w:fill="D2D2D2"/>
          </w:tcPr>
          <w:p>
            <w:pPr/>
          </w:p>
        </w:tc>
        <w:tc>
          <w:tcPr>
            <w:tcW w:w="1197" w:type="dxa"/>
            <w:vMerge/>
            <w:tcBorders>
              <w:left w:val="single" w:sz="4" w:space="0" w:color="000000"/>
              <w:bottom w:val="single" w:sz="4" w:space="0" w:color="000000"/>
              <w:right w:val="single" w:sz="4" w:space="0" w:color="000000"/>
            </w:tcBorders>
            <w:shd w:val="clear" w:color="auto" w:fill="D2D2D2"/>
          </w:tcPr>
          <w:p>
            <w:pP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42"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196"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242,801,887.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242,801,887.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13" w:right="0"/>
              <w:jc w:val="left"/>
              <w:rPr>
                <w:rFonts w:ascii="Times New Roman" w:hAnsi="Times New Roman" w:cs="Times New Roman" w:eastAsia="Times New Roman" w:hint="default"/>
                <w:sz w:val="18"/>
                <w:szCs w:val="18"/>
              </w:rPr>
            </w:pPr>
            <w:r>
              <w:rPr>
                <w:rFonts w:ascii="Times New Roman"/>
                <w:sz w:val="18"/>
              </w:rPr>
              <w:t>-147,376.00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242,654,511.</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485,456,398.</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00</w:t>
            </w:r>
          </w:p>
        </w:tc>
      </w:tr>
    </w:tbl>
    <w:p>
      <w:pPr>
        <w:pStyle w:val="BodyText"/>
        <w:spacing w:line="240" w:lineRule="auto" w:before="51"/>
        <w:ind w:right="0"/>
        <w:jc w:val="left"/>
      </w:pPr>
      <w:r>
        <w:rPr/>
        <w:t>其他说明：</w:t>
      </w:r>
    </w:p>
    <w:p>
      <w:pPr>
        <w:pStyle w:val="BodyText"/>
        <w:spacing w:line="300" w:lineRule="auto" w:before="117"/>
        <w:ind w:right="1132" w:firstLine="420"/>
        <w:jc w:val="both"/>
      </w:pPr>
      <w:r>
        <w:rPr>
          <w:rFonts w:ascii="Times New Roman" w:hAnsi="Times New Roman" w:cs="Times New Roman" w:eastAsia="Times New Roman" w:hint="default"/>
        </w:rPr>
        <w:t>1)</w:t>
      </w:r>
      <w:r>
        <w:rPr/>
        <w:t>根据公司</w:t>
      </w:r>
      <w:r>
        <w:rPr>
          <w:rFonts w:ascii="Times New Roman" w:hAnsi="Times New Roman" w:cs="Times New Roman" w:eastAsia="Times New Roman" w:hint="default"/>
        </w:rPr>
        <w:t>2017</w:t>
      </w:r>
      <w:r>
        <w:rPr/>
        <w:t>年度股东大会决议和修改后章程的规定，公司以</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5</w:t>
      </w:r>
      <w:r>
        <w:rPr/>
        <w:t>日的总股份</w:t>
      </w:r>
      <w:r>
        <w:rPr>
          <w:rFonts w:ascii="Times New Roman" w:hAnsi="Times New Roman" w:cs="Times New Roman" w:eastAsia="Times New Roman" w:hint="default"/>
        </w:rPr>
        <w:t>242,801,887</w:t>
      </w:r>
      <w:r>
        <w:rPr/>
        <w:t>股为基数，以资本 公积向全体股东每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10</w:t>
      </w:r>
      <w:r>
        <w:rPr/>
        <w:t>股，共计增加股本</w:t>
      </w:r>
      <w:r>
        <w:rPr>
          <w:rFonts w:ascii="Times New Roman" w:hAnsi="Times New Roman" w:cs="Times New Roman" w:eastAsia="Times New Roman" w:hint="default"/>
        </w:rPr>
        <w:t>242,801,887</w:t>
      </w:r>
      <w:r>
        <w:rPr/>
        <w:t>股，增资后公司注册资本变更为</w:t>
      </w:r>
      <w:r>
        <w:rPr>
          <w:rFonts w:ascii="Times New Roman" w:hAnsi="Times New Roman" w:cs="Times New Roman" w:eastAsia="Times New Roman" w:hint="default"/>
        </w:rPr>
        <w:t>485,603,774.00</w:t>
      </w:r>
      <w:r>
        <w:rPr/>
        <w:t>元。上述增资事</w:t>
      </w:r>
      <w:r>
        <w:rPr>
          <w:spacing w:val="-59"/>
        </w:rPr>
        <w:t> </w:t>
      </w:r>
      <w:r>
        <w:rPr>
          <w:spacing w:val="-59"/>
        </w:rPr>
      </w:r>
      <w:r>
        <w:rPr>
          <w:spacing w:val="-4"/>
        </w:rPr>
        <w:t>项业经天健会计师事务所（特殊普通合伙）审验，并由其于</w:t>
      </w:r>
      <w:r>
        <w:rPr>
          <w:rFonts w:ascii="Times New Roman" w:hAnsi="Times New Roman" w:cs="Times New Roman" w:eastAsia="Times New Roman" w:hint="default"/>
          <w:spacing w:val="-4"/>
        </w:rPr>
        <w:t>2018</w:t>
      </w:r>
      <w:r>
        <w:rPr>
          <w:spacing w:val="-4"/>
        </w:rPr>
        <w:t>年</w:t>
      </w:r>
      <w:r>
        <w:rPr>
          <w:rFonts w:ascii="Times New Roman" w:hAnsi="Times New Roman" w:cs="Times New Roman" w:eastAsia="Times New Roman" w:hint="default"/>
          <w:spacing w:val="-4"/>
        </w:rPr>
        <w:t>6</w:t>
      </w:r>
      <w:r>
        <w:rPr>
          <w:spacing w:val="-4"/>
        </w:rPr>
        <w:t>月</w:t>
      </w:r>
      <w:r>
        <w:rPr>
          <w:rFonts w:ascii="Times New Roman" w:hAnsi="Times New Roman" w:cs="Times New Roman" w:eastAsia="Times New Roman" w:hint="default"/>
          <w:spacing w:val="-4"/>
        </w:rPr>
        <w:t>13</w:t>
      </w:r>
      <w:r>
        <w:rPr>
          <w:spacing w:val="-4"/>
        </w:rPr>
        <w:t>日出具了《验资报告》（天健验〔</w:t>
      </w:r>
      <w:r>
        <w:rPr>
          <w:rFonts w:ascii="Times New Roman" w:hAnsi="Times New Roman" w:cs="Times New Roman" w:eastAsia="Times New Roman" w:hint="default"/>
          <w:spacing w:val="-4"/>
        </w:rPr>
        <w:t>2018</w:t>
      </w:r>
      <w:r>
        <w:rPr>
          <w:spacing w:val="-4"/>
        </w:rPr>
        <w:t>〕</w:t>
      </w:r>
      <w:r>
        <w:rPr>
          <w:rFonts w:ascii="Times New Roman" w:hAnsi="Times New Roman" w:cs="Times New Roman" w:eastAsia="Times New Roman" w:hint="default"/>
          <w:spacing w:val="-4"/>
        </w:rPr>
        <w:t>175</w:t>
      </w:r>
      <w:r>
        <w:rPr>
          <w:spacing w:val="-4"/>
        </w:rPr>
        <w:t>号）。</w:t>
      </w:r>
    </w:p>
    <w:p>
      <w:pPr>
        <w:pStyle w:val="BodyText"/>
        <w:spacing w:line="300" w:lineRule="auto" w:before="13"/>
        <w:ind w:right="1051" w:firstLine="360"/>
        <w:jc w:val="both"/>
      </w:pPr>
      <w:r>
        <w:rPr>
          <w:rFonts w:ascii="Times New Roman" w:hAnsi="Times New Roman" w:cs="Times New Roman" w:eastAsia="Times New Roman" w:hint="default"/>
        </w:rPr>
        <w:t>2)</w:t>
      </w:r>
      <w:r>
        <w:rPr/>
        <w:t>根据公司</w:t>
      </w:r>
      <w:r>
        <w:rPr>
          <w:rFonts w:ascii="Times New Roman" w:hAnsi="Times New Roman" w:cs="Times New Roman" w:eastAsia="Times New Roman" w:hint="default"/>
        </w:rPr>
        <w:t>2015</w:t>
      </w:r>
      <w:r>
        <w:rPr/>
        <w:t>年第三次临时股东大会授权并经第六届董事会第三次、第九次、第十一次、第十二次会议决议和修改后 </w:t>
      </w:r>
      <w:r>
        <w:rPr>
          <w:spacing w:val="-2"/>
        </w:rPr>
        <w:t>的章程规定，公司以货币资金</w:t>
      </w:r>
      <w:r>
        <w:rPr>
          <w:rFonts w:ascii="Times New Roman" w:hAnsi="Times New Roman" w:cs="Times New Roman" w:eastAsia="Times New Roman" w:hint="default"/>
          <w:spacing w:val="-2"/>
        </w:rPr>
        <w:t>1,342,855.22</w:t>
      </w:r>
      <w:r>
        <w:rPr>
          <w:spacing w:val="-2"/>
        </w:rPr>
        <w:t>元回购已授予陈振等</w:t>
      </w:r>
      <w:r>
        <w:rPr>
          <w:rFonts w:ascii="Times New Roman" w:hAnsi="Times New Roman" w:cs="Times New Roman" w:eastAsia="Times New Roman" w:hint="default"/>
          <w:spacing w:val="-2"/>
        </w:rPr>
        <w:t>15</w:t>
      </w:r>
      <w:r>
        <w:rPr>
          <w:spacing w:val="-2"/>
        </w:rPr>
        <w:t>位自然人但尚未解锁的限制性人民币普通股（</w:t>
      </w:r>
      <w:r>
        <w:rPr>
          <w:rFonts w:ascii="Times New Roman" w:hAnsi="Times New Roman" w:cs="Times New Roman" w:eastAsia="Times New Roman" w:hint="default"/>
          <w:spacing w:val="-2"/>
        </w:rPr>
        <w:t>A</w:t>
      </w:r>
      <w:r>
        <w:rPr>
          <w:spacing w:val="-2"/>
        </w:rPr>
        <w:t>股）</w:t>
      </w:r>
      <w:r>
        <w:rPr>
          <w:rFonts w:ascii="Times New Roman" w:hAnsi="Times New Roman" w:cs="Times New Roman" w:eastAsia="Times New Roman" w:hint="default"/>
          <w:spacing w:val="-2"/>
        </w:rPr>
        <w:t>147,376</w:t>
      </w:r>
      <w:r>
        <w:rPr>
          <w:rFonts w:ascii="Times New Roman" w:hAnsi="Times New Roman" w:cs="Times New Roman" w:eastAsia="Times New Roman" w:hint="default"/>
        </w:rPr>
        <w:t> </w:t>
      </w:r>
      <w:r>
        <w:rPr/>
        <w:t>股，故相应减少股本</w:t>
      </w:r>
      <w:r>
        <w:rPr>
          <w:rFonts w:ascii="Times New Roman" w:hAnsi="Times New Roman" w:cs="Times New Roman" w:eastAsia="Times New Roman" w:hint="default"/>
        </w:rPr>
        <w:t>147,376.00</w:t>
      </w:r>
      <w:r>
        <w:rPr/>
        <w:t>元，减少资本公积</w:t>
      </w:r>
      <w:r>
        <w:rPr>
          <w:rFonts w:ascii="Times New Roman" w:hAnsi="Times New Roman" w:cs="Times New Roman" w:eastAsia="Times New Roman" w:hint="default"/>
        </w:rPr>
        <w:t>(</w:t>
      </w:r>
      <w:r>
        <w:rPr/>
        <w:t>股本溢价</w:t>
      </w:r>
      <w:r>
        <w:rPr>
          <w:rFonts w:ascii="Times New Roman" w:hAnsi="Times New Roman" w:cs="Times New Roman" w:eastAsia="Times New Roman" w:hint="default"/>
        </w:rPr>
        <w:t>)1,195,479.22</w:t>
      </w:r>
      <w:r>
        <w:rPr/>
        <w:t>元，变更后注册资本为人民币</w:t>
      </w:r>
      <w:r>
        <w:rPr>
          <w:rFonts w:ascii="Times New Roman" w:hAnsi="Times New Roman" w:cs="Times New Roman" w:eastAsia="Times New Roman" w:hint="default"/>
        </w:rPr>
        <w:t>485,456,398.00</w:t>
      </w:r>
      <w:r>
        <w:rPr/>
        <w:t>元。该 </w:t>
      </w:r>
      <w:r>
        <w:rPr>
          <w:spacing w:val="-4"/>
        </w:rPr>
        <w:t>次减资业经天健会计师事务所（特殊普通合伙）审验，并由其于</w:t>
      </w:r>
      <w:r>
        <w:rPr>
          <w:rFonts w:ascii="Times New Roman" w:hAnsi="Times New Roman" w:cs="Times New Roman" w:eastAsia="Times New Roman" w:hint="default"/>
          <w:spacing w:val="-4"/>
        </w:rPr>
        <w:t>2018</w:t>
      </w:r>
      <w:r>
        <w:rPr>
          <w:spacing w:val="-4"/>
        </w:rPr>
        <w:t>年</w:t>
      </w:r>
      <w:r>
        <w:rPr>
          <w:rFonts w:ascii="Times New Roman" w:hAnsi="Times New Roman" w:cs="Times New Roman" w:eastAsia="Times New Roman" w:hint="default"/>
          <w:spacing w:val="-4"/>
        </w:rPr>
        <w:t>8</w:t>
      </w:r>
      <w:r>
        <w:rPr>
          <w:spacing w:val="-4"/>
        </w:rPr>
        <w:t>月</w:t>
      </w:r>
      <w:r>
        <w:rPr>
          <w:rFonts w:ascii="Times New Roman" w:hAnsi="Times New Roman" w:cs="Times New Roman" w:eastAsia="Times New Roman" w:hint="default"/>
          <w:spacing w:val="-4"/>
        </w:rPr>
        <w:t>24</w:t>
      </w:r>
      <w:r>
        <w:rPr>
          <w:spacing w:val="-4"/>
        </w:rPr>
        <w:t>日出具《验资报告》（天健验〔</w:t>
      </w:r>
      <w:r>
        <w:rPr>
          <w:rFonts w:ascii="Times New Roman" w:hAnsi="Times New Roman" w:cs="Times New Roman" w:eastAsia="Times New Roman" w:hint="default"/>
          <w:spacing w:val="-4"/>
        </w:rPr>
        <w:t>2018</w:t>
      </w:r>
      <w:r>
        <w:rPr>
          <w:spacing w:val="-4"/>
        </w:rPr>
        <w:t>〕</w:t>
      </w:r>
      <w:r>
        <w:rPr>
          <w:rFonts w:ascii="Times New Roman" w:hAnsi="Times New Roman" w:cs="Times New Roman" w:eastAsia="Times New Roman" w:hint="default"/>
          <w:spacing w:val="-4"/>
        </w:rPr>
        <w:t>301</w:t>
      </w:r>
      <w:r>
        <w:rPr>
          <w:spacing w:val="-4"/>
        </w:rPr>
        <w:t>号）。</w:t>
      </w:r>
    </w:p>
    <w:p>
      <w:pPr>
        <w:spacing w:line="240" w:lineRule="auto" w:before="13"/>
        <w:rPr>
          <w:rFonts w:ascii="宋体" w:hAnsi="宋体" w:cs="宋体" w:eastAsia="宋体" w:hint="default"/>
          <w:sz w:val="21"/>
          <w:szCs w:val="21"/>
        </w:rPr>
      </w:pPr>
    </w:p>
    <w:p>
      <w:pPr>
        <w:pStyle w:val="Heading3"/>
        <w:spacing w:line="240" w:lineRule="auto"/>
        <w:ind w:right="0"/>
        <w:jc w:val="left"/>
        <w:rPr>
          <w:b w:val="0"/>
          <w:bCs w:val="0"/>
        </w:rPr>
      </w:pPr>
      <w:bookmarkStart w:name="26、资本公积" w:id="309"/>
      <w:bookmarkEnd w:id="309"/>
      <w:r>
        <w:rPr>
          <w:b w:val="0"/>
          <w:bCs w:val="0"/>
        </w:rPr>
      </w:r>
      <w:r>
        <w:rPr>
          <w:rFonts w:ascii="Times New Roman" w:hAnsi="Times New Roman" w:cs="Times New Roman" w:eastAsia="Times New Roman" w:hint="default"/>
        </w:rPr>
        <w:t>26</w:t>
      </w:r>
      <w:r>
        <w:rPr/>
        <w:t>、资本公积</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1,416,467,635.40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32,562,632.85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315,868,601.37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1,133,161,666.88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83,160,790.50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8,350,800.00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23,845,958.82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67,665,631.68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1,499,628,425.90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40,913,432.85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339,714,560.19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1,200,827,298.56</w:t>
            </w:r>
          </w:p>
        </w:tc>
      </w:tr>
    </w:tbl>
    <w:p>
      <w:pPr>
        <w:pStyle w:val="BodyText"/>
        <w:spacing w:line="240" w:lineRule="auto" w:before="51"/>
        <w:ind w:right="0"/>
        <w:jc w:val="left"/>
      </w:pPr>
      <w:r>
        <w:rPr/>
        <w:t>其他说明，包括本期增减变动情况、变动原因说明：</w:t>
      </w:r>
    </w:p>
    <w:p>
      <w:pPr>
        <w:pStyle w:val="BodyText"/>
        <w:spacing w:line="304" w:lineRule="auto" w:before="115"/>
        <w:ind w:right="1125" w:firstLine="420"/>
        <w:jc w:val="both"/>
      </w:pPr>
      <w:r>
        <w:rPr>
          <w:rFonts w:ascii="Times New Roman" w:hAnsi="Times New Roman" w:cs="Times New Roman" w:eastAsia="Times New Roman" w:hint="default"/>
          <w:spacing w:val="-2"/>
        </w:rPr>
        <w:t>1)</w:t>
      </w:r>
      <w:r>
        <w:rPr>
          <w:spacing w:val="-2"/>
        </w:rPr>
        <w:t>资本公积</w:t>
      </w:r>
      <w:r>
        <w:rPr>
          <w:rFonts w:ascii="Times New Roman" w:hAnsi="Times New Roman" w:cs="Times New Roman" w:eastAsia="Times New Roman" w:hint="default"/>
          <w:spacing w:val="-2"/>
        </w:rPr>
        <w:t>(</w:t>
      </w:r>
      <w:r>
        <w:rPr>
          <w:spacing w:val="-2"/>
        </w:rPr>
        <w:t>股本溢价</w:t>
      </w:r>
      <w:r>
        <w:rPr>
          <w:rFonts w:ascii="Times New Roman" w:hAnsi="Times New Roman" w:cs="Times New Roman" w:eastAsia="Times New Roman" w:hint="default"/>
          <w:spacing w:val="-2"/>
        </w:rPr>
        <w:t>)</w:t>
      </w:r>
      <w:r>
        <w:rPr>
          <w:spacing w:val="-2"/>
        </w:rPr>
        <w:t>本期增加</w:t>
      </w:r>
      <w:r>
        <w:rPr>
          <w:rFonts w:ascii="Times New Roman" w:hAnsi="Times New Roman" w:cs="Times New Roman" w:eastAsia="Times New Roman" w:hint="default"/>
          <w:spacing w:val="-2"/>
        </w:rPr>
        <w:t>32,562,632.85</w:t>
      </w:r>
      <w:r>
        <w:rPr>
          <w:spacing w:val="-2"/>
        </w:rPr>
        <w:t>元、资本公积</w:t>
      </w:r>
      <w:r>
        <w:rPr>
          <w:rFonts w:ascii="Times New Roman" w:hAnsi="Times New Roman" w:cs="Times New Roman" w:eastAsia="Times New Roman" w:hint="default"/>
          <w:spacing w:val="-2"/>
        </w:rPr>
        <w:t>(</w:t>
      </w:r>
      <w:r>
        <w:rPr>
          <w:spacing w:val="-2"/>
        </w:rPr>
        <w:t>其他资本公积</w:t>
      </w:r>
      <w:r>
        <w:rPr>
          <w:rFonts w:ascii="Times New Roman" w:hAnsi="Times New Roman" w:cs="Times New Roman" w:eastAsia="Times New Roman" w:hint="default"/>
          <w:spacing w:val="-2"/>
        </w:rPr>
        <w:t>)</w:t>
      </w:r>
      <w:r>
        <w:rPr>
          <w:spacing w:val="-2"/>
        </w:rPr>
        <w:t>本期减少</w:t>
      </w:r>
      <w:r>
        <w:rPr>
          <w:rFonts w:ascii="Times New Roman" w:hAnsi="Times New Roman" w:cs="Times New Roman" w:eastAsia="Times New Roman" w:hint="default"/>
          <w:spacing w:val="-2"/>
        </w:rPr>
        <w:t>23,845,958.82</w:t>
      </w:r>
      <w:r>
        <w:rPr>
          <w:spacing w:val="-2"/>
        </w:rPr>
        <w:t>元，包括：因本期部分</w:t>
      </w:r>
      <w:r>
        <w:rPr/>
        <w:t> </w:t>
      </w:r>
      <w:r>
        <w:rPr>
          <w:spacing w:val="12"/>
        </w:rPr>
        <w:t>限制性股票已解锁以及回购股票已过户至</w:t>
      </w:r>
      <w:r>
        <w:rPr>
          <w:rFonts w:ascii="Times New Roman" w:hAnsi="Times New Roman" w:cs="Times New Roman" w:eastAsia="Times New Roman" w:hint="default"/>
          <w:spacing w:val="12"/>
        </w:rPr>
        <w:t>2017</w:t>
      </w:r>
      <w:r>
        <w:rPr>
          <w:spacing w:val="12"/>
        </w:rPr>
        <w:t>年度第一期员工持股计划，相应将原确认的对应股份的股份支付费用</w:t>
      </w:r>
      <w:r>
        <w:rPr/>
        <w:t> </w:t>
      </w:r>
      <w:r>
        <w:rPr>
          <w:rFonts w:ascii="Times New Roman" w:hAnsi="Times New Roman" w:cs="Times New Roman" w:eastAsia="Times New Roman" w:hint="default"/>
        </w:rPr>
        <w:t>23,845,958.82</w:t>
      </w:r>
      <w:r>
        <w:rPr/>
        <w:t>元由资本公积</w:t>
      </w:r>
      <w:r>
        <w:rPr>
          <w:rFonts w:ascii="Times New Roman" w:hAnsi="Times New Roman" w:cs="Times New Roman" w:eastAsia="Times New Roman" w:hint="default"/>
        </w:rPr>
        <w:t>(</w:t>
      </w:r>
      <w:r>
        <w:rPr/>
        <w:t>其他资本公积</w:t>
      </w:r>
      <w:r>
        <w:rPr>
          <w:rFonts w:ascii="Times New Roman" w:hAnsi="Times New Roman" w:cs="Times New Roman" w:eastAsia="Times New Roman" w:hint="default"/>
        </w:rPr>
        <w:t>)</w:t>
      </w:r>
      <w:r>
        <w:rPr/>
        <w:t>转入资本公积</w:t>
      </w:r>
      <w:r>
        <w:rPr>
          <w:rFonts w:ascii="Times New Roman" w:hAnsi="Times New Roman" w:cs="Times New Roman" w:eastAsia="Times New Roman" w:hint="default"/>
        </w:rPr>
        <w:t>(</w:t>
      </w:r>
      <w:r>
        <w:rPr/>
        <w:t>股本溢价</w:t>
      </w:r>
      <w:r>
        <w:rPr>
          <w:rFonts w:ascii="Times New Roman" w:hAnsi="Times New Roman" w:cs="Times New Roman" w:eastAsia="Times New Roman" w:hint="default"/>
        </w:rPr>
        <w:t>)</w:t>
      </w:r>
      <w:r>
        <w:rPr/>
        <w:t>；本公司对控股子公司杭州卓腾信息技术有限公司不丧</w:t>
      </w:r>
      <w:r>
        <w:rPr>
          <w:spacing w:val="-23"/>
        </w:rPr>
        <w:t> </w:t>
      </w:r>
      <w:r>
        <w:rPr>
          <w:spacing w:val="-23"/>
        </w:rPr>
      </w:r>
      <w:r>
        <w:rPr>
          <w:spacing w:val="-2"/>
        </w:rPr>
        <w:t>失控制权的基础上，少数股东溢价增资，使得本公司按照新增持股比例计算应享有自合并日开始持续计算的净资产份额发生</w:t>
      </w:r>
      <w:r>
        <w:rPr>
          <w:spacing w:val="-64"/>
        </w:rPr>
        <w:t> </w:t>
      </w:r>
      <w:r>
        <w:rPr>
          <w:spacing w:val="-64"/>
        </w:rPr>
      </w:r>
      <w:r>
        <w:rPr/>
        <w:t>变化，相应增加资本公积</w:t>
      </w:r>
      <w:r>
        <w:rPr>
          <w:rFonts w:ascii="Times New Roman" w:hAnsi="Times New Roman" w:cs="Times New Roman" w:eastAsia="Times New Roman" w:hint="default"/>
        </w:rPr>
        <w:t>(</w:t>
      </w:r>
      <w:r>
        <w:rPr/>
        <w:t>股本溢价</w:t>
      </w:r>
      <w:r>
        <w:rPr>
          <w:rFonts w:ascii="Times New Roman" w:hAnsi="Times New Roman" w:cs="Times New Roman" w:eastAsia="Times New Roman" w:hint="default"/>
        </w:rPr>
        <w:t>)8,716,674.03</w:t>
      </w:r>
      <w:r>
        <w:rPr/>
        <w:t>元。</w:t>
      </w:r>
    </w:p>
    <w:p>
      <w:pPr>
        <w:pStyle w:val="BodyText"/>
        <w:spacing w:line="300" w:lineRule="auto" w:before="9"/>
        <w:ind w:right="1126" w:firstLine="420"/>
        <w:jc w:val="both"/>
      </w:pPr>
      <w:r>
        <w:rPr>
          <w:rFonts w:ascii="Times New Roman" w:hAnsi="Times New Roman" w:cs="Times New Roman" w:eastAsia="Times New Roman" w:hint="default"/>
          <w:spacing w:val="-2"/>
        </w:rPr>
        <w:t>2)</w:t>
      </w:r>
      <w:r>
        <w:rPr>
          <w:spacing w:val="-2"/>
        </w:rPr>
        <w:t>资本公积</w:t>
      </w:r>
      <w:r>
        <w:rPr>
          <w:rFonts w:ascii="Times New Roman" w:hAnsi="Times New Roman" w:cs="Times New Roman" w:eastAsia="Times New Roman" w:hint="default"/>
          <w:spacing w:val="-2"/>
        </w:rPr>
        <w:t>(</w:t>
      </w:r>
      <w:r>
        <w:rPr>
          <w:spacing w:val="-2"/>
        </w:rPr>
        <w:t>股本溢价</w:t>
      </w:r>
      <w:r>
        <w:rPr>
          <w:rFonts w:ascii="Times New Roman" w:hAnsi="Times New Roman" w:cs="Times New Roman" w:eastAsia="Times New Roman" w:hint="default"/>
          <w:spacing w:val="-2"/>
        </w:rPr>
        <w:t>)</w:t>
      </w:r>
      <w:r>
        <w:rPr>
          <w:spacing w:val="-2"/>
        </w:rPr>
        <w:t>本期减少</w:t>
      </w:r>
      <w:r>
        <w:rPr>
          <w:rFonts w:ascii="Times New Roman" w:hAnsi="Times New Roman" w:cs="Times New Roman" w:eastAsia="Times New Roman" w:hint="default"/>
          <w:spacing w:val="-2"/>
        </w:rPr>
        <w:t>315,868,601.37</w:t>
      </w:r>
      <w:r>
        <w:rPr>
          <w:spacing w:val="-2"/>
        </w:rPr>
        <w:t>元，包括：本期资本公积转增股本减少资本公积</w:t>
      </w:r>
      <w:r>
        <w:rPr>
          <w:rFonts w:ascii="Times New Roman" w:hAnsi="Times New Roman" w:cs="Times New Roman" w:eastAsia="Times New Roman" w:hint="default"/>
          <w:spacing w:val="-2"/>
        </w:rPr>
        <w:t>(</w:t>
      </w:r>
      <w:r>
        <w:rPr>
          <w:spacing w:val="-2"/>
        </w:rPr>
        <w:t>股本溢价</w:t>
      </w:r>
      <w:r>
        <w:rPr>
          <w:rFonts w:ascii="Times New Roman" w:hAnsi="Times New Roman" w:cs="Times New Roman" w:eastAsia="Times New Roman" w:hint="default"/>
          <w:spacing w:val="-2"/>
        </w:rPr>
        <w:t>)242,801,887.00</w:t>
      </w:r>
      <w:r>
        <w:rPr>
          <w:rFonts w:ascii="Times New Roman" w:hAnsi="Times New Roman" w:cs="Times New Roman" w:eastAsia="Times New Roman" w:hint="default"/>
        </w:rPr>
        <w:t> </w:t>
      </w:r>
      <w:r>
        <w:rPr>
          <w:spacing w:val="-2"/>
        </w:rPr>
        <w:t>元和回购尚未解锁的限制性股票减少资本公积</w:t>
      </w:r>
      <w:r>
        <w:rPr>
          <w:rFonts w:ascii="Times New Roman" w:hAnsi="Times New Roman" w:cs="Times New Roman" w:eastAsia="Times New Roman" w:hint="default"/>
          <w:spacing w:val="-2"/>
        </w:rPr>
        <w:t>(</w:t>
      </w:r>
      <w:r>
        <w:rPr>
          <w:spacing w:val="-2"/>
        </w:rPr>
        <w:t>股本溢价</w:t>
      </w:r>
      <w:r>
        <w:rPr>
          <w:rFonts w:ascii="Times New Roman" w:hAnsi="Times New Roman" w:cs="Times New Roman" w:eastAsia="Times New Roman" w:hint="default"/>
          <w:spacing w:val="-2"/>
        </w:rPr>
        <w:t>)1,195,479.22</w:t>
      </w:r>
      <w:r>
        <w:rPr>
          <w:spacing w:val="-2"/>
        </w:rPr>
        <w:t>元，详见本财务报表附注五股本之说明；本期回购股票</w:t>
      </w:r>
      <w:r>
        <w:rPr>
          <w:spacing w:val="-38"/>
        </w:rPr>
        <w:t> </w:t>
      </w:r>
      <w:r>
        <w:rPr>
          <w:spacing w:val="-38"/>
        </w:rPr>
      </w:r>
      <w:r>
        <w:rPr>
          <w:spacing w:val="11"/>
        </w:rPr>
        <w:t>已过户至</w:t>
      </w:r>
      <w:r>
        <w:rPr>
          <w:spacing w:val="-69"/>
        </w:rPr>
        <w:t> </w:t>
      </w:r>
      <w:r>
        <w:rPr>
          <w:rFonts w:ascii="Times New Roman" w:hAnsi="Times New Roman" w:cs="Times New Roman" w:eastAsia="Times New Roman" w:hint="default"/>
          <w:spacing w:val="11"/>
        </w:rPr>
        <w:t>2017</w:t>
      </w:r>
      <w:r>
        <w:rPr>
          <w:spacing w:val="11"/>
        </w:rPr>
        <w:t>年度第一期员工持股计划，</w:t>
      </w:r>
      <w:r>
        <w:rPr>
          <w:spacing w:val="-69"/>
        </w:rPr>
        <w:t> </w:t>
      </w:r>
      <w:r>
        <w:rPr>
          <w:spacing w:val="14"/>
        </w:rPr>
        <w:t>相应将原回购金额与员工持股计划缴入金额的差额减少资本公积</w:t>
      </w:r>
      <w:r>
        <w:rPr>
          <w:rFonts w:ascii="Times New Roman" w:hAnsi="Times New Roman" w:cs="Times New Roman" w:eastAsia="Times New Roman" w:hint="default"/>
          <w:spacing w:val="14"/>
        </w:rPr>
        <w:t>(</w:t>
      </w:r>
      <w:r>
        <w:rPr>
          <w:spacing w:val="14"/>
        </w:rPr>
        <w:t>股本溢</w:t>
      </w:r>
      <w:r>
        <w:rPr>
          <w:spacing w:val="-74"/>
        </w:rPr>
        <w:t> </w:t>
      </w:r>
      <w:r>
        <w:rPr>
          <w:spacing w:val="-74"/>
        </w:rPr>
      </w:r>
      <w:r>
        <w:rPr/>
        <w:t>价</w:t>
      </w:r>
      <w:r>
        <w:rPr>
          <w:rFonts w:ascii="Times New Roman" w:hAnsi="Times New Roman" w:cs="Times New Roman" w:eastAsia="Times New Roman" w:hint="default"/>
        </w:rPr>
        <w:t>)23,867,716.53</w:t>
      </w:r>
      <w:r>
        <w:rPr/>
        <w:t>元；本期公司收购控股子公司杭州美诺泰科科技有限公司少数股东股权，新增投资成本大于按照新增持股</w:t>
      </w:r>
      <w:r>
        <w:rPr>
          <w:spacing w:val="-25"/>
        </w:rPr>
        <w:t> </w:t>
      </w:r>
      <w:r>
        <w:rPr>
          <w:spacing w:val="-25"/>
        </w:rPr>
      </w:r>
      <w:r>
        <w:rPr/>
        <w:t>比例计算应享有自合并日开始持续计算的净资产份额，相应减少资本公积</w:t>
      </w:r>
      <w:r>
        <w:rPr>
          <w:rFonts w:ascii="Times New Roman" w:hAnsi="Times New Roman" w:cs="Times New Roman" w:eastAsia="Times New Roman" w:hint="default"/>
        </w:rPr>
        <w:t>(</w:t>
      </w:r>
      <w:r>
        <w:rPr/>
        <w:t>股本溢价</w:t>
      </w:r>
      <w:r>
        <w:rPr>
          <w:rFonts w:ascii="Times New Roman" w:hAnsi="Times New Roman" w:cs="Times New Roman" w:eastAsia="Times New Roman" w:hint="default"/>
        </w:rPr>
        <w:t>)48,003,518.62</w:t>
      </w:r>
      <w:r>
        <w:rPr/>
        <w:t>元。</w:t>
      </w:r>
    </w:p>
    <w:p>
      <w:pPr>
        <w:pStyle w:val="BodyText"/>
        <w:spacing w:line="300" w:lineRule="auto" w:before="13"/>
        <w:ind w:right="1132" w:firstLine="420"/>
        <w:jc w:val="both"/>
      </w:pPr>
      <w:r>
        <w:rPr>
          <w:rFonts w:ascii="Times New Roman" w:hAnsi="Times New Roman" w:cs="Times New Roman" w:eastAsia="Times New Roman" w:hint="default"/>
        </w:rPr>
        <w:t>3)</w:t>
      </w:r>
      <w:r>
        <w:rPr/>
        <w:t>资本公积（其他资本公积）本期增加</w:t>
      </w:r>
      <w:r>
        <w:rPr>
          <w:rFonts w:ascii="Times New Roman" w:hAnsi="Times New Roman" w:cs="Times New Roman" w:eastAsia="Times New Roman" w:hint="default"/>
        </w:rPr>
        <w:t>8,350,800.00</w:t>
      </w:r>
      <w:r>
        <w:rPr/>
        <w:t>元，均系本期确认的股份支付费用，详见本财务报表附注十股份支 付之说明。</w:t>
      </w:r>
    </w:p>
    <w:p>
      <w:pPr>
        <w:spacing w:line="240" w:lineRule="auto" w:before="7"/>
        <w:rPr>
          <w:rFonts w:ascii="宋体" w:hAnsi="宋体" w:cs="宋体" w:eastAsia="宋体" w:hint="default"/>
          <w:sz w:val="23"/>
          <w:szCs w:val="23"/>
        </w:rPr>
      </w:pPr>
    </w:p>
    <w:p>
      <w:pPr>
        <w:pStyle w:val="Heading3"/>
        <w:spacing w:line="240" w:lineRule="auto"/>
        <w:ind w:right="0"/>
        <w:jc w:val="left"/>
        <w:rPr>
          <w:b w:val="0"/>
          <w:bCs w:val="0"/>
        </w:rPr>
      </w:pPr>
      <w:bookmarkStart w:name="27、库存股" w:id="310"/>
      <w:bookmarkEnd w:id="310"/>
      <w:r>
        <w:rPr>
          <w:b w:val="0"/>
          <w:bCs w:val="0"/>
        </w:rPr>
      </w:r>
      <w:r>
        <w:rPr>
          <w:rFonts w:ascii="Times New Roman" w:hAnsi="Times New Roman" w:cs="Times New Roman" w:eastAsia="Times New Roman" w:hint="default"/>
        </w:rPr>
        <w:t>27</w:t>
      </w:r>
      <w:r>
        <w:rPr/>
        <w:t>、库存股</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0"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after="0" w:line="240"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限制性股票回购义务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61,964,549.02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31,483,486.81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30,481,062.21</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回购股票</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2"/>
                <w:sz w:val="18"/>
              </w:rPr>
              <w:t>119,400,118.77</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2"/>
                <w:sz w:val="18"/>
              </w:rPr>
              <w:t>119,400,118.77</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181,364,667.79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150,883,605.58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30,481,062.21</w:t>
            </w:r>
          </w:p>
        </w:tc>
      </w:tr>
    </w:tbl>
    <w:p>
      <w:pPr>
        <w:pStyle w:val="BodyText"/>
        <w:spacing w:line="240" w:lineRule="auto" w:before="51"/>
        <w:ind w:right="0"/>
        <w:jc w:val="left"/>
      </w:pPr>
      <w:r>
        <w:rPr/>
        <w:t>其他说明，包括本期增减变动情况、变动原因说明：</w:t>
      </w:r>
    </w:p>
    <w:p>
      <w:pPr>
        <w:pStyle w:val="BodyText"/>
        <w:spacing w:line="240" w:lineRule="auto" w:before="117"/>
        <w:ind w:left="472" w:right="0"/>
        <w:jc w:val="left"/>
      </w:pPr>
      <w:r>
        <w:rPr>
          <w:rFonts w:ascii="Times New Roman" w:hAnsi="Times New Roman" w:cs="Times New Roman" w:eastAsia="Times New Roman" w:hint="default"/>
        </w:rPr>
        <w:t>1)   </w:t>
      </w:r>
      <w:r>
        <w:rPr>
          <w:spacing w:val="9"/>
        </w:rPr>
        <w:t>限制性股票回购义务减少</w:t>
      </w:r>
      <w:r>
        <w:rPr>
          <w:rFonts w:ascii="Times New Roman" w:hAnsi="Times New Roman" w:cs="Times New Roman" w:eastAsia="Times New Roman" w:hint="default"/>
          <w:spacing w:val="9"/>
        </w:rPr>
        <w:t>31,483,486.81</w:t>
      </w:r>
      <w:r>
        <w:rPr>
          <w:spacing w:val="9"/>
        </w:rPr>
        <w:t>元，包括：因本期回购尚未解锁的限制性股票</w:t>
      </w:r>
      <w:r>
        <w:rPr>
          <w:spacing w:val="-82"/>
        </w:rPr>
        <w:t> </w:t>
      </w:r>
      <w:r>
        <w:rPr>
          <w:rFonts w:ascii="Times New Roman" w:hAnsi="Times New Roman" w:cs="Times New Roman" w:eastAsia="Times New Roman" w:hint="default"/>
          <w:spacing w:val="4"/>
        </w:rPr>
        <w:t>147,376.00</w:t>
      </w:r>
      <w:r>
        <w:rPr>
          <w:spacing w:val="4"/>
        </w:rPr>
        <w:t>股，相应转出</w:t>
      </w:r>
    </w:p>
    <w:p>
      <w:pPr>
        <w:pStyle w:val="BodyText"/>
        <w:spacing w:line="240" w:lineRule="auto" w:before="63"/>
        <w:ind w:right="0"/>
        <w:jc w:val="left"/>
        <w:rPr>
          <w:rFonts w:ascii="Times New Roman" w:hAnsi="Times New Roman" w:cs="Times New Roman" w:eastAsia="Times New Roman" w:hint="default"/>
        </w:rPr>
      </w:pPr>
      <w:r>
        <w:rPr>
          <w:rFonts w:ascii="Times New Roman" w:hAnsi="Times New Roman" w:cs="Times New Roman" w:eastAsia="Times New Roman" w:hint="default"/>
        </w:rPr>
        <w:t>1,342,855.22</w:t>
      </w:r>
      <w:r>
        <w:rPr/>
        <w:t>元；因本期解锁</w:t>
      </w:r>
      <w:r>
        <w:rPr>
          <w:rFonts w:ascii="Times New Roman" w:hAnsi="Times New Roman" w:cs="Times New Roman" w:eastAsia="Times New Roman" w:hint="default"/>
        </w:rPr>
        <w:t>3,389,114.00</w:t>
      </w:r>
      <w:r>
        <w:rPr/>
        <w:t>股限制性股票，相应转出</w:t>
      </w:r>
      <w:r>
        <w:rPr>
          <w:rFonts w:ascii="Times New Roman" w:hAnsi="Times New Roman" w:cs="Times New Roman" w:eastAsia="Times New Roman" w:hint="default"/>
        </w:rPr>
        <w:t>30,140,631.59</w:t>
      </w:r>
      <w:r>
        <w:rPr/>
        <w:t>元。截至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日，尚有</w:t>
      </w:r>
      <w:r>
        <w:rPr>
          <w:rFonts w:ascii="Times New Roman" w:hAnsi="Times New Roman" w:cs="Times New Roman" w:eastAsia="Times New Roman" w:hint="default"/>
        </w:rPr>
        <w:t>3,432,466.00</w:t>
      </w:r>
    </w:p>
    <w:p>
      <w:pPr>
        <w:pStyle w:val="BodyText"/>
        <w:spacing w:line="240" w:lineRule="auto" w:before="63"/>
        <w:ind w:right="0"/>
        <w:jc w:val="left"/>
      </w:pPr>
      <w:r>
        <w:rPr/>
        <w:t>股限制性股票未解锁，因公司仍负有回购义务，故仍列于本项目（同时计列其他应付款项目</w:t>
      </w:r>
      <w:r>
        <w:rPr>
          <w:spacing w:val="-89"/>
        </w:rPr>
        <w:t>）</w:t>
      </w:r>
      <w:r>
        <w:rPr/>
        <w:t>。</w:t>
      </w:r>
    </w:p>
    <w:p>
      <w:pPr>
        <w:pStyle w:val="BodyText"/>
        <w:spacing w:line="300" w:lineRule="auto" w:before="76"/>
        <w:ind w:right="0" w:firstLine="360"/>
        <w:jc w:val="left"/>
      </w:pPr>
      <w:r>
        <w:rPr>
          <w:rFonts w:ascii="Times New Roman" w:hAnsi="Times New Roman" w:cs="Times New Roman" w:eastAsia="Times New Roman" w:hint="default"/>
        </w:rPr>
        <w:t>2)</w:t>
      </w:r>
      <w:r>
        <w:rPr/>
        <w:t>根据公司第六届董事会第二次会议决议，回购股票已于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3</w:t>
      </w:r>
      <w:r>
        <w:rPr/>
        <w:t>月全部过户至</w:t>
      </w:r>
      <w:r>
        <w:rPr>
          <w:rFonts w:ascii="Times New Roman" w:hAnsi="Times New Roman" w:cs="Times New Roman" w:eastAsia="Times New Roman" w:hint="default"/>
        </w:rPr>
        <w:t>2017</w:t>
      </w:r>
      <w:r>
        <w:rPr/>
        <w:t>年度第一期员工持股计划，相应减 少库存股</w:t>
      </w:r>
      <w:r>
        <w:rPr>
          <w:rFonts w:ascii="Times New Roman" w:hAnsi="Times New Roman" w:cs="Times New Roman" w:eastAsia="Times New Roman" w:hint="default"/>
        </w:rPr>
        <w:t>119,400,118.77</w:t>
      </w:r>
      <w:r>
        <w:rPr/>
        <w:t>元。</w:t>
      </w:r>
    </w:p>
    <w:p>
      <w:pPr>
        <w:spacing w:line="240" w:lineRule="auto" w:before="13"/>
        <w:rPr>
          <w:rFonts w:ascii="宋体" w:hAnsi="宋体" w:cs="宋体" w:eastAsia="宋体" w:hint="default"/>
          <w:sz w:val="21"/>
          <w:szCs w:val="21"/>
        </w:rPr>
      </w:pPr>
    </w:p>
    <w:p>
      <w:pPr>
        <w:pStyle w:val="Heading3"/>
        <w:spacing w:line="240" w:lineRule="auto"/>
        <w:ind w:right="0"/>
        <w:jc w:val="left"/>
        <w:rPr>
          <w:b w:val="0"/>
          <w:bCs w:val="0"/>
        </w:rPr>
      </w:pPr>
      <w:bookmarkStart w:name="28、盈余公积" w:id="311"/>
      <w:bookmarkEnd w:id="311"/>
      <w:r>
        <w:rPr>
          <w:b w:val="0"/>
          <w:bCs w:val="0"/>
        </w:rPr>
      </w:r>
      <w:r>
        <w:rPr>
          <w:rFonts w:ascii="Times New Roman" w:hAnsi="Times New Roman" w:cs="Times New Roman" w:eastAsia="Times New Roman" w:hint="default"/>
        </w:rPr>
        <w:t>28</w:t>
      </w:r>
      <w:r>
        <w:rPr/>
        <w:t>、盈余公积</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41,516,879.72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24,164,122.46</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65,681,002.18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41,516,879.72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24,164,122.46</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65,681,002.18</w:t>
            </w:r>
          </w:p>
        </w:tc>
      </w:tr>
    </w:tbl>
    <w:p>
      <w:pPr>
        <w:pStyle w:val="BodyText"/>
        <w:spacing w:line="360" w:lineRule="auto" w:before="51"/>
        <w:ind w:left="472" w:right="4124" w:hanging="360"/>
        <w:jc w:val="left"/>
      </w:pPr>
      <w:r>
        <w:rPr/>
        <w:t>盈余公积说明，包括本期增减变动情况、变动原因说明： 盈余公积本期增加系根据</w:t>
      </w:r>
      <w:r>
        <w:rPr>
          <w:rFonts w:ascii="Times New Roman" w:hAnsi="Times New Roman" w:cs="Times New Roman" w:eastAsia="Times New Roman" w:hint="default"/>
        </w:rPr>
        <w:t>2018</w:t>
      </w:r>
      <w:r>
        <w:rPr/>
        <w:t>年度母公司实现净利润的</w:t>
      </w:r>
      <w:r>
        <w:rPr>
          <w:rFonts w:ascii="Times New Roman" w:hAnsi="Times New Roman" w:cs="Times New Roman" w:eastAsia="Times New Roman" w:hint="default"/>
        </w:rPr>
        <w:t>10%</w:t>
      </w:r>
      <w:r>
        <w:rPr/>
        <w:t>提取法定盈余公积。</w:t>
      </w:r>
    </w:p>
    <w:p>
      <w:pPr>
        <w:spacing w:line="240" w:lineRule="auto" w:before="2"/>
        <w:rPr>
          <w:rFonts w:ascii="宋体" w:hAnsi="宋体" w:cs="宋体" w:eastAsia="宋体" w:hint="default"/>
          <w:sz w:val="18"/>
          <w:szCs w:val="18"/>
        </w:rPr>
      </w:pPr>
    </w:p>
    <w:p>
      <w:pPr>
        <w:pStyle w:val="Heading3"/>
        <w:spacing w:line="240" w:lineRule="auto"/>
        <w:ind w:right="0"/>
        <w:jc w:val="left"/>
        <w:rPr>
          <w:b w:val="0"/>
          <w:bCs w:val="0"/>
        </w:rPr>
      </w:pPr>
      <w:bookmarkStart w:name="29、未分配利润" w:id="312"/>
      <w:bookmarkEnd w:id="312"/>
      <w:r>
        <w:rPr>
          <w:b w:val="0"/>
          <w:bCs w:val="0"/>
        </w:rPr>
      </w:r>
      <w:r>
        <w:rPr>
          <w:rFonts w:ascii="Times New Roman" w:hAnsi="Times New Roman" w:cs="Times New Roman" w:eastAsia="Times New Roman" w:hint="default"/>
        </w:rPr>
        <w:t>29</w:t>
      </w:r>
      <w:r>
        <w:rPr/>
        <w:t>、未分配利润</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725"/>
        <w:gridCol w:w="2924"/>
        <w:gridCol w:w="2918"/>
      </w:tblGrid>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435,329,536.63</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302,173,025.37</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435,329,536.63</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302,173,025.37</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212,681,116.27</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163,244,227.81</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24,164,122.46</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5,805,596.50</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62"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24,262,441.72</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24,282,120.05</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599,584,088.72</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435,329,536.63</w:t>
            </w:r>
          </w:p>
        </w:tc>
      </w:tr>
    </w:tbl>
    <w:p>
      <w:pPr>
        <w:pStyle w:val="BodyText"/>
        <w:spacing w:line="240" w:lineRule="auto" w:before="49"/>
        <w:ind w:right="0"/>
        <w:jc w:val="left"/>
      </w:pPr>
      <w:r>
        <w:rPr/>
        <w:t>调整期初未分配利润明细：</w:t>
      </w:r>
    </w:p>
    <w:p>
      <w:pPr>
        <w:pStyle w:val="BodyText"/>
        <w:spacing w:line="240" w:lineRule="auto" w:before="117"/>
        <w:ind w:right="0"/>
        <w:jc w:val="left"/>
      </w:pPr>
      <w:r>
        <w:rPr>
          <w:rFonts w:ascii="Times New Roman" w:hAnsi="Times New Roman" w:cs="Times New Roman" w:eastAsia="Times New Roman" w:hint="default"/>
        </w:rPr>
        <w:t>1)</w:t>
      </w:r>
      <w:r>
        <w:rPr/>
        <w:t>、由于《企业会计准则》及其相关新规定进行追溯调整，影响期初未分配利润元。</w:t>
      </w:r>
    </w:p>
    <w:p>
      <w:pPr>
        <w:pStyle w:val="BodyText"/>
        <w:spacing w:line="240" w:lineRule="auto" w:before="101"/>
        <w:ind w:right="0"/>
        <w:jc w:val="left"/>
      </w:pPr>
      <w:r>
        <w:rPr>
          <w:rFonts w:ascii="Times New Roman" w:hAnsi="Times New Roman" w:cs="Times New Roman" w:eastAsia="Times New Roman" w:hint="default"/>
        </w:rPr>
        <w:t>2)</w:t>
      </w:r>
      <w:r>
        <w:rPr/>
        <w:t>、由于会计政策变更，影响期初未分配利润元。</w:t>
      </w:r>
    </w:p>
    <w:p>
      <w:pPr>
        <w:pStyle w:val="BodyText"/>
        <w:spacing w:line="240" w:lineRule="auto" w:before="103"/>
        <w:ind w:right="0"/>
        <w:jc w:val="left"/>
      </w:pPr>
      <w:r>
        <w:rPr>
          <w:rFonts w:ascii="Times New Roman" w:hAnsi="Times New Roman" w:cs="Times New Roman" w:eastAsia="Times New Roman" w:hint="default"/>
        </w:rPr>
        <w:t>3)</w:t>
      </w:r>
      <w:r>
        <w:rPr/>
        <w:t>、由于重大会计差错更正，影响期初未分配利润元。</w:t>
      </w:r>
    </w:p>
    <w:p>
      <w:pPr>
        <w:pStyle w:val="BodyText"/>
        <w:spacing w:line="240" w:lineRule="auto" w:before="103"/>
        <w:ind w:right="0"/>
        <w:jc w:val="left"/>
      </w:pPr>
      <w:r>
        <w:rPr>
          <w:rFonts w:ascii="Times New Roman" w:hAnsi="Times New Roman" w:cs="Times New Roman" w:eastAsia="Times New Roman" w:hint="default"/>
        </w:rPr>
        <w:t>4)</w:t>
      </w:r>
      <w:r>
        <w:rPr/>
        <w:t>、由于同一控制导致的合并范围变更，影响期初未分配利润元。</w:t>
      </w:r>
    </w:p>
    <w:p>
      <w:pPr>
        <w:pStyle w:val="BodyText"/>
        <w:spacing w:line="240" w:lineRule="auto" w:before="101"/>
        <w:ind w:right="0"/>
        <w:jc w:val="left"/>
      </w:pPr>
      <w:r>
        <w:rPr>
          <w:rFonts w:ascii="Times New Roman" w:hAnsi="Times New Roman" w:cs="Times New Roman" w:eastAsia="Times New Roman" w:hint="default"/>
        </w:rPr>
        <w:t>5)</w:t>
      </w:r>
      <w:r>
        <w:rPr/>
        <w:t>、其他调整合计影响期初未分配利润元。</w:t>
      </w:r>
    </w:p>
    <w:p>
      <w:pPr>
        <w:spacing w:line="240" w:lineRule="auto" w:before="13"/>
        <w:rPr>
          <w:rFonts w:ascii="宋体" w:hAnsi="宋体" w:cs="宋体" w:eastAsia="宋体" w:hint="default"/>
          <w:sz w:val="25"/>
          <w:szCs w:val="25"/>
        </w:rPr>
      </w:pPr>
    </w:p>
    <w:p>
      <w:pPr>
        <w:pStyle w:val="Heading3"/>
        <w:spacing w:line="240" w:lineRule="auto"/>
        <w:ind w:right="0"/>
        <w:jc w:val="left"/>
        <w:rPr>
          <w:b w:val="0"/>
          <w:bCs w:val="0"/>
        </w:rPr>
      </w:pPr>
      <w:bookmarkStart w:name="30、营业收入和营业成本" w:id="313"/>
      <w:bookmarkEnd w:id="313"/>
      <w:r>
        <w:rPr>
          <w:b w:val="0"/>
          <w:bCs w:val="0"/>
        </w:rPr>
      </w:r>
      <w:r>
        <w:rPr>
          <w:rFonts w:ascii="Times New Roman" w:hAnsi="Times New Roman" w:cs="Times New Roman" w:eastAsia="Times New Roman" w:hint="default"/>
        </w:rPr>
        <w:t>30</w:t>
      </w:r>
      <w:r>
        <w:rPr/>
        <w:t>、营业收入和营业成本</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after="0" w:line="240" w:lineRule="auto"/>
        <w:jc w:val="right"/>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4"/>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成本</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1,284,759,548.43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646,548,881.41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1,148,642,985.21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587,319,847.01</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5,528,813.00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1,764,820.87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4,309,952.88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1,408,045.02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1,290,288,361.43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648,313,702.28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1,152,952,938.09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588,727,892.03</w:t>
            </w:r>
          </w:p>
        </w:tc>
      </w:tr>
    </w:tbl>
    <w:p>
      <w:pPr>
        <w:spacing w:line="240" w:lineRule="auto" w:before="4"/>
        <w:rPr>
          <w:rFonts w:ascii="宋体" w:hAnsi="宋体" w:cs="宋体" w:eastAsia="宋体" w:hint="default"/>
          <w:sz w:val="19"/>
          <w:szCs w:val="19"/>
        </w:rPr>
      </w:pPr>
    </w:p>
    <w:p>
      <w:pPr>
        <w:pStyle w:val="Heading3"/>
        <w:spacing w:line="240" w:lineRule="auto" w:before="34"/>
        <w:ind w:right="0"/>
        <w:jc w:val="left"/>
        <w:rPr>
          <w:b w:val="0"/>
          <w:bCs w:val="0"/>
        </w:rPr>
      </w:pPr>
      <w:bookmarkStart w:name="31、税金及附加" w:id="314"/>
      <w:bookmarkEnd w:id="314"/>
      <w:r>
        <w:rPr>
          <w:b w:val="0"/>
          <w:bCs w:val="0"/>
        </w:rPr>
      </w:r>
      <w:r>
        <w:rPr>
          <w:rFonts w:ascii="Times New Roman" w:hAnsi="Times New Roman" w:cs="Times New Roman" w:eastAsia="Times New Roman" w:hint="default"/>
        </w:rPr>
        <w:t>31</w:t>
      </w:r>
      <w:r>
        <w:rPr/>
        <w:t>、税金及附加</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5,950,021.86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4,429,749.57</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2,553,157.97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1,904,933.39</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2,891,917.55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2,965,734.86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46,687.64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58,204.78</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车船使用税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63,320.00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41,340.00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939,493.86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1,371,765.55</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地方教育附加</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1,705,559.85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1,270,721.34</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1,221.76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916,580.59</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14,151,380.49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12,959,030.08</w:t>
            </w:r>
          </w:p>
        </w:tc>
      </w:tr>
    </w:tbl>
    <w:p>
      <w:pPr>
        <w:pStyle w:val="BodyText"/>
        <w:spacing w:line="240" w:lineRule="auto" w:before="50"/>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32、销售费用" w:id="315"/>
      <w:bookmarkEnd w:id="315"/>
      <w:r>
        <w:rPr>
          <w:b w:val="0"/>
          <w:bCs w:val="0"/>
        </w:rPr>
      </w:r>
      <w:r>
        <w:rPr>
          <w:rFonts w:ascii="Times New Roman" w:hAnsi="Times New Roman" w:cs="Times New Roman" w:eastAsia="Times New Roman" w:hint="default"/>
        </w:rPr>
        <w:t>32</w:t>
      </w:r>
      <w:r>
        <w:rPr/>
        <w:t>、销售费用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44,105,180.75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34,853,042.76</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13,430,300.29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15,162,158.40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16,067,650.80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17,610,535.36</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会务咨询费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18,794,154.60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14,310,735.08</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14,790,952.06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15,748,060.23</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广告宣传费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2,606,124.75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1,449,030.36</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829,363.01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1,118,960.05</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培训费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143,361.81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554,801.70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3,768,431.05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4,690,716.19</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4,939,309.62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2,689,961.71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pacing w:val="-1"/>
                <w:sz w:val="18"/>
              </w:rPr>
              <w:t>119,474,828.74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108,188,001.84</w:t>
            </w:r>
          </w:p>
        </w:tc>
      </w:tr>
    </w:tbl>
    <w:p>
      <w:pPr>
        <w:spacing w:after="0" w:line="240" w:lineRule="auto"/>
        <w:jc w:val="right"/>
        <w:rPr>
          <w:rFonts w:ascii="Times New Roman" w:hAnsi="Times New Roman" w:cs="Times New Roman" w:eastAsia="Times New Roman" w:hint="default"/>
          <w:sz w:val="18"/>
          <w:szCs w:val="18"/>
        </w:rPr>
        <w:sectPr>
          <w:footerReference w:type="default" r:id="rId46"/>
          <w:pgSz w:w="11910" w:h="16840"/>
          <w:pgMar w:footer="1016" w:header="907" w:top="1100" w:bottom="1200" w:left="1020" w:right="0"/>
          <w:pgNumType w:start="160"/>
        </w:sectPr>
      </w:pPr>
    </w:p>
    <w:p>
      <w:pPr>
        <w:spacing w:line="240" w:lineRule="auto" w:before="13"/>
        <w:rPr>
          <w:rFonts w:ascii="宋体" w:hAnsi="宋体" w:cs="宋体" w:eastAsia="宋体" w:hint="default"/>
          <w:sz w:val="22"/>
          <w:szCs w:val="22"/>
        </w:rPr>
      </w:pPr>
    </w:p>
    <w:p>
      <w:pPr>
        <w:pStyle w:val="BodyText"/>
        <w:spacing w:line="240" w:lineRule="auto" w:before="44"/>
        <w:ind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33、管理费用" w:id="316"/>
      <w:bookmarkEnd w:id="316"/>
      <w:r>
        <w:rPr>
          <w:b w:val="0"/>
          <w:bCs w:val="0"/>
        </w:rPr>
      </w:r>
      <w:r>
        <w:rPr>
          <w:rFonts w:ascii="Times New Roman" w:hAnsi="Times New Roman" w:cs="Times New Roman" w:eastAsia="Times New Roman" w:hint="default"/>
        </w:rPr>
        <w:t>33</w:t>
      </w:r>
      <w:r>
        <w:rPr/>
        <w:t>、管理费用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92,056,892.52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96,686,150.13</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18,196,967.03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17,805,479.38</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10,159,653.49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11,398,210.74</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5,008,469.38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5,754,204.28</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10,743,999.45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10,569,954.07</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摊销费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5,859,360.13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3,877,751.26</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培训费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442,128.40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537,610.93</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9,241,616.19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5,786,602.59</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151,709,086.59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152,415,963.38</w:t>
            </w:r>
          </w:p>
        </w:tc>
      </w:tr>
    </w:tbl>
    <w:p>
      <w:pPr>
        <w:pStyle w:val="BodyText"/>
        <w:spacing w:line="240" w:lineRule="auto" w:before="52"/>
        <w:ind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34、研发费用" w:id="317"/>
      <w:bookmarkEnd w:id="317"/>
      <w:r>
        <w:rPr>
          <w:b w:val="0"/>
          <w:bCs w:val="0"/>
        </w:rPr>
      </w:r>
      <w:r>
        <w:rPr>
          <w:rFonts w:ascii="Times New Roman" w:hAnsi="Times New Roman" w:cs="Times New Roman" w:eastAsia="Times New Roman" w:hint="default"/>
        </w:rPr>
        <w:t>34</w:t>
      </w:r>
      <w:r>
        <w:rPr/>
        <w:t>、研发费用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118,006,537.00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102,966,253.42</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折旧摊销费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3,528,477.75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2,920,675.95</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8,317,405.24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6"/>
              <w:jc w:val="right"/>
              <w:rPr>
                <w:rFonts w:ascii="Times New Roman" w:hAnsi="Times New Roman" w:cs="Times New Roman" w:eastAsia="Times New Roman" w:hint="default"/>
                <w:sz w:val="18"/>
                <w:szCs w:val="18"/>
              </w:rPr>
            </w:pPr>
            <w:r>
              <w:rPr>
                <w:rFonts w:ascii="Times New Roman"/>
                <w:spacing w:val="-1"/>
                <w:sz w:val="18"/>
              </w:rPr>
              <w:t>9,838,261.11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129,852,419.99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115,725,190.48</w:t>
            </w:r>
          </w:p>
        </w:tc>
      </w:tr>
    </w:tbl>
    <w:p>
      <w:pPr>
        <w:pStyle w:val="BodyText"/>
        <w:spacing w:line="240" w:lineRule="auto" w:before="50"/>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35、财务费用" w:id="318"/>
      <w:bookmarkEnd w:id="318"/>
      <w:r>
        <w:rPr>
          <w:b w:val="0"/>
          <w:bCs w:val="0"/>
        </w:rPr>
      </w:r>
      <w:r>
        <w:rPr>
          <w:rFonts w:ascii="Times New Roman" w:hAnsi="Times New Roman" w:cs="Times New Roman" w:eastAsia="Times New Roman" w:hint="default"/>
        </w:rPr>
        <w:t>35</w:t>
      </w:r>
      <w:r>
        <w:rPr/>
        <w:t>、财务费用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10,841,985.69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2,951,816.52</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pacing w:val="-1"/>
                <w:sz w:val="18"/>
              </w:rPr>
              <w:t>-3,840,898.82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-5,131,741.59</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543,428.81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195,516.49</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7,544,515.68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-1,984,408.58</w:t>
            </w:r>
          </w:p>
        </w:tc>
      </w:tr>
    </w:tbl>
    <w:p>
      <w:pPr>
        <w:pStyle w:val="BodyText"/>
        <w:spacing w:line="240" w:lineRule="auto" w:before="49"/>
        <w:ind w:right="0"/>
        <w:jc w:val="left"/>
      </w:pPr>
      <w:r>
        <w:rPr/>
        <w:t>其他说明：</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0"/>
        <w:jc w:val="left"/>
        <w:rPr>
          <w:b w:val="0"/>
          <w:bCs w:val="0"/>
        </w:rPr>
      </w:pPr>
      <w:bookmarkStart w:name="36、资产减值损失" w:id="319"/>
      <w:bookmarkEnd w:id="319"/>
      <w:r>
        <w:rPr>
          <w:b w:val="0"/>
          <w:bCs w:val="0"/>
        </w:rPr>
      </w:r>
      <w:r>
        <w:rPr>
          <w:rFonts w:ascii="Times New Roman" w:hAnsi="Times New Roman" w:cs="Times New Roman" w:eastAsia="Times New Roman" w:hint="default"/>
        </w:rPr>
        <w:t>36</w:t>
      </w:r>
      <w:r>
        <w:rPr/>
        <w:t>、资产减值损失</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30,565,051.56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18,477,262.84</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二、存货跌价损失</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158,531.10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30,723,582.66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18,477,262.84</w:t>
            </w:r>
          </w:p>
        </w:tc>
      </w:tr>
    </w:tbl>
    <w:p>
      <w:pPr>
        <w:pStyle w:val="BodyText"/>
        <w:spacing w:line="240" w:lineRule="auto" w:before="52"/>
        <w:ind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37、其他收益" w:id="320"/>
      <w:bookmarkEnd w:id="320"/>
      <w:r>
        <w:rPr>
          <w:b w:val="0"/>
          <w:bCs w:val="0"/>
        </w:rPr>
      </w:r>
      <w:r>
        <w:rPr>
          <w:rFonts w:ascii="Times New Roman" w:hAnsi="Times New Roman" w:cs="Times New Roman" w:eastAsia="Times New Roman" w:hint="default"/>
        </w:rPr>
        <w:t>37</w:t>
      </w:r>
      <w:r>
        <w:rPr/>
        <w:t>、其他收益</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8" w:right="0"/>
              <w:jc w:val="left"/>
              <w:rPr>
                <w:rFonts w:ascii="宋体" w:hAnsi="宋体" w:cs="宋体" w:eastAsia="宋体" w:hint="default"/>
                <w:sz w:val="18"/>
                <w:szCs w:val="18"/>
              </w:rPr>
            </w:pPr>
            <w:r>
              <w:rPr>
                <w:rFonts w:ascii="宋体" w:hAnsi="宋体" w:cs="宋体" w:eastAsia="宋体" w:hint="default"/>
                <w:sz w:val="18"/>
                <w:szCs w:val="18"/>
              </w:rPr>
              <w:t>产生其他收益的来源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与资产相关的政府补助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55,916.36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55,916.36</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与收益相关的政府补助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48,098,605.97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37,568,020.87</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48,154,522.33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37,623,937.23</w:t>
            </w:r>
          </w:p>
        </w:tc>
      </w:tr>
    </w:tbl>
    <w:p>
      <w:pPr>
        <w:spacing w:line="240" w:lineRule="auto" w:before="2"/>
        <w:rPr>
          <w:rFonts w:ascii="宋体" w:hAnsi="宋体" w:cs="宋体" w:eastAsia="宋体" w:hint="default"/>
          <w:sz w:val="19"/>
          <w:szCs w:val="19"/>
        </w:rPr>
      </w:pPr>
    </w:p>
    <w:p>
      <w:pPr>
        <w:pStyle w:val="Heading3"/>
        <w:spacing w:line="240" w:lineRule="auto" w:before="34"/>
        <w:ind w:right="0"/>
        <w:jc w:val="left"/>
        <w:rPr>
          <w:b w:val="0"/>
          <w:bCs w:val="0"/>
        </w:rPr>
      </w:pPr>
      <w:bookmarkStart w:name="38、投资收益" w:id="321"/>
      <w:bookmarkEnd w:id="321"/>
      <w:r>
        <w:rPr>
          <w:b w:val="0"/>
          <w:bCs w:val="0"/>
        </w:rPr>
      </w:r>
      <w:r>
        <w:rPr>
          <w:rFonts w:ascii="Times New Roman" w:hAnsi="Times New Roman" w:cs="Times New Roman" w:eastAsia="Times New Roman" w:hint="default"/>
        </w:rPr>
        <w:t>38</w:t>
      </w:r>
      <w:r>
        <w:rPr/>
        <w:t>、投资收益</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460"/>
        <w:gridCol w:w="3190"/>
        <w:gridCol w:w="2918"/>
      </w:tblGrid>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6,022,054.97</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3,568,415.05</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1,448,301.37</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银行短期理财产品收益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1,259,059.44</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1,161,069.00</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8,729,415.78</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4,729,484.05</w:t>
            </w:r>
          </w:p>
        </w:tc>
      </w:tr>
    </w:tbl>
    <w:p>
      <w:pPr>
        <w:pStyle w:val="BodyText"/>
        <w:spacing w:line="240" w:lineRule="auto" w:before="49"/>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39、资产处置收益" w:id="322"/>
      <w:bookmarkEnd w:id="322"/>
      <w:r>
        <w:rPr>
          <w:b w:val="0"/>
          <w:bCs w:val="0"/>
        </w:rPr>
      </w:r>
      <w:r>
        <w:rPr>
          <w:rFonts w:ascii="Times New Roman" w:hAnsi="Times New Roman" w:cs="Times New Roman" w:eastAsia="Times New Roman" w:hint="default"/>
        </w:rPr>
        <w:t>39</w:t>
      </w:r>
      <w:r>
        <w:rPr/>
        <w:t>、资产处置收益</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8" w:right="0"/>
              <w:jc w:val="left"/>
              <w:rPr>
                <w:rFonts w:ascii="宋体" w:hAnsi="宋体" w:cs="宋体" w:eastAsia="宋体" w:hint="default"/>
                <w:sz w:val="18"/>
                <w:szCs w:val="18"/>
              </w:rPr>
            </w:pPr>
            <w:r>
              <w:rPr>
                <w:rFonts w:ascii="宋体" w:hAnsi="宋体" w:cs="宋体" w:eastAsia="宋体" w:hint="default"/>
                <w:sz w:val="18"/>
                <w:szCs w:val="18"/>
              </w:rPr>
              <w:t>资产处置收益的来源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固定资产处置收益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1,466,690.47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431,148.34</w:t>
            </w:r>
          </w:p>
        </w:tc>
      </w:tr>
    </w:tbl>
    <w:p>
      <w:pPr>
        <w:spacing w:line="240" w:lineRule="auto" w:before="3"/>
        <w:rPr>
          <w:rFonts w:ascii="宋体" w:hAnsi="宋体" w:cs="宋体" w:eastAsia="宋体" w:hint="default"/>
          <w:sz w:val="19"/>
          <w:szCs w:val="19"/>
        </w:rPr>
      </w:pPr>
    </w:p>
    <w:p>
      <w:pPr>
        <w:pStyle w:val="Heading3"/>
        <w:spacing w:line="240" w:lineRule="auto" w:before="34"/>
        <w:ind w:right="0"/>
        <w:jc w:val="left"/>
        <w:rPr>
          <w:b w:val="0"/>
          <w:bCs w:val="0"/>
        </w:rPr>
      </w:pPr>
      <w:bookmarkStart w:name="40、营业外收入" w:id="323"/>
      <w:bookmarkEnd w:id="323"/>
      <w:r>
        <w:rPr>
          <w:b w:val="0"/>
          <w:bCs w:val="0"/>
        </w:rPr>
      </w:r>
      <w:r>
        <w:rPr>
          <w:rFonts w:ascii="Times New Roman" w:hAnsi="Times New Roman" w:cs="Times New Roman" w:eastAsia="Times New Roman" w:hint="default"/>
        </w:rPr>
        <w:t>40</w:t>
      </w:r>
      <w:r>
        <w:rPr/>
        <w:t>、营业外收入</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89"/>
        <w:gridCol w:w="2395"/>
        <w:gridCol w:w="2392"/>
        <w:gridCol w:w="2392"/>
      </w:tblGrid>
      <w:tr>
        <w:trPr>
          <w:trHeight w:val="714" w:hRule="exact"/>
        </w:trPr>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742"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100" w:right="108" w:hanging="989"/>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400" w:hRule="exact"/>
        </w:trPr>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非流动资产毁损报废利得</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1,399.34</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1,399.34</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389"/>
        <w:gridCol w:w="2395"/>
        <w:gridCol w:w="2392"/>
        <w:gridCol w:w="2392"/>
      </w:tblGrid>
      <w:tr>
        <w:trPr>
          <w:trHeight w:val="402" w:hRule="exact"/>
        </w:trPr>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z w:val="18"/>
              </w:rPr>
              <w:t>0.13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428,596.70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0.13</w:t>
            </w: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1,399.47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428,596.70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1,399.47</w:t>
            </w:r>
          </w:p>
        </w:tc>
      </w:tr>
    </w:tbl>
    <w:p>
      <w:pPr>
        <w:pStyle w:val="BodyText"/>
        <w:spacing w:line="240" w:lineRule="auto" w:before="50"/>
        <w:ind w:right="0"/>
        <w:jc w:val="left"/>
      </w:pPr>
      <w:r>
        <w:rPr/>
        <w:t>计入当期损益的政府补助：</w:t>
      </w:r>
    </w:p>
    <w:p>
      <w:pPr>
        <w:pStyle w:val="BodyText"/>
        <w:spacing w:line="240" w:lineRule="auto" w:before="117"/>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65"/>
        <w:gridCol w:w="1063"/>
        <w:gridCol w:w="1063"/>
        <w:gridCol w:w="1063"/>
        <w:gridCol w:w="1063"/>
        <w:gridCol w:w="1063"/>
        <w:gridCol w:w="1063"/>
        <w:gridCol w:w="1063"/>
        <w:gridCol w:w="1063"/>
      </w:tblGrid>
      <w:tr>
        <w:trPr>
          <w:trHeight w:val="1026" w:hRule="exact"/>
        </w:trPr>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6" w:right="0"/>
              <w:jc w:val="left"/>
              <w:rPr>
                <w:rFonts w:ascii="宋体" w:hAnsi="宋体" w:cs="宋体" w:eastAsia="宋体" w:hint="default"/>
                <w:sz w:val="18"/>
                <w:szCs w:val="18"/>
              </w:rPr>
            </w:pPr>
            <w:r>
              <w:rPr>
                <w:rFonts w:ascii="宋体" w:hAnsi="宋体" w:cs="宋体" w:eastAsia="宋体" w:hint="default"/>
                <w:sz w:val="18"/>
                <w:szCs w:val="18"/>
              </w:rPr>
              <w:t>补助项目</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5" w:right="0"/>
              <w:jc w:val="left"/>
              <w:rPr>
                <w:rFonts w:ascii="宋体" w:hAnsi="宋体" w:cs="宋体" w:eastAsia="宋体" w:hint="default"/>
                <w:sz w:val="18"/>
                <w:szCs w:val="18"/>
              </w:rPr>
            </w:pPr>
            <w:r>
              <w:rPr>
                <w:rFonts w:ascii="宋体" w:hAnsi="宋体" w:cs="宋体" w:eastAsia="宋体" w:hint="default"/>
                <w:sz w:val="18"/>
                <w:szCs w:val="18"/>
              </w:rPr>
              <w:t>发放主体</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5" w:right="0"/>
              <w:jc w:val="left"/>
              <w:rPr>
                <w:rFonts w:ascii="宋体" w:hAnsi="宋体" w:cs="宋体" w:eastAsia="宋体" w:hint="default"/>
                <w:sz w:val="18"/>
                <w:szCs w:val="18"/>
              </w:rPr>
            </w:pPr>
            <w:r>
              <w:rPr>
                <w:rFonts w:ascii="宋体" w:hAnsi="宋体" w:cs="宋体" w:eastAsia="宋体" w:hint="default"/>
                <w:sz w:val="18"/>
                <w:szCs w:val="18"/>
              </w:rPr>
              <w:t>发放原因</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5" w:right="0"/>
              <w:jc w:val="left"/>
              <w:rPr>
                <w:rFonts w:ascii="宋体" w:hAnsi="宋体" w:cs="宋体" w:eastAsia="宋体" w:hint="default"/>
                <w:sz w:val="18"/>
                <w:szCs w:val="18"/>
              </w:rPr>
            </w:pPr>
            <w:r>
              <w:rPr>
                <w:rFonts w:ascii="宋体" w:hAnsi="宋体" w:cs="宋体" w:eastAsia="宋体" w:hint="default"/>
                <w:sz w:val="18"/>
                <w:szCs w:val="18"/>
              </w:rPr>
              <w:t>性质类型</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65" w:right="165"/>
              <w:jc w:val="center"/>
              <w:rPr>
                <w:rFonts w:ascii="宋体" w:hAnsi="宋体" w:cs="宋体" w:eastAsia="宋体" w:hint="default"/>
                <w:sz w:val="18"/>
                <w:szCs w:val="18"/>
              </w:rPr>
            </w:pPr>
            <w:r>
              <w:rPr>
                <w:rFonts w:ascii="宋体" w:hAnsi="宋体" w:cs="宋体" w:eastAsia="宋体" w:hint="default"/>
                <w:sz w:val="18"/>
                <w:szCs w:val="18"/>
              </w:rPr>
              <w:t>补贴是否 影响当年 盈亏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45" w:right="165" w:hanging="180"/>
              <w:jc w:val="left"/>
              <w:rPr>
                <w:rFonts w:ascii="宋体" w:hAnsi="宋体" w:cs="宋体" w:eastAsia="宋体" w:hint="default"/>
                <w:sz w:val="18"/>
                <w:szCs w:val="18"/>
              </w:rPr>
            </w:pPr>
            <w:r>
              <w:rPr>
                <w:rFonts w:ascii="宋体" w:hAnsi="宋体" w:cs="宋体" w:eastAsia="宋体" w:hint="default"/>
                <w:sz w:val="18"/>
                <w:szCs w:val="18"/>
              </w:rPr>
              <w:t>是否特殊 补贴</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46" w:right="165" w:hanging="180"/>
              <w:jc w:val="left"/>
              <w:rPr>
                <w:rFonts w:ascii="宋体" w:hAnsi="宋体" w:cs="宋体" w:eastAsia="宋体" w:hint="default"/>
                <w:sz w:val="18"/>
                <w:szCs w:val="18"/>
              </w:rPr>
            </w:pPr>
            <w:r>
              <w:rPr>
                <w:rFonts w:ascii="宋体" w:hAnsi="宋体" w:cs="宋体" w:eastAsia="宋体" w:hint="default"/>
                <w:sz w:val="18"/>
                <w:szCs w:val="18"/>
              </w:rPr>
              <w:t>本期发生 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46" w:right="165" w:hanging="180"/>
              <w:jc w:val="left"/>
              <w:rPr>
                <w:rFonts w:ascii="宋体" w:hAnsi="宋体" w:cs="宋体" w:eastAsia="宋体" w:hint="default"/>
                <w:sz w:val="18"/>
                <w:szCs w:val="18"/>
              </w:rPr>
            </w:pPr>
            <w:r>
              <w:rPr>
                <w:rFonts w:ascii="宋体" w:hAnsi="宋体" w:cs="宋体" w:eastAsia="宋体" w:hint="default"/>
                <w:sz w:val="18"/>
                <w:szCs w:val="18"/>
              </w:rPr>
              <w:t>上期发生 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2"/>
              <w:ind w:left="140" w:right="141" w:firstLine="2"/>
              <w:jc w:val="center"/>
              <w:rPr>
                <w:rFonts w:ascii="宋体" w:hAnsi="宋体" w:cs="宋体" w:eastAsia="宋体" w:hint="default"/>
                <w:sz w:val="18"/>
                <w:szCs w:val="18"/>
              </w:rPr>
            </w:pPr>
            <w:r>
              <w:rPr>
                <w:rFonts w:ascii="宋体" w:hAnsi="宋体" w:cs="宋体" w:eastAsia="宋体" w:hint="default"/>
                <w:sz w:val="18"/>
                <w:szCs w:val="18"/>
              </w:rPr>
              <w:t>与资产相 关</w:t>
            </w:r>
            <w:r>
              <w:rPr>
                <w:rFonts w:ascii="Times New Roman" w:hAnsi="Times New Roman" w:cs="Times New Roman" w:eastAsia="Times New Roman" w:hint="default"/>
                <w:sz w:val="18"/>
                <w:szCs w:val="18"/>
              </w:rPr>
              <w:t>/</w:t>
            </w:r>
            <w:r>
              <w:rPr>
                <w:rFonts w:ascii="宋体" w:hAnsi="宋体" w:cs="宋体" w:eastAsia="宋体" w:hint="default"/>
                <w:sz w:val="18"/>
                <w:szCs w:val="18"/>
              </w:rPr>
              <w:t>与收益 相关</w:t>
            </w:r>
          </w:p>
        </w:tc>
      </w:tr>
    </w:tbl>
    <w:p>
      <w:pPr>
        <w:pStyle w:val="BodyText"/>
        <w:spacing w:line="240" w:lineRule="auto" w:before="50"/>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41、营业外支出" w:id="324"/>
      <w:bookmarkEnd w:id="324"/>
      <w:r>
        <w:rPr>
          <w:b w:val="0"/>
          <w:bCs w:val="0"/>
        </w:rPr>
      </w:r>
      <w:r>
        <w:rPr>
          <w:rFonts w:ascii="Times New Roman" w:hAnsi="Times New Roman" w:cs="Times New Roman" w:eastAsia="Times New Roman" w:hint="default"/>
        </w:rPr>
        <w:t>41</w:t>
      </w:r>
      <w:r>
        <w:rPr/>
        <w:t>、营业外支出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2389"/>
        <w:gridCol w:w="2395"/>
        <w:gridCol w:w="2392"/>
        <w:gridCol w:w="2392"/>
      </w:tblGrid>
      <w:tr>
        <w:trPr>
          <w:trHeight w:val="714" w:hRule="exact"/>
        </w:trPr>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2"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00" w:right="108" w:hanging="989"/>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310,000.00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310,000.00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310,000.00</w:t>
            </w: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地方水利建设基金</w:t>
            </w:r>
          </w:p>
        </w:tc>
        <w:tc>
          <w:tcPr>
            <w:tcW w:w="2395"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78,823.70</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非流动资产毁损报废损失</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361,355.17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71,353.29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361,355.17</w:t>
            </w: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209,468.57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556,257.79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209,468.57</w:t>
            </w:r>
          </w:p>
        </w:tc>
      </w:tr>
      <w:tr>
        <w:trPr>
          <w:trHeight w:val="402" w:hRule="exact"/>
        </w:trPr>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880,823.74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1,016,434.78</w:t>
            </w:r>
          </w:p>
        </w:tc>
        <w:tc>
          <w:tcPr>
            <w:tcW w:w="2392"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42、所得税费用" w:id="325"/>
      <w:bookmarkEnd w:id="325"/>
      <w:r>
        <w:rPr>
          <w:b w:val="0"/>
          <w:bCs w:val="0"/>
        </w:rPr>
      </w:r>
      <w:r>
        <w:rPr>
          <w:rFonts w:ascii="Times New Roman" w:hAnsi="Times New Roman" w:cs="Times New Roman" w:eastAsia="Times New Roman" w:hint="default"/>
        </w:rPr>
        <w:t>42</w:t>
      </w:r>
      <w:r>
        <w:rPr/>
        <w:t>、所得税费用</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1）所得税费用表" w:id="326"/>
      <w:bookmarkEnd w:id="326"/>
      <w:r>
        <w:rPr>
          <w:b w:val="0"/>
          <w:bCs w:val="0"/>
        </w:rPr>
      </w:r>
      <w:r>
        <w:rPr/>
        <w:t>（</w:t>
      </w:r>
      <w:r>
        <w:rPr>
          <w:rFonts w:ascii="Times New Roman" w:hAnsi="Times New Roman" w:cs="Times New Roman" w:eastAsia="Times New Roman" w:hint="default"/>
        </w:rPr>
        <w:t>1</w:t>
      </w:r>
      <w:r>
        <w:rPr/>
        <w:t>）所得税费用表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28,671,842.12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33,812,660.46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-2,770,342.96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-1,956,497.99</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25,901,499.16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31,856,162.47</w:t>
            </w:r>
          </w:p>
        </w:tc>
      </w:tr>
    </w:tbl>
    <w:p>
      <w:pPr>
        <w:spacing w:line="240" w:lineRule="auto" w:before="2"/>
        <w:rPr>
          <w:rFonts w:ascii="宋体" w:hAnsi="宋体" w:cs="宋体" w:eastAsia="宋体" w:hint="default"/>
          <w:sz w:val="19"/>
          <w:szCs w:val="19"/>
        </w:rPr>
      </w:pPr>
    </w:p>
    <w:p>
      <w:pPr>
        <w:pStyle w:val="Heading3"/>
        <w:spacing w:line="240" w:lineRule="auto" w:before="34"/>
        <w:ind w:right="0"/>
        <w:jc w:val="left"/>
        <w:rPr>
          <w:b w:val="0"/>
          <w:bCs w:val="0"/>
        </w:rPr>
      </w:pPr>
      <w:bookmarkStart w:name="（2）会计利润与所得税费用调整过程" w:id="327"/>
      <w:bookmarkEnd w:id="327"/>
      <w:r>
        <w:rPr>
          <w:b w:val="0"/>
          <w:bCs w:val="0"/>
        </w:rPr>
      </w:r>
      <w:r>
        <w:rPr/>
        <w:t>（</w:t>
      </w:r>
      <w:r>
        <w:rPr>
          <w:rFonts w:ascii="Times New Roman" w:hAnsi="Times New Roman" w:cs="Times New Roman" w:eastAsia="Times New Roman" w:hint="default"/>
        </w:rPr>
        <w:t>2</w:t>
      </w:r>
      <w:r>
        <w:rPr/>
        <w:t>）会计利润与所得税费用调整过程</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4779"/>
        <w:gridCol w:w="4789"/>
      </w:tblGrid>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245,990,049.31</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适用税率计算的所得税费用</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24,599,004.93</w:t>
            </w:r>
          </w:p>
        </w:tc>
      </w:tr>
      <w:tr>
        <w:trPr>
          <w:trHeight w:val="400"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6,094,211.76</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4779"/>
        <w:gridCol w:w="4789"/>
      </w:tblGrid>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-410.99</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-602,205.50</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-3,233,675.50</w:t>
            </w:r>
          </w:p>
        </w:tc>
      </w:tr>
      <w:tr>
        <w:trPr>
          <w:trHeight w:val="714"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165"/>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 亏损的影响</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-955,425.54</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25,901,499.16</w:t>
            </w:r>
          </w:p>
        </w:tc>
      </w:tr>
    </w:tbl>
    <w:p>
      <w:pPr>
        <w:pStyle w:val="BodyText"/>
        <w:spacing w:line="240" w:lineRule="auto" w:before="51"/>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43、现金流量表项目" w:id="328"/>
      <w:bookmarkEnd w:id="328"/>
      <w:r>
        <w:rPr>
          <w:b w:val="0"/>
          <w:bCs w:val="0"/>
        </w:rPr>
      </w:r>
      <w:r>
        <w:rPr>
          <w:rFonts w:ascii="Times New Roman" w:hAnsi="Times New Roman" w:cs="Times New Roman" w:eastAsia="Times New Roman" w:hint="default"/>
        </w:rPr>
        <w:t>43</w:t>
      </w:r>
      <w:r>
        <w:rPr/>
        <w:t>、现金流量表项目</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1）收到的其他与经营活动有关的现金" w:id="329"/>
      <w:bookmarkEnd w:id="329"/>
      <w:r>
        <w:rPr>
          <w:b w:val="0"/>
          <w:bCs w:val="0"/>
        </w:rPr>
      </w:r>
      <w:r>
        <w:rPr/>
        <w:t>（</w:t>
      </w:r>
      <w:r>
        <w:rPr>
          <w:rFonts w:ascii="Times New Roman" w:hAnsi="Times New Roman" w:cs="Times New Roman" w:eastAsia="Times New Roman" w:hint="default"/>
        </w:rPr>
        <w:t>1</w:t>
      </w:r>
      <w:r>
        <w:rPr/>
        <w:t>）收到的其他与经营活动有关的现金</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2,435,796.66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8,309,865.51</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押金保证金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12,068,746.50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6,722,184.45</w:t>
            </w:r>
          </w:p>
        </w:tc>
      </w:tr>
      <w:tr>
        <w:trPr>
          <w:trHeight w:val="714"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93"/>
              <w:jc w:val="left"/>
              <w:rPr>
                <w:rFonts w:ascii="宋体" w:hAnsi="宋体" w:cs="宋体" w:eastAsia="宋体" w:hint="default"/>
                <w:sz w:val="18"/>
                <w:szCs w:val="18"/>
              </w:rPr>
            </w:pPr>
            <w:r>
              <w:rPr>
                <w:rFonts w:ascii="宋体" w:hAnsi="宋体" w:cs="宋体" w:eastAsia="宋体" w:hint="default"/>
                <w:sz w:val="18"/>
                <w:szCs w:val="18"/>
              </w:rPr>
              <w:t>收回不符合现金及现金等价物定义的 保证金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793,479.10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660,000.00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租金收入</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6,031,098.64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4,070,225.31</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1,969,113.43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2,574,024.06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23,298,254.33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22,336,299.33</w:t>
            </w:r>
          </w:p>
        </w:tc>
      </w:tr>
    </w:tbl>
    <w:p>
      <w:pPr>
        <w:pStyle w:val="BodyText"/>
        <w:spacing w:line="240" w:lineRule="auto" w:before="50"/>
        <w:ind w:right="0"/>
        <w:jc w:val="left"/>
      </w:pPr>
      <w:r>
        <w:rPr/>
        <w:t>收到的其他与经营活动有关的现金说明：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2）支付的其他与经营活动有关的现金" w:id="330"/>
      <w:bookmarkEnd w:id="330"/>
      <w:r>
        <w:rPr>
          <w:b w:val="0"/>
          <w:bCs w:val="0"/>
        </w:rPr>
      </w:r>
      <w:r>
        <w:rPr/>
        <w:t>（</w:t>
      </w:r>
      <w:r>
        <w:rPr>
          <w:rFonts w:ascii="Times New Roman" w:hAnsi="Times New Roman" w:cs="Times New Roman" w:eastAsia="Times New Roman" w:hint="default"/>
        </w:rPr>
        <w:t>2</w:t>
      </w:r>
      <w:r>
        <w:rPr/>
        <w:t>）支付的其他与经营活动有关的现金</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1" w:right="193"/>
              <w:jc w:val="left"/>
              <w:rPr>
                <w:rFonts w:ascii="宋体" w:hAnsi="宋体" w:cs="宋体" w:eastAsia="宋体" w:hint="default"/>
                <w:sz w:val="18"/>
                <w:szCs w:val="18"/>
              </w:rPr>
            </w:pPr>
            <w:r>
              <w:rPr>
                <w:rFonts w:ascii="宋体" w:hAnsi="宋体" w:cs="宋体" w:eastAsia="宋体" w:hint="default"/>
                <w:sz w:val="18"/>
                <w:szCs w:val="18"/>
              </w:rPr>
              <w:t>支付不符合现金及现金等价物定义的 保证金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2,693,421.66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793,479.10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付现经营费用</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125,002,303.98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115,304,939.26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押金保证金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9,468,699.60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2,018,032.69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1,912,938.04</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139,182,457.93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2"/>
                <w:sz w:val="18"/>
              </w:rPr>
              <w:t>118,011,356.40</w:t>
            </w:r>
          </w:p>
        </w:tc>
      </w:tr>
    </w:tbl>
    <w:p>
      <w:pPr>
        <w:pStyle w:val="BodyText"/>
        <w:spacing w:line="240" w:lineRule="auto" w:before="50"/>
        <w:ind w:right="0"/>
        <w:jc w:val="left"/>
      </w:pPr>
      <w:r>
        <w:rPr/>
        <w:t>支付的其他与经营活动有关的现金说明：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3）收到的其他与投资活动有关的现金" w:id="331"/>
      <w:bookmarkEnd w:id="331"/>
      <w:r>
        <w:rPr>
          <w:b w:val="0"/>
          <w:bCs w:val="0"/>
        </w:rPr>
      </w:r>
      <w:r>
        <w:rPr/>
        <w:t>（</w:t>
      </w:r>
      <w:r>
        <w:rPr>
          <w:rFonts w:ascii="Times New Roman" w:hAnsi="Times New Roman" w:cs="Times New Roman" w:eastAsia="Times New Roman" w:hint="default"/>
        </w:rPr>
        <w:t>3</w:t>
      </w:r>
      <w:r>
        <w:rPr/>
        <w:t>）收到的其他与投资活动有关的现金</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after="0" w:line="240" w:lineRule="auto"/>
        <w:jc w:val="right"/>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赎回银行短期理财产品</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21,700,000.00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178,000,000.00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3,302,011.62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4,497,438.88</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25,002,011.62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182,497,438.88</w:t>
            </w:r>
          </w:p>
        </w:tc>
      </w:tr>
    </w:tbl>
    <w:p>
      <w:pPr>
        <w:pStyle w:val="BodyText"/>
        <w:spacing w:line="240" w:lineRule="auto" w:before="50"/>
        <w:ind w:right="0"/>
        <w:jc w:val="left"/>
      </w:pPr>
      <w:r>
        <w:rPr/>
        <w:t>收到的其他与投资活动有关的现金说明：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4）支付的其他与投资活动有关的现金" w:id="332"/>
      <w:bookmarkEnd w:id="332"/>
      <w:r>
        <w:rPr>
          <w:b w:val="0"/>
          <w:bCs w:val="0"/>
        </w:rPr>
      </w:r>
      <w:r>
        <w:rPr/>
        <w:t>（</w:t>
      </w:r>
      <w:r>
        <w:rPr>
          <w:rFonts w:ascii="Times New Roman" w:hAnsi="Times New Roman" w:cs="Times New Roman" w:eastAsia="Times New Roman" w:hint="default"/>
        </w:rPr>
        <w:t>4</w:t>
      </w:r>
      <w:r>
        <w:rPr/>
        <w:t>）支付的其他与投资活动有关的现金</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购买银行理财产品</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21,700,000.00</w:t>
            </w:r>
          </w:p>
        </w:tc>
      </w:tr>
      <w:tr>
        <w:trPr>
          <w:trHeight w:val="714"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93"/>
              <w:jc w:val="left"/>
              <w:rPr>
                <w:rFonts w:ascii="宋体" w:hAnsi="宋体" w:cs="宋体" w:eastAsia="宋体" w:hint="default"/>
                <w:sz w:val="18"/>
                <w:szCs w:val="18"/>
              </w:rPr>
            </w:pPr>
            <w:r>
              <w:rPr>
                <w:rFonts w:ascii="宋体" w:hAnsi="宋体" w:cs="宋体" w:eastAsia="宋体" w:hint="default"/>
                <w:sz w:val="18"/>
                <w:szCs w:val="18"/>
              </w:rPr>
              <w:t>减少子公司浙江创源环境科技股份有 限公司时减少的现金净额</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612,373.40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22,312,373.40</w:t>
            </w:r>
          </w:p>
        </w:tc>
      </w:tr>
    </w:tbl>
    <w:p>
      <w:pPr>
        <w:pStyle w:val="BodyText"/>
        <w:spacing w:line="240" w:lineRule="auto" w:before="50"/>
        <w:ind w:right="0"/>
        <w:jc w:val="left"/>
      </w:pPr>
      <w:r>
        <w:rPr/>
        <w:t>支付的其他与投资活动有关的现金说明：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5）收到的其他与筹资活动有关的现金" w:id="333"/>
      <w:bookmarkEnd w:id="333"/>
      <w:r>
        <w:rPr>
          <w:b w:val="0"/>
          <w:bCs w:val="0"/>
        </w:rPr>
      </w:r>
      <w:r>
        <w:rPr/>
        <w:t>（</w:t>
      </w:r>
      <w:r>
        <w:rPr>
          <w:rFonts w:ascii="Times New Roman" w:hAnsi="Times New Roman" w:cs="Times New Roman" w:eastAsia="Times New Roman" w:hint="default"/>
        </w:rPr>
        <w:t>5</w:t>
      </w:r>
      <w:r>
        <w:rPr/>
        <w:t>）收到的其他与筹资活动有关的现金</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0"/>
              <w:ind w:left="101" w:right="147"/>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年度第一期员工持股计划缴入资 金</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95,532,402.24</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95,532,402.24</w:t>
            </w:r>
          </w:p>
        </w:tc>
        <w:tc>
          <w:tcPr>
            <w:tcW w:w="3189"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0"/>
        <w:ind w:right="0"/>
        <w:jc w:val="left"/>
      </w:pPr>
      <w:r>
        <w:rPr/>
        <w:t>收到的其他与筹资活动有关的现金说明：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6）支付的其他与筹资活动有关的现金" w:id="334"/>
      <w:bookmarkEnd w:id="334"/>
      <w:r>
        <w:rPr>
          <w:b w:val="0"/>
          <w:bCs w:val="0"/>
        </w:rPr>
      </w:r>
      <w:r>
        <w:rPr/>
        <w:t>（</w:t>
      </w:r>
      <w:r>
        <w:rPr>
          <w:rFonts w:ascii="Times New Roman" w:hAnsi="Times New Roman" w:cs="Times New Roman" w:eastAsia="Times New Roman" w:hint="default"/>
        </w:rPr>
        <w:t>6</w:t>
      </w:r>
      <w:r>
        <w:rPr/>
        <w:t>）支付的其他与筹资活动有关的现金</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7"/>
        <w:gridCol w:w="3193"/>
        <w:gridCol w:w="3189"/>
      </w:tblGrid>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股票发行费用</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3,850,943.40</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限制性股票回购</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1,246,070.93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2,843,412.26</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回购股票</w:t>
            </w:r>
          </w:p>
        </w:tc>
        <w:tc>
          <w:tcPr>
            <w:tcW w:w="3193"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2"/>
                <w:sz w:val="18"/>
              </w:rPr>
              <w:t>119,400,118.77</w:t>
            </w: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偿还拆借款及利息</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1"/>
                <w:sz w:val="18"/>
              </w:rPr>
              <w:t>750,000.00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2,252,979.33</w:t>
            </w:r>
          </w:p>
        </w:tc>
      </w:tr>
      <w:tr>
        <w:trPr>
          <w:trHeight w:val="714" w:hRule="exact"/>
        </w:trPr>
        <w:tc>
          <w:tcPr>
            <w:tcW w:w="31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1" w:right="193"/>
              <w:jc w:val="left"/>
              <w:rPr>
                <w:rFonts w:ascii="宋体" w:hAnsi="宋体" w:cs="宋体" w:eastAsia="宋体" w:hint="default"/>
                <w:sz w:val="18"/>
                <w:szCs w:val="18"/>
              </w:rPr>
            </w:pPr>
            <w:r>
              <w:rPr>
                <w:rFonts w:ascii="宋体" w:hAnsi="宋体" w:cs="宋体" w:eastAsia="宋体" w:hint="default"/>
                <w:sz w:val="18"/>
                <w:szCs w:val="18"/>
              </w:rPr>
              <w:t>收购杭州美诺泰科科技有限公司少数 股权价款</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54,600,000.00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56,596,070.93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128,347,453.76</w:t>
            </w:r>
          </w:p>
        </w:tc>
      </w:tr>
    </w:tbl>
    <w:p>
      <w:pPr>
        <w:pStyle w:val="BodyText"/>
        <w:spacing w:line="240" w:lineRule="auto" w:before="49"/>
        <w:ind w:right="0"/>
        <w:jc w:val="left"/>
      </w:pPr>
      <w:r>
        <w:rPr/>
        <w:t>支付的其他与筹资活动有关的现金说明：</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0"/>
        <w:jc w:val="left"/>
        <w:rPr>
          <w:b w:val="0"/>
          <w:bCs w:val="0"/>
        </w:rPr>
      </w:pPr>
      <w:bookmarkStart w:name="44、现金流量表补充资料" w:id="335"/>
      <w:bookmarkEnd w:id="335"/>
      <w:r>
        <w:rPr>
          <w:b w:val="0"/>
          <w:bCs w:val="0"/>
        </w:rPr>
      </w:r>
      <w:r>
        <w:rPr>
          <w:rFonts w:ascii="Times New Roman" w:hAnsi="Times New Roman" w:cs="Times New Roman" w:eastAsia="Times New Roman" w:hint="default"/>
        </w:rPr>
        <w:t>44</w:t>
      </w:r>
      <w:r>
        <w:rPr/>
        <w:t>、现金流量表补充资料</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现金流量表补充资料" w:id="336"/>
      <w:bookmarkEnd w:id="336"/>
      <w:r>
        <w:rPr>
          <w:b w:val="0"/>
          <w:bCs w:val="0"/>
        </w:rPr>
      </w:r>
      <w:r>
        <w:rPr/>
        <w:t>（</w:t>
      </w:r>
      <w:r>
        <w:rPr>
          <w:rFonts w:ascii="Times New Roman" w:hAnsi="Times New Roman" w:cs="Times New Roman" w:eastAsia="Times New Roman" w:hint="default"/>
        </w:rPr>
        <w:t>1</w:t>
      </w:r>
      <w:r>
        <w:rPr/>
        <w:t>）现金流量表补充资料</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27"/>
        <w:gridCol w:w="3057"/>
        <w:gridCol w:w="3184"/>
      </w:tblGrid>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220,088,550.15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168,784,575.09</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30,723,582.66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18,477,262.84</w:t>
            </w:r>
          </w:p>
        </w:tc>
      </w:tr>
      <w:tr>
        <w:trPr>
          <w:trHeight w:val="714"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3"/>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 生物资产折旧</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18,046,012.09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17,550,995.54</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6,362,691.08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3,984,727.02</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1,253,244.54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313,326.84</w:t>
            </w:r>
          </w:p>
        </w:tc>
      </w:tr>
      <w:tr>
        <w:trPr>
          <w:trHeight w:val="714"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1" w:right="153"/>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 产的损失（收益以“－”号填列）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-1,466,690.47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-431,148.34</w:t>
            </w:r>
          </w:p>
        </w:tc>
      </w:tr>
      <w:tr>
        <w:trPr>
          <w:trHeight w:val="714"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3"/>
              <w:jc w:val="left"/>
              <w:rPr>
                <w:rFonts w:ascii="宋体" w:hAnsi="宋体" w:cs="宋体" w:eastAsia="宋体" w:hint="default"/>
                <w:sz w:val="18"/>
                <w:szCs w:val="18"/>
              </w:rPr>
            </w:pPr>
            <w:r>
              <w:rPr>
                <w:rFonts w:ascii="宋体" w:hAnsi="宋体" w:cs="宋体" w:eastAsia="宋体" w:hint="default"/>
                <w:sz w:val="18"/>
                <w:szCs w:val="18"/>
              </w:rPr>
              <w:t>固定资产报废损失（收益以“－”号填 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359,955.83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71,353.29</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财务费用（收益以“－”号填列）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7,539,974.07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1"/>
                <w:sz w:val="18"/>
              </w:rPr>
              <w:t>-1,566,828.16</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投资损失（收益以“－”号填列）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-8,729,415.78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-4,729,484.05</w:t>
            </w:r>
          </w:p>
        </w:tc>
      </w:tr>
      <w:tr>
        <w:trPr>
          <w:trHeight w:val="714"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1" w:right="153"/>
              <w:jc w:val="left"/>
              <w:rPr>
                <w:rFonts w:ascii="宋体" w:hAnsi="宋体" w:cs="宋体" w:eastAsia="宋体" w:hint="default"/>
                <w:sz w:val="18"/>
                <w:szCs w:val="18"/>
              </w:rPr>
            </w:pPr>
            <w:r>
              <w:rPr>
                <w:rFonts w:ascii="宋体" w:hAnsi="宋体" w:cs="宋体" w:eastAsia="宋体" w:hint="default"/>
                <w:sz w:val="18"/>
                <w:szCs w:val="18"/>
              </w:rPr>
              <w:t>递延所得税资产减少（增加以“－”号 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-2,770,342.96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-1,956,497.99</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存货的减少（增加以“－”号填列）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2,182,214.02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-50,651,481.43</w:t>
            </w:r>
          </w:p>
        </w:tc>
      </w:tr>
      <w:tr>
        <w:trPr>
          <w:trHeight w:val="714"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1" w:right="153"/>
              <w:jc w:val="left"/>
              <w:rPr>
                <w:rFonts w:ascii="宋体" w:hAnsi="宋体" w:cs="宋体" w:eastAsia="宋体" w:hint="default"/>
                <w:sz w:val="18"/>
                <w:szCs w:val="18"/>
              </w:rPr>
            </w:pPr>
            <w:r>
              <w:rPr>
                <w:rFonts w:ascii="宋体" w:hAnsi="宋体" w:cs="宋体" w:eastAsia="宋体" w:hint="default"/>
                <w:sz w:val="18"/>
                <w:szCs w:val="18"/>
              </w:rPr>
              <w:t>经营性应收项目的减少（增加以“－” 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pacing w:val="-1"/>
                <w:sz w:val="18"/>
              </w:rPr>
              <w:t>-173,270,283.72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-56,025,934.89</w:t>
            </w:r>
          </w:p>
        </w:tc>
      </w:tr>
      <w:tr>
        <w:trPr>
          <w:trHeight w:val="714"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3"/>
              <w:jc w:val="left"/>
              <w:rPr>
                <w:rFonts w:ascii="宋体" w:hAnsi="宋体" w:cs="宋体" w:eastAsia="宋体" w:hint="default"/>
                <w:sz w:val="18"/>
                <w:szCs w:val="18"/>
              </w:rPr>
            </w:pPr>
            <w:r>
              <w:rPr>
                <w:rFonts w:ascii="宋体" w:hAnsi="宋体" w:cs="宋体" w:eastAsia="宋体" w:hint="default"/>
                <w:sz w:val="18"/>
                <w:szCs w:val="18"/>
              </w:rPr>
              <w:t>经营性应付项目的增加（减少以“－” 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61,027,326.57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59,192,615.71</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8,350,800.00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22,452,860.18</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169,697,618.08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175,466,341.65</w:t>
            </w:r>
          </w:p>
        </w:tc>
      </w:tr>
      <w:tr>
        <w:trPr>
          <w:trHeight w:val="714"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01" w:right="10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．不涉及现金收支的重大投资和筹资活</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动：</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465,674,243.29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360,288,285.78</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360,288,285.78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317,282,646.44</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105,385,957.51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43,005,639.34</w:t>
            </w:r>
          </w:p>
        </w:tc>
      </w:tr>
    </w:tbl>
    <w:p>
      <w:pPr>
        <w:spacing w:line="240" w:lineRule="auto" w:before="3"/>
        <w:rPr>
          <w:rFonts w:ascii="宋体" w:hAnsi="宋体" w:cs="宋体" w:eastAsia="宋体" w:hint="default"/>
          <w:sz w:val="19"/>
          <w:szCs w:val="19"/>
        </w:rPr>
      </w:pPr>
    </w:p>
    <w:p>
      <w:pPr>
        <w:pStyle w:val="Heading3"/>
        <w:spacing w:line="240" w:lineRule="auto" w:before="34"/>
        <w:ind w:right="0"/>
        <w:jc w:val="left"/>
        <w:rPr>
          <w:b w:val="0"/>
          <w:bCs w:val="0"/>
        </w:rPr>
      </w:pPr>
      <w:bookmarkStart w:name="（2）本期支付的取得子公司的现金净额" w:id="337"/>
      <w:bookmarkEnd w:id="337"/>
      <w:r>
        <w:rPr>
          <w:b w:val="0"/>
          <w:bCs w:val="0"/>
        </w:rPr>
      </w:r>
      <w:r>
        <w:rPr/>
        <w:t>（</w:t>
      </w:r>
      <w:r>
        <w:rPr>
          <w:rFonts w:ascii="Times New Roman" w:hAnsi="Times New Roman" w:cs="Times New Roman" w:eastAsia="Times New Roman" w:hint="default"/>
        </w:rPr>
        <w:t>2</w:t>
      </w:r>
      <w:r>
        <w:rPr/>
        <w:t>）本期支付的取得子公司的现金净额</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after="0" w:line="240" w:lineRule="auto"/>
        <w:jc w:val="right"/>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4988"/>
        <w:gridCol w:w="4580"/>
      </w:tblGrid>
      <w:tr>
        <w:trPr>
          <w:trHeight w:val="402"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0"/>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3）本期收到的处置子公司的现金净额" w:id="338"/>
      <w:bookmarkEnd w:id="338"/>
      <w:r>
        <w:rPr>
          <w:b w:val="0"/>
          <w:bCs w:val="0"/>
        </w:rPr>
      </w:r>
      <w:r>
        <w:rPr/>
        <w:t>（</w:t>
      </w:r>
      <w:r>
        <w:rPr>
          <w:rFonts w:ascii="Times New Roman" w:hAnsi="Times New Roman" w:cs="Times New Roman" w:eastAsia="Times New Roman" w:hint="default"/>
        </w:rPr>
        <w:t>3</w:t>
      </w:r>
      <w:r>
        <w:rPr/>
        <w:t>）本期收到的处置子公司的现金净额</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988"/>
        <w:gridCol w:w="4580"/>
      </w:tblGrid>
      <w:tr>
        <w:trPr>
          <w:trHeight w:val="402"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0"/>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4）现金和现金等价物的构成" w:id="339"/>
      <w:bookmarkEnd w:id="339"/>
      <w:r>
        <w:rPr>
          <w:b w:val="0"/>
          <w:bCs w:val="0"/>
        </w:rPr>
      </w:r>
      <w:r>
        <w:rPr/>
        <w:t>（</w:t>
      </w:r>
      <w:r>
        <w:rPr>
          <w:rFonts w:ascii="Times New Roman" w:hAnsi="Times New Roman" w:cs="Times New Roman" w:eastAsia="Times New Roman" w:hint="default"/>
        </w:rPr>
        <w:t>4</w:t>
      </w:r>
      <w:r>
        <w:rPr/>
        <w:t>）现金和现金等价物的构成</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27"/>
        <w:gridCol w:w="3057"/>
        <w:gridCol w:w="3184"/>
      </w:tblGrid>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465,674,243.29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360,288,285.78</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90,489.28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130,869.17</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42"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465,583,754.01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360,157,416.61</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465,674,243.29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360,288,285.78</w:t>
            </w:r>
          </w:p>
        </w:tc>
      </w:tr>
    </w:tbl>
    <w:p>
      <w:pPr>
        <w:pStyle w:val="BodyText"/>
        <w:spacing w:line="240" w:lineRule="auto" w:before="50"/>
        <w:ind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45、所有权或使用权受到限制的资产" w:id="340"/>
      <w:bookmarkEnd w:id="340"/>
      <w:r>
        <w:rPr>
          <w:b w:val="0"/>
          <w:bCs w:val="0"/>
        </w:rPr>
      </w:r>
      <w:r>
        <w:rPr>
          <w:rFonts w:ascii="Times New Roman" w:hAnsi="Times New Roman" w:cs="Times New Roman" w:eastAsia="Times New Roman" w:hint="default"/>
        </w:rPr>
        <w:t>45</w:t>
      </w:r>
      <w:r>
        <w:rPr/>
        <w:t>、所有权或使用权受到限制的资产</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27"/>
        <w:gridCol w:w="3057"/>
        <w:gridCol w:w="3184"/>
      </w:tblGrid>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82"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356" w:hRule="exact"/>
        </w:trPr>
        <w:tc>
          <w:tcPr>
            <w:tcW w:w="3327" w:type="dxa"/>
            <w:tcBorders>
              <w:top w:val="single" w:sz="4" w:space="0" w:color="000000"/>
              <w:left w:val="single" w:sz="4" w:space="0" w:color="000000"/>
              <w:bottom w:val="nil" w:sz="6" w:space="0" w:color="auto"/>
              <w:right w:val="single" w:sz="4" w:space="0" w:color="000000"/>
            </w:tcBorders>
            <w:shd w:val="clear" w:color="auto" w:fill="D2D2D2"/>
          </w:tcPr>
          <w:p>
            <w:pPr/>
          </w:p>
        </w:tc>
        <w:tc>
          <w:tcPr>
            <w:tcW w:w="3057" w:type="dxa"/>
            <w:tcBorders>
              <w:top w:val="single" w:sz="4" w:space="0" w:color="000000"/>
              <w:left w:val="single" w:sz="4" w:space="0" w:color="000000"/>
              <w:bottom w:val="nil" w:sz="6" w:space="0" w:color="auto"/>
              <w:right w:val="single" w:sz="4" w:space="0" w:color="000000"/>
            </w:tcBorders>
          </w:tcPr>
          <w:p>
            <w:pPr/>
          </w:p>
        </w:tc>
        <w:tc>
          <w:tcPr>
            <w:tcW w:w="318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均系其他货币资金，包括银行承兑汇</w:t>
            </w:r>
          </w:p>
        </w:tc>
      </w:tr>
      <w:tr>
        <w:trPr>
          <w:trHeight w:val="317" w:hRule="exact"/>
        </w:trPr>
        <w:tc>
          <w:tcPr>
            <w:tcW w:w="332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5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1"/>
              <w:jc w:val="right"/>
              <w:rPr>
                <w:rFonts w:ascii="Times New Roman" w:hAnsi="Times New Roman" w:cs="Times New Roman" w:eastAsia="Times New Roman" w:hint="default"/>
                <w:sz w:val="18"/>
                <w:szCs w:val="18"/>
              </w:rPr>
            </w:pPr>
            <w:r>
              <w:rPr>
                <w:rFonts w:ascii="Times New Roman"/>
                <w:spacing w:val="-1"/>
                <w:sz w:val="18"/>
              </w:rPr>
              <w:t>2,693,421.66</w:t>
            </w:r>
          </w:p>
        </w:tc>
        <w:tc>
          <w:tcPr>
            <w:tcW w:w="318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票保证金</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724,912.66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元和保函保证金</w:t>
            </w:r>
          </w:p>
        </w:tc>
      </w:tr>
      <w:tr>
        <w:trPr>
          <w:trHeight w:val="353" w:hRule="exact"/>
        </w:trPr>
        <w:tc>
          <w:tcPr>
            <w:tcW w:w="3327" w:type="dxa"/>
            <w:tcBorders>
              <w:top w:val="nil" w:sz="6" w:space="0" w:color="auto"/>
              <w:left w:val="single" w:sz="4" w:space="0" w:color="000000"/>
              <w:bottom w:val="single" w:sz="4" w:space="0" w:color="000000"/>
              <w:right w:val="single" w:sz="4" w:space="0" w:color="000000"/>
            </w:tcBorders>
            <w:shd w:val="clear" w:color="auto" w:fill="D2D2D2"/>
          </w:tcPr>
          <w:p>
            <w:pPr/>
          </w:p>
        </w:tc>
        <w:tc>
          <w:tcPr>
            <w:tcW w:w="3057" w:type="dxa"/>
            <w:tcBorders>
              <w:top w:val="nil" w:sz="6" w:space="0" w:color="auto"/>
              <w:left w:val="single" w:sz="4" w:space="0" w:color="000000"/>
              <w:bottom w:val="single" w:sz="4" w:space="0" w:color="000000"/>
              <w:right w:val="single" w:sz="4" w:space="0" w:color="000000"/>
            </w:tcBorders>
          </w:tcPr>
          <w:p>
            <w:pPr/>
          </w:p>
        </w:tc>
        <w:tc>
          <w:tcPr>
            <w:tcW w:w="318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1,968,509.00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元。</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2,693,421.66</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0"/>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0"/>
        <w:jc w:val="left"/>
      </w:pPr>
      <w:r>
        <w:rPr/>
        <w:t>其他说明：</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0"/>
        <w:jc w:val="left"/>
        <w:rPr>
          <w:b w:val="0"/>
          <w:bCs w:val="0"/>
        </w:rPr>
      </w:pPr>
      <w:bookmarkStart w:name="46、政府补助" w:id="341"/>
      <w:bookmarkEnd w:id="341"/>
      <w:r>
        <w:rPr>
          <w:b w:val="0"/>
          <w:bCs w:val="0"/>
        </w:rPr>
      </w:r>
      <w:r>
        <w:rPr>
          <w:rFonts w:ascii="Times New Roman" w:hAnsi="Times New Roman" w:cs="Times New Roman" w:eastAsia="Times New Roman" w:hint="default"/>
        </w:rPr>
        <w:t>46</w:t>
      </w:r>
      <w:r>
        <w:rPr/>
        <w:t>、政府补助</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政府补助基本情况" w:id="342"/>
      <w:bookmarkEnd w:id="342"/>
      <w:r>
        <w:rPr>
          <w:b w:val="0"/>
          <w:bCs w:val="0"/>
        </w:rPr>
      </w:r>
      <w:r>
        <w:rPr/>
        <w:t>（</w:t>
      </w:r>
      <w:r>
        <w:rPr>
          <w:rFonts w:ascii="Times New Roman" w:hAnsi="Times New Roman" w:cs="Times New Roman" w:eastAsia="Times New Roman" w:hint="default"/>
        </w:rPr>
        <w:t>1</w:t>
      </w:r>
      <w:r>
        <w:rPr/>
        <w:t>）政府补助基本情况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列报项目</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80" w:right="0"/>
              <w:jc w:val="left"/>
              <w:rPr>
                <w:rFonts w:ascii="宋体" w:hAnsi="宋体" w:cs="宋体" w:eastAsia="宋体" w:hint="default"/>
                <w:sz w:val="18"/>
                <w:szCs w:val="18"/>
              </w:rPr>
            </w:pPr>
            <w:r>
              <w:rPr>
                <w:rFonts w:ascii="宋体" w:hAnsi="宋体" w:cs="宋体" w:eastAsia="宋体" w:hint="default"/>
                <w:sz w:val="18"/>
                <w:szCs w:val="18"/>
              </w:rPr>
              <w:t>计入当期损益的金额</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增值税即征即退</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34,861,809.31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34,861,809.31</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企业扶持资金</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750,000.00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750,000.00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科技项目补助经费</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500,000.00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500,000.00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瞪羚企业资助资金</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429,000.00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429,000.00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其他零星补助</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756,796.66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756,796.66</w:t>
            </w:r>
          </w:p>
        </w:tc>
      </w:tr>
    </w:tbl>
    <w:p>
      <w:pPr>
        <w:spacing w:line="240" w:lineRule="auto" w:before="3"/>
        <w:rPr>
          <w:rFonts w:ascii="宋体" w:hAnsi="宋体" w:cs="宋体" w:eastAsia="宋体" w:hint="default"/>
          <w:sz w:val="19"/>
          <w:szCs w:val="19"/>
        </w:rPr>
      </w:pPr>
    </w:p>
    <w:p>
      <w:pPr>
        <w:pStyle w:val="Heading3"/>
        <w:spacing w:line="240" w:lineRule="auto" w:before="34"/>
        <w:ind w:right="0"/>
        <w:jc w:val="left"/>
        <w:rPr>
          <w:b w:val="0"/>
          <w:bCs w:val="0"/>
        </w:rPr>
      </w:pPr>
      <w:bookmarkStart w:name="（2）政府补助退回情况" w:id="343"/>
      <w:bookmarkEnd w:id="343"/>
      <w:r>
        <w:rPr>
          <w:b w:val="0"/>
          <w:bCs w:val="0"/>
        </w:rPr>
      </w:r>
      <w:r>
        <w:rPr/>
        <w:t>（</w:t>
      </w:r>
      <w:r>
        <w:rPr>
          <w:rFonts w:ascii="Times New Roman" w:hAnsi="Times New Roman" w:cs="Times New Roman" w:eastAsia="Times New Roman" w:hint="default"/>
        </w:rPr>
        <w:t>2</w:t>
      </w:r>
      <w:r>
        <w:rPr/>
        <w:t>）政府补助退回情况</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8948" w:firstLine="91"/>
        <w:jc w:val="left"/>
      </w:pPr>
      <w:r>
        <w:rPr/>
        <w:t>□ 适用 √</w:t>
      </w:r>
      <w:r>
        <w:rPr>
          <w:spacing w:val="-1"/>
        </w:rPr>
        <w:t> </w:t>
      </w:r>
      <w:r>
        <w:rPr/>
        <w:t>不适用</w:t>
      </w:r>
      <w:r>
        <w:rPr/>
        <w:t> 其他说明：</w:t>
      </w:r>
    </w:p>
    <w:p>
      <w:pPr>
        <w:spacing w:line="240" w:lineRule="auto" w:before="3"/>
        <w:rPr>
          <w:rFonts w:ascii="宋体" w:hAnsi="宋体" w:cs="宋体" w:eastAsia="宋体" w:hint="default"/>
          <w:sz w:val="20"/>
          <w:szCs w:val="20"/>
        </w:rPr>
      </w:pPr>
    </w:p>
    <w:p>
      <w:pPr>
        <w:spacing w:line="487" w:lineRule="auto" w:before="0"/>
        <w:ind w:left="112" w:right="8329" w:firstLine="0"/>
        <w:jc w:val="left"/>
        <w:rPr>
          <w:rFonts w:ascii="宋体" w:hAnsi="宋体" w:cs="宋体" w:eastAsia="宋体" w:hint="default"/>
          <w:sz w:val="21"/>
          <w:szCs w:val="21"/>
        </w:rPr>
      </w:pPr>
      <w:bookmarkStart w:name="47、其他" w:id="344"/>
      <w:bookmarkEnd w:id="344"/>
      <w:r>
        <w:rPr/>
      </w:r>
      <w:r>
        <w:rPr>
          <w:rFonts w:ascii="Times New Roman" w:hAnsi="Times New Roman" w:cs="Times New Roman" w:eastAsia="Times New Roman" w:hint="default"/>
          <w:b/>
          <w:bCs/>
          <w:sz w:val="21"/>
          <w:szCs w:val="21"/>
        </w:rPr>
        <w:t>47</w:t>
      </w:r>
      <w:r>
        <w:rPr>
          <w:rFonts w:ascii="宋体" w:hAnsi="宋体" w:cs="宋体" w:eastAsia="宋体" w:hint="default"/>
          <w:b/>
          <w:bCs/>
          <w:sz w:val="21"/>
          <w:szCs w:val="21"/>
        </w:rPr>
        <w:t>、其他</w:t>
      </w:r>
      <w:r>
        <w:rPr>
          <w:rFonts w:ascii="宋体" w:hAnsi="宋体" w:cs="宋体" w:eastAsia="宋体" w:hint="default"/>
          <w:b/>
          <w:bCs/>
          <w:w w:val="99"/>
          <w:sz w:val="21"/>
          <w:szCs w:val="21"/>
        </w:rPr>
        <w:t> </w:t>
      </w:r>
      <w:bookmarkStart w:name="八、合并范围的变更" w:id="345"/>
      <w:bookmarkEnd w:id="345"/>
      <w:r>
        <w:rPr>
          <w:rFonts w:ascii="宋体" w:hAnsi="宋体" w:cs="宋体" w:eastAsia="宋体" w:hint="default"/>
          <w:b/>
          <w:bCs/>
          <w:w w:val="99"/>
          <w:sz w:val="21"/>
          <w:szCs w:val="21"/>
        </w:rPr>
      </w:r>
      <w:r>
        <w:rPr>
          <w:rFonts w:ascii="宋体" w:hAnsi="宋体" w:cs="宋体" w:eastAsia="宋体" w:hint="default"/>
          <w:b/>
          <w:bCs/>
          <w:sz w:val="24"/>
          <w:szCs w:val="24"/>
        </w:rPr>
        <w:t>八、合并范围的变更</w:t>
      </w:r>
      <w:r>
        <w:rPr>
          <w:rFonts w:ascii="宋体" w:hAnsi="宋体" w:cs="宋体" w:eastAsia="宋体" w:hint="default"/>
          <w:b/>
          <w:bCs/>
          <w:w w:val="99"/>
          <w:sz w:val="24"/>
          <w:szCs w:val="24"/>
        </w:rPr>
        <w:t> </w:t>
      </w:r>
      <w:bookmarkStart w:name="1、非同一控制下企业合并" w:id="346"/>
      <w:bookmarkEnd w:id="346"/>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、非同一控制下企业合并</w:t>
      </w:r>
      <w:r>
        <w:rPr>
          <w:rFonts w:ascii="宋体" w:hAnsi="宋体" w:cs="宋体" w:eastAsia="宋体" w:hint="default"/>
          <w:sz w:val="21"/>
          <w:szCs w:val="21"/>
        </w:rPr>
      </w:r>
    </w:p>
    <w:p>
      <w:pPr>
        <w:pStyle w:val="Heading3"/>
        <w:spacing w:line="240" w:lineRule="auto" w:before="84"/>
        <w:ind w:right="0"/>
        <w:jc w:val="left"/>
        <w:rPr>
          <w:b w:val="0"/>
          <w:bCs w:val="0"/>
        </w:rPr>
      </w:pPr>
      <w:bookmarkStart w:name="（1）本期发生的非同一控制下企业合并" w:id="347"/>
      <w:bookmarkEnd w:id="347"/>
      <w:r>
        <w:rPr>
          <w:b w:val="0"/>
          <w:bCs w:val="0"/>
        </w:rPr>
      </w:r>
      <w:r>
        <w:rPr/>
        <w:t>（</w:t>
      </w:r>
      <w:r>
        <w:rPr>
          <w:rFonts w:ascii="Times New Roman" w:hAnsi="Times New Roman" w:cs="Times New Roman" w:eastAsia="Times New Roman" w:hint="default"/>
        </w:rPr>
        <w:t>1</w:t>
      </w:r>
      <w:r>
        <w:rPr/>
        <w:t>）本期发生的非同一控制下企业合并</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63"/>
        <w:gridCol w:w="1064"/>
        <w:gridCol w:w="1064"/>
        <w:gridCol w:w="1064"/>
        <w:gridCol w:w="1064"/>
        <w:gridCol w:w="1064"/>
        <w:gridCol w:w="1062"/>
        <w:gridCol w:w="1062"/>
        <w:gridCol w:w="1062"/>
      </w:tblGrid>
      <w:tr>
        <w:trPr>
          <w:trHeight w:val="357" w:hRule="exact"/>
        </w:trPr>
        <w:tc>
          <w:tcPr>
            <w:tcW w:w="1063"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4"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4"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4"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4"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4"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2"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2"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购买日至</w:t>
            </w:r>
          </w:p>
        </w:tc>
        <w:tc>
          <w:tcPr>
            <w:tcW w:w="1062"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购买日至</w:t>
            </w:r>
          </w:p>
        </w:tc>
      </w:tr>
      <w:tr>
        <w:trPr>
          <w:trHeight w:val="624" w:hRule="exact"/>
        </w:trPr>
        <w:tc>
          <w:tcPr>
            <w:tcW w:w="106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346" w:right="164" w:hanging="180"/>
              <w:jc w:val="left"/>
              <w:rPr>
                <w:rFonts w:ascii="宋体" w:hAnsi="宋体" w:cs="宋体" w:eastAsia="宋体" w:hint="default"/>
                <w:sz w:val="18"/>
                <w:szCs w:val="18"/>
              </w:rPr>
            </w:pPr>
            <w:r>
              <w:rPr>
                <w:rFonts w:ascii="宋体" w:hAnsi="宋体" w:cs="宋体" w:eastAsia="宋体" w:hint="default"/>
                <w:sz w:val="18"/>
                <w:szCs w:val="18"/>
              </w:rPr>
              <w:t>被购买方 名称</w:t>
            </w:r>
          </w:p>
        </w:tc>
        <w:tc>
          <w:tcPr>
            <w:tcW w:w="106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347" w:right="165" w:hanging="180"/>
              <w:jc w:val="left"/>
              <w:rPr>
                <w:rFonts w:ascii="宋体" w:hAnsi="宋体" w:cs="宋体" w:eastAsia="宋体" w:hint="default"/>
                <w:sz w:val="18"/>
                <w:szCs w:val="18"/>
              </w:rPr>
            </w:pPr>
            <w:r>
              <w:rPr>
                <w:rFonts w:ascii="宋体" w:hAnsi="宋体" w:cs="宋体" w:eastAsia="宋体" w:hint="default"/>
                <w:sz w:val="18"/>
                <w:szCs w:val="18"/>
              </w:rPr>
              <w:t>股权取得 时点</w:t>
            </w:r>
          </w:p>
        </w:tc>
        <w:tc>
          <w:tcPr>
            <w:tcW w:w="106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346" w:right="166" w:hanging="180"/>
              <w:jc w:val="left"/>
              <w:rPr>
                <w:rFonts w:ascii="宋体" w:hAnsi="宋体" w:cs="宋体" w:eastAsia="宋体" w:hint="default"/>
                <w:sz w:val="18"/>
                <w:szCs w:val="18"/>
              </w:rPr>
            </w:pPr>
            <w:r>
              <w:rPr>
                <w:rFonts w:ascii="宋体" w:hAnsi="宋体" w:cs="宋体" w:eastAsia="宋体" w:hint="default"/>
                <w:sz w:val="18"/>
                <w:szCs w:val="18"/>
              </w:rPr>
              <w:t>股权取得 成本</w:t>
            </w:r>
          </w:p>
        </w:tc>
        <w:tc>
          <w:tcPr>
            <w:tcW w:w="106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347" w:right="164" w:hanging="180"/>
              <w:jc w:val="left"/>
              <w:rPr>
                <w:rFonts w:ascii="宋体" w:hAnsi="宋体" w:cs="宋体" w:eastAsia="宋体" w:hint="default"/>
                <w:sz w:val="18"/>
                <w:szCs w:val="18"/>
              </w:rPr>
            </w:pPr>
            <w:r>
              <w:rPr>
                <w:rFonts w:ascii="宋体" w:hAnsi="宋体" w:cs="宋体" w:eastAsia="宋体" w:hint="default"/>
                <w:sz w:val="18"/>
                <w:szCs w:val="18"/>
              </w:rPr>
              <w:t>股权取得 比例</w:t>
            </w:r>
          </w:p>
        </w:tc>
        <w:tc>
          <w:tcPr>
            <w:tcW w:w="106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347" w:right="165" w:hanging="180"/>
              <w:jc w:val="left"/>
              <w:rPr>
                <w:rFonts w:ascii="宋体" w:hAnsi="宋体" w:cs="宋体" w:eastAsia="宋体" w:hint="default"/>
                <w:sz w:val="18"/>
                <w:szCs w:val="18"/>
              </w:rPr>
            </w:pPr>
            <w:r>
              <w:rPr>
                <w:rFonts w:ascii="宋体" w:hAnsi="宋体" w:cs="宋体" w:eastAsia="宋体" w:hint="default"/>
                <w:sz w:val="18"/>
                <w:szCs w:val="18"/>
              </w:rPr>
              <w:t>股权取得 方式</w:t>
            </w:r>
          </w:p>
        </w:tc>
        <w:tc>
          <w:tcPr>
            <w:tcW w:w="106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57" w:right="0"/>
              <w:jc w:val="left"/>
              <w:rPr>
                <w:rFonts w:ascii="宋体" w:hAnsi="宋体" w:cs="宋体" w:eastAsia="宋体" w:hint="default"/>
                <w:sz w:val="18"/>
                <w:szCs w:val="18"/>
              </w:rPr>
            </w:pPr>
            <w:r>
              <w:rPr>
                <w:rFonts w:ascii="宋体" w:hAnsi="宋体" w:cs="宋体" w:eastAsia="宋体" w:hint="default"/>
                <w:sz w:val="18"/>
                <w:szCs w:val="18"/>
              </w:rPr>
              <w:t>购买日</w:t>
            </w:r>
          </w:p>
        </w:tc>
        <w:tc>
          <w:tcPr>
            <w:tcW w:w="106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165" w:right="165"/>
              <w:jc w:val="left"/>
              <w:rPr>
                <w:rFonts w:ascii="宋体" w:hAnsi="宋体" w:cs="宋体" w:eastAsia="宋体" w:hint="default"/>
                <w:sz w:val="18"/>
                <w:szCs w:val="18"/>
              </w:rPr>
            </w:pPr>
            <w:r>
              <w:rPr>
                <w:rFonts w:ascii="宋体" w:hAnsi="宋体" w:cs="宋体" w:eastAsia="宋体" w:hint="default"/>
                <w:sz w:val="18"/>
                <w:szCs w:val="18"/>
              </w:rPr>
              <w:t>购买日的 确定依据</w:t>
            </w:r>
          </w:p>
        </w:tc>
        <w:tc>
          <w:tcPr>
            <w:tcW w:w="106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166" w:right="163"/>
              <w:jc w:val="left"/>
              <w:rPr>
                <w:rFonts w:ascii="宋体" w:hAnsi="宋体" w:cs="宋体" w:eastAsia="宋体" w:hint="default"/>
                <w:sz w:val="18"/>
                <w:szCs w:val="18"/>
              </w:rPr>
            </w:pPr>
            <w:r>
              <w:rPr>
                <w:rFonts w:ascii="宋体" w:hAnsi="宋体" w:cs="宋体" w:eastAsia="宋体" w:hint="default"/>
                <w:sz w:val="18"/>
                <w:szCs w:val="18"/>
              </w:rPr>
              <w:t>期末被购 买方的收</w:t>
            </w:r>
          </w:p>
        </w:tc>
        <w:tc>
          <w:tcPr>
            <w:tcW w:w="106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0"/>
              <w:ind w:left="165" w:right="165"/>
              <w:jc w:val="left"/>
              <w:rPr>
                <w:rFonts w:ascii="宋体" w:hAnsi="宋体" w:cs="宋体" w:eastAsia="宋体" w:hint="default"/>
                <w:sz w:val="18"/>
                <w:szCs w:val="18"/>
              </w:rPr>
            </w:pPr>
            <w:r>
              <w:rPr>
                <w:rFonts w:ascii="宋体" w:hAnsi="宋体" w:cs="宋体" w:eastAsia="宋体" w:hint="default"/>
                <w:sz w:val="18"/>
                <w:szCs w:val="18"/>
              </w:rPr>
              <w:t>期末被购 买方的净</w:t>
            </w:r>
          </w:p>
        </w:tc>
      </w:tr>
      <w:tr>
        <w:trPr>
          <w:trHeight w:val="357" w:hRule="exact"/>
        </w:trPr>
        <w:tc>
          <w:tcPr>
            <w:tcW w:w="1063"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4"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4"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4"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4"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4"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2"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2"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入</w:t>
            </w:r>
          </w:p>
        </w:tc>
        <w:tc>
          <w:tcPr>
            <w:tcW w:w="1062"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利润</w:t>
            </w:r>
          </w:p>
        </w:tc>
      </w:tr>
    </w:tbl>
    <w:p>
      <w:pPr>
        <w:pStyle w:val="BodyText"/>
        <w:spacing w:line="240" w:lineRule="auto" w:before="51"/>
        <w:ind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2）合并成本及商誉" w:id="348"/>
      <w:bookmarkEnd w:id="348"/>
      <w:r>
        <w:rPr>
          <w:b w:val="0"/>
          <w:bCs w:val="0"/>
        </w:rPr>
      </w:r>
      <w:r>
        <w:rPr/>
        <w:t>（</w:t>
      </w:r>
      <w:r>
        <w:rPr>
          <w:rFonts w:ascii="Times New Roman" w:hAnsi="Times New Roman" w:cs="Times New Roman" w:eastAsia="Times New Roman" w:hint="default"/>
        </w:rPr>
        <w:t>2</w:t>
      </w:r>
      <w:r>
        <w:rPr/>
        <w:t>）合并成本及商誉</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0"/>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4pt;height:20.85pt;mso-position-horizontal-relative:char;mso-position-vertical-relative:line" coordorigin="0,0" coordsize="9588,417">
            <v:group style="position:absolute;left:13;top:13;width:4779;height:397" coordorigin="13,13" coordsize="4779,397">
              <v:shape style="position:absolute;left:13;top:13;width:4779;height:397" coordorigin="13,13" coordsize="4779,397" path="m13,13l4792,13,4792,410,13,410,13,13xe" filled="true" fillcolor="#d2d2d2" stroked="false">
                <v:path arrowok="t"/>
                <v:fill type="solid"/>
              </v:shape>
            </v:group>
            <v:group style="position:absolute;left:4797;top:13;width:4779;height:397" coordorigin="4797,13" coordsize="4779,397">
              <v:shape style="position:absolute;left:4797;top:13;width:4779;height:397" coordorigin="4797,13" coordsize="4779,397" path="m4797,13l9576,13,9576,410,4797,410,4797,13xe" filled="true" fillcolor="#e0ffff"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94;top:5;width:2;height:402" coordorigin="4794,5" coordsize="2,402">
              <v:shape style="position:absolute;left:4794;top:5;width:2;height:402" coordorigin="4794,5" coordsize="0,402" path="m4794,5l4794,407e" filled="false" stroked="true" strokeweight=".48pt" strokecolor="#000000">
                <v:path arrowok="t"/>
              </v:shape>
            </v:group>
            <v:group style="position:absolute;left:9578;top:5;width:2;height:402" coordorigin="9578,5" coordsize="2,402">
              <v:shape style="position:absolute;left:9578;top:5;width:2;height:402" coordorigin="9578,5" coordsize="0,402" path="m9578,5l9578,407e" filled="false" stroked="true" strokeweight=".48pt" strokecolor="#000000">
                <v:path arrowok="t"/>
              </v:shape>
              <v:shape style="position:absolute;left:10;top:10;width:4784;height:402" type="#_x0000_t202" filled="false" stroked="false">
                <v:textbox inset="0,0,0,0">
                  <w:txbxContent>
                    <w:p>
                      <w:pPr>
                        <w:spacing w:before="56"/>
                        <w:ind w:left="0" w:right="0" w:firstLine="0"/>
                        <w:jc w:val="center"/>
                        <w:rPr>
                          <w:rFonts w:ascii="宋体" w:hAnsi="宋体" w:cs="宋体" w:eastAsia="宋体" w:hint="default"/>
                          <w:sz w:val="18"/>
                          <w:szCs w:val="18"/>
                        </w:rPr>
                      </w:pPr>
                      <w:r>
                        <w:rPr>
                          <w:rFonts w:ascii="宋体" w:hAnsi="宋体" w:cs="宋体" w:eastAsia="宋体" w:hint="default"/>
                          <w:sz w:val="18"/>
                          <w:szCs w:val="18"/>
                        </w:rPr>
                        <w:t>合并成本</w:t>
                      </w:r>
                    </w:p>
                  </w:txbxContent>
                </v:textbox>
                <w10:wrap type="none"/>
              </v:shape>
            </v:group>
          </v:group>
        </w:pict>
      </w:r>
      <w:r>
        <w:rPr>
          <w:rFonts w:ascii="宋体" w:hAnsi="宋体" w:cs="宋体" w:eastAsia="宋体" w:hint="default"/>
          <w:position w:val="-7"/>
          <w:sz w:val="20"/>
          <w:szCs w:val="20"/>
        </w:rPr>
      </w:r>
    </w:p>
    <w:p>
      <w:pPr>
        <w:pStyle w:val="BodyText"/>
        <w:spacing w:line="360" w:lineRule="auto" w:before="50"/>
        <w:ind w:right="6074"/>
        <w:jc w:val="left"/>
      </w:pPr>
      <w:r>
        <w:rPr/>
        <w:t>合并成本公允价值的确定方法、或有对价及其变动的说明： 大额商誉形成的主要原因：</w:t>
      </w:r>
    </w:p>
    <w:p>
      <w:pPr>
        <w:pStyle w:val="BodyText"/>
        <w:spacing w:line="240" w:lineRule="auto" w:before="27"/>
        <w:ind w:right="0"/>
        <w:jc w:val="left"/>
      </w:pPr>
      <w:r>
        <w:rPr/>
        <w:t>其他说明：</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0"/>
        <w:jc w:val="left"/>
        <w:rPr>
          <w:b w:val="0"/>
          <w:bCs w:val="0"/>
        </w:rPr>
      </w:pPr>
      <w:bookmarkStart w:name="（3）被购买方于购买日可辨认资产、负债" w:id="349"/>
      <w:bookmarkEnd w:id="349"/>
      <w:r>
        <w:rPr>
          <w:b w:val="0"/>
          <w:bCs w:val="0"/>
        </w:rPr>
      </w:r>
      <w:r>
        <w:rPr/>
        <w:t>（</w:t>
      </w:r>
      <w:r>
        <w:rPr>
          <w:rFonts w:ascii="Times New Roman" w:hAnsi="Times New Roman" w:cs="Times New Roman" w:eastAsia="Times New Roman" w:hint="default"/>
        </w:rPr>
        <w:t>3</w:t>
      </w:r>
      <w:r>
        <w:rPr/>
        <w:t>）被购买方于购买日可辨认资产、负债</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380" w:type="dxa"/>
            <w:gridSpan w:val="2"/>
            <w:tcBorders>
              <w:top w:val="single" w:sz="4" w:space="0" w:color="000000"/>
              <w:left w:val="single" w:sz="4" w:space="0" w:color="000000"/>
              <w:bottom w:val="single" w:sz="4" w:space="0" w:color="000000"/>
              <w:right w:val="single" w:sz="4" w:space="0" w:color="000000"/>
            </w:tcBorders>
            <w:shd w:val="clear" w:color="auto" w:fill="E0FFFF"/>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60" w:right="0"/>
              <w:jc w:val="left"/>
              <w:rPr>
                <w:rFonts w:ascii="宋体" w:hAnsi="宋体" w:cs="宋体" w:eastAsia="宋体" w:hint="default"/>
                <w:sz w:val="18"/>
                <w:szCs w:val="18"/>
              </w:rPr>
            </w:pPr>
            <w:r>
              <w:rPr>
                <w:rFonts w:ascii="宋体" w:hAnsi="宋体" w:cs="宋体" w:eastAsia="宋体" w:hint="default"/>
                <w:sz w:val="18"/>
                <w:szCs w:val="18"/>
              </w:rPr>
              <w:t>购买日公允价值</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60" w:right="0"/>
              <w:jc w:val="left"/>
              <w:rPr>
                <w:rFonts w:ascii="宋体" w:hAnsi="宋体" w:cs="宋体" w:eastAsia="宋体" w:hint="default"/>
                <w:sz w:val="18"/>
                <w:szCs w:val="18"/>
              </w:rPr>
            </w:pPr>
            <w:r>
              <w:rPr>
                <w:rFonts w:ascii="宋体" w:hAnsi="宋体" w:cs="宋体" w:eastAsia="宋体" w:hint="default"/>
                <w:sz w:val="18"/>
                <w:szCs w:val="18"/>
              </w:rPr>
              <w:t>购买日账面价值</w:t>
            </w:r>
          </w:p>
        </w:tc>
      </w:tr>
    </w:tbl>
    <w:p>
      <w:pPr>
        <w:pStyle w:val="BodyText"/>
        <w:spacing w:line="357" w:lineRule="auto" w:before="52"/>
        <w:ind w:right="7531"/>
        <w:jc w:val="both"/>
      </w:pPr>
      <w:r>
        <w:rPr/>
        <w:t>可辨认资产、负债公允价值的确定方法： 企业合并中承担的被购买方的或有负债： 其他说明：</w:t>
      </w:r>
    </w:p>
    <w:p>
      <w:pPr>
        <w:spacing w:line="240" w:lineRule="auto" w:before="1"/>
        <w:rPr>
          <w:rFonts w:ascii="宋体" w:hAnsi="宋体" w:cs="宋体" w:eastAsia="宋体" w:hint="default"/>
          <w:sz w:val="20"/>
          <w:szCs w:val="20"/>
        </w:rPr>
      </w:pPr>
    </w:p>
    <w:p>
      <w:pPr>
        <w:pStyle w:val="Heading3"/>
        <w:spacing w:line="240" w:lineRule="auto"/>
        <w:ind w:right="0"/>
        <w:jc w:val="both"/>
        <w:rPr>
          <w:b w:val="0"/>
          <w:bCs w:val="0"/>
        </w:rPr>
      </w:pPr>
      <w:bookmarkStart w:name="（4）购买日之前持有的股权按照公允价值重新计量产生的利得或损失" w:id="350"/>
      <w:bookmarkEnd w:id="350"/>
      <w:r>
        <w:rPr>
          <w:b w:val="0"/>
          <w:bCs w:val="0"/>
        </w:rPr>
      </w:r>
      <w:r>
        <w:rPr/>
        <w:t>（</w:t>
      </w:r>
      <w:r>
        <w:rPr>
          <w:rFonts w:ascii="Times New Roman" w:hAnsi="Times New Roman" w:cs="Times New Roman" w:eastAsia="Times New Roman" w:hint="default"/>
        </w:rPr>
        <w:t>4</w:t>
      </w:r>
      <w:r>
        <w:rPr/>
        <w:t>）购买日之前持有的股权按照公允价值重新计量产生的利得或损失</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both"/>
      </w:pPr>
      <w:r>
        <w:rPr/>
        <w:t>是否存在通过多次交易分步实现企业合并且在报告期内取得控制权的交易</w:t>
      </w:r>
    </w:p>
    <w:p>
      <w:pPr>
        <w:pStyle w:val="BodyText"/>
        <w:spacing w:line="240" w:lineRule="auto" w:before="117"/>
        <w:ind w:left="204" w:right="0"/>
        <w:jc w:val="both"/>
      </w:pPr>
      <w:r>
        <w:rPr/>
        <w:t>□是√否</w:t>
      </w:r>
    </w:p>
    <w:p>
      <w:pPr>
        <w:spacing w:line="240" w:lineRule="auto" w:before="0"/>
        <w:rPr>
          <w:rFonts w:ascii="宋体" w:hAnsi="宋体" w:cs="宋体" w:eastAsia="宋体" w:hint="default"/>
          <w:sz w:val="18"/>
          <w:szCs w:val="18"/>
        </w:rPr>
      </w:pPr>
    </w:p>
    <w:p>
      <w:pPr>
        <w:pStyle w:val="Heading3"/>
        <w:spacing w:line="240" w:lineRule="auto" w:before="118"/>
        <w:ind w:right="0"/>
        <w:jc w:val="both"/>
        <w:rPr>
          <w:b w:val="0"/>
          <w:bCs w:val="0"/>
        </w:rPr>
      </w:pPr>
      <w:bookmarkStart w:name="（5）购买日或合并当期期末无法合理确定合并对价或被购买方可辨认资产、负债公允价值" w:id="351"/>
      <w:bookmarkEnd w:id="351"/>
      <w:r>
        <w:rPr>
          <w:b w:val="0"/>
          <w:bCs w:val="0"/>
        </w:rPr>
      </w:r>
      <w:r>
        <w:rPr/>
        <w:t>（</w:t>
      </w:r>
      <w:r>
        <w:rPr>
          <w:rFonts w:ascii="Times New Roman" w:hAnsi="Times New Roman" w:cs="Times New Roman" w:eastAsia="Times New Roman" w:hint="default"/>
        </w:rPr>
        <w:t>5</w:t>
      </w:r>
      <w:r>
        <w:rPr/>
        <w:t>）购买日或合并当期期末无法合理确定合并对价或被购买方可辨认资产、负债公允价值的相关说明</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both"/>
        <w:rPr>
          <w:b w:val="0"/>
          <w:bCs w:val="0"/>
        </w:rPr>
      </w:pPr>
      <w:bookmarkStart w:name="（6）其他说明" w:id="352"/>
      <w:bookmarkEnd w:id="352"/>
      <w:r>
        <w:rPr>
          <w:b w:val="0"/>
          <w:bCs w:val="0"/>
        </w:rPr>
      </w:r>
      <w:r>
        <w:rPr/>
        <w:t>（</w:t>
      </w:r>
      <w:r>
        <w:rPr>
          <w:rFonts w:ascii="Times New Roman" w:hAnsi="Times New Roman" w:cs="Times New Roman" w:eastAsia="Times New Roman" w:hint="default"/>
        </w:rPr>
        <w:t>6</w:t>
      </w:r>
      <w:r>
        <w:rPr/>
        <w:t>）其他说明</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both"/>
        <w:rPr>
          <w:b w:val="0"/>
          <w:bCs w:val="0"/>
        </w:rPr>
      </w:pPr>
      <w:bookmarkStart w:name="2、同一控制下企业合并" w:id="353"/>
      <w:bookmarkEnd w:id="353"/>
      <w:r>
        <w:rPr>
          <w:b w:val="0"/>
          <w:bCs w:val="0"/>
        </w:rPr>
      </w:r>
      <w:r>
        <w:rPr>
          <w:rFonts w:ascii="Times New Roman" w:hAnsi="Times New Roman" w:cs="Times New Roman" w:eastAsia="Times New Roman" w:hint="default"/>
        </w:rPr>
        <w:t>2</w:t>
      </w:r>
      <w:r>
        <w:rPr/>
        <w:t>、同一控制下企业合并</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both"/>
        <w:rPr>
          <w:b w:val="0"/>
          <w:bCs w:val="0"/>
        </w:rPr>
      </w:pPr>
      <w:bookmarkStart w:name="（1）本期发生的同一控制下企业合并" w:id="354"/>
      <w:bookmarkEnd w:id="354"/>
      <w:r>
        <w:rPr>
          <w:b w:val="0"/>
          <w:bCs w:val="0"/>
        </w:rPr>
      </w:r>
      <w:r>
        <w:rPr/>
        <w:t>（</w:t>
      </w:r>
      <w:r>
        <w:rPr>
          <w:rFonts w:ascii="Times New Roman" w:hAnsi="Times New Roman" w:cs="Times New Roman" w:eastAsia="Times New Roman" w:hint="default"/>
        </w:rPr>
        <w:t>1</w:t>
      </w:r>
      <w:r>
        <w:rPr/>
        <w:t>）本期发生的同一控制下企业合并</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61"/>
        <w:gridCol w:w="1061"/>
        <w:gridCol w:w="1063"/>
        <w:gridCol w:w="1064"/>
        <w:gridCol w:w="1064"/>
        <w:gridCol w:w="1064"/>
        <w:gridCol w:w="1064"/>
        <w:gridCol w:w="1064"/>
        <w:gridCol w:w="1064"/>
      </w:tblGrid>
      <w:tr>
        <w:trPr>
          <w:trHeight w:val="1650" w:hRule="exact"/>
        </w:trPr>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344" w:right="165" w:hanging="180"/>
              <w:jc w:val="left"/>
              <w:rPr>
                <w:rFonts w:ascii="宋体" w:hAnsi="宋体" w:cs="宋体" w:eastAsia="宋体" w:hint="default"/>
                <w:sz w:val="18"/>
                <w:szCs w:val="18"/>
              </w:rPr>
            </w:pPr>
            <w:r>
              <w:rPr>
                <w:rFonts w:ascii="宋体" w:hAnsi="宋体" w:cs="宋体" w:eastAsia="宋体" w:hint="default"/>
                <w:sz w:val="18"/>
                <w:szCs w:val="18"/>
              </w:rPr>
              <w:t>被合并方 名称</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7"/>
              <w:ind w:left="164" w:right="165"/>
              <w:jc w:val="both"/>
              <w:rPr>
                <w:rFonts w:ascii="宋体" w:hAnsi="宋体" w:cs="宋体" w:eastAsia="宋体" w:hint="default"/>
                <w:sz w:val="18"/>
                <w:szCs w:val="18"/>
              </w:rPr>
            </w:pPr>
            <w:r>
              <w:rPr>
                <w:rFonts w:ascii="宋体" w:hAnsi="宋体" w:cs="宋体" w:eastAsia="宋体" w:hint="default"/>
                <w:sz w:val="18"/>
                <w:szCs w:val="18"/>
              </w:rPr>
              <w:t>企业合并 中取得的 权益比例</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66" w:right="165"/>
              <w:jc w:val="center"/>
              <w:rPr>
                <w:rFonts w:ascii="宋体" w:hAnsi="宋体" w:cs="宋体" w:eastAsia="宋体" w:hint="default"/>
                <w:sz w:val="18"/>
                <w:szCs w:val="18"/>
              </w:rPr>
            </w:pPr>
            <w:r>
              <w:rPr>
                <w:rFonts w:ascii="宋体" w:hAnsi="宋体" w:cs="宋体" w:eastAsia="宋体" w:hint="default"/>
                <w:sz w:val="18"/>
                <w:szCs w:val="18"/>
              </w:rPr>
              <w:t>构成同一 控制下企 业合并的 依据</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57" w:right="0"/>
              <w:jc w:val="left"/>
              <w:rPr>
                <w:rFonts w:ascii="宋体" w:hAnsi="宋体" w:cs="宋体" w:eastAsia="宋体" w:hint="default"/>
                <w:sz w:val="18"/>
                <w:szCs w:val="18"/>
              </w:rPr>
            </w:pPr>
            <w:r>
              <w:rPr>
                <w:rFonts w:ascii="宋体" w:hAnsi="宋体" w:cs="宋体" w:eastAsia="宋体" w:hint="default"/>
                <w:sz w:val="18"/>
                <w:szCs w:val="18"/>
              </w:rPr>
              <w:t>合并日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168" w:right="164"/>
              <w:jc w:val="left"/>
              <w:rPr>
                <w:rFonts w:ascii="宋体" w:hAnsi="宋体" w:cs="宋体" w:eastAsia="宋体" w:hint="default"/>
                <w:sz w:val="18"/>
                <w:szCs w:val="18"/>
              </w:rPr>
            </w:pPr>
            <w:r>
              <w:rPr>
                <w:rFonts w:ascii="宋体" w:hAnsi="宋体" w:cs="宋体" w:eastAsia="宋体" w:hint="default"/>
                <w:sz w:val="18"/>
                <w:szCs w:val="18"/>
              </w:rPr>
              <w:t>合并日的 确定依据</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67" w:right="165"/>
              <w:jc w:val="center"/>
              <w:rPr>
                <w:rFonts w:ascii="宋体" w:hAnsi="宋体" w:cs="宋体" w:eastAsia="宋体" w:hint="default"/>
                <w:sz w:val="18"/>
                <w:szCs w:val="18"/>
              </w:rPr>
            </w:pPr>
            <w:r>
              <w:rPr>
                <w:rFonts w:ascii="宋体" w:hAnsi="宋体" w:cs="宋体" w:eastAsia="宋体" w:hint="default"/>
                <w:sz w:val="18"/>
                <w:szCs w:val="18"/>
              </w:rPr>
              <w:t>合并当期 期初至合 并日被合 并方的收 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66" w:right="165"/>
              <w:jc w:val="center"/>
              <w:rPr>
                <w:rFonts w:ascii="宋体" w:hAnsi="宋体" w:cs="宋体" w:eastAsia="宋体" w:hint="default"/>
                <w:sz w:val="18"/>
                <w:szCs w:val="18"/>
              </w:rPr>
            </w:pPr>
            <w:r>
              <w:rPr>
                <w:rFonts w:ascii="宋体" w:hAnsi="宋体" w:cs="宋体" w:eastAsia="宋体" w:hint="default"/>
                <w:sz w:val="18"/>
                <w:szCs w:val="18"/>
              </w:rPr>
              <w:t>合并当期 期初至合 并日被合 并方的净 利润</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7"/>
              <w:ind w:left="168" w:right="164"/>
              <w:jc w:val="both"/>
              <w:rPr>
                <w:rFonts w:ascii="宋体" w:hAnsi="宋体" w:cs="宋体" w:eastAsia="宋体" w:hint="default"/>
                <w:sz w:val="18"/>
                <w:szCs w:val="18"/>
              </w:rPr>
            </w:pPr>
            <w:r>
              <w:rPr>
                <w:rFonts w:ascii="宋体" w:hAnsi="宋体" w:cs="宋体" w:eastAsia="宋体" w:hint="default"/>
                <w:sz w:val="18"/>
                <w:szCs w:val="18"/>
              </w:rPr>
              <w:t>比较期间 被合并方 的收入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7"/>
              <w:ind w:left="167" w:right="165"/>
              <w:jc w:val="both"/>
              <w:rPr>
                <w:rFonts w:ascii="宋体" w:hAnsi="宋体" w:cs="宋体" w:eastAsia="宋体" w:hint="default"/>
                <w:sz w:val="18"/>
                <w:szCs w:val="18"/>
              </w:rPr>
            </w:pPr>
            <w:r>
              <w:rPr>
                <w:rFonts w:ascii="宋体" w:hAnsi="宋体" w:cs="宋体" w:eastAsia="宋体" w:hint="default"/>
                <w:sz w:val="18"/>
                <w:szCs w:val="18"/>
              </w:rPr>
              <w:t>比较期间 被合并方 的净利润</w:t>
            </w:r>
          </w:p>
        </w:tc>
      </w:tr>
    </w:tbl>
    <w:p>
      <w:pPr>
        <w:pStyle w:val="BodyText"/>
        <w:spacing w:line="240" w:lineRule="auto" w:before="50"/>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2）合并成本" w:id="355"/>
      <w:bookmarkEnd w:id="355"/>
      <w:r>
        <w:rPr>
          <w:b w:val="0"/>
          <w:bCs w:val="0"/>
        </w:rPr>
      </w:r>
      <w:r>
        <w:rPr/>
        <w:t>（</w:t>
      </w:r>
      <w:r>
        <w:rPr>
          <w:rFonts w:ascii="Times New Roman" w:hAnsi="Times New Roman" w:cs="Times New Roman" w:eastAsia="Times New Roman" w:hint="default"/>
        </w:rPr>
        <w:t>2</w:t>
      </w:r>
      <w:r>
        <w:rPr/>
        <w:t>）合并成本</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9"/>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4pt;height:20.85pt;mso-position-horizontal-relative:char;mso-position-vertical-relative:line" coordorigin="0,0" coordsize="9588,417">
            <v:group style="position:absolute;left:13;top:13;width:4779;height:397" coordorigin="13,13" coordsize="4779,397">
              <v:shape style="position:absolute;left:13;top:13;width:4779;height:397" coordorigin="13,13" coordsize="4779,397" path="m13,13l4792,13,4792,410,13,410,13,13xe" filled="true" fillcolor="#d2d2d2" stroked="false">
                <v:path arrowok="t"/>
                <v:fill type="solid"/>
              </v:shape>
            </v:group>
            <v:group style="position:absolute;left:4797;top:13;width:4779;height:397" coordorigin="4797,13" coordsize="4779,397">
              <v:shape style="position:absolute;left:4797;top:13;width:4779;height:397" coordorigin="4797,13" coordsize="4779,397" path="m4797,13l9576,13,9576,410,4797,410,4797,13xe" filled="true" fillcolor="#e0ffff"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94;top:5;width:2;height:402" coordorigin="4794,5" coordsize="2,402">
              <v:shape style="position:absolute;left:4794;top:5;width:2;height:402" coordorigin="4794,5" coordsize="0,402" path="m4794,5l4794,407e" filled="false" stroked="true" strokeweight=".48pt" strokecolor="#000000">
                <v:path arrowok="t"/>
              </v:shape>
            </v:group>
            <v:group style="position:absolute;left:9578;top:5;width:2;height:402" coordorigin="9578,5" coordsize="2,402">
              <v:shape style="position:absolute;left:9578;top:5;width:2;height:402" coordorigin="9578,5" coordsize="0,402" path="m9578,5l9578,407e" filled="false" stroked="true" strokeweight=".48pt" strokecolor="#000000">
                <v:path arrowok="t"/>
              </v:shape>
              <v:shape style="position:absolute;left:10;top:10;width:4784;height:402" type="#_x0000_t202" filled="false" stroked="false">
                <v:textbox inset="0,0,0,0">
                  <w:txbxContent>
                    <w:p>
                      <w:pPr>
                        <w:spacing w:before="55"/>
                        <w:ind w:left="0" w:right="0" w:firstLine="0"/>
                        <w:jc w:val="center"/>
                        <w:rPr>
                          <w:rFonts w:ascii="宋体" w:hAnsi="宋体" w:cs="宋体" w:eastAsia="宋体" w:hint="default"/>
                          <w:sz w:val="18"/>
                          <w:szCs w:val="18"/>
                        </w:rPr>
                      </w:pPr>
                      <w:r>
                        <w:rPr>
                          <w:rFonts w:ascii="宋体" w:hAnsi="宋体" w:cs="宋体" w:eastAsia="宋体" w:hint="default"/>
                          <w:sz w:val="18"/>
                          <w:szCs w:val="18"/>
                        </w:rPr>
                        <w:t>合并成本</w:t>
                      </w:r>
                    </w:p>
                  </w:txbxContent>
                </v:textbox>
                <w10:wrap type="none"/>
              </v:shape>
            </v:group>
          </v:group>
        </w:pict>
      </w:r>
      <w:r>
        <w:rPr>
          <w:rFonts w:ascii="宋体" w:hAnsi="宋体" w:cs="宋体" w:eastAsia="宋体" w:hint="default"/>
          <w:position w:val="-7"/>
          <w:sz w:val="20"/>
          <w:szCs w:val="20"/>
        </w:rPr>
      </w:r>
    </w:p>
    <w:p>
      <w:pPr>
        <w:pStyle w:val="BodyText"/>
        <w:spacing w:line="360" w:lineRule="auto" w:before="51"/>
        <w:ind w:right="8594"/>
        <w:jc w:val="left"/>
      </w:pPr>
      <w:r>
        <w:rPr/>
        <w:t>或有对价及其变动的说明： 其他说明：</w:t>
      </w:r>
    </w:p>
    <w:p>
      <w:pPr>
        <w:spacing w:line="240" w:lineRule="auto" w:before="12"/>
        <w:rPr>
          <w:rFonts w:ascii="宋体" w:hAnsi="宋体" w:cs="宋体" w:eastAsia="宋体" w:hint="default"/>
          <w:sz w:val="19"/>
          <w:szCs w:val="19"/>
        </w:rPr>
      </w:pPr>
    </w:p>
    <w:p>
      <w:pPr>
        <w:pStyle w:val="Heading3"/>
        <w:spacing w:line="240" w:lineRule="auto"/>
        <w:ind w:right="0"/>
        <w:jc w:val="left"/>
        <w:rPr>
          <w:b w:val="0"/>
          <w:bCs w:val="0"/>
        </w:rPr>
      </w:pPr>
      <w:bookmarkStart w:name="（3）合并日被合并方资产、负债的账面价值" w:id="356"/>
      <w:bookmarkEnd w:id="356"/>
      <w:r>
        <w:rPr>
          <w:b w:val="0"/>
          <w:bCs w:val="0"/>
        </w:rPr>
      </w:r>
      <w:r>
        <w:rPr/>
        <w:t>（</w:t>
      </w:r>
      <w:r>
        <w:rPr>
          <w:rFonts w:ascii="Times New Roman" w:hAnsi="Times New Roman" w:cs="Times New Roman" w:eastAsia="Times New Roman" w:hint="default"/>
        </w:rPr>
        <w:t>3</w:t>
      </w:r>
      <w:r>
        <w:rPr/>
        <w:t>）合并日被合并方资产、负债的账面价值</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9"/>
        <w:rPr>
          <w:rFonts w:ascii="宋体" w:hAnsi="宋体" w:cs="宋体" w:eastAsia="宋体" w:hint="default"/>
          <w:sz w:val="7"/>
          <w:szCs w:val="7"/>
        </w:rPr>
      </w:pPr>
    </w:p>
    <w:p>
      <w:pPr>
        <w:spacing w:line="414"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5pt;height:20.75pt;mso-position-horizontal-relative:char;mso-position-vertical-relative:line" coordorigin="0,0" coordsize="9590,415">
            <v:group style="position:absolute;left:13;top:13;width:3185;height:397" coordorigin="13,13" coordsize="3185,397">
              <v:shape style="position:absolute;left:13;top:13;width:3185;height:397" coordorigin="13,13" coordsize="3185,397" path="m13,13l3198,13,3198,410,13,410,13,13xe" filled="true" fillcolor="#d2d2d2" stroked="false">
                <v:path arrowok="t"/>
                <v:fill type="solid"/>
              </v:shape>
            </v:group>
            <v:group style="position:absolute;left:3203;top:13;width:6375;height:397" coordorigin="3203,13" coordsize="6375,397">
              <v:shape style="position:absolute;left:3203;top:13;width:6375;height:397" coordorigin="3203,13" coordsize="6375,397" path="m3203,13l9578,13,9578,410,3203,410,3203,13xe" filled="true" fillcolor="#e0ffff" stroked="false">
                <v:path arrowok="t"/>
                <v:fill type="solid"/>
              </v:shape>
            </v:group>
            <v:group style="position:absolute;left:5;top:10;width:9580;height:2" coordorigin="5,10" coordsize="9580,2">
              <v:shape style="position:absolute;left:5;top:10;width:9580;height:2" coordorigin="5,10" coordsize="9580,0" path="m5,10l9584,10e" filled="false" stroked="true" strokeweight=".48pt" strokecolor="#000000">
                <v:path arrowok="t"/>
              </v:shape>
            </v:group>
            <v:group style="position:absolute;left:5;top:410;width:9580;height:2" coordorigin="5,410" coordsize="9580,2">
              <v:shape style="position:absolute;left:5;top:410;width:9580;height:2" coordorigin="5,410" coordsize="9580,0" path="m5,410l9584,410e" filled="false" stroked="true" strokeweight=".48pt" strokecolor="#000000">
                <v:path arrowok="t"/>
              </v:shape>
            </v:group>
            <v:group style="position:absolute;left:10;top:5;width:2;height:400" coordorigin="10,5" coordsize="2,400">
              <v:shape style="position:absolute;left:10;top:5;width:2;height:400" coordorigin="10,5" coordsize="0,400" path="m10,5l10,405e" filled="false" stroked="true" strokeweight=".48pt" strokecolor="#000000">
                <v:path arrowok="t"/>
              </v:shape>
            </v:group>
            <v:group style="position:absolute;left:3200;top:5;width:2;height:400" coordorigin="3200,5" coordsize="2,400">
              <v:shape style="position:absolute;left:3200;top:5;width:2;height:400" coordorigin="3200,5" coordsize="0,400" path="m3200,5l3200,405e" filled="false" stroked="true" strokeweight=".48pt" strokecolor="#000000">
                <v:path arrowok="t"/>
              </v:shape>
            </v:group>
            <v:group style="position:absolute;left:9580;top:5;width:2;height:400" coordorigin="9580,5" coordsize="2,400">
              <v:shape style="position:absolute;left:9580;top:5;width:2;height:400" coordorigin="9580,5" coordsize="0,400" path="m9580,5l9580,405e" filled="false" stroked="true" strokeweight=".48pt" strokecolor="#000000">
                <v:path arrowok="t"/>
              </v:shape>
            </v:group>
          </v:group>
        </w:pict>
      </w:r>
      <w:r>
        <w:rPr>
          <w:rFonts w:ascii="宋体" w:hAnsi="宋体" w:cs="宋体" w:eastAsia="宋体" w:hint="default"/>
          <w:position w:val="-7"/>
          <w:sz w:val="20"/>
          <w:szCs w:val="20"/>
        </w:rPr>
      </w:r>
    </w:p>
    <w:p>
      <w:pPr>
        <w:spacing w:after="0" w:line="414" w:lineRule="exact"/>
        <w:rPr>
          <w:rFonts w:ascii="宋体" w:hAnsi="宋体" w:cs="宋体" w:eastAsia="宋体" w:hint="default"/>
          <w:sz w:val="20"/>
          <w:szCs w:val="20"/>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合并日</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上期期末</w:t>
            </w:r>
          </w:p>
        </w:tc>
      </w:tr>
    </w:tbl>
    <w:p>
      <w:pPr>
        <w:pStyle w:val="BodyText"/>
        <w:spacing w:line="360" w:lineRule="auto" w:before="51"/>
        <w:ind w:right="7514"/>
        <w:jc w:val="left"/>
      </w:pPr>
      <w:r>
        <w:rPr/>
        <w:t>企业合并中承担的被合并方的或有负债： 其他说明：</w:t>
      </w:r>
    </w:p>
    <w:p>
      <w:pPr>
        <w:spacing w:line="240" w:lineRule="auto" w:before="12"/>
        <w:rPr>
          <w:rFonts w:ascii="宋体" w:hAnsi="宋体" w:cs="宋体" w:eastAsia="宋体" w:hint="default"/>
          <w:sz w:val="19"/>
          <w:szCs w:val="19"/>
        </w:rPr>
      </w:pPr>
    </w:p>
    <w:p>
      <w:pPr>
        <w:pStyle w:val="Heading3"/>
        <w:spacing w:line="240" w:lineRule="auto"/>
        <w:ind w:right="0"/>
        <w:jc w:val="left"/>
        <w:rPr>
          <w:b w:val="0"/>
          <w:bCs w:val="0"/>
        </w:rPr>
      </w:pPr>
      <w:bookmarkStart w:name="3、反向购买" w:id="357"/>
      <w:bookmarkEnd w:id="357"/>
      <w:r>
        <w:rPr>
          <w:b w:val="0"/>
          <w:bCs w:val="0"/>
        </w:rPr>
      </w:r>
      <w:r>
        <w:rPr>
          <w:rFonts w:ascii="Times New Roman" w:hAnsi="Times New Roman" w:cs="Times New Roman" w:eastAsia="Times New Roman" w:hint="default"/>
        </w:rPr>
        <w:t>3</w:t>
      </w:r>
      <w:r>
        <w:rPr/>
        <w:t>、反向购买</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0"/>
        <w:jc w:val="left"/>
      </w:pPr>
      <w:r>
        <w:rPr>
          <w:spacing w:val="-2"/>
        </w:rPr>
        <w:t>交易基本信息、交易构成反向购买的依据、上市公司保留的资产、负债是否构成业务及其依据、合并成本的确定、按照权益</w:t>
      </w:r>
      <w:r>
        <w:rPr>
          <w:spacing w:val="-65"/>
        </w:rPr>
        <w:t> </w:t>
      </w:r>
      <w:r>
        <w:rPr>
          <w:spacing w:val="-65"/>
        </w:rPr>
      </w:r>
      <w:r>
        <w:rPr/>
        <w:t>性交易处理时调整权益的金额及其计算：</w:t>
      </w:r>
    </w:p>
    <w:p>
      <w:pPr>
        <w:spacing w:line="240" w:lineRule="auto" w:before="8"/>
        <w:rPr>
          <w:rFonts w:ascii="宋体" w:hAnsi="宋体" w:cs="宋体" w:eastAsia="宋体" w:hint="default"/>
          <w:sz w:val="22"/>
          <w:szCs w:val="22"/>
        </w:rPr>
      </w:pPr>
    </w:p>
    <w:p>
      <w:pPr>
        <w:pStyle w:val="Heading3"/>
        <w:spacing w:line="240" w:lineRule="auto"/>
        <w:ind w:right="0"/>
        <w:jc w:val="left"/>
        <w:rPr>
          <w:b w:val="0"/>
          <w:bCs w:val="0"/>
        </w:rPr>
      </w:pPr>
      <w:bookmarkStart w:name="4、处置子公司" w:id="358"/>
      <w:bookmarkEnd w:id="358"/>
      <w:r>
        <w:rPr>
          <w:b w:val="0"/>
          <w:bCs w:val="0"/>
        </w:rPr>
      </w:r>
      <w:r>
        <w:rPr>
          <w:rFonts w:ascii="Times New Roman" w:hAnsi="Times New Roman" w:cs="Times New Roman" w:eastAsia="Times New Roman" w:hint="default"/>
        </w:rPr>
        <w:t>4</w:t>
      </w:r>
      <w:r>
        <w:rPr/>
        <w:t>、处置子公司</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是否存在单次处置对子公司投资即丧失控制权的情形</w:t>
      </w:r>
    </w:p>
    <w:p>
      <w:pPr>
        <w:pStyle w:val="BodyText"/>
        <w:spacing w:line="360" w:lineRule="auto" w:before="117"/>
        <w:ind w:right="4994" w:firstLine="91"/>
        <w:jc w:val="left"/>
      </w:pPr>
      <w:r>
        <w:rPr/>
        <w:t>□是√否 是否存在通过多次交易分步处置对子公司投资且在本期丧失控制权的情形</w:t>
      </w:r>
    </w:p>
    <w:p>
      <w:pPr>
        <w:pStyle w:val="BodyText"/>
        <w:spacing w:line="240" w:lineRule="auto" w:before="25"/>
        <w:ind w:left="204" w:right="0"/>
        <w:jc w:val="left"/>
      </w:pPr>
      <w:r>
        <w:rPr/>
        <w:t>□是√否</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5、其他原因的合并范围变动" w:id="359"/>
      <w:bookmarkEnd w:id="359"/>
      <w:r>
        <w:rPr>
          <w:b w:val="0"/>
          <w:bCs w:val="0"/>
        </w:rPr>
      </w:r>
      <w:r>
        <w:rPr>
          <w:rFonts w:ascii="Times New Roman" w:hAnsi="Times New Roman" w:cs="Times New Roman" w:eastAsia="Times New Roman" w:hint="default"/>
        </w:rPr>
        <w:t>5</w:t>
      </w:r>
      <w:r>
        <w:rPr/>
        <w:t>、其他原因的合并范围变动</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left="532" w:right="3914" w:hanging="420"/>
        <w:jc w:val="left"/>
      </w:pPr>
      <w:r>
        <w:rPr/>
        <w:pict>
          <v:shape style="position:absolute;margin-left:84.360001pt;margin-top:32.702717pt;width:426.85pt;height:65.9pt;mso-position-horizontal-relative:page;mso-position-vertical-relative:paragraph;z-index:24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04"/>
                    <w:gridCol w:w="1523"/>
                    <w:gridCol w:w="1885"/>
                    <w:gridCol w:w="1705"/>
                    <w:gridCol w:w="1705"/>
                  </w:tblGrid>
                  <w:tr>
                    <w:trPr>
                      <w:trHeight w:val="654"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16"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1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股权处置方式</w:t>
                        </w:r>
                      </w:p>
                    </w:tc>
                    <w:tc>
                      <w:tcPr>
                        <w:tcW w:w="1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股权处置时点</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307" w:right="0"/>
                          <w:jc w:val="left"/>
                          <w:rPr>
                            <w:rFonts w:ascii="宋体" w:hAnsi="宋体" w:cs="宋体" w:eastAsia="宋体" w:hint="default"/>
                            <w:sz w:val="18"/>
                            <w:szCs w:val="18"/>
                          </w:rPr>
                        </w:pPr>
                        <w:r>
                          <w:rPr>
                            <w:rFonts w:ascii="宋体" w:hAnsi="宋体" w:cs="宋体" w:eastAsia="宋体" w:hint="default"/>
                            <w:sz w:val="18"/>
                            <w:szCs w:val="18"/>
                          </w:rPr>
                          <w:t>处置日净资产</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0"/>
                          <w:ind w:left="577" w:right="304" w:hanging="269"/>
                          <w:jc w:val="left"/>
                          <w:rPr>
                            <w:rFonts w:ascii="宋体" w:hAnsi="宋体" w:cs="宋体" w:eastAsia="宋体" w:hint="default"/>
                            <w:sz w:val="18"/>
                            <w:szCs w:val="18"/>
                          </w:rPr>
                        </w:pPr>
                        <w:r>
                          <w:rPr>
                            <w:rFonts w:ascii="宋体" w:hAnsi="宋体" w:cs="宋体" w:eastAsia="宋体" w:hint="default"/>
                            <w:sz w:val="18"/>
                            <w:szCs w:val="18"/>
                          </w:rPr>
                          <w:t>期初至处置日 净利润</w:t>
                        </w:r>
                      </w:p>
                    </w:tc>
                  </w:tr>
                  <w:tr>
                    <w:trPr>
                      <w:trHeight w:val="654"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9"/>
                          <w:ind w:left="4" w:right="2"/>
                          <w:jc w:val="left"/>
                          <w:rPr>
                            <w:rFonts w:ascii="宋体" w:hAnsi="宋体" w:cs="宋体" w:eastAsia="宋体" w:hint="default"/>
                            <w:sz w:val="18"/>
                            <w:szCs w:val="18"/>
                          </w:rPr>
                        </w:pPr>
                        <w:r>
                          <w:rPr>
                            <w:rFonts w:ascii="宋体" w:hAnsi="宋体" w:cs="宋体" w:eastAsia="宋体" w:hint="default"/>
                            <w:spacing w:val="6"/>
                            <w:sz w:val="18"/>
                            <w:szCs w:val="18"/>
                          </w:rPr>
                          <w:t>杭州鼎泰医康科技有</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限公司</w:t>
                        </w:r>
                      </w:p>
                    </w:tc>
                    <w:tc>
                      <w:tcPr>
                        <w:tcW w:w="1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
                          <w:jc w:val="center"/>
                          <w:rPr>
                            <w:rFonts w:ascii="宋体" w:hAnsi="宋体" w:cs="宋体" w:eastAsia="宋体" w:hint="default"/>
                            <w:sz w:val="18"/>
                            <w:szCs w:val="18"/>
                          </w:rPr>
                        </w:pPr>
                        <w:r>
                          <w:rPr>
                            <w:rFonts w:ascii="宋体" w:hAnsi="宋体" w:cs="宋体" w:eastAsia="宋体" w:hint="default"/>
                            <w:sz w:val="18"/>
                            <w:szCs w:val="18"/>
                          </w:rPr>
                          <w:t>注销</w:t>
                        </w:r>
                      </w:p>
                    </w:tc>
                    <w:tc>
                      <w:tcPr>
                        <w:tcW w:w="18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10</w:t>
                        </w:r>
                        <w:r>
                          <w:rPr>
                            <w:rFonts w:ascii="宋体" w:hAnsi="宋体" w:cs="宋体" w:eastAsia="宋体" w:hint="default"/>
                            <w:sz w:val="18"/>
                            <w:szCs w:val="18"/>
                          </w:rPr>
                          <w:t>月</w:t>
                        </w:r>
                        <w:r>
                          <w:rPr>
                            <w:rFonts w:ascii="Times New Roman" w:hAnsi="Times New Roman" w:cs="Times New Roman" w:eastAsia="Times New Roman" w:hint="default"/>
                            <w:sz w:val="18"/>
                            <w:szCs w:val="18"/>
                          </w:rPr>
                          <w:t>9</w:t>
                        </w:r>
                        <w:r>
                          <w:rPr>
                            <w:rFonts w:ascii="宋体" w:hAnsi="宋体" w:cs="宋体" w:eastAsia="宋体" w:hint="default"/>
                            <w:sz w:val="18"/>
                            <w:szCs w:val="18"/>
                          </w:rPr>
                          <w:t>日</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0.00</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3"/>
                          <w:jc w:val="right"/>
                          <w:rPr>
                            <w:rFonts w:ascii="Times New Roman" w:hAnsi="Times New Roman" w:cs="Times New Roman" w:eastAsia="Times New Roman" w:hint="default"/>
                            <w:sz w:val="18"/>
                            <w:szCs w:val="18"/>
                          </w:rPr>
                        </w:pPr>
                        <w:r>
                          <w:rPr>
                            <w:rFonts w:ascii="Times New Roman"/>
                            <w:spacing w:val="-1"/>
                            <w:sz w:val="18"/>
                          </w:rPr>
                          <w:t>0.00</w:t>
                        </w:r>
                      </w:p>
                    </w:tc>
                  </w:tr>
                </w:tbl>
                <w:p>
                  <w:pPr/>
                </w:p>
              </w:txbxContent>
            </v:textbox>
            <w10:wrap type="none"/>
          </v:shape>
        </w:pict>
      </w:r>
      <w:r>
        <w:rPr/>
        <w:t>说明其他原因导致的合并范围变动（如，新设子公司、清算子公司等）及其相关情况： 其他原因的合并范围减少</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1"/>
          <w:szCs w:val="21"/>
        </w:rPr>
      </w:pPr>
    </w:p>
    <w:p>
      <w:pPr>
        <w:spacing w:line="487" w:lineRule="auto" w:before="34"/>
        <w:ind w:left="112" w:right="8103" w:firstLine="0"/>
        <w:jc w:val="left"/>
        <w:rPr>
          <w:rFonts w:ascii="宋体" w:hAnsi="宋体" w:cs="宋体" w:eastAsia="宋体" w:hint="default"/>
          <w:sz w:val="21"/>
          <w:szCs w:val="21"/>
        </w:rPr>
      </w:pPr>
      <w:bookmarkStart w:name="6、其他" w:id="360"/>
      <w:bookmarkEnd w:id="360"/>
      <w:r>
        <w:rPr/>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、其他</w:t>
      </w:r>
      <w:r>
        <w:rPr>
          <w:rFonts w:ascii="宋体" w:hAnsi="宋体" w:cs="宋体" w:eastAsia="宋体" w:hint="default"/>
          <w:b/>
          <w:bCs/>
          <w:w w:val="99"/>
          <w:sz w:val="21"/>
          <w:szCs w:val="21"/>
        </w:rPr>
        <w:t> </w:t>
      </w:r>
      <w:bookmarkStart w:name="九、在其他主体中的权益" w:id="361"/>
      <w:bookmarkEnd w:id="361"/>
      <w:r>
        <w:rPr>
          <w:rFonts w:ascii="宋体" w:hAnsi="宋体" w:cs="宋体" w:eastAsia="宋体" w:hint="default"/>
          <w:b/>
          <w:bCs/>
          <w:w w:val="99"/>
          <w:sz w:val="21"/>
          <w:szCs w:val="21"/>
        </w:rPr>
      </w:r>
      <w:r>
        <w:rPr>
          <w:rFonts w:ascii="宋体" w:hAnsi="宋体" w:cs="宋体" w:eastAsia="宋体" w:hint="default"/>
          <w:b/>
          <w:bCs/>
          <w:sz w:val="24"/>
          <w:szCs w:val="24"/>
        </w:rPr>
        <w:t>九、在其他主体中的权益</w:t>
      </w:r>
      <w:r>
        <w:rPr>
          <w:rFonts w:ascii="宋体" w:hAnsi="宋体" w:cs="宋体" w:eastAsia="宋体" w:hint="default"/>
          <w:b/>
          <w:bCs/>
          <w:w w:val="99"/>
          <w:sz w:val="24"/>
          <w:szCs w:val="24"/>
        </w:rPr>
        <w:t> </w:t>
      </w:r>
      <w:bookmarkStart w:name="1、在子公司中的权益" w:id="362"/>
      <w:bookmarkEnd w:id="362"/>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、在子公司中的权益</w:t>
      </w:r>
      <w:r>
        <w:rPr>
          <w:rFonts w:ascii="宋体" w:hAnsi="宋体" w:cs="宋体" w:eastAsia="宋体" w:hint="default"/>
          <w:sz w:val="21"/>
          <w:szCs w:val="21"/>
        </w:rPr>
      </w:r>
    </w:p>
    <w:p>
      <w:pPr>
        <w:pStyle w:val="Heading3"/>
        <w:spacing w:line="240" w:lineRule="auto" w:before="81"/>
        <w:ind w:right="0"/>
        <w:jc w:val="left"/>
        <w:rPr>
          <w:b w:val="0"/>
          <w:bCs w:val="0"/>
        </w:rPr>
      </w:pPr>
      <w:bookmarkStart w:name="（1）企业集团的构成" w:id="363"/>
      <w:bookmarkEnd w:id="363"/>
      <w:r>
        <w:rPr>
          <w:b w:val="0"/>
          <w:bCs w:val="0"/>
        </w:rPr>
      </w:r>
      <w:r>
        <w:rPr/>
        <w:t>（</w:t>
      </w:r>
      <w:r>
        <w:rPr>
          <w:rFonts w:ascii="Times New Roman" w:hAnsi="Times New Roman" w:cs="Times New Roman" w:eastAsia="Times New Roman" w:hint="default"/>
        </w:rPr>
        <w:t>1</w:t>
      </w:r>
      <w:r>
        <w:rPr/>
        <w:t>）企业集团的构成</w:t>
      </w:r>
      <w:r>
        <w:rPr>
          <w:b w:val="0"/>
          <w:bCs w:val="0"/>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371"/>
        <w:gridCol w:w="1367"/>
        <w:gridCol w:w="1367"/>
        <w:gridCol w:w="1367"/>
        <w:gridCol w:w="1367"/>
        <w:gridCol w:w="1366"/>
        <w:gridCol w:w="1366"/>
      </w:tblGrid>
      <w:tr>
        <w:trPr>
          <w:trHeight w:val="402" w:hRule="exact"/>
        </w:trPr>
        <w:tc>
          <w:tcPr>
            <w:tcW w:w="137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29"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28"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2" w:hRule="exact"/>
        </w:trPr>
        <w:tc>
          <w:tcPr>
            <w:tcW w:w="1371"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77"/>
              <w:jc w:val="both"/>
              <w:rPr>
                <w:rFonts w:ascii="宋体" w:hAnsi="宋体" w:cs="宋体" w:eastAsia="宋体" w:hint="default"/>
                <w:sz w:val="18"/>
                <w:szCs w:val="18"/>
              </w:rPr>
            </w:pPr>
            <w:r>
              <w:rPr>
                <w:rFonts w:ascii="宋体" w:hAnsi="宋体" w:cs="宋体" w:eastAsia="宋体" w:hint="default"/>
                <w:sz w:val="18"/>
                <w:szCs w:val="18"/>
              </w:rPr>
              <w:t>苏州创业亿康 信息科技有限 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3" w:right="0"/>
              <w:jc w:val="left"/>
              <w:rPr>
                <w:rFonts w:ascii="宋体" w:hAnsi="宋体" w:cs="宋体" w:eastAsia="宋体" w:hint="default"/>
                <w:sz w:val="18"/>
                <w:szCs w:val="18"/>
              </w:rPr>
            </w:pPr>
            <w:r>
              <w:rPr>
                <w:rFonts w:ascii="宋体" w:hAnsi="宋体" w:cs="宋体" w:eastAsia="宋体" w:hint="default"/>
                <w:sz w:val="18"/>
                <w:szCs w:val="18"/>
              </w:rPr>
              <w:t>苏州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2" w:right="0"/>
              <w:jc w:val="left"/>
              <w:rPr>
                <w:rFonts w:ascii="宋体" w:hAnsi="宋体" w:cs="宋体" w:eastAsia="宋体" w:hint="default"/>
                <w:sz w:val="18"/>
                <w:szCs w:val="18"/>
              </w:rPr>
            </w:pPr>
            <w:r>
              <w:rPr>
                <w:rFonts w:ascii="宋体" w:hAnsi="宋体" w:cs="宋体" w:eastAsia="宋体" w:hint="default"/>
                <w:sz w:val="18"/>
                <w:szCs w:val="18"/>
              </w:rPr>
              <w:t>苏州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7"/>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1" w:right="177"/>
              <w:jc w:val="left"/>
              <w:rPr>
                <w:rFonts w:ascii="宋体" w:hAnsi="宋体" w:cs="宋体" w:eastAsia="宋体" w:hint="default"/>
                <w:sz w:val="18"/>
                <w:szCs w:val="18"/>
              </w:rPr>
            </w:pPr>
            <w:r>
              <w:rPr>
                <w:rFonts w:ascii="宋体" w:hAnsi="宋体" w:cs="宋体" w:eastAsia="宋体" w:hint="default"/>
                <w:sz w:val="18"/>
                <w:szCs w:val="18"/>
              </w:rPr>
              <w:t>上海创航软件 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400"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01" w:right="0"/>
              <w:jc w:val="left"/>
              <w:rPr>
                <w:rFonts w:ascii="宋体" w:hAnsi="宋体" w:cs="宋体" w:eastAsia="宋体" w:hint="default"/>
                <w:sz w:val="18"/>
                <w:szCs w:val="18"/>
              </w:rPr>
            </w:pPr>
            <w:r>
              <w:rPr>
                <w:rFonts w:ascii="宋体" w:hAnsi="宋体" w:cs="宋体" w:eastAsia="宋体" w:hint="default"/>
                <w:sz w:val="18"/>
                <w:szCs w:val="18"/>
              </w:rPr>
              <w:t>创业软件南京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spacing w:after="0" w:line="240" w:lineRule="auto"/>
        <w:jc w:val="left"/>
        <w:rPr>
          <w:rFonts w:ascii="宋体" w:hAnsi="宋体" w:cs="宋体" w:eastAsia="宋体" w:hint="default"/>
          <w:sz w:val="18"/>
          <w:szCs w:val="18"/>
        </w:rPr>
        <w:sectPr>
          <w:footerReference w:type="default" r:id="rId47"/>
          <w:pgSz w:w="11910" w:h="16840"/>
          <w:pgMar w:footer="1016" w:header="907" w:top="1100" w:bottom="1200" w:left="1020" w:right="0"/>
          <w:pgNumType w:start="170"/>
        </w:sectPr>
      </w:pPr>
    </w:p>
    <w:p>
      <w:pPr>
        <w:spacing w:line="240" w:lineRule="auto" w:before="6"/>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371"/>
        <w:gridCol w:w="1367"/>
        <w:gridCol w:w="1367"/>
        <w:gridCol w:w="1367"/>
        <w:gridCol w:w="1367"/>
        <w:gridCol w:w="1366"/>
        <w:gridCol w:w="1366"/>
      </w:tblGrid>
      <w:tr>
        <w:trPr>
          <w:trHeight w:val="362"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77"/>
              <w:jc w:val="left"/>
              <w:rPr>
                <w:rFonts w:ascii="宋体" w:hAnsi="宋体" w:cs="宋体" w:eastAsia="宋体" w:hint="default"/>
                <w:sz w:val="18"/>
                <w:szCs w:val="18"/>
              </w:rPr>
            </w:pPr>
            <w:r>
              <w:rPr>
                <w:rFonts w:ascii="宋体" w:hAnsi="宋体" w:cs="宋体" w:eastAsia="宋体" w:hint="default"/>
                <w:sz w:val="18"/>
                <w:szCs w:val="18"/>
              </w:rPr>
              <w:t>新疆创什信息 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新疆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新疆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85.00%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77"/>
              <w:jc w:val="left"/>
              <w:rPr>
                <w:rFonts w:ascii="宋体" w:hAnsi="宋体" w:cs="宋体" w:eastAsia="宋体" w:hint="default"/>
                <w:sz w:val="18"/>
                <w:szCs w:val="18"/>
              </w:rPr>
            </w:pPr>
            <w:r>
              <w:rPr>
                <w:rFonts w:ascii="宋体" w:hAnsi="宋体" w:cs="宋体" w:eastAsia="宋体" w:hint="default"/>
                <w:sz w:val="18"/>
                <w:szCs w:val="18"/>
              </w:rPr>
              <w:t>重庆创易康软 件有限公司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重庆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重庆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77"/>
              <w:jc w:val="left"/>
              <w:rPr>
                <w:rFonts w:ascii="宋体" w:hAnsi="宋体" w:cs="宋体" w:eastAsia="宋体" w:hint="default"/>
                <w:sz w:val="18"/>
                <w:szCs w:val="18"/>
              </w:rPr>
            </w:pPr>
            <w:r>
              <w:rPr>
                <w:rFonts w:ascii="宋体" w:hAnsi="宋体" w:cs="宋体" w:eastAsia="宋体" w:hint="default"/>
                <w:sz w:val="18"/>
                <w:szCs w:val="18"/>
              </w:rPr>
              <w:t>天津创津科技 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77"/>
              <w:jc w:val="left"/>
              <w:rPr>
                <w:rFonts w:ascii="宋体" w:hAnsi="宋体" w:cs="宋体" w:eastAsia="宋体" w:hint="default"/>
                <w:sz w:val="18"/>
                <w:szCs w:val="18"/>
              </w:rPr>
            </w:pPr>
            <w:r>
              <w:rPr>
                <w:rFonts w:ascii="宋体" w:hAnsi="宋体" w:cs="宋体" w:eastAsia="宋体" w:hint="default"/>
                <w:sz w:val="18"/>
                <w:szCs w:val="18"/>
              </w:rPr>
              <w:t>中山市杭创科 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中山</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中山</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77"/>
              <w:jc w:val="left"/>
              <w:rPr>
                <w:rFonts w:ascii="宋体" w:hAnsi="宋体" w:cs="宋体" w:eastAsia="宋体" w:hint="default"/>
                <w:sz w:val="18"/>
                <w:szCs w:val="18"/>
              </w:rPr>
            </w:pPr>
            <w:r>
              <w:rPr>
                <w:rFonts w:ascii="宋体" w:hAnsi="宋体" w:cs="宋体" w:eastAsia="宋体" w:hint="default"/>
                <w:sz w:val="18"/>
                <w:szCs w:val="18"/>
              </w:rPr>
              <w:t>宁海杭创网络 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宁波</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宁波</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77"/>
              <w:jc w:val="left"/>
              <w:rPr>
                <w:rFonts w:ascii="宋体" w:hAnsi="宋体" w:cs="宋体" w:eastAsia="宋体" w:hint="default"/>
                <w:sz w:val="18"/>
                <w:szCs w:val="18"/>
              </w:rPr>
            </w:pPr>
            <w:r>
              <w:rPr>
                <w:rFonts w:ascii="宋体" w:hAnsi="宋体" w:cs="宋体" w:eastAsia="宋体" w:hint="default"/>
                <w:sz w:val="18"/>
                <w:szCs w:val="18"/>
              </w:rPr>
              <w:t>杭州合美物业 管理有限公司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物业管理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6"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77"/>
              <w:jc w:val="both"/>
              <w:rPr>
                <w:rFonts w:ascii="宋体" w:hAnsi="宋体" w:cs="宋体" w:eastAsia="宋体" w:hint="default"/>
                <w:sz w:val="18"/>
                <w:szCs w:val="18"/>
              </w:rPr>
            </w:pPr>
            <w:r>
              <w:rPr>
                <w:rFonts w:ascii="宋体" w:hAnsi="宋体" w:cs="宋体" w:eastAsia="宋体" w:hint="default"/>
                <w:sz w:val="18"/>
                <w:szCs w:val="18"/>
              </w:rPr>
              <w:t>浙江医康数据 科技研究院有 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78.00%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6"/>
              <w:ind w:left="10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77"/>
              <w:jc w:val="left"/>
              <w:rPr>
                <w:rFonts w:ascii="宋体" w:hAnsi="宋体" w:cs="宋体" w:eastAsia="宋体" w:hint="default"/>
                <w:sz w:val="18"/>
                <w:szCs w:val="18"/>
              </w:rPr>
            </w:pPr>
            <w:r>
              <w:rPr>
                <w:rFonts w:ascii="宋体" w:hAnsi="宋体" w:cs="宋体" w:eastAsia="宋体" w:hint="default"/>
                <w:sz w:val="18"/>
                <w:szCs w:val="18"/>
              </w:rPr>
              <w:t>杭州联旗科技 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2" w:right="171"/>
              <w:jc w:val="left"/>
              <w:rPr>
                <w:rFonts w:ascii="宋体" w:hAnsi="宋体" w:cs="宋体" w:eastAsia="宋体" w:hint="default"/>
                <w:sz w:val="18"/>
                <w:szCs w:val="18"/>
              </w:rPr>
            </w:pPr>
            <w:r>
              <w:rPr>
                <w:rFonts w:ascii="宋体" w:hAnsi="宋体" w:cs="宋体" w:eastAsia="宋体" w:hint="default"/>
                <w:sz w:val="18"/>
                <w:szCs w:val="18"/>
              </w:rPr>
              <w:t>非同一控制下 企业合并</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77"/>
              <w:jc w:val="left"/>
              <w:rPr>
                <w:rFonts w:ascii="宋体" w:hAnsi="宋体" w:cs="宋体" w:eastAsia="宋体" w:hint="default"/>
                <w:sz w:val="18"/>
                <w:szCs w:val="18"/>
              </w:rPr>
            </w:pPr>
            <w:r>
              <w:rPr>
                <w:rFonts w:ascii="宋体" w:hAnsi="宋体" w:cs="宋体" w:eastAsia="宋体" w:hint="default"/>
                <w:sz w:val="18"/>
                <w:szCs w:val="18"/>
              </w:rPr>
              <w:t>杭州惟勤科技 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51.00%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171"/>
              <w:jc w:val="left"/>
              <w:rPr>
                <w:rFonts w:ascii="宋体" w:hAnsi="宋体" w:cs="宋体" w:eastAsia="宋体" w:hint="default"/>
                <w:sz w:val="18"/>
                <w:szCs w:val="18"/>
              </w:rPr>
            </w:pPr>
            <w:r>
              <w:rPr>
                <w:rFonts w:ascii="宋体" w:hAnsi="宋体" w:cs="宋体" w:eastAsia="宋体" w:hint="default"/>
                <w:sz w:val="18"/>
                <w:szCs w:val="18"/>
              </w:rPr>
              <w:t>非同一控制下 企业合并</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77"/>
              <w:jc w:val="left"/>
              <w:rPr>
                <w:rFonts w:ascii="宋体" w:hAnsi="宋体" w:cs="宋体" w:eastAsia="宋体" w:hint="default"/>
                <w:sz w:val="18"/>
                <w:szCs w:val="18"/>
              </w:rPr>
            </w:pPr>
            <w:r>
              <w:rPr>
                <w:rFonts w:ascii="宋体" w:hAnsi="宋体" w:cs="宋体" w:eastAsia="宋体" w:hint="default"/>
                <w:sz w:val="18"/>
                <w:szCs w:val="18"/>
              </w:rPr>
              <w:t>广东中拓信息 技术有限公司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中山</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中山</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2" w:right="171"/>
              <w:jc w:val="left"/>
              <w:rPr>
                <w:rFonts w:ascii="宋体" w:hAnsi="宋体" w:cs="宋体" w:eastAsia="宋体" w:hint="default"/>
                <w:sz w:val="18"/>
                <w:szCs w:val="18"/>
              </w:rPr>
            </w:pPr>
            <w:r>
              <w:rPr>
                <w:rFonts w:ascii="宋体" w:hAnsi="宋体" w:cs="宋体" w:eastAsia="宋体" w:hint="default"/>
                <w:sz w:val="18"/>
                <w:szCs w:val="18"/>
              </w:rPr>
              <w:t>非同一控制下 企业合并</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77"/>
              <w:jc w:val="left"/>
              <w:rPr>
                <w:rFonts w:ascii="宋体" w:hAnsi="宋体" w:cs="宋体" w:eastAsia="宋体" w:hint="default"/>
                <w:sz w:val="18"/>
                <w:szCs w:val="18"/>
              </w:rPr>
            </w:pPr>
            <w:r>
              <w:rPr>
                <w:rFonts w:ascii="宋体" w:hAnsi="宋体" w:cs="宋体" w:eastAsia="宋体" w:hint="default"/>
                <w:sz w:val="18"/>
                <w:szCs w:val="18"/>
              </w:rPr>
              <w:t>中山市蓝天电 脑有限公司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中山</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中山</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171"/>
              <w:jc w:val="left"/>
              <w:rPr>
                <w:rFonts w:ascii="宋体" w:hAnsi="宋体" w:cs="宋体" w:eastAsia="宋体" w:hint="default"/>
                <w:sz w:val="18"/>
                <w:szCs w:val="18"/>
              </w:rPr>
            </w:pPr>
            <w:r>
              <w:rPr>
                <w:rFonts w:ascii="宋体" w:hAnsi="宋体" w:cs="宋体" w:eastAsia="宋体" w:hint="default"/>
                <w:sz w:val="18"/>
                <w:szCs w:val="18"/>
              </w:rPr>
              <w:t>非同一控制下 企业合并</w:t>
            </w:r>
          </w:p>
        </w:tc>
      </w:tr>
      <w:tr>
        <w:trPr>
          <w:trHeight w:val="1026"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77"/>
              <w:jc w:val="both"/>
              <w:rPr>
                <w:rFonts w:ascii="宋体" w:hAnsi="宋体" w:cs="宋体" w:eastAsia="宋体" w:hint="default"/>
                <w:sz w:val="18"/>
                <w:szCs w:val="18"/>
              </w:rPr>
            </w:pPr>
            <w:r>
              <w:rPr>
                <w:rFonts w:ascii="宋体" w:hAnsi="宋体" w:cs="宋体" w:eastAsia="宋体" w:hint="default"/>
                <w:sz w:val="18"/>
                <w:szCs w:val="18"/>
              </w:rPr>
              <w:t>杭州慧康物联 网科技有限公 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2"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信息技术服务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102" w:right="171"/>
              <w:jc w:val="left"/>
              <w:rPr>
                <w:rFonts w:ascii="宋体" w:hAnsi="宋体" w:cs="宋体" w:eastAsia="宋体" w:hint="default"/>
                <w:sz w:val="18"/>
                <w:szCs w:val="18"/>
              </w:rPr>
            </w:pPr>
            <w:r>
              <w:rPr>
                <w:rFonts w:ascii="宋体" w:hAnsi="宋体" w:cs="宋体" w:eastAsia="宋体" w:hint="default"/>
                <w:sz w:val="18"/>
                <w:szCs w:val="18"/>
              </w:rPr>
              <w:t>非同一控制下 企业合并</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77"/>
              <w:jc w:val="left"/>
              <w:rPr>
                <w:rFonts w:ascii="宋体" w:hAnsi="宋体" w:cs="宋体" w:eastAsia="宋体" w:hint="default"/>
                <w:sz w:val="18"/>
                <w:szCs w:val="18"/>
              </w:rPr>
            </w:pPr>
            <w:r>
              <w:rPr>
                <w:rFonts w:ascii="宋体" w:hAnsi="宋体" w:cs="宋体" w:eastAsia="宋体" w:hint="default"/>
                <w:sz w:val="18"/>
                <w:szCs w:val="18"/>
              </w:rPr>
              <w:t>杭州卓腾信息 技术有限公司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88.89%</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171"/>
              <w:jc w:val="left"/>
              <w:rPr>
                <w:rFonts w:ascii="宋体" w:hAnsi="宋体" w:cs="宋体" w:eastAsia="宋体" w:hint="default"/>
                <w:sz w:val="18"/>
                <w:szCs w:val="18"/>
              </w:rPr>
            </w:pPr>
            <w:r>
              <w:rPr>
                <w:rFonts w:ascii="宋体" w:hAnsi="宋体" w:cs="宋体" w:eastAsia="宋体" w:hint="default"/>
                <w:sz w:val="18"/>
                <w:szCs w:val="18"/>
              </w:rPr>
              <w:t>非同一控制下 企业合并</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77"/>
              <w:jc w:val="left"/>
              <w:rPr>
                <w:rFonts w:ascii="宋体" w:hAnsi="宋体" w:cs="宋体" w:eastAsia="宋体" w:hint="default"/>
                <w:sz w:val="18"/>
                <w:szCs w:val="18"/>
              </w:rPr>
            </w:pPr>
            <w:r>
              <w:rPr>
                <w:rFonts w:ascii="宋体" w:hAnsi="宋体" w:cs="宋体" w:eastAsia="宋体" w:hint="default"/>
                <w:sz w:val="18"/>
                <w:szCs w:val="18"/>
              </w:rPr>
              <w:t>杭州梅清数码 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医疗器械</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51.00%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2" w:right="171"/>
              <w:jc w:val="left"/>
              <w:rPr>
                <w:rFonts w:ascii="宋体" w:hAnsi="宋体" w:cs="宋体" w:eastAsia="宋体" w:hint="default"/>
                <w:sz w:val="18"/>
                <w:szCs w:val="18"/>
              </w:rPr>
            </w:pPr>
            <w:r>
              <w:rPr>
                <w:rFonts w:ascii="宋体" w:hAnsi="宋体" w:cs="宋体" w:eastAsia="宋体" w:hint="default"/>
                <w:sz w:val="18"/>
                <w:szCs w:val="18"/>
              </w:rPr>
              <w:t>非同一控制下 企业合并</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77"/>
              <w:jc w:val="left"/>
              <w:rPr>
                <w:rFonts w:ascii="宋体" w:hAnsi="宋体" w:cs="宋体" w:eastAsia="宋体" w:hint="default"/>
                <w:sz w:val="18"/>
                <w:szCs w:val="18"/>
              </w:rPr>
            </w:pPr>
            <w:r>
              <w:rPr>
                <w:rFonts w:ascii="宋体" w:hAnsi="宋体" w:cs="宋体" w:eastAsia="宋体" w:hint="default"/>
                <w:sz w:val="18"/>
                <w:szCs w:val="18"/>
              </w:rPr>
              <w:t>杭州美诺泰科 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2" w:right="171"/>
              <w:jc w:val="left"/>
              <w:rPr>
                <w:rFonts w:ascii="宋体" w:hAnsi="宋体" w:cs="宋体" w:eastAsia="宋体" w:hint="default"/>
                <w:sz w:val="18"/>
                <w:szCs w:val="18"/>
              </w:rPr>
            </w:pPr>
            <w:r>
              <w:rPr>
                <w:rFonts w:ascii="宋体" w:hAnsi="宋体" w:cs="宋体" w:eastAsia="宋体" w:hint="default"/>
                <w:sz w:val="18"/>
                <w:szCs w:val="18"/>
              </w:rPr>
              <w:t>非同一控制下 企业合并</w:t>
            </w:r>
          </w:p>
        </w:tc>
      </w:tr>
    </w:tbl>
    <w:p>
      <w:pPr>
        <w:pStyle w:val="BodyText"/>
        <w:spacing w:line="357" w:lineRule="auto" w:before="51"/>
        <w:ind w:right="2834"/>
        <w:jc w:val="left"/>
      </w:pPr>
      <w:r>
        <w:rPr/>
        <w:t>在子公司的持股比例不同于表决权比例的说明： 持有半数或以下表决权但仍控制被投资单位、以及持有半数以上表决权但不控制被投资单位的依据： 对于纳入合并范围的重要的结构化主体，控制的依据：</w:t>
      </w:r>
    </w:p>
    <w:p>
      <w:pPr>
        <w:pStyle w:val="BodyText"/>
        <w:spacing w:line="357" w:lineRule="auto" w:before="29"/>
        <w:ind w:right="7694"/>
        <w:jc w:val="left"/>
      </w:pPr>
      <w:r>
        <w:rPr/>
        <w:t>确定公司是代理人还是委托人的依据： 其他说明：</w:t>
      </w:r>
    </w:p>
    <w:p>
      <w:pPr>
        <w:spacing w:after="0" w:line="357"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0"/>
        <w:jc w:val="left"/>
        <w:rPr>
          <w:b w:val="0"/>
          <w:bCs w:val="0"/>
        </w:rPr>
      </w:pPr>
      <w:bookmarkStart w:name="（2）重要的非全资子公司" w:id="364"/>
      <w:bookmarkEnd w:id="364"/>
      <w:r>
        <w:rPr>
          <w:b w:val="0"/>
          <w:bCs w:val="0"/>
        </w:rPr>
      </w:r>
      <w:r>
        <w:rPr/>
        <w:t>（</w:t>
      </w:r>
      <w:r>
        <w:rPr>
          <w:rFonts w:ascii="Times New Roman" w:hAnsi="Times New Roman" w:cs="Times New Roman" w:eastAsia="Times New Roman" w:hint="default"/>
        </w:rPr>
        <w:t>2</w:t>
      </w:r>
      <w:r>
        <w:rPr/>
        <w:t>）重要的非全资子公司</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6"/>
        <w:gridCol w:w="1914"/>
        <w:gridCol w:w="1914"/>
        <w:gridCol w:w="1913"/>
        <w:gridCol w:w="1913"/>
      </w:tblGrid>
      <w:tr>
        <w:trPr>
          <w:trHeight w:val="714"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02"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3" w:right="0"/>
              <w:jc w:val="left"/>
              <w:rPr>
                <w:rFonts w:ascii="宋体" w:hAnsi="宋体" w:cs="宋体" w:eastAsia="宋体" w:hint="default"/>
                <w:sz w:val="18"/>
                <w:szCs w:val="18"/>
              </w:rPr>
            </w:pPr>
            <w:r>
              <w:rPr>
                <w:rFonts w:ascii="宋体" w:hAnsi="宋体" w:cs="宋体" w:eastAsia="宋体" w:hint="default"/>
                <w:sz w:val="18"/>
                <w:szCs w:val="18"/>
              </w:rPr>
              <w:t>少数股东持股比例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683" w:right="139" w:hanging="540"/>
              <w:jc w:val="left"/>
              <w:rPr>
                <w:rFonts w:ascii="宋体" w:hAnsi="宋体" w:cs="宋体" w:eastAsia="宋体" w:hint="default"/>
                <w:sz w:val="18"/>
                <w:szCs w:val="18"/>
              </w:rPr>
            </w:pPr>
            <w:r>
              <w:rPr>
                <w:rFonts w:ascii="宋体" w:hAnsi="宋体" w:cs="宋体" w:eastAsia="宋体" w:hint="default"/>
                <w:sz w:val="18"/>
                <w:szCs w:val="18"/>
              </w:rPr>
              <w:t>本期归属于少数股东 的损益</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502" w:right="139" w:hanging="360"/>
              <w:jc w:val="left"/>
              <w:rPr>
                <w:rFonts w:ascii="宋体" w:hAnsi="宋体" w:cs="宋体" w:eastAsia="宋体" w:hint="default"/>
                <w:sz w:val="18"/>
                <w:szCs w:val="18"/>
              </w:rPr>
            </w:pPr>
            <w:r>
              <w:rPr>
                <w:rFonts w:ascii="宋体" w:hAnsi="宋体" w:cs="宋体" w:eastAsia="宋体" w:hint="default"/>
                <w:sz w:val="18"/>
                <w:szCs w:val="18"/>
              </w:rPr>
              <w:t>本期向少数股东宣告 分派的股利</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861" w:right="139" w:hanging="720"/>
              <w:jc w:val="left"/>
              <w:rPr>
                <w:rFonts w:ascii="宋体" w:hAnsi="宋体" w:cs="宋体" w:eastAsia="宋体" w:hint="default"/>
                <w:sz w:val="18"/>
                <w:szCs w:val="18"/>
              </w:rPr>
            </w:pPr>
            <w:r>
              <w:rPr>
                <w:rFonts w:ascii="宋体" w:hAnsi="宋体" w:cs="宋体" w:eastAsia="宋体" w:hint="default"/>
                <w:sz w:val="18"/>
                <w:szCs w:val="18"/>
              </w:rPr>
              <w:t>期末少数股东权益余 额</w:t>
            </w:r>
          </w:p>
        </w:tc>
      </w:tr>
      <w:tr>
        <w:trPr>
          <w:trHeight w:val="714"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82"/>
              <w:jc w:val="left"/>
              <w:rPr>
                <w:rFonts w:ascii="宋体" w:hAnsi="宋体" w:cs="宋体" w:eastAsia="宋体" w:hint="default"/>
                <w:sz w:val="18"/>
                <w:szCs w:val="18"/>
              </w:rPr>
            </w:pPr>
            <w:r>
              <w:rPr>
                <w:rFonts w:ascii="宋体" w:hAnsi="宋体" w:cs="宋体" w:eastAsia="宋体" w:hint="default"/>
                <w:sz w:val="18"/>
                <w:szCs w:val="18"/>
              </w:rPr>
              <w:t>广东中拓信息技术有 限公司</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1,955,302.76</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8,870,248.56</w:t>
            </w:r>
          </w:p>
        </w:tc>
      </w:tr>
      <w:tr>
        <w:trPr>
          <w:trHeight w:val="714"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1" w:right="182"/>
              <w:jc w:val="left"/>
              <w:rPr>
                <w:rFonts w:ascii="宋体" w:hAnsi="宋体" w:cs="宋体" w:eastAsia="宋体" w:hint="default"/>
                <w:sz w:val="18"/>
                <w:szCs w:val="18"/>
              </w:rPr>
            </w:pPr>
            <w:r>
              <w:rPr>
                <w:rFonts w:ascii="宋体" w:hAnsi="宋体" w:cs="宋体" w:eastAsia="宋体" w:hint="default"/>
                <w:sz w:val="18"/>
                <w:szCs w:val="18"/>
              </w:rPr>
              <w:t>杭州梅清数码科技有 限公司</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49.00%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4,203,538.49</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17,246,121.23</w:t>
            </w:r>
          </w:p>
        </w:tc>
      </w:tr>
    </w:tbl>
    <w:p>
      <w:pPr>
        <w:pStyle w:val="BodyText"/>
        <w:spacing w:line="360" w:lineRule="auto" w:before="51"/>
        <w:ind w:right="6434"/>
        <w:jc w:val="left"/>
      </w:pPr>
      <w:r>
        <w:rPr/>
        <w:t>子公司少数股东的持股比例不同于表决权比例的说明： 其他说明：</w:t>
      </w:r>
    </w:p>
    <w:p>
      <w:pPr>
        <w:spacing w:line="240" w:lineRule="auto" w:before="12"/>
        <w:rPr>
          <w:rFonts w:ascii="宋体" w:hAnsi="宋体" w:cs="宋体" w:eastAsia="宋体" w:hint="default"/>
          <w:sz w:val="19"/>
          <w:szCs w:val="19"/>
        </w:rPr>
      </w:pPr>
    </w:p>
    <w:p>
      <w:pPr>
        <w:pStyle w:val="Heading3"/>
        <w:spacing w:line="240" w:lineRule="auto"/>
        <w:ind w:right="0"/>
        <w:jc w:val="left"/>
        <w:rPr>
          <w:b w:val="0"/>
          <w:bCs w:val="0"/>
        </w:rPr>
      </w:pPr>
      <w:bookmarkStart w:name="（3）重要非全资子公司的主要财务信息" w:id="365"/>
      <w:bookmarkEnd w:id="365"/>
      <w:r>
        <w:rPr>
          <w:b w:val="0"/>
          <w:bCs w:val="0"/>
        </w:rPr>
      </w:r>
      <w:r>
        <w:rPr/>
        <w:t>（</w:t>
      </w:r>
      <w:r>
        <w:rPr>
          <w:rFonts w:ascii="Times New Roman" w:hAnsi="Times New Roman" w:cs="Times New Roman" w:eastAsia="Times New Roman" w:hint="default"/>
        </w:rPr>
        <w:t>3</w:t>
      </w:r>
      <w:r>
        <w:rPr/>
        <w:t>）重要非全资子公司的主要财务信息</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736"/>
        <w:gridCol w:w="736"/>
        <w:gridCol w:w="736"/>
        <w:gridCol w:w="736"/>
        <w:gridCol w:w="736"/>
        <w:gridCol w:w="735"/>
        <w:gridCol w:w="735"/>
        <w:gridCol w:w="735"/>
        <w:gridCol w:w="735"/>
        <w:gridCol w:w="735"/>
        <w:gridCol w:w="737"/>
        <w:gridCol w:w="736"/>
        <w:gridCol w:w="736"/>
      </w:tblGrid>
      <w:tr>
        <w:trPr>
          <w:trHeight w:val="402" w:hRule="exact"/>
        </w:trPr>
        <w:tc>
          <w:tcPr>
            <w:tcW w:w="7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183" w:right="180"/>
              <w:jc w:val="both"/>
              <w:rPr>
                <w:rFonts w:ascii="宋体" w:hAnsi="宋体" w:cs="宋体" w:eastAsia="宋体" w:hint="default"/>
                <w:sz w:val="18"/>
                <w:szCs w:val="18"/>
              </w:rPr>
            </w:pPr>
            <w:r>
              <w:rPr>
                <w:rFonts w:ascii="宋体" w:hAnsi="宋体" w:cs="宋体" w:eastAsia="宋体" w:hint="default"/>
                <w:sz w:val="18"/>
                <w:szCs w:val="18"/>
              </w:rPr>
              <w:t>子公 司名 称</w:t>
            </w:r>
          </w:p>
        </w:tc>
        <w:tc>
          <w:tcPr>
            <w:tcW w:w="4414"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414"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026" w:hRule="exact"/>
        </w:trPr>
        <w:tc>
          <w:tcPr>
            <w:tcW w:w="736" w:type="dxa"/>
            <w:vMerge/>
            <w:tcBorders>
              <w:left w:val="single" w:sz="4" w:space="0" w:color="000000"/>
              <w:bottom w:val="single" w:sz="4" w:space="0" w:color="000000"/>
              <w:right w:val="single" w:sz="4" w:space="0" w:color="000000"/>
            </w:tcBorders>
            <w:shd w:val="clear" w:color="auto" w:fill="D2D2D2"/>
          </w:tcPr>
          <w:p>
            <w:pP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2" w:right="182"/>
              <w:jc w:val="left"/>
              <w:rPr>
                <w:rFonts w:ascii="宋体" w:hAnsi="宋体" w:cs="宋体" w:eastAsia="宋体" w:hint="default"/>
                <w:sz w:val="18"/>
                <w:szCs w:val="18"/>
              </w:rPr>
            </w:pPr>
            <w:r>
              <w:rPr>
                <w:rFonts w:ascii="宋体" w:hAnsi="宋体" w:cs="宋体" w:eastAsia="宋体" w:hint="default"/>
                <w:sz w:val="18"/>
                <w:szCs w:val="18"/>
              </w:rPr>
              <w:t>流动 资产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82" w:right="181"/>
              <w:jc w:val="both"/>
              <w:rPr>
                <w:rFonts w:ascii="宋体" w:hAnsi="宋体" w:cs="宋体" w:eastAsia="宋体" w:hint="default"/>
                <w:sz w:val="18"/>
                <w:szCs w:val="18"/>
              </w:rPr>
            </w:pPr>
            <w:r>
              <w:rPr>
                <w:rFonts w:ascii="宋体" w:hAnsi="宋体" w:cs="宋体" w:eastAsia="宋体" w:hint="default"/>
                <w:sz w:val="18"/>
                <w:szCs w:val="18"/>
              </w:rPr>
              <w:t>非流 动资 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3" w:right="180"/>
              <w:jc w:val="left"/>
              <w:rPr>
                <w:rFonts w:ascii="宋体" w:hAnsi="宋体" w:cs="宋体" w:eastAsia="宋体" w:hint="default"/>
                <w:sz w:val="18"/>
                <w:szCs w:val="18"/>
              </w:rPr>
            </w:pPr>
            <w:r>
              <w:rPr>
                <w:rFonts w:ascii="宋体" w:hAnsi="宋体" w:cs="宋体" w:eastAsia="宋体" w:hint="default"/>
                <w:sz w:val="18"/>
                <w:szCs w:val="18"/>
              </w:rPr>
              <w:t>资产 合计</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1" w:right="182"/>
              <w:jc w:val="left"/>
              <w:rPr>
                <w:rFonts w:ascii="宋体" w:hAnsi="宋体" w:cs="宋体" w:eastAsia="宋体" w:hint="default"/>
                <w:sz w:val="18"/>
                <w:szCs w:val="18"/>
              </w:rPr>
            </w:pPr>
            <w:r>
              <w:rPr>
                <w:rFonts w:ascii="宋体" w:hAnsi="宋体" w:cs="宋体" w:eastAsia="宋体" w:hint="default"/>
                <w:sz w:val="18"/>
                <w:szCs w:val="18"/>
              </w:rPr>
              <w:t>流动 负债</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82" w:right="180"/>
              <w:jc w:val="both"/>
              <w:rPr>
                <w:rFonts w:ascii="宋体" w:hAnsi="宋体" w:cs="宋体" w:eastAsia="宋体" w:hint="default"/>
                <w:sz w:val="18"/>
                <w:szCs w:val="18"/>
              </w:rPr>
            </w:pPr>
            <w:r>
              <w:rPr>
                <w:rFonts w:ascii="宋体" w:hAnsi="宋体" w:cs="宋体" w:eastAsia="宋体" w:hint="default"/>
                <w:sz w:val="18"/>
                <w:szCs w:val="18"/>
              </w:rPr>
              <w:t>非流 动负 债</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2" w:right="181"/>
              <w:jc w:val="left"/>
              <w:rPr>
                <w:rFonts w:ascii="宋体" w:hAnsi="宋体" w:cs="宋体" w:eastAsia="宋体" w:hint="default"/>
                <w:sz w:val="18"/>
                <w:szCs w:val="18"/>
              </w:rPr>
            </w:pPr>
            <w:r>
              <w:rPr>
                <w:rFonts w:ascii="宋体" w:hAnsi="宋体" w:cs="宋体" w:eastAsia="宋体" w:hint="default"/>
                <w:sz w:val="18"/>
                <w:szCs w:val="18"/>
              </w:rPr>
              <w:t>负债 合计</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1" w:right="181"/>
              <w:jc w:val="left"/>
              <w:rPr>
                <w:rFonts w:ascii="宋体" w:hAnsi="宋体" w:cs="宋体" w:eastAsia="宋体" w:hint="default"/>
                <w:sz w:val="18"/>
                <w:szCs w:val="18"/>
              </w:rPr>
            </w:pPr>
            <w:r>
              <w:rPr>
                <w:rFonts w:ascii="宋体" w:hAnsi="宋体" w:cs="宋体" w:eastAsia="宋体" w:hint="default"/>
                <w:sz w:val="18"/>
                <w:szCs w:val="18"/>
              </w:rPr>
              <w:t>流动 资产</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81" w:right="182"/>
              <w:jc w:val="both"/>
              <w:rPr>
                <w:rFonts w:ascii="宋体" w:hAnsi="宋体" w:cs="宋体" w:eastAsia="宋体" w:hint="default"/>
                <w:sz w:val="18"/>
                <w:szCs w:val="18"/>
              </w:rPr>
            </w:pPr>
            <w:r>
              <w:rPr>
                <w:rFonts w:ascii="宋体" w:hAnsi="宋体" w:cs="宋体" w:eastAsia="宋体" w:hint="default"/>
                <w:sz w:val="18"/>
                <w:szCs w:val="18"/>
              </w:rPr>
              <w:t>非流 动资 产</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2" w:right="180"/>
              <w:jc w:val="left"/>
              <w:rPr>
                <w:rFonts w:ascii="宋体" w:hAnsi="宋体" w:cs="宋体" w:eastAsia="宋体" w:hint="default"/>
                <w:sz w:val="18"/>
                <w:szCs w:val="18"/>
              </w:rPr>
            </w:pPr>
            <w:r>
              <w:rPr>
                <w:rFonts w:ascii="宋体" w:hAnsi="宋体" w:cs="宋体" w:eastAsia="宋体" w:hint="default"/>
                <w:sz w:val="18"/>
                <w:szCs w:val="18"/>
              </w:rPr>
              <w:t>资产 合计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2" w:right="183"/>
              <w:jc w:val="left"/>
              <w:rPr>
                <w:rFonts w:ascii="宋体" w:hAnsi="宋体" w:cs="宋体" w:eastAsia="宋体" w:hint="default"/>
                <w:sz w:val="18"/>
                <w:szCs w:val="18"/>
              </w:rPr>
            </w:pPr>
            <w:r>
              <w:rPr>
                <w:rFonts w:ascii="宋体" w:hAnsi="宋体" w:cs="宋体" w:eastAsia="宋体" w:hint="default"/>
                <w:sz w:val="18"/>
                <w:szCs w:val="18"/>
              </w:rPr>
              <w:t>流动 负债</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81" w:right="182"/>
              <w:jc w:val="both"/>
              <w:rPr>
                <w:rFonts w:ascii="宋体" w:hAnsi="宋体" w:cs="宋体" w:eastAsia="宋体" w:hint="default"/>
                <w:sz w:val="18"/>
                <w:szCs w:val="18"/>
              </w:rPr>
            </w:pPr>
            <w:r>
              <w:rPr>
                <w:rFonts w:ascii="宋体" w:hAnsi="宋体" w:cs="宋体" w:eastAsia="宋体" w:hint="default"/>
                <w:sz w:val="18"/>
                <w:szCs w:val="18"/>
              </w:rPr>
              <w:t>非流 动负 债</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2" w:right="181"/>
              <w:jc w:val="left"/>
              <w:rPr>
                <w:rFonts w:ascii="宋体" w:hAnsi="宋体" w:cs="宋体" w:eastAsia="宋体" w:hint="default"/>
                <w:sz w:val="18"/>
                <w:szCs w:val="18"/>
              </w:rPr>
            </w:pPr>
            <w:r>
              <w:rPr>
                <w:rFonts w:ascii="宋体" w:hAnsi="宋体" w:cs="宋体" w:eastAsia="宋体" w:hint="default"/>
                <w:sz w:val="18"/>
                <w:szCs w:val="18"/>
              </w:rPr>
              <w:t>负债 合计</w:t>
            </w:r>
          </w:p>
        </w:tc>
      </w:tr>
      <w:tr>
        <w:trPr>
          <w:trHeight w:val="357" w:hRule="exact"/>
        </w:trPr>
        <w:tc>
          <w:tcPr>
            <w:tcW w:w="73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广东</w:t>
            </w: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5" w:type="dxa"/>
            <w:vMerge w:val="restart"/>
            <w:tcBorders>
              <w:top w:val="single" w:sz="4" w:space="0" w:color="000000"/>
              <w:left w:val="single" w:sz="4" w:space="0" w:color="000000"/>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6" w:type="dxa"/>
            <w:vMerge w:val="restart"/>
            <w:tcBorders>
              <w:top w:val="single" w:sz="4" w:space="0" w:color="000000"/>
              <w:left w:val="single" w:sz="4" w:space="0" w:color="000000"/>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r>
      <w:tr>
        <w:trPr>
          <w:trHeight w:val="1248" w:hRule="exact"/>
        </w:trPr>
        <w:tc>
          <w:tcPr>
            <w:tcW w:w="73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262"/>
              <w:jc w:val="both"/>
              <w:rPr>
                <w:rFonts w:ascii="宋体" w:hAnsi="宋体" w:cs="宋体" w:eastAsia="宋体" w:hint="default"/>
                <w:sz w:val="18"/>
                <w:szCs w:val="18"/>
              </w:rPr>
            </w:pPr>
            <w:r>
              <w:rPr>
                <w:rFonts w:ascii="宋体" w:hAnsi="宋体" w:cs="宋体" w:eastAsia="宋体" w:hint="default"/>
                <w:sz w:val="18"/>
                <w:szCs w:val="18"/>
              </w:rPr>
              <w:t>中拓 信息 技术 有限</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57,220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,884.4</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3</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73" w:right="0"/>
              <w:jc w:val="left"/>
              <w:rPr>
                <w:rFonts w:ascii="Times New Roman" w:hAnsi="Times New Roman" w:cs="Times New Roman" w:eastAsia="Times New Roman" w:hint="default"/>
                <w:sz w:val="18"/>
                <w:szCs w:val="18"/>
              </w:rPr>
            </w:pPr>
            <w:r>
              <w:rPr>
                <w:rFonts w:ascii="Times New Roman"/>
                <w:sz w:val="18"/>
              </w:rPr>
              <w:t>2,378,</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981.48</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59,599</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,865.9</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1</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15,248</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,623.0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9</w:t>
            </w:r>
          </w:p>
        </w:tc>
        <w:tc>
          <w:tcPr>
            <w:tcW w:w="735" w:type="dxa"/>
            <w:vMerge/>
            <w:tcBorders>
              <w:left w:val="single" w:sz="4" w:space="0" w:color="000000"/>
              <w:right w:val="single" w:sz="4" w:space="0" w:color="000000"/>
            </w:tcBorders>
          </w:tcPr>
          <w:p>
            <w:pP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15,248</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,623.0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9</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44,045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,715.8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6" w:right="0"/>
              <w:jc w:val="center"/>
              <w:rPr>
                <w:rFonts w:ascii="Times New Roman" w:hAnsi="Times New Roman" w:cs="Times New Roman" w:eastAsia="Times New Roman" w:hint="default"/>
                <w:sz w:val="18"/>
                <w:szCs w:val="18"/>
              </w:rPr>
            </w:pPr>
            <w:r>
              <w:rPr>
                <w:rFonts w:ascii="Times New Roman"/>
                <w:sz w:val="18"/>
              </w:rPr>
              <w:t>682,05</w:t>
            </w:r>
          </w:p>
          <w:p>
            <w:pPr>
              <w:pStyle w:val="TableParagraph"/>
              <w:spacing w:line="240" w:lineRule="auto" w:before="105"/>
              <w:ind w:left="206" w:right="0"/>
              <w:jc w:val="center"/>
              <w:rPr>
                <w:rFonts w:ascii="Times New Roman" w:hAnsi="Times New Roman" w:cs="Times New Roman" w:eastAsia="Times New Roman" w:hint="default"/>
                <w:sz w:val="18"/>
                <w:szCs w:val="18"/>
              </w:rPr>
            </w:pPr>
            <w:r>
              <w:rPr>
                <w:rFonts w:ascii="Times New Roman"/>
                <w:sz w:val="18"/>
              </w:rPr>
              <w:t>2.17</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44,727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,767.9</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8</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10,153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,038.9</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4</w:t>
            </w: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10,153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,038.9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w:t>
            </w:r>
          </w:p>
        </w:tc>
      </w:tr>
      <w:tr>
        <w:trPr>
          <w:trHeight w:val="357" w:hRule="exact"/>
        </w:trPr>
        <w:tc>
          <w:tcPr>
            <w:tcW w:w="7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5" w:type="dxa"/>
            <w:vMerge/>
            <w:tcBorders>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6" w:type="dxa"/>
            <w:vMerge/>
            <w:tcBorders>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r>
      <w:tr>
        <w:trPr>
          <w:trHeight w:val="356" w:hRule="exact"/>
        </w:trPr>
        <w:tc>
          <w:tcPr>
            <w:tcW w:w="73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杭州</w:t>
            </w: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c>
          <w:tcPr>
            <w:tcW w:w="735" w:type="dxa"/>
            <w:vMerge w:val="restart"/>
            <w:tcBorders>
              <w:top w:val="single" w:sz="4" w:space="0" w:color="000000"/>
              <w:left w:val="single" w:sz="4" w:space="0" w:color="000000"/>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6" w:type="dxa"/>
            <w:vMerge w:val="restart"/>
            <w:tcBorders>
              <w:top w:val="single" w:sz="4" w:space="0" w:color="000000"/>
              <w:left w:val="single" w:sz="4" w:space="0" w:color="000000"/>
              <w:right w:val="single" w:sz="4" w:space="0" w:color="000000"/>
            </w:tcBorders>
          </w:tcPr>
          <w:p>
            <w:pPr/>
          </w:p>
        </w:tc>
        <w:tc>
          <w:tcPr>
            <w:tcW w:w="736" w:type="dxa"/>
            <w:tcBorders>
              <w:top w:val="single" w:sz="4" w:space="0" w:color="000000"/>
              <w:left w:val="single" w:sz="4" w:space="0" w:color="000000"/>
              <w:bottom w:val="nil" w:sz="6" w:space="0" w:color="auto"/>
              <w:right w:val="single" w:sz="4" w:space="0" w:color="000000"/>
            </w:tcBorders>
          </w:tcPr>
          <w:p>
            <w:pPr/>
          </w:p>
        </w:tc>
      </w:tr>
      <w:tr>
        <w:trPr>
          <w:trHeight w:val="1248" w:hRule="exact"/>
        </w:trPr>
        <w:tc>
          <w:tcPr>
            <w:tcW w:w="73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262"/>
              <w:jc w:val="both"/>
              <w:rPr>
                <w:rFonts w:ascii="宋体" w:hAnsi="宋体" w:cs="宋体" w:eastAsia="宋体" w:hint="default"/>
                <w:sz w:val="18"/>
                <w:szCs w:val="18"/>
              </w:rPr>
            </w:pPr>
            <w:r>
              <w:rPr>
                <w:rFonts w:ascii="宋体" w:hAnsi="宋体" w:cs="宋体" w:eastAsia="宋体" w:hint="default"/>
                <w:sz w:val="18"/>
                <w:szCs w:val="18"/>
              </w:rPr>
              <w:t>梅清 数码 科技 有限</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28,824</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,043.7</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4</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26,264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,692.8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55,088</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,736.5</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4</w:t>
            </w: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19,892</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,570.7</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6</w:t>
            </w:r>
          </w:p>
        </w:tc>
        <w:tc>
          <w:tcPr>
            <w:tcW w:w="735" w:type="dxa"/>
            <w:vMerge/>
            <w:tcBorders>
              <w:left w:val="single" w:sz="4" w:space="0" w:color="000000"/>
              <w:right w:val="single" w:sz="4" w:space="0" w:color="000000"/>
            </w:tcBorders>
          </w:tcPr>
          <w:p>
            <w:pP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19,892</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,570.7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39,462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,098.8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8</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2"/>
                <w:sz w:val="18"/>
              </w:rPr>
              <w:t>11,270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pacing w:val="-1"/>
                <w:sz w:val="18"/>
              </w:rPr>
              <w:t>,801.7</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4</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50,732</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,900.6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2</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17,555</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,384.8</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1</w:t>
            </w:r>
          </w:p>
        </w:tc>
        <w:tc>
          <w:tcPr>
            <w:tcW w:w="736" w:type="dxa"/>
            <w:vMerge/>
            <w:tcBorders>
              <w:left w:val="single" w:sz="4" w:space="0" w:color="000000"/>
              <w:right w:val="single" w:sz="4" w:space="0" w:color="000000"/>
            </w:tcBorders>
          </w:tcPr>
          <w:p>
            <w:pPr/>
          </w:p>
        </w:tc>
        <w:tc>
          <w:tcPr>
            <w:tcW w:w="73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17,555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pacing w:val="-1"/>
                <w:sz w:val="18"/>
              </w:rPr>
              <w:t>,384.8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w:t>
            </w:r>
          </w:p>
        </w:tc>
      </w:tr>
      <w:tr>
        <w:trPr>
          <w:trHeight w:val="358" w:hRule="exact"/>
        </w:trPr>
        <w:tc>
          <w:tcPr>
            <w:tcW w:w="7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c>
          <w:tcPr>
            <w:tcW w:w="735" w:type="dxa"/>
            <w:vMerge/>
            <w:tcBorders>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6" w:type="dxa"/>
            <w:vMerge/>
            <w:tcBorders>
              <w:left w:val="single" w:sz="4" w:space="0" w:color="000000"/>
              <w:bottom w:val="single" w:sz="4" w:space="0" w:color="000000"/>
              <w:right w:val="single" w:sz="4" w:space="0" w:color="000000"/>
            </w:tcBorders>
          </w:tcPr>
          <w:p>
            <w:pPr/>
          </w:p>
        </w:tc>
        <w:tc>
          <w:tcPr>
            <w:tcW w:w="736" w:type="dxa"/>
            <w:tcBorders>
              <w:top w:val="nil" w:sz="6" w:space="0" w:color="auto"/>
              <w:left w:val="single" w:sz="4" w:space="0" w:color="000000"/>
              <w:bottom w:val="single" w:sz="4" w:space="0" w:color="000000"/>
              <w:right w:val="single" w:sz="4" w:space="0" w:color="000000"/>
            </w:tcBorders>
          </w:tcPr>
          <w:p>
            <w:pPr/>
          </w:p>
        </w:tc>
      </w:tr>
    </w:tbl>
    <w:p>
      <w:pPr>
        <w:pStyle w:val="BodyText"/>
        <w:spacing w:line="240" w:lineRule="auto" w:before="51"/>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61"/>
        <w:gridCol w:w="1061"/>
        <w:gridCol w:w="1062"/>
        <w:gridCol w:w="1065"/>
        <w:gridCol w:w="1065"/>
        <w:gridCol w:w="1063"/>
        <w:gridCol w:w="1063"/>
        <w:gridCol w:w="1063"/>
        <w:gridCol w:w="1066"/>
      </w:tblGrid>
      <w:tr>
        <w:trPr>
          <w:trHeight w:val="402" w:hRule="exact"/>
        </w:trPr>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6" w:lineRule="auto"/>
              <w:ind w:left="435" w:right="165" w:hanging="272"/>
              <w:jc w:val="left"/>
              <w:rPr>
                <w:rFonts w:ascii="宋体" w:hAnsi="宋体" w:cs="宋体" w:eastAsia="宋体" w:hint="default"/>
                <w:sz w:val="18"/>
                <w:szCs w:val="18"/>
              </w:rPr>
            </w:pPr>
            <w:r>
              <w:rPr>
                <w:rFonts w:ascii="宋体" w:hAnsi="宋体" w:cs="宋体" w:eastAsia="宋体" w:hint="default"/>
                <w:sz w:val="18"/>
                <w:szCs w:val="18"/>
              </w:rPr>
              <w:t>子公司名 称</w:t>
            </w:r>
          </w:p>
        </w:tc>
        <w:tc>
          <w:tcPr>
            <w:tcW w:w="4253"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4255"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1061" w:type="dxa"/>
            <w:vMerge/>
            <w:tcBorders>
              <w:left w:val="single" w:sz="4" w:space="0" w:color="000000"/>
              <w:bottom w:val="single" w:sz="4" w:space="0" w:color="000000"/>
              <w:right w:val="single" w:sz="4" w:space="0" w:color="000000"/>
            </w:tcBorders>
            <w:shd w:val="clear" w:color="auto" w:fill="D2D2D2"/>
          </w:tcPr>
          <w:p>
            <w:pP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65"/>
              <w:jc w:val="right"/>
              <w:rPr>
                <w:rFonts w:ascii="宋体" w:hAnsi="宋体" w:cs="宋体" w:eastAsia="宋体" w:hint="default"/>
                <w:sz w:val="18"/>
                <w:szCs w:val="18"/>
              </w:rPr>
            </w:pPr>
            <w:r>
              <w:rPr>
                <w:rFonts w:ascii="宋体" w:hAnsi="宋体" w:cs="宋体" w:eastAsia="宋体" w:hint="default"/>
                <w:sz w:val="18"/>
                <w:szCs w:val="18"/>
              </w:rPr>
              <w:t>营业收入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5"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47" w:right="165" w:hanging="180"/>
              <w:jc w:val="left"/>
              <w:rPr>
                <w:rFonts w:ascii="宋体" w:hAnsi="宋体" w:cs="宋体" w:eastAsia="宋体" w:hint="default"/>
                <w:sz w:val="18"/>
                <w:szCs w:val="18"/>
              </w:rPr>
            </w:pPr>
            <w:r>
              <w:rPr>
                <w:rFonts w:ascii="宋体" w:hAnsi="宋体" w:cs="宋体" w:eastAsia="宋体" w:hint="default"/>
                <w:sz w:val="18"/>
                <w:szCs w:val="18"/>
              </w:rPr>
              <w:t>综合收益 总额</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68" w:right="165"/>
              <w:jc w:val="left"/>
              <w:rPr>
                <w:rFonts w:ascii="宋体" w:hAnsi="宋体" w:cs="宋体" w:eastAsia="宋体" w:hint="default"/>
                <w:sz w:val="18"/>
                <w:szCs w:val="18"/>
              </w:rPr>
            </w:pPr>
            <w:r>
              <w:rPr>
                <w:rFonts w:ascii="宋体" w:hAnsi="宋体" w:cs="宋体" w:eastAsia="宋体" w:hint="default"/>
                <w:sz w:val="18"/>
                <w:szCs w:val="18"/>
              </w:rPr>
              <w:t>经营活动 现金流量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5"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46" w:right="164" w:hanging="180"/>
              <w:jc w:val="left"/>
              <w:rPr>
                <w:rFonts w:ascii="宋体" w:hAnsi="宋体" w:cs="宋体" w:eastAsia="宋体" w:hint="default"/>
                <w:sz w:val="18"/>
                <w:szCs w:val="18"/>
              </w:rPr>
            </w:pPr>
            <w:r>
              <w:rPr>
                <w:rFonts w:ascii="宋体" w:hAnsi="宋体" w:cs="宋体" w:eastAsia="宋体" w:hint="default"/>
                <w:sz w:val="18"/>
                <w:szCs w:val="18"/>
              </w:rPr>
              <w:t>综合收益 总额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66" w:right="167"/>
              <w:jc w:val="left"/>
              <w:rPr>
                <w:rFonts w:ascii="宋体" w:hAnsi="宋体" w:cs="宋体" w:eastAsia="宋体" w:hint="default"/>
                <w:sz w:val="18"/>
                <w:szCs w:val="18"/>
              </w:rPr>
            </w:pPr>
            <w:r>
              <w:rPr>
                <w:rFonts w:ascii="宋体" w:hAnsi="宋体" w:cs="宋体" w:eastAsia="宋体" w:hint="default"/>
                <w:sz w:val="18"/>
                <w:szCs w:val="18"/>
              </w:rPr>
              <w:t>经营活动 现金流量</w:t>
            </w:r>
          </w:p>
        </w:tc>
      </w:tr>
      <w:tr>
        <w:trPr>
          <w:trHeight w:val="1026"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1" w:right="227"/>
              <w:jc w:val="both"/>
              <w:rPr>
                <w:rFonts w:ascii="宋体" w:hAnsi="宋体" w:cs="宋体" w:eastAsia="宋体" w:hint="default"/>
                <w:sz w:val="18"/>
                <w:szCs w:val="18"/>
              </w:rPr>
            </w:pPr>
            <w:r>
              <w:rPr>
                <w:rFonts w:ascii="宋体" w:hAnsi="宋体" w:cs="宋体" w:eastAsia="宋体" w:hint="default"/>
                <w:sz w:val="18"/>
                <w:szCs w:val="18"/>
              </w:rPr>
              <w:t>广东中拓 信息技术 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54,011,527</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.86</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9,776,513.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78</w:t>
            </w:r>
          </w:p>
        </w:tc>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9,776,513.</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78</w:t>
            </w:r>
          </w:p>
        </w:tc>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9,176,268.</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41,424,929</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.30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7,403,958.</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pacing w:val="-2"/>
                <w:w w:val="95"/>
                <w:sz w:val="18"/>
              </w:rPr>
              <w:t>11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7,403,958.</w:t>
            </w:r>
          </w:p>
          <w:p>
            <w:pPr>
              <w:pStyle w:val="TableParagraph"/>
              <w:spacing w:line="240" w:lineRule="auto" w:before="105"/>
              <w:ind w:right="98"/>
              <w:jc w:val="right"/>
              <w:rPr>
                <w:rFonts w:ascii="Times New Roman" w:hAnsi="Times New Roman" w:cs="Times New Roman" w:eastAsia="Times New Roman" w:hint="default"/>
                <w:sz w:val="18"/>
                <w:szCs w:val="18"/>
              </w:rPr>
            </w:pPr>
            <w:r>
              <w:rPr>
                <w:rFonts w:ascii="Times New Roman"/>
                <w:spacing w:val="-2"/>
                <w:w w:val="95"/>
                <w:sz w:val="18"/>
              </w:rPr>
              <w:t>11</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4,760,505.</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75</w:t>
            </w:r>
          </w:p>
        </w:tc>
      </w:tr>
      <w:tr>
        <w:trPr>
          <w:trHeight w:val="371" w:hRule="exact"/>
        </w:trPr>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70"/>
              <w:ind w:right="125"/>
              <w:jc w:val="center"/>
              <w:rPr>
                <w:rFonts w:ascii="宋体" w:hAnsi="宋体" w:cs="宋体" w:eastAsia="宋体" w:hint="default"/>
                <w:sz w:val="18"/>
                <w:szCs w:val="18"/>
              </w:rPr>
            </w:pPr>
            <w:r>
              <w:rPr>
                <w:rFonts w:ascii="宋体" w:hAnsi="宋体" w:cs="宋体" w:eastAsia="宋体" w:hint="default"/>
                <w:sz w:val="18"/>
                <w:szCs w:val="18"/>
              </w:rPr>
              <w:t>杭州梅清</w:t>
            </w:r>
          </w:p>
        </w:tc>
        <w:tc>
          <w:tcPr>
            <w:tcW w:w="106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64,346,172</w:t>
            </w:r>
          </w:p>
        </w:tc>
        <w:tc>
          <w:tcPr>
            <w:tcW w:w="106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1"/>
                <w:sz w:val="18"/>
              </w:rPr>
              <w:t>8,578,649.</w:t>
            </w:r>
          </w:p>
        </w:tc>
        <w:tc>
          <w:tcPr>
            <w:tcW w:w="106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8,578,649.</w:t>
            </w:r>
          </w:p>
        </w:tc>
        <w:tc>
          <w:tcPr>
            <w:tcW w:w="106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right="94"/>
              <w:jc w:val="right"/>
              <w:rPr>
                <w:rFonts w:ascii="Times New Roman" w:hAnsi="Times New Roman" w:cs="Times New Roman" w:eastAsia="Times New Roman" w:hint="default"/>
                <w:sz w:val="18"/>
                <w:szCs w:val="18"/>
              </w:rPr>
            </w:pPr>
            <w:r>
              <w:rPr>
                <w:rFonts w:ascii="Times New Roman"/>
                <w:spacing w:val="-2"/>
                <w:sz w:val="18"/>
              </w:rPr>
              <w:t>2,393,119.1</w:t>
            </w:r>
          </w:p>
        </w:tc>
        <w:tc>
          <w:tcPr>
            <w:tcW w:w="10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left="140" w:right="0"/>
              <w:jc w:val="left"/>
              <w:rPr>
                <w:rFonts w:ascii="Times New Roman" w:hAnsi="Times New Roman" w:cs="Times New Roman" w:eastAsia="Times New Roman" w:hint="default"/>
                <w:sz w:val="18"/>
                <w:szCs w:val="18"/>
              </w:rPr>
            </w:pPr>
            <w:r>
              <w:rPr>
                <w:rFonts w:ascii="Times New Roman"/>
                <w:sz w:val="18"/>
              </w:rPr>
              <w:t>15,630,347</w:t>
            </w:r>
          </w:p>
        </w:tc>
        <w:tc>
          <w:tcPr>
            <w:tcW w:w="10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3,243,889.</w:t>
            </w:r>
          </w:p>
        </w:tc>
        <w:tc>
          <w:tcPr>
            <w:tcW w:w="10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3,243,889.</w:t>
            </w:r>
          </w:p>
        </w:tc>
        <w:tc>
          <w:tcPr>
            <w:tcW w:w="10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2,480,141.</w:t>
            </w:r>
          </w:p>
        </w:tc>
      </w:tr>
      <w:tr>
        <w:trPr>
          <w:trHeight w:val="351" w:hRule="exact"/>
        </w:trPr>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6"/>
              <w:ind w:right="125"/>
              <w:jc w:val="center"/>
              <w:rPr>
                <w:rFonts w:ascii="宋体" w:hAnsi="宋体" w:cs="宋体" w:eastAsia="宋体" w:hint="default"/>
                <w:sz w:val="18"/>
                <w:szCs w:val="18"/>
              </w:rPr>
            </w:pPr>
            <w:r>
              <w:rPr>
                <w:rFonts w:ascii="宋体" w:hAnsi="宋体" w:cs="宋体" w:eastAsia="宋体" w:hint="default"/>
                <w:sz w:val="18"/>
                <w:szCs w:val="18"/>
              </w:rPr>
              <w:t>数码科技</w:t>
            </w:r>
          </w:p>
        </w:tc>
        <w:tc>
          <w:tcPr>
            <w:tcW w:w="106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7"/>
              <w:ind w:right="99"/>
              <w:jc w:val="right"/>
              <w:rPr>
                <w:rFonts w:ascii="Times New Roman" w:hAnsi="Times New Roman" w:cs="Times New Roman" w:eastAsia="Times New Roman" w:hint="default"/>
                <w:sz w:val="18"/>
                <w:szCs w:val="18"/>
              </w:rPr>
            </w:pPr>
            <w:r>
              <w:rPr>
                <w:rFonts w:ascii="Times New Roman"/>
                <w:sz w:val="18"/>
              </w:rPr>
              <w:t>.95</w:t>
            </w:r>
          </w:p>
        </w:tc>
        <w:tc>
          <w:tcPr>
            <w:tcW w:w="10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7"/>
              <w:ind w:right="100"/>
              <w:jc w:val="right"/>
              <w:rPr>
                <w:rFonts w:ascii="Times New Roman" w:hAnsi="Times New Roman" w:cs="Times New Roman" w:eastAsia="Times New Roman" w:hint="default"/>
                <w:sz w:val="18"/>
                <w:szCs w:val="18"/>
              </w:rPr>
            </w:pPr>
            <w:r>
              <w:rPr>
                <w:rFonts w:ascii="Times New Roman"/>
                <w:sz w:val="18"/>
              </w:rPr>
              <w:t>97</w:t>
            </w:r>
          </w:p>
        </w:tc>
        <w:tc>
          <w:tcPr>
            <w:tcW w:w="106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7"/>
              <w:ind w:right="99"/>
              <w:jc w:val="right"/>
              <w:rPr>
                <w:rFonts w:ascii="Times New Roman" w:hAnsi="Times New Roman" w:cs="Times New Roman" w:eastAsia="Times New Roman" w:hint="default"/>
                <w:sz w:val="18"/>
                <w:szCs w:val="18"/>
              </w:rPr>
            </w:pPr>
            <w:r>
              <w:rPr>
                <w:rFonts w:ascii="Times New Roman"/>
                <w:sz w:val="18"/>
              </w:rPr>
              <w:t>97</w:t>
            </w:r>
          </w:p>
        </w:tc>
        <w:tc>
          <w:tcPr>
            <w:tcW w:w="106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z w:val="18"/>
              </w:rPr>
              <w:t>1</w:t>
            </w:r>
          </w:p>
        </w:tc>
        <w:tc>
          <w:tcPr>
            <w:tcW w:w="10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7"/>
              <w:ind w:right="99"/>
              <w:jc w:val="right"/>
              <w:rPr>
                <w:rFonts w:ascii="Times New Roman" w:hAnsi="Times New Roman" w:cs="Times New Roman" w:eastAsia="Times New Roman" w:hint="default"/>
                <w:sz w:val="18"/>
                <w:szCs w:val="18"/>
              </w:rPr>
            </w:pPr>
            <w:r>
              <w:rPr>
                <w:rFonts w:ascii="Times New Roman"/>
                <w:sz w:val="18"/>
              </w:rPr>
              <w:t>.85</w:t>
            </w:r>
          </w:p>
        </w:tc>
        <w:tc>
          <w:tcPr>
            <w:tcW w:w="10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z w:val="18"/>
              </w:rPr>
              <w:t>99</w:t>
            </w:r>
          </w:p>
        </w:tc>
        <w:tc>
          <w:tcPr>
            <w:tcW w:w="106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7"/>
              <w:ind w:right="101"/>
              <w:jc w:val="right"/>
              <w:rPr>
                <w:rFonts w:ascii="Times New Roman" w:hAnsi="Times New Roman" w:cs="Times New Roman" w:eastAsia="Times New Roman" w:hint="default"/>
                <w:sz w:val="18"/>
                <w:szCs w:val="18"/>
              </w:rPr>
            </w:pPr>
            <w:r>
              <w:rPr>
                <w:rFonts w:ascii="Times New Roman"/>
                <w:sz w:val="18"/>
              </w:rPr>
              <w:t>99</w:t>
            </w:r>
          </w:p>
        </w:tc>
        <w:tc>
          <w:tcPr>
            <w:tcW w:w="106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7"/>
              <w:ind w:right="99"/>
              <w:jc w:val="right"/>
              <w:rPr>
                <w:rFonts w:ascii="Times New Roman" w:hAnsi="Times New Roman" w:cs="Times New Roman" w:eastAsia="Times New Roman" w:hint="default"/>
                <w:sz w:val="18"/>
                <w:szCs w:val="18"/>
              </w:rPr>
            </w:pPr>
            <w:r>
              <w:rPr>
                <w:rFonts w:ascii="Times New Roman"/>
                <w:sz w:val="18"/>
              </w:rPr>
              <w:t>81</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061"/>
        <w:gridCol w:w="1061"/>
        <w:gridCol w:w="1062"/>
        <w:gridCol w:w="1065"/>
        <w:gridCol w:w="1065"/>
        <w:gridCol w:w="1063"/>
        <w:gridCol w:w="1063"/>
        <w:gridCol w:w="1063"/>
        <w:gridCol w:w="1066"/>
      </w:tblGrid>
      <w:tr>
        <w:trPr>
          <w:trHeight w:val="362"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061"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5" w:type="dxa"/>
            <w:tcBorders>
              <w:top w:val="single" w:sz="4" w:space="0" w:color="000000"/>
              <w:left w:val="single" w:sz="4" w:space="0" w:color="000000"/>
              <w:bottom w:val="single" w:sz="4" w:space="0" w:color="000000"/>
              <w:right w:val="single" w:sz="4" w:space="0" w:color="000000"/>
            </w:tcBorders>
          </w:tcPr>
          <w:p>
            <w:pPr/>
          </w:p>
        </w:tc>
        <w:tc>
          <w:tcPr>
            <w:tcW w:w="1065"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0"/>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4）使用企业集团资产和清偿企业集团债务的重大限制" w:id="366"/>
      <w:bookmarkEnd w:id="366"/>
      <w:r>
        <w:rPr>
          <w:b w:val="0"/>
          <w:bCs w:val="0"/>
        </w:rPr>
      </w:r>
      <w:r>
        <w:rPr/>
        <w:t>（</w:t>
      </w:r>
      <w:r>
        <w:rPr>
          <w:rFonts w:ascii="Times New Roman" w:hAnsi="Times New Roman" w:cs="Times New Roman" w:eastAsia="Times New Roman" w:hint="default"/>
        </w:rPr>
        <w:t>4</w:t>
      </w:r>
      <w:r>
        <w:rPr/>
        <w:t>）使用企业集团资产和清偿企业集团债务的重大限制</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5）向纳入合并财务报表范围的结构化主体提供的财务支持或其他支持" w:id="367"/>
      <w:bookmarkEnd w:id="367"/>
      <w:r>
        <w:rPr>
          <w:b w:val="0"/>
          <w:bCs w:val="0"/>
        </w:rPr>
      </w:r>
      <w:r>
        <w:rPr/>
        <w:t>（</w:t>
      </w:r>
      <w:r>
        <w:rPr>
          <w:rFonts w:ascii="Times New Roman" w:hAnsi="Times New Roman" w:cs="Times New Roman" w:eastAsia="Times New Roman" w:hint="default"/>
        </w:rPr>
        <w:t>5</w:t>
      </w:r>
      <w:r>
        <w:rPr/>
        <w:t>）向纳入合并财务报表范围的结构化主体提供的财务支持或其他支持</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2、在子公司的所有者权益份额发生变化且仍控制子公司的交易" w:id="368"/>
      <w:bookmarkEnd w:id="368"/>
      <w:r>
        <w:rPr>
          <w:b w:val="0"/>
          <w:bCs w:val="0"/>
        </w:rPr>
      </w:r>
      <w:r>
        <w:rPr>
          <w:rFonts w:ascii="Times New Roman" w:hAnsi="Times New Roman" w:cs="Times New Roman" w:eastAsia="Times New Roman" w:hint="default"/>
        </w:rPr>
        <w:t>2</w:t>
      </w:r>
      <w:r>
        <w:rPr/>
        <w:t>、在子公司的所有者权益份额发生变化且仍控制子公司的交易</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1）在子公司所有者权益份额发生变化的情况说明" w:id="369"/>
      <w:bookmarkEnd w:id="369"/>
      <w:r>
        <w:rPr>
          <w:b w:val="0"/>
          <w:bCs w:val="0"/>
        </w:rPr>
      </w:r>
      <w:r>
        <w:rPr/>
        <w:t>（</w:t>
      </w:r>
      <w:r>
        <w:rPr>
          <w:rFonts w:ascii="Times New Roman" w:hAnsi="Times New Roman" w:cs="Times New Roman" w:eastAsia="Times New Roman" w:hint="default"/>
        </w:rPr>
        <w:t>1</w:t>
      </w:r>
      <w:r>
        <w:rPr/>
        <w:t>）在子公司所有者权益份额发生变化的情况说明</w:t>
      </w:r>
      <w:r>
        <w:rPr>
          <w:b w:val="0"/>
          <w:bCs w:val="0"/>
        </w:rPr>
      </w:r>
    </w:p>
    <w:p>
      <w:pPr>
        <w:spacing w:line="240" w:lineRule="auto" w:before="10"/>
        <w:rPr>
          <w:rFonts w:ascii="宋体" w:hAnsi="宋体" w:cs="宋体" w:eastAsia="宋体" w:hint="default"/>
          <w:b/>
          <w:bCs/>
          <w:sz w:val="25"/>
          <w:szCs w:val="25"/>
        </w:rPr>
      </w:pPr>
    </w:p>
    <w:tbl>
      <w:tblPr>
        <w:tblW w:w="0" w:type="auto"/>
        <w:jc w:val="left"/>
        <w:tblInd w:w="667" w:type="dxa"/>
        <w:tblLayout w:type="fixed"/>
        <w:tblCellMar>
          <w:top w:w="0" w:type="dxa"/>
          <w:left w:w="0" w:type="dxa"/>
          <w:bottom w:w="0" w:type="dxa"/>
          <w:right w:w="0" w:type="dxa"/>
        </w:tblCellMar>
        <w:tblLook w:val="01E0"/>
      </w:tblPr>
      <w:tblGrid>
        <w:gridCol w:w="2943"/>
        <w:gridCol w:w="1843"/>
        <w:gridCol w:w="1843"/>
        <w:gridCol w:w="1893"/>
      </w:tblGrid>
      <w:tr>
        <w:trPr>
          <w:trHeight w:val="342" w:hRule="exact"/>
        </w:trPr>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16"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变动时间</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
              <w:jc w:val="center"/>
              <w:rPr>
                <w:rFonts w:ascii="宋体" w:hAnsi="宋体" w:cs="宋体" w:eastAsia="宋体" w:hint="default"/>
                <w:sz w:val="18"/>
                <w:szCs w:val="18"/>
              </w:rPr>
            </w:pPr>
            <w:r>
              <w:rPr>
                <w:rFonts w:ascii="宋体" w:hAnsi="宋体" w:cs="宋体" w:eastAsia="宋体" w:hint="default"/>
                <w:sz w:val="18"/>
                <w:szCs w:val="18"/>
              </w:rPr>
              <w:t>变动前持股比例</w:t>
            </w:r>
          </w:p>
        </w:tc>
        <w:tc>
          <w:tcPr>
            <w:tcW w:w="1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变动后持股比例</w:t>
            </w:r>
          </w:p>
        </w:tc>
      </w:tr>
      <w:tr>
        <w:trPr>
          <w:trHeight w:val="342" w:hRule="exact"/>
        </w:trPr>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杭州美诺泰科科技有限公司</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2" w:right="0"/>
              <w:jc w:val="center"/>
              <w:rPr>
                <w:rFonts w:ascii="Times New Roman" w:hAnsi="Times New Roman" w:cs="Times New Roman" w:eastAsia="Times New Roman" w:hint="default"/>
                <w:sz w:val="18"/>
                <w:szCs w:val="18"/>
              </w:rPr>
            </w:pPr>
            <w:r>
              <w:rPr>
                <w:rFonts w:ascii="Times New Roman"/>
                <w:sz w:val="18"/>
              </w:rPr>
              <w:t>51%</w:t>
            </w:r>
          </w:p>
        </w:tc>
        <w:tc>
          <w:tcPr>
            <w:tcW w:w="1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 w:right="0"/>
              <w:jc w:val="center"/>
              <w:rPr>
                <w:rFonts w:ascii="Times New Roman" w:hAnsi="Times New Roman" w:cs="Times New Roman" w:eastAsia="Times New Roman" w:hint="default"/>
                <w:sz w:val="18"/>
                <w:szCs w:val="18"/>
              </w:rPr>
            </w:pPr>
            <w:r>
              <w:rPr>
                <w:rFonts w:ascii="Times New Roman"/>
                <w:sz w:val="18"/>
              </w:rPr>
              <w:t>100%</w:t>
            </w:r>
          </w:p>
        </w:tc>
      </w:tr>
      <w:tr>
        <w:trPr>
          <w:trHeight w:val="342" w:hRule="exact"/>
        </w:trPr>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杭州卓腾信息技术有限公司</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2" w:right="0"/>
              <w:jc w:val="center"/>
              <w:rPr>
                <w:rFonts w:ascii="Times New Roman" w:hAnsi="Times New Roman" w:cs="Times New Roman" w:eastAsia="Times New Roman" w:hint="default"/>
                <w:sz w:val="18"/>
                <w:szCs w:val="18"/>
              </w:rPr>
            </w:pPr>
            <w:r>
              <w:rPr>
                <w:rFonts w:ascii="Times New Roman"/>
                <w:sz w:val="18"/>
              </w:rPr>
              <w:t>100%</w:t>
            </w:r>
          </w:p>
        </w:tc>
        <w:tc>
          <w:tcPr>
            <w:tcW w:w="1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 w:right="0"/>
              <w:jc w:val="center"/>
              <w:rPr>
                <w:rFonts w:ascii="Times New Roman" w:hAnsi="Times New Roman" w:cs="Times New Roman" w:eastAsia="Times New Roman" w:hint="default"/>
                <w:sz w:val="18"/>
                <w:szCs w:val="18"/>
              </w:rPr>
            </w:pPr>
            <w:r>
              <w:rPr>
                <w:rFonts w:ascii="Times New Roman"/>
                <w:sz w:val="18"/>
              </w:rPr>
              <w:t>88.89%</w:t>
            </w:r>
          </w:p>
        </w:tc>
      </w:tr>
    </w:tbl>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3"/>
          <w:szCs w:val="23"/>
        </w:rPr>
      </w:pPr>
    </w:p>
    <w:p>
      <w:pPr>
        <w:pStyle w:val="Heading3"/>
        <w:spacing w:line="240" w:lineRule="auto" w:before="34"/>
        <w:ind w:right="0"/>
        <w:jc w:val="left"/>
        <w:rPr>
          <w:b w:val="0"/>
          <w:bCs w:val="0"/>
        </w:rPr>
      </w:pPr>
      <w:bookmarkStart w:name="（2）交易对于少数股东权益及归属于母公司所有者权益的影响" w:id="370"/>
      <w:bookmarkEnd w:id="370"/>
      <w:r>
        <w:rPr>
          <w:b w:val="0"/>
          <w:bCs w:val="0"/>
        </w:rPr>
      </w:r>
      <w:r>
        <w:rPr/>
        <w:t>（</w:t>
      </w:r>
      <w:r>
        <w:rPr>
          <w:rFonts w:ascii="Times New Roman" w:hAnsi="Times New Roman" w:cs="Times New Roman" w:eastAsia="Times New Roman" w:hint="default"/>
        </w:rPr>
        <w:t>2</w:t>
      </w:r>
      <w:r>
        <w:rPr/>
        <w:t>）交易对于少数股东权益及归属于母公司所有者权益的影响</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0"/>
              <w:ind w:left="509" w:right="0"/>
              <w:jc w:val="left"/>
              <w:rPr>
                <w:rFonts w:ascii="宋体" w:hAnsi="宋体" w:cs="宋体" w:eastAsia="宋体" w:hint="default"/>
                <w:sz w:val="18"/>
                <w:szCs w:val="18"/>
              </w:rPr>
            </w:pPr>
            <w:r>
              <w:rPr>
                <w:rFonts w:ascii="宋体" w:hAnsi="宋体" w:cs="宋体" w:eastAsia="宋体" w:hint="default"/>
                <w:sz w:val="18"/>
                <w:szCs w:val="18"/>
              </w:rPr>
              <w:t>杭州美诺泰科科技有限公司</w:t>
            </w:r>
          </w:p>
        </w:tc>
        <w:tc>
          <w:tcPr>
            <w:tcW w:w="3190"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0"/>
              <w:ind w:left="509" w:right="0"/>
              <w:jc w:val="left"/>
              <w:rPr>
                <w:rFonts w:ascii="宋体" w:hAnsi="宋体" w:cs="宋体" w:eastAsia="宋体" w:hint="default"/>
                <w:sz w:val="18"/>
                <w:szCs w:val="18"/>
              </w:rPr>
            </w:pPr>
            <w:r>
              <w:rPr>
                <w:rFonts w:ascii="宋体" w:hAnsi="宋体" w:cs="宋体" w:eastAsia="宋体" w:hint="default"/>
                <w:sz w:val="18"/>
                <w:szCs w:val="18"/>
              </w:rPr>
              <w:t>杭州卓腾信息技术有限公司</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54,600,000.00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购买成本</w:t>
            </w:r>
            <w:r>
              <w:rPr>
                <w:rFonts w:ascii="Times New Roman" w:hAnsi="Times New Roman" w:cs="Times New Roman" w:eastAsia="Times New Roman" w:hint="default"/>
                <w:sz w:val="18"/>
                <w:szCs w:val="18"/>
              </w:rPr>
              <w:t>/</w:t>
            </w:r>
            <w:r>
              <w:rPr>
                <w:rFonts w:ascii="宋体" w:hAnsi="宋体" w:cs="宋体" w:eastAsia="宋体" w:hint="default"/>
                <w:sz w:val="18"/>
                <w:szCs w:val="18"/>
              </w:rPr>
              <w:t>处置对价合计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54,600,000.00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714"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101" w:right="146"/>
              <w:jc w:val="left"/>
              <w:rPr>
                <w:rFonts w:ascii="宋体" w:hAnsi="宋体" w:cs="宋体" w:eastAsia="宋体" w:hint="default"/>
                <w:sz w:val="18"/>
                <w:szCs w:val="18"/>
              </w:rPr>
            </w:pPr>
            <w:r>
              <w:rPr>
                <w:rFonts w:ascii="宋体" w:hAnsi="宋体" w:cs="宋体" w:eastAsia="宋体" w:hint="default"/>
                <w:sz w:val="18"/>
                <w:szCs w:val="18"/>
              </w:rPr>
              <w:t>减：按取得</w:t>
            </w:r>
            <w:r>
              <w:rPr>
                <w:rFonts w:ascii="Times New Roman" w:hAnsi="Times New Roman" w:cs="Times New Roman" w:eastAsia="Times New Roman" w:hint="default"/>
                <w:sz w:val="18"/>
                <w:szCs w:val="18"/>
              </w:rPr>
              <w:t>/</w:t>
            </w:r>
            <w:r>
              <w:rPr>
                <w:rFonts w:ascii="宋体" w:hAnsi="宋体" w:cs="宋体" w:eastAsia="宋体" w:hint="default"/>
                <w:sz w:val="18"/>
                <w:szCs w:val="18"/>
              </w:rPr>
              <w:t>处置的股权比例计算的子 公司净资产份额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6,596,481.38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1,283,325.97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差额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48,003,518.62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8,716,674.03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其中：调整资本公积</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48,003,518.62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8,716,674.03</w:t>
            </w:r>
          </w:p>
        </w:tc>
      </w:tr>
    </w:tbl>
    <w:p>
      <w:pPr>
        <w:pStyle w:val="BodyText"/>
        <w:spacing w:line="240" w:lineRule="auto" w:before="50"/>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3、在合营安排或联营企业中的权益" w:id="371"/>
      <w:bookmarkEnd w:id="371"/>
      <w:r>
        <w:rPr>
          <w:b w:val="0"/>
          <w:bCs w:val="0"/>
        </w:rPr>
      </w:r>
      <w:r>
        <w:rPr>
          <w:rFonts w:ascii="Times New Roman" w:hAnsi="Times New Roman" w:cs="Times New Roman" w:eastAsia="Times New Roman" w:hint="default"/>
        </w:rPr>
        <w:t>3</w:t>
      </w:r>
      <w:r>
        <w:rPr/>
        <w:t>、在合营安排或联营企业中的权益</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1）重要的合营企业或联营企业" w:id="372"/>
      <w:bookmarkEnd w:id="372"/>
      <w:r>
        <w:rPr>
          <w:b w:val="0"/>
          <w:bCs w:val="0"/>
        </w:rPr>
      </w:r>
      <w:r>
        <w:rPr/>
        <w:t>（</w:t>
      </w:r>
      <w:r>
        <w:rPr>
          <w:rFonts w:ascii="Times New Roman" w:hAnsi="Times New Roman" w:cs="Times New Roman" w:eastAsia="Times New Roman" w:hint="default"/>
        </w:rPr>
        <w:t>1</w:t>
      </w:r>
      <w:r>
        <w:rPr/>
        <w:t>）重要的合营企业或联营企业</w:t>
      </w:r>
      <w:r>
        <w:rPr>
          <w:b w:val="0"/>
          <w:bCs w:val="0"/>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371"/>
        <w:gridCol w:w="1367"/>
        <w:gridCol w:w="1367"/>
        <w:gridCol w:w="1367"/>
        <w:gridCol w:w="1367"/>
        <w:gridCol w:w="1366"/>
        <w:gridCol w:w="1366"/>
      </w:tblGrid>
      <w:tr>
        <w:trPr>
          <w:trHeight w:val="402" w:hRule="exact"/>
        </w:trPr>
        <w:tc>
          <w:tcPr>
            <w:tcW w:w="1371"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c>
          <w:tcPr>
            <w:tcW w:w="273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1"/>
              <w:ind w:left="138" w:right="0"/>
              <w:jc w:val="left"/>
              <w:rPr>
                <w:rFonts w:ascii="宋体" w:hAnsi="宋体" w:cs="宋体" w:eastAsia="宋体" w:hint="default"/>
                <w:sz w:val="18"/>
                <w:szCs w:val="18"/>
              </w:rPr>
            </w:pPr>
            <w:r>
              <w:rPr>
                <w:rFonts w:ascii="宋体" w:hAnsi="宋体" w:cs="宋体" w:eastAsia="宋体" w:hint="default"/>
                <w:sz w:val="18"/>
                <w:szCs w:val="18"/>
              </w:rPr>
              <w:t>对合营企业或</w:t>
            </w:r>
          </w:p>
        </w:tc>
      </w:tr>
      <w:tr>
        <w:trPr>
          <w:trHeight w:val="579" w:hRule="exact"/>
        </w:trPr>
        <w:tc>
          <w:tcPr>
            <w:tcW w:w="137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1" w:lineRule="exact"/>
              <w:ind w:left="229" w:right="0" w:hanging="89"/>
              <w:jc w:val="left"/>
              <w:rPr>
                <w:rFonts w:ascii="宋体" w:hAnsi="宋体" w:cs="宋体" w:eastAsia="宋体" w:hint="default"/>
                <w:sz w:val="18"/>
                <w:szCs w:val="18"/>
              </w:rPr>
            </w:pPr>
            <w:r>
              <w:rPr>
                <w:rFonts w:ascii="宋体" w:hAnsi="宋体" w:cs="宋体" w:eastAsia="宋体" w:hint="default"/>
                <w:sz w:val="18"/>
                <w:szCs w:val="18"/>
              </w:rPr>
              <w:t>合营企业或联</w:t>
            </w:r>
          </w:p>
          <w:p>
            <w:pPr>
              <w:pStyle w:val="TableParagraph"/>
              <w:spacing w:line="240" w:lineRule="auto" w:before="76"/>
              <w:ind w:left="229" w:right="0"/>
              <w:jc w:val="left"/>
              <w:rPr>
                <w:rFonts w:ascii="宋体" w:hAnsi="宋体" w:cs="宋体" w:eastAsia="宋体" w:hint="default"/>
                <w:sz w:val="18"/>
                <w:szCs w:val="18"/>
              </w:rPr>
            </w:pPr>
            <w:r>
              <w:rPr>
                <w:rFonts w:ascii="宋体" w:hAnsi="宋体" w:cs="宋体" w:eastAsia="宋体" w:hint="default"/>
                <w:sz w:val="18"/>
                <w:szCs w:val="18"/>
              </w:rPr>
              <w:t>营企业名称</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21"/>
              <w:ind w:left="228"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21"/>
              <w:ind w:left="407"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21"/>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24"/>
                <w:szCs w:val="24"/>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01" w:lineRule="exact"/>
              <w:ind w:left="138" w:right="0"/>
              <w:jc w:val="left"/>
              <w:rPr>
                <w:rFonts w:ascii="宋体" w:hAnsi="宋体" w:cs="宋体" w:eastAsia="宋体" w:hint="default"/>
                <w:sz w:val="18"/>
                <w:szCs w:val="18"/>
              </w:rPr>
            </w:pPr>
            <w:r>
              <w:rPr>
                <w:rFonts w:ascii="宋体" w:hAnsi="宋体" w:cs="宋体" w:eastAsia="宋体" w:hint="default"/>
                <w:sz w:val="18"/>
                <w:szCs w:val="18"/>
              </w:rPr>
              <w:t>联营企业投资</w:t>
            </w:r>
          </w:p>
          <w:p>
            <w:pPr>
              <w:pStyle w:val="TableParagraph"/>
              <w:spacing w:line="240" w:lineRule="auto" w:before="76"/>
              <w:ind w:left="138" w:right="0"/>
              <w:jc w:val="left"/>
              <w:rPr>
                <w:rFonts w:ascii="宋体" w:hAnsi="宋体" w:cs="宋体" w:eastAsia="宋体" w:hint="default"/>
                <w:sz w:val="18"/>
                <w:szCs w:val="18"/>
              </w:rPr>
            </w:pPr>
            <w:r>
              <w:rPr>
                <w:rFonts w:ascii="宋体" w:hAnsi="宋体" w:cs="宋体" w:eastAsia="宋体" w:hint="default"/>
                <w:sz w:val="18"/>
                <w:szCs w:val="18"/>
              </w:rPr>
              <w:t>的会计处理方</w:t>
            </w:r>
          </w:p>
        </w:tc>
      </w:tr>
      <w:tr>
        <w:trPr>
          <w:trHeight w:val="357" w:hRule="exact"/>
        </w:trPr>
        <w:tc>
          <w:tcPr>
            <w:tcW w:w="1371"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法</w:t>
            </w:r>
          </w:p>
        </w:tc>
      </w:tr>
      <w:tr>
        <w:trPr>
          <w:trHeight w:val="359" w:hRule="exact"/>
        </w:trPr>
        <w:tc>
          <w:tcPr>
            <w:tcW w:w="137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浙江创源环境</w:t>
            </w: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c>
          <w:tcPr>
            <w:tcW w:w="1367" w:type="dxa"/>
            <w:tcBorders>
              <w:top w:val="single" w:sz="4" w:space="0" w:color="000000"/>
              <w:left w:val="single" w:sz="4" w:space="0" w:color="000000"/>
              <w:bottom w:val="nil" w:sz="6" w:space="0" w:color="auto"/>
              <w:right w:val="single" w:sz="4" w:space="0" w:color="000000"/>
            </w:tcBorders>
          </w:tcPr>
          <w:p>
            <w:pPr/>
          </w:p>
        </w:tc>
        <w:tc>
          <w:tcPr>
            <w:tcW w:w="1366" w:type="dxa"/>
            <w:vMerge w:val="restart"/>
            <w:tcBorders>
              <w:top w:val="single" w:sz="4" w:space="0" w:color="000000"/>
              <w:left w:val="single" w:sz="4" w:space="0" w:color="000000"/>
              <w:right w:val="single" w:sz="4" w:space="0" w:color="000000"/>
            </w:tcBorders>
          </w:tcPr>
          <w:p>
            <w:pPr/>
          </w:p>
        </w:tc>
        <w:tc>
          <w:tcPr>
            <w:tcW w:w="1366" w:type="dxa"/>
            <w:tcBorders>
              <w:top w:val="single" w:sz="4" w:space="0" w:color="000000"/>
              <w:left w:val="single" w:sz="4" w:space="0" w:color="000000"/>
              <w:bottom w:val="nil" w:sz="6" w:space="0" w:color="auto"/>
              <w:right w:val="single" w:sz="4" w:space="0" w:color="000000"/>
            </w:tcBorders>
          </w:tcPr>
          <w:p>
            <w:pPr/>
          </w:p>
        </w:tc>
      </w:tr>
      <w:tr>
        <w:trPr>
          <w:trHeight w:val="316" w:hRule="exact"/>
        </w:trPr>
        <w:tc>
          <w:tcPr>
            <w:tcW w:w="137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科技股份有限</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嘉兴</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嘉兴</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环保监测</w:t>
            </w:r>
          </w:p>
        </w:tc>
        <w:tc>
          <w:tcPr>
            <w:tcW w:w="136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699" w:right="0"/>
              <w:jc w:val="left"/>
              <w:rPr>
                <w:rFonts w:ascii="Times New Roman" w:hAnsi="Times New Roman" w:cs="Times New Roman" w:eastAsia="Times New Roman" w:hint="default"/>
                <w:sz w:val="18"/>
                <w:szCs w:val="18"/>
              </w:rPr>
            </w:pPr>
            <w:r>
              <w:rPr>
                <w:rFonts w:ascii="Times New Roman"/>
                <w:sz w:val="18"/>
              </w:rPr>
              <w:t>47.50%</w:t>
            </w:r>
          </w:p>
        </w:tc>
        <w:tc>
          <w:tcPr>
            <w:tcW w:w="1366" w:type="dxa"/>
            <w:vMerge/>
            <w:tcBorders>
              <w:left w:val="single" w:sz="4" w:space="0" w:color="000000"/>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2" w:right="0"/>
              <w:jc w:val="left"/>
              <w:rPr>
                <w:rFonts w:ascii="宋体" w:hAnsi="宋体" w:cs="宋体" w:eastAsia="宋体" w:hint="default"/>
                <w:sz w:val="18"/>
                <w:szCs w:val="18"/>
              </w:rPr>
            </w:pPr>
            <w:r>
              <w:rPr>
                <w:rFonts w:ascii="宋体" w:hAnsi="宋体" w:cs="宋体" w:eastAsia="宋体" w:hint="default"/>
                <w:sz w:val="18"/>
                <w:szCs w:val="18"/>
              </w:rPr>
              <w:t>权益法核算</w:t>
            </w:r>
          </w:p>
        </w:tc>
      </w:tr>
      <w:tr>
        <w:trPr>
          <w:trHeight w:val="352" w:hRule="exact"/>
        </w:trPr>
        <w:tc>
          <w:tcPr>
            <w:tcW w:w="137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c>
          <w:tcPr>
            <w:tcW w:w="1367" w:type="dxa"/>
            <w:tcBorders>
              <w:top w:val="nil" w:sz="6" w:space="0" w:color="auto"/>
              <w:left w:val="single" w:sz="4" w:space="0" w:color="000000"/>
              <w:bottom w:val="single" w:sz="4" w:space="0" w:color="000000"/>
              <w:right w:val="single" w:sz="4" w:space="0" w:color="000000"/>
            </w:tcBorders>
          </w:tcPr>
          <w:p>
            <w:pPr/>
          </w:p>
        </w:tc>
        <w:tc>
          <w:tcPr>
            <w:tcW w:w="1366" w:type="dxa"/>
            <w:vMerge/>
            <w:tcBorders>
              <w:left w:val="single" w:sz="4" w:space="0" w:color="000000"/>
              <w:bottom w:val="single" w:sz="4" w:space="0" w:color="000000"/>
              <w:right w:val="single" w:sz="4" w:space="0" w:color="000000"/>
            </w:tcBorders>
          </w:tcPr>
          <w:p>
            <w:pPr/>
          </w:p>
        </w:tc>
        <w:tc>
          <w:tcPr>
            <w:tcW w:w="1366"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3"/>
        <w:rPr>
          <w:rFonts w:ascii="宋体" w:hAnsi="宋体" w:cs="宋体" w:eastAsia="宋体" w:hint="default"/>
          <w:b/>
          <w:bCs/>
          <w:sz w:val="22"/>
          <w:szCs w:val="22"/>
        </w:rPr>
      </w:pPr>
    </w:p>
    <w:p>
      <w:pPr>
        <w:pStyle w:val="BodyText"/>
        <w:spacing w:line="240" w:lineRule="auto" w:before="44"/>
        <w:ind w:right="0"/>
        <w:jc w:val="left"/>
      </w:pPr>
      <w:r>
        <w:rPr/>
        <w:t>在合营企业或联营企业的持股比例不同于表决权比例的说明：</w:t>
      </w:r>
    </w:p>
    <w:p>
      <w:pPr>
        <w:pStyle w:val="BodyText"/>
        <w:spacing w:line="240" w:lineRule="auto" w:before="115"/>
        <w:ind w:right="0"/>
        <w:jc w:val="left"/>
      </w:pPr>
      <w:r>
        <w:rPr/>
        <w:t>持有</w:t>
      </w:r>
      <w:r>
        <w:rPr>
          <w:spacing w:val="-47"/>
        </w:rPr>
        <w:t> </w:t>
      </w:r>
      <w:r>
        <w:rPr>
          <w:rFonts w:ascii="Times New Roman" w:hAnsi="Times New Roman" w:cs="Times New Roman" w:eastAsia="Times New Roman" w:hint="default"/>
        </w:rPr>
        <w:t>20%</w:t>
      </w:r>
      <w:r>
        <w:rPr/>
        <w:t>以下表决权但具有重大影响，或者持有</w:t>
      </w:r>
      <w:r>
        <w:rPr>
          <w:spacing w:val="-47"/>
        </w:rPr>
        <w:t> </w:t>
      </w:r>
      <w:r>
        <w:rPr>
          <w:rFonts w:ascii="Times New Roman" w:hAnsi="Times New Roman" w:cs="Times New Roman" w:eastAsia="Times New Roman" w:hint="default"/>
        </w:rPr>
        <w:t>20%</w:t>
      </w:r>
      <w:r>
        <w:rPr/>
        <w:t>或以上表决权但不具有重大影响的依据：</w:t>
      </w:r>
    </w:p>
    <w:p>
      <w:pPr>
        <w:spacing w:line="240" w:lineRule="auto" w:before="13"/>
        <w:rPr>
          <w:rFonts w:ascii="宋体" w:hAnsi="宋体" w:cs="宋体" w:eastAsia="宋体" w:hint="default"/>
          <w:sz w:val="25"/>
          <w:szCs w:val="25"/>
        </w:rPr>
      </w:pPr>
    </w:p>
    <w:p>
      <w:pPr>
        <w:pStyle w:val="Heading3"/>
        <w:spacing w:line="240" w:lineRule="auto"/>
        <w:ind w:right="0"/>
        <w:jc w:val="left"/>
        <w:rPr>
          <w:b w:val="0"/>
          <w:bCs w:val="0"/>
        </w:rPr>
      </w:pPr>
      <w:bookmarkStart w:name="（2）重要合营企业的主要财务信息" w:id="373"/>
      <w:bookmarkEnd w:id="373"/>
      <w:r>
        <w:rPr>
          <w:b w:val="0"/>
          <w:bCs w:val="0"/>
        </w:rPr>
      </w:r>
      <w:r>
        <w:rPr/>
        <w:t>（</w:t>
      </w:r>
      <w:r>
        <w:rPr>
          <w:rFonts w:ascii="Times New Roman" w:hAnsi="Times New Roman" w:cs="Times New Roman" w:eastAsia="Times New Roman" w:hint="default"/>
        </w:rPr>
        <w:t>2</w:t>
      </w:r>
      <w:r>
        <w:rPr/>
        <w:t>）重要合营企业的主要财务信息</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54"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53"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E0FFFF"/>
          </w:tcPr>
          <w:p>
            <w:pPr/>
          </w:p>
        </w:tc>
      </w:tr>
    </w:tbl>
    <w:p>
      <w:pPr>
        <w:pStyle w:val="BodyText"/>
        <w:spacing w:line="240" w:lineRule="auto" w:before="50"/>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3）重要联营企业的主要财务信息" w:id="374"/>
      <w:bookmarkEnd w:id="374"/>
      <w:r>
        <w:rPr>
          <w:b w:val="0"/>
          <w:bCs w:val="0"/>
        </w:rPr>
      </w:r>
      <w:r>
        <w:rPr/>
        <w:t>（</w:t>
      </w:r>
      <w:r>
        <w:rPr>
          <w:rFonts w:ascii="Times New Roman" w:hAnsi="Times New Roman" w:cs="Times New Roman" w:eastAsia="Times New Roman" w:hint="default"/>
        </w:rPr>
        <w:t>3</w:t>
      </w:r>
      <w:r>
        <w:rPr/>
        <w:t>）重要联营企业的主要财务信息</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4"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3"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329" w:right="0"/>
              <w:jc w:val="left"/>
              <w:rPr>
                <w:rFonts w:ascii="宋体" w:hAnsi="宋体" w:cs="宋体" w:eastAsia="宋体" w:hint="default"/>
                <w:sz w:val="18"/>
                <w:szCs w:val="18"/>
              </w:rPr>
            </w:pPr>
            <w:r>
              <w:rPr>
                <w:rFonts w:ascii="宋体" w:hAnsi="宋体" w:cs="宋体" w:eastAsia="宋体" w:hint="default"/>
                <w:sz w:val="18"/>
                <w:szCs w:val="18"/>
              </w:rPr>
              <w:t>浙江创源环境科技股份有限公司</w:t>
            </w:r>
          </w:p>
        </w:tc>
        <w:tc>
          <w:tcPr>
            <w:tcW w:w="3190"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329" w:right="0"/>
              <w:jc w:val="left"/>
              <w:rPr>
                <w:rFonts w:ascii="宋体" w:hAnsi="宋体" w:cs="宋体" w:eastAsia="宋体" w:hint="default"/>
                <w:sz w:val="18"/>
                <w:szCs w:val="18"/>
              </w:rPr>
            </w:pPr>
            <w:r>
              <w:rPr>
                <w:rFonts w:ascii="宋体" w:hAnsi="宋体" w:cs="宋体" w:eastAsia="宋体" w:hint="default"/>
                <w:sz w:val="18"/>
                <w:szCs w:val="18"/>
              </w:rPr>
              <w:t>浙江创源环境科技股份有限公司</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108,434,055.98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68,712,723.57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3,954,833.64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3,493,231.33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112,388,889.62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72,205,954.90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2"/>
                <w:sz w:val="18"/>
              </w:rPr>
              <w:t>41,119,173.54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18,299,963.76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2"/>
                <w:sz w:val="18"/>
              </w:rPr>
              <w:t>41,119,173.54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18,299,963.76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按持股比例计算的净资产份额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Times New Roman" w:hAnsi="Times New Roman" w:cs="Times New Roman" w:eastAsia="Times New Roman" w:hint="default"/>
                <w:sz w:val="18"/>
                <w:szCs w:val="18"/>
              </w:rPr>
            </w:pPr>
            <w:r>
              <w:rPr>
                <w:rFonts w:ascii="Times New Roman"/>
                <w:spacing w:val="-1"/>
                <w:sz w:val="18"/>
              </w:rPr>
              <w:t>33,853,115.14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25,605,345.79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对联营企业权益投资的账面价值</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44,014,827.71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35,767,058.36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139,563,057.90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69,459,073.19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17,363,724.94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10,957,769.90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17,363,724.94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10,957,769.90</w:t>
            </w:r>
          </w:p>
        </w:tc>
      </w:tr>
    </w:tbl>
    <w:p>
      <w:pPr>
        <w:pStyle w:val="BodyText"/>
        <w:spacing w:line="240" w:lineRule="auto" w:before="49"/>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4）不重要的合营企业和联营企业的汇总财务信息" w:id="375"/>
      <w:bookmarkEnd w:id="375"/>
      <w:r>
        <w:rPr>
          <w:b w:val="0"/>
          <w:bCs w:val="0"/>
        </w:rPr>
      </w:r>
      <w:r>
        <w:rPr/>
        <w:t>（</w:t>
      </w:r>
      <w:r>
        <w:rPr>
          <w:rFonts w:ascii="Times New Roman" w:hAnsi="Times New Roman" w:cs="Times New Roman" w:eastAsia="Times New Roman" w:hint="default"/>
        </w:rPr>
        <w:t>4</w:t>
      </w:r>
      <w:r>
        <w:rPr/>
        <w:t>）不重要的合营企业和联营企业的汇总财务信息</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89"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53"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合营企业：</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投资账面价值合计</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130,176,228.95</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6,401,943.33</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0"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净利润</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-2,225,714.38</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-612,452.03</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综合收益总额</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942" w:right="0"/>
              <w:jc w:val="left"/>
              <w:rPr>
                <w:rFonts w:ascii="Times New Roman" w:hAnsi="Times New Roman" w:cs="Times New Roman" w:eastAsia="Times New Roman" w:hint="default"/>
                <w:sz w:val="18"/>
                <w:szCs w:val="18"/>
              </w:rPr>
            </w:pPr>
            <w:r>
              <w:rPr>
                <w:rFonts w:ascii="Times New Roman"/>
                <w:sz w:val="18"/>
              </w:rPr>
              <w:t>-2,225,714.38</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-612,452.03</w:t>
            </w:r>
          </w:p>
        </w:tc>
      </w:tr>
    </w:tbl>
    <w:p>
      <w:pPr>
        <w:pStyle w:val="BodyText"/>
        <w:spacing w:line="240" w:lineRule="auto" w:before="51"/>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5）合营企业或联营企业向本公司转移资金的能力存在重大限制的说明" w:id="376"/>
      <w:bookmarkEnd w:id="376"/>
      <w:r>
        <w:rPr>
          <w:b w:val="0"/>
          <w:bCs w:val="0"/>
        </w:rPr>
      </w:r>
      <w:r>
        <w:rPr/>
        <w:t>（</w:t>
      </w:r>
      <w:r>
        <w:rPr>
          <w:rFonts w:ascii="Times New Roman" w:hAnsi="Times New Roman" w:cs="Times New Roman" w:eastAsia="Times New Roman" w:hint="default"/>
        </w:rPr>
        <w:t>5</w:t>
      </w:r>
      <w:r>
        <w:rPr/>
        <w:t>）合营企业或联营企业向本公司转移资金的能力存在重大限制的说明</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6）合营企业或联营企业发生的超额亏损" w:id="377"/>
      <w:bookmarkEnd w:id="377"/>
      <w:r>
        <w:rPr>
          <w:b w:val="0"/>
          <w:bCs w:val="0"/>
        </w:rPr>
      </w:r>
      <w:r>
        <w:rPr/>
        <w:t>（</w:t>
      </w:r>
      <w:r>
        <w:rPr>
          <w:rFonts w:ascii="Times New Roman" w:hAnsi="Times New Roman" w:cs="Times New Roman" w:eastAsia="Times New Roman" w:hint="default"/>
        </w:rPr>
        <w:t>6</w:t>
      </w:r>
      <w:r>
        <w:rPr/>
        <w:t>）合营企业或联营企业发生的超额亏损</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0"/>
        <w:gridCol w:w="2392"/>
        <w:gridCol w:w="2392"/>
        <w:gridCol w:w="2394"/>
      </w:tblGrid>
      <w:tr>
        <w:trPr>
          <w:trHeight w:val="714"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0" w:right="0"/>
              <w:jc w:val="left"/>
              <w:rPr>
                <w:rFonts w:ascii="宋体" w:hAnsi="宋体" w:cs="宋体" w:eastAsia="宋体" w:hint="default"/>
                <w:sz w:val="18"/>
                <w:szCs w:val="18"/>
              </w:rPr>
            </w:pPr>
            <w:r>
              <w:rPr>
                <w:rFonts w:ascii="宋体" w:hAnsi="宋体" w:cs="宋体" w:eastAsia="宋体" w:hint="default"/>
                <w:sz w:val="18"/>
                <w:szCs w:val="18"/>
              </w:rPr>
              <w:t>合营企业或联营企业名称</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100" w:right="108" w:hanging="989"/>
              <w:jc w:val="left"/>
              <w:rPr>
                <w:rFonts w:ascii="宋体" w:hAnsi="宋体" w:cs="宋体" w:eastAsia="宋体" w:hint="default"/>
                <w:sz w:val="18"/>
                <w:szCs w:val="18"/>
              </w:rPr>
            </w:pPr>
            <w:r>
              <w:rPr>
                <w:rFonts w:ascii="宋体" w:hAnsi="宋体" w:cs="宋体" w:eastAsia="宋体" w:hint="default"/>
                <w:sz w:val="18"/>
                <w:szCs w:val="18"/>
              </w:rPr>
              <w:t>累积未确认前期累计认的损 失</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61" w:right="110" w:hanging="452"/>
              <w:jc w:val="left"/>
              <w:rPr>
                <w:rFonts w:ascii="宋体" w:hAnsi="宋体" w:cs="宋体" w:eastAsia="宋体" w:hint="default"/>
                <w:sz w:val="18"/>
                <w:szCs w:val="18"/>
              </w:rPr>
            </w:pPr>
            <w:r>
              <w:rPr>
                <w:rFonts w:ascii="宋体" w:hAnsi="宋体" w:cs="宋体" w:eastAsia="宋体" w:hint="default"/>
                <w:sz w:val="18"/>
                <w:szCs w:val="18"/>
              </w:rPr>
              <w:t>本期未确认的损失（或本期 分享的净利润）</w:t>
            </w:r>
          </w:p>
        </w:tc>
        <w:tc>
          <w:tcPr>
            <w:tcW w:w="2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本期末累积未确认的损失</w:t>
            </w:r>
          </w:p>
        </w:tc>
      </w:tr>
    </w:tbl>
    <w:p>
      <w:pPr>
        <w:pStyle w:val="BodyText"/>
        <w:spacing w:line="240" w:lineRule="auto" w:before="50"/>
        <w:ind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7）与合营企业投资相关的未确认承诺" w:id="378"/>
      <w:bookmarkEnd w:id="378"/>
      <w:r>
        <w:rPr>
          <w:b w:val="0"/>
          <w:bCs w:val="0"/>
        </w:rPr>
      </w:r>
      <w:r>
        <w:rPr/>
        <w:t>（</w:t>
      </w:r>
      <w:r>
        <w:rPr>
          <w:rFonts w:ascii="Times New Roman" w:hAnsi="Times New Roman" w:cs="Times New Roman" w:eastAsia="Times New Roman" w:hint="default"/>
        </w:rPr>
        <w:t>7</w:t>
      </w:r>
      <w:r>
        <w:rPr/>
        <w:t>）与合营企业投资相关的未确认承诺</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8）与合营企业或联营企业投资相关的或有负债" w:id="379"/>
      <w:bookmarkEnd w:id="379"/>
      <w:r>
        <w:rPr>
          <w:b w:val="0"/>
          <w:bCs w:val="0"/>
        </w:rPr>
      </w:r>
      <w:r>
        <w:rPr/>
        <w:t>（</w:t>
      </w:r>
      <w:r>
        <w:rPr>
          <w:rFonts w:ascii="Times New Roman" w:hAnsi="Times New Roman" w:cs="Times New Roman" w:eastAsia="Times New Roman" w:hint="default"/>
        </w:rPr>
        <w:t>8</w:t>
      </w:r>
      <w:r>
        <w:rPr/>
        <w:t>）与合营企业或联营企业投资相关的或有负债</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4、重要的共同经营" w:id="380"/>
      <w:bookmarkEnd w:id="380"/>
      <w:r>
        <w:rPr>
          <w:b w:val="0"/>
          <w:bCs w:val="0"/>
        </w:rPr>
      </w:r>
      <w:r>
        <w:rPr>
          <w:rFonts w:ascii="Times New Roman" w:hAnsi="Times New Roman" w:cs="Times New Roman" w:eastAsia="Times New Roman" w:hint="default"/>
        </w:rPr>
        <w:t>4</w:t>
      </w:r>
      <w:r>
        <w:rPr/>
        <w:t>、重要的共同经营</w:t>
      </w:r>
      <w:r>
        <w:rPr>
          <w:b w:val="0"/>
          <w:bCs w:val="0"/>
        </w:rPr>
      </w:r>
    </w:p>
    <w:p>
      <w:pPr>
        <w:spacing w:line="240" w:lineRule="auto" w:before="8"/>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597"/>
        <w:gridCol w:w="1594"/>
        <w:gridCol w:w="1594"/>
        <w:gridCol w:w="1594"/>
        <w:gridCol w:w="1594"/>
        <w:gridCol w:w="1593"/>
      </w:tblGrid>
      <w:tr>
        <w:trPr>
          <w:trHeight w:val="402" w:hRule="exact"/>
        </w:trPr>
        <w:tc>
          <w:tcPr>
            <w:tcW w:w="15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253" w:right="0"/>
              <w:jc w:val="left"/>
              <w:rPr>
                <w:rFonts w:ascii="宋体" w:hAnsi="宋体" w:cs="宋体" w:eastAsia="宋体" w:hint="default"/>
                <w:sz w:val="18"/>
                <w:szCs w:val="18"/>
              </w:rPr>
            </w:pPr>
            <w:r>
              <w:rPr>
                <w:rFonts w:ascii="宋体" w:hAnsi="宋体" w:cs="宋体" w:eastAsia="宋体" w:hint="default"/>
                <w:sz w:val="18"/>
                <w:szCs w:val="18"/>
              </w:rPr>
              <w:t>共同经营名称</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340"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318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52"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r>
              <w:rPr>
                <w:rFonts w:ascii="宋体" w:hAnsi="宋体" w:cs="宋体" w:eastAsia="宋体" w:hint="default"/>
                <w:sz w:val="18"/>
                <w:szCs w:val="18"/>
              </w:rPr>
              <w:t>享有的份额</w:t>
            </w:r>
          </w:p>
        </w:tc>
      </w:tr>
      <w:tr>
        <w:trPr>
          <w:trHeight w:val="402" w:hRule="exact"/>
        </w:trPr>
        <w:tc>
          <w:tcPr>
            <w:tcW w:w="1597"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5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间接</w:t>
            </w:r>
          </w:p>
        </w:tc>
      </w:tr>
    </w:tbl>
    <w:p>
      <w:pPr>
        <w:pStyle w:val="BodyText"/>
        <w:spacing w:line="360" w:lineRule="auto" w:before="50"/>
        <w:ind w:right="5534"/>
        <w:jc w:val="left"/>
      </w:pPr>
      <w:r>
        <w:rPr/>
        <w:t>在共同经营中的持股比例或享有的份额不同于表决权比例的说明： 共同经营为单独主体的，分类为共同经营的依据：</w:t>
      </w:r>
    </w:p>
    <w:p>
      <w:pPr>
        <w:pStyle w:val="BodyText"/>
        <w:spacing w:line="240" w:lineRule="auto" w:before="27"/>
        <w:ind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5、在未纳入合并财务报表范围的结构化主体中的权益" w:id="381"/>
      <w:bookmarkEnd w:id="381"/>
      <w:r>
        <w:rPr>
          <w:b w:val="0"/>
          <w:bCs w:val="0"/>
        </w:rPr>
      </w:r>
      <w:r>
        <w:rPr>
          <w:rFonts w:ascii="Times New Roman" w:hAnsi="Times New Roman" w:cs="Times New Roman" w:eastAsia="Times New Roman" w:hint="default"/>
        </w:rPr>
        <w:t>5</w:t>
      </w:r>
      <w:r>
        <w:rPr/>
        <w:t>、在未纳入合并财务报表范围的结构化主体中的权益</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未纳入合并财务报表范围的结构化主体的相关说明：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6、其他" w:id="382"/>
      <w:bookmarkEnd w:id="382"/>
      <w:r>
        <w:rPr>
          <w:b w:val="0"/>
          <w:bCs w:val="0"/>
        </w:rPr>
      </w:r>
      <w:r>
        <w:rPr>
          <w:rFonts w:ascii="Times New Roman" w:hAnsi="Times New Roman" w:cs="Times New Roman" w:eastAsia="Times New Roman" w:hint="default"/>
        </w:rPr>
        <w:t>6</w:t>
      </w:r>
      <w:r>
        <w:rPr/>
        <w:t>、其他</w:t>
      </w:r>
      <w:r>
        <w:rPr>
          <w:b w:val="0"/>
          <w:bCs w:val="0"/>
        </w:rPr>
      </w:r>
    </w:p>
    <w:p>
      <w:pPr>
        <w:spacing w:line="240" w:lineRule="auto" w:before="10"/>
        <w:rPr>
          <w:rFonts w:ascii="宋体" w:hAnsi="宋体" w:cs="宋体" w:eastAsia="宋体" w:hint="default"/>
          <w:b/>
          <w:bCs/>
          <w:sz w:val="22"/>
          <w:szCs w:val="22"/>
        </w:rPr>
      </w:pPr>
    </w:p>
    <w:p>
      <w:pPr>
        <w:pStyle w:val="Heading2"/>
        <w:spacing w:line="240" w:lineRule="auto"/>
        <w:ind w:right="0"/>
        <w:jc w:val="left"/>
        <w:rPr>
          <w:b w:val="0"/>
          <w:bCs w:val="0"/>
        </w:rPr>
      </w:pPr>
      <w:bookmarkStart w:name="十、与金融工具相关的风险" w:id="383"/>
      <w:bookmarkEnd w:id="383"/>
      <w:r>
        <w:rPr>
          <w:b w:val="0"/>
          <w:bCs w:val="0"/>
        </w:rPr>
      </w:r>
      <w:r>
        <w:rPr/>
        <w:t>十、与金融工具相关的风险</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0" w:firstLine="420"/>
        <w:jc w:val="left"/>
      </w:pPr>
      <w:r>
        <w:rPr/>
        <w:t>本公司从事风险管理的目标是在风险和收益之间取得平衡，将风险对本公司经营业绩的负面影响降至最低水平，使股 </w:t>
      </w:r>
      <w:r>
        <w:rPr>
          <w:spacing w:val="-4"/>
        </w:rPr>
        <w:t>东和其他权益投资者的利益最大化。基于该风险管理目标，本公司风险管理的基本策略是确认和分析本公司面临的各种风险，</w:t>
      </w:r>
      <w:r>
        <w:rPr>
          <w:spacing w:val="-41"/>
        </w:rPr>
        <w:t> </w:t>
      </w:r>
      <w:r>
        <w:rPr>
          <w:spacing w:val="-41"/>
        </w:rPr>
      </w:r>
      <w:r>
        <w:rPr/>
        <w:t>建立适当的风险承受底线和进行风险管理，并及时可靠地对各种风险进行监督，将风险控制在限定的范围内。</w:t>
      </w:r>
    </w:p>
    <w:p>
      <w:pPr>
        <w:pStyle w:val="BodyText"/>
        <w:spacing w:line="316" w:lineRule="auto" w:before="19"/>
        <w:ind w:right="0" w:firstLine="420"/>
        <w:jc w:val="left"/>
      </w:pPr>
      <w:r>
        <w:rPr/>
        <w:t>本公司在日常活动中面临各种与金融工具相关的风险，主要包括信用风险、流动风险及市场风险。管理层已审议并批 准管理这些风险的政策，概括如下。</w:t>
      </w:r>
    </w:p>
    <w:p>
      <w:pPr>
        <w:pStyle w:val="BodyText"/>
        <w:spacing w:line="300" w:lineRule="auto" w:before="19"/>
        <w:ind w:left="532" w:right="3854"/>
        <w:jc w:val="left"/>
      </w:pPr>
      <w:r>
        <w:rPr>
          <w:rFonts w:ascii="Times New Roman" w:hAnsi="Times New Roman" w:cs="Times New Roman" w:eastAsia="Times New Roman" w:hint="default"/>
        </w:rPr>
        <w:t>(</w:t>
      </w:r>
      <w:r>
        <w:rPr/>
        <w:t>一</w:t>
      </w:r>
      <w:r>
        <w:rPr>
          <w:rFonts w:ascii="Times New Roman" w:hAnsi="Times New Roman" w:cs="Times New Roman" w:eastAsia="Times New Roman" w:hint="default"/>
        </w:rPr>
        <w:t>)</w:t>
      </w:r>
      <w:r>
        <w:rPr/>
        <w:t>信用风险</w:t>
      </w:r>
      <w:r>
        <w:rPr>
          <w:w w:val="99"/>
        </w:rPr>
        <w:t> </w:t>
      </w:r>
      <w:r>
        <w:rPr/>
        <w:t>信用风险，是指金融工具的一方不能履行义务，造成另一方发生财务损失的风险。</w:t>
      </w:r>
    </w:p>
    <w:p>
      <w:pPr>
        <w:pStyle w:val="BodyText"/>
        <w:spacing w:line="240" w:lineRule="auto" w:before="31"/>
        <w:ind w:left="532" w:right="0"/>
        <w:jc w:val="left"/>
      </w:pPr>
      <w:r>
        <w:rPr/>
        <w:t>本公司的信用风险主要来自银行存款和应收款项。为控制上述相关风险，本公司分别采取了以下措施。</w:t>
      </w:r>
    </w:p>
    <w:p>
      <w:pPr>
        <w:pStyle w:val="BodyText"/>
        <w:spacing w:line="309" w:lineRule="auto" w:before="76"/>
        <w:ind w:left="532" w:right="4574"/>
        <w:jc w:val="left"/>
      </w:pPr>
      <w:r>
        <w:rPr>
          <w:rFonts w:ascii="Times New Roman" w:hAnsi="Times New Roman" w:cs="Times New Roman" w:eastAsia="Times New Roman" w:hint="default"/>
        </w:rPr>
        <w:t>1.</w:t>
      </w:r>
      <w:r>
        <w:rPr/>
        <w:t>银行存款 本公司将银行存款存放于信用评级较高的金融机构，故其信用风险较低。 </w:t>
      </w:r>
      <w:r>
        <w:rPr>
          <w:rFonts w:ascii="Times New Roman" w:hAnsi="Times New Roman" w:cs="Times New Roman" w:eastAsia="Times New Roman" w:hint="default"/>
        </w:rPr>
        <w:t>2.</w:t>
      </w:r>
      <w:r>
        <w:rPr/>
        <w:t>应收款项</w:t>
      </w:r>
    </w:p>
    <w:p>
      <w:pPr>
        <w:spacing w:after="0" w:line="309"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right="0" w:firstLine="420"/>
        <w:jc w:val="left"/>
      </w:pPr>
      <w:r>
        <w:rPr/>
        <w:t>本公司定期对采用信用方式交易的客户进行信用评估。根据信用评估结果，本公司选择与经认可的且信用良好的客户 进行交易，并对其应收款项余额进行监控，以确保本公司不会面临重大坏账风险。</w:t>
      </w:r>
    </w:p>
    <w:p>
      <w:pPr>
        <w:pStyle w:val="BodyText"/>
        <w:spacing w:line="240" w:lineRule="auto" w:before="19"/>
        <w:ind w:left="532" w:right="0"/>
        <w:jc w:val="left"/>
      </w:pPr>
      <w:r>
        <w:rPr/>
        <w:t>由于本公司的应收账款风险点分布于多个合作方和多个客户，截至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日，本公司应收账款的</w:t>
      </w:r>
      <w:r>
        <w:rPr>
          <w:rFonts w:ascii="Times New Roman" w:hAnsi="Times New Roman" w:cs="Times New Roman" w:eastAsia="Times New Roman" w:hint="default"/>
        </w:rPr>
        <w:t>15.40%(2017</w:t>
      </w:r>
      <w:r>
        <w:rPr/>
        <w:t>年</w:t>
      </w:r>
    </w:p>
    <w:p>
      <w:pPr>
        <w:pStyle w:val="BodyText"/>
        <w:spacing w:line="300" w:lineRule="auto" w:before="63"/>
        <w:ind w:left="532" w:right="2384" w:hanging="420"/>
        <w:jc w:val="left"/>
      </w:pP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w:t>
      </w:r>
      <w:r>
        <w:rPr>
          <w:rFonts w:ascii="Times New Roman" w:hAnsi="Times New Roman" w:cs="Times New Roman" w:eastAsia="Times New Roman" w:hint="default"/>
        </w:rPr>
        <w:t>12.79%)</w:t>
      </w:r>
      <w:r>
        <w:rPr/>
        <w:t>源于余额前五名客户，本公司不存在重大的信用集中风险。 </w:t>
      </w:r>
      <w:r>
        <w:rPr>
          <w:rFonts w:ascii="Times New Roman" w:hAnsi="Times New Roman" w:cs="Times New Roman" w:eastAsia="Times New Roman" w:hint="default"/>
        </w:rPr>
        <w:t>(1)</w:t>
      </w:r>
      <w:r>
        <w:rPr/>
        <w:t>本公司的应收款项中未逾期且未减值的金额，以及虽已逾期但未减值的金额和逾期账龄分析如下：</w:t>
      </w:r>
    </w:p>
    <w:tbl>
      <w:tblPr>
        <w:tblW w:w="0" w:type="auto"/>
        <w:jc w:val="left"/>
        <w:tblInd w:w="667" w:type="dxa"/>
        <w:tblLayout w:type="fixed"/>
        <w:tblCellMar>
          <w:top w:w="0" w:type="dxa"/>
          <w:left w:w="0" w:type="dxa"/>
          <w:bottom w:w="0" w:type="dxa"/>
          <w:right w:w="0" w:type="dxa"/>
        </w:tblCellMar>
        <w:tblLook w:val="01E0"/>
      </w:tblPr>
      <w:tblGrid>
        <w:gridCol w:w="1420"/>
        <w:gridCol w:w="1665"/>
        <w:gridCol w:w="1418"/>
        <w:gridCol w:w="1275"/>
        <w:gridCol w:w="1134"/>
        <w:gridCol w:w="1610"/>
      </w:tblGrid>
      <w:tr>
        <w:trPr>
          <w:trHeight w:val="342" w:hRule="exact"/>
        </w:trPr>
        <w:tc>
          <w:tcPr>
            <w:tcW w:w="1420" w:type="dxa"/>
            <w:vMerge w:val="restart"/>
            <w:tcBorders>
              <w:top w:val="single" w:sz="4" w:space="0" w:color="000000"/>
              <w:left w:val="single" w:sz="4" w:space="0" w:color="000000"/>
              <w:right w:val="single" w:sz="4" w:space="0" w:color="000000"/>
            </w:tcBorders>
          </w:tcPr>
          <w:p>
            <w:pPr>
              <w:pStyle w:val="TableParagraph"/>
              <w:spacing w:line="240" w:lineRule="auto" w:before="21"/>
              <w:ind w:left="110"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7102"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342" w:hRule="exact"/>
        </w:trPr>
        <w:tc>
          <w:tcPr>
            <w:tcW w:w="1420" w:type="dxa"/>
            <w:vMerge/>
            <w:tcBorders>
              <w:left w:val="single" w:sz="4" w:space="0" w:color="000000"/>
              <w:right w:val="single" w:sz="4" w:space="0" w:color="000000"/>
            </w:tcBorders>
          </w:tcPr>
          <w:p>
            <w:pPr/>
          </w:p>
        </w:tc>
        <w:tc>
          <w:tcPr>
            <w:tcW w:w="1665" w:type="dxa"/>
            <w:vMerge w:val="restart"/>
            <w:tcBorders>
              <w:top w:val="single" w:sz="4" w:space="0" w:color="000000"/>
              <w:left w:val="single" w:sz="4" w:space="0" w:color="000000"/>
              <w:right w:val="single" w:sz="4" w:space="0" w:color="000000"/>
            </w:tcBorders>
          </w:tcPr>
          <w:p>
            <w:pPr>
              <w:pStyle w:val="TableParagraph"/>
              <w:spacing w:line="240" w:lineRule="auto" w:before="20"/>
              <w:ind w:left="286" w:right="0"/>
              <w:jc w:val="left"/>
              <w:rPr>
                <w:rFonts w:ascii="宋体" w:hAnsi="宋体" w:cs="宋体" w:eastAsia="宋体" w:hint="default"/>
                <w:sz w:val="18"/>
                <w:szCs w:val="18"/>
              </w:rPr>
            </w:pPr>
            <w:r>
              <w:rPr>
                <w:rFonts w:ascii="宋体" w:hAnsi="宋体" w:cs="宋体" w:eastAsia="宋体" w:hint="default"/>
                <w:sz w:val="18"/>
                <w:szCs w:val="18"/>
              </w:rPr>
              <w:t>未逾期未减值</w:t>
            </w:r>
          </w:p>
        </w:tc>
        <w:tc>
          <w:tcPr>
            <w:tcW w:w="382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已逾期未减值</w:t>
            </w:r>
          </w:p>
        </w:tc>
        <w:tc>
          <w:tcPr>
            <w:tcW w:w="1610" w:type="dxa"/>
            <w:vMerge w:val="restart"/>
            <w:tcBorders>
              <w:top w:val="single" w:sz="4" w:space="0" w:color="000000"/>
              <w:left w:val="single" w:sz="4" w:space="0" w:color="000000"/>
              <w:right w:val="single" w:sz="4"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342" w:hRule="exact"/>
        </w:trPr>
        <w:tc>
          <w:tcPr>
            <w:tcW w:w="1420" w:type="dxa"/>
            <w:vMerge/>
            <w:tcBorders>
              <w:left w:val="single" w:sz="4" w:space="0" w:color="000000"/>
              <w:bottom w:val="single" w:sz="4" w:space="0" w:color="000000"/>
              <w:right w:val="single" w:sz="4" w:space="0" w:color="000000"/>
            </w:tcBorders>
          </w:tcPr>
          <w:p>
            <w:pPr/>
          </w:p>
        </w:tc>
        <w:tc>
          <w:tcPr>
            <w:tcW w:w="1665" w:type="dxa"/>
            <w:vMerge/>
            <w:tcBorders>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9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宋体" w:hAnsi="宋体" w:cs="宋体" w:eastAsia="宋体" w:hint="default"/>
                <w:sz w:val="18"/>
                <w:szCs w:val="18"/>
              </w:rPr>
              <w:t>年</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4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年以上</w:t>
            </w:r>
          </w:p>
        </w:tc>
        <w:tc>
          <w:tcPr>
            <w:tcW w:w="1610" w:type="dxa"/>
            <w:vMerge/>
            <w:tcBorders>
              <w:left w:val="single" w:sz="4" w:space="0" w:color="000000"/>
              <w:bottom w:val="single" w:sz="4" w:space="0" w:color="000000"/>
              <w:right w:val="single" w:sz="4" w:space="0" w:color="000000"/>
            </w:tcBorders>
          </w:tcPr>
          <w:p>
            <w:pPr/>
          </w:p>
        </w:tc>
      </w:tr>
      <w:tr>
        <w:trPr>
          <w:trHeight w:val="654" w:hRule="exact"/>
        </w:trPr>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0"/>
              <w:ind w:left="64" w:right="2"/>
              <w:jc w:val="left"/>
              <w:rPr>
                <w:rFonts w:ascii="宋体" w:hAnsi="宋体" w:cs="宋体" w:eastAsia="宋体" w:hint="default"/>
                <w:sz w:val="18"/>
                <w:szCs w:val="18"/>
              </w:rPr>
            </w:pPr>
            <w:r>
              <w:rPr>
                <w:rFonts w:ascii="宋体" w:hAnsi="宋体" w:cs="宋体" w:eastAsia="宋体" w:hint="default"/>
                <w:spacing w:val="11"/>
                <w:sz w:val="18"/>
                <w:szCs w:val="18"/>
              </w:rPr>
              <w:t>应收票据及应收</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账款</w:t>
            </w:r>
          </w:p>
        </w:tc>
        <w:tc>
          <w:tcPr>
            <w:tcW w:w="1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6"/>
              <w:jc w:val="right"/>
              <w:rPr>
                <w:rFonts w:ascii="Times New Roman" w:hAnsi="Times New Roman" w:cs="Times New Roman" w:eastAsia="Times New Roman" w:hint="default"/>
                <w:sz w:val="18"/>
                <w:szCs w:val="18"/>
              </w:rPr>
            </w:pPr>
            <w:r>
              <w:rPr>
                <w:rFonts w:ascii="Times New Roman"/>
                <w:spacing w:val="-1"/>
                <w:sz w:val="18"/>
              </w:rPr>
              <w:t>1,154,448.73</w:t>
            </w: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1,154,448.73</w:t>
            </w:r>
          </w:p>
        </w:tc>
      </w:tr>
      <w:tr>
        <w:trPr>
          <w:trHeight w:val="342" w:hRule="exact"/>
        </w:trPr>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10"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
              <w:jc w:val="right"/>
              <w:rPr>
                <w:rFonts w:ascii="Times New Roman" w:hAnsi="Times New Roman" w:cs="Times New Roman" w:eastAsia="Times New Roman" w:hint="default"/>
                <w:sz w:val="18"/>
                <w:szCs w:val="18"/>
              </w:rPr>
            </w:pPr>
            <w:r>
              <w:rPr>
                <w:rFonts w:ascii="Times New Roman"/>
                <w:spacing w:val="-1"/>
                <w:sz w:val="18"/>
              </w:rPr>
              <w:t>1,154,448.73</w:t>
            </w:r>
          </w:p>
        </w:tc>
        <w:tc>
          <w:tcPr>
            <w:tcW w:w="1418" w:type="dxa"/>
            <w:tcBorders>
              <w:top w:val="single" w:sz="4" w:space="0" w:color="000000"/>
              <w:left w:val="single" w:sz="4" w:space="0" w:color="000000"/>
              <w:bottom w:val="single" w:sz="4" w:space="0" w:color="000000"/>
              <w:right w:val="single" w:sz="4" w:space="0" w:color="000000"/>
            </w:tcBorders>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Times New Roman" w:hAnsi="Times New Roman" w:cs="Times New Roman" w:eastAsia="Times New Roman" w:hint="default"/>
                <w:sz w:val="18"/>
                <w:szCs w:val="18"/>
              </w:rPr>
            </w:pPr>
            <w:r>
              <w:rPr>
                <w:rFonts w:ascii="Times New Roman"/>
                <w:spacing w:val="-1"/>
                <w:sz w:val="18"/>
              </w:rPr>
              <w:t>1,154,448.73</w:t>
            </w:r>
          </w:p>
        </w:tc>
      </w:tr>
    </w:tbl>
    <w:p>
      <w:pPr>
        <w:pStyle w:val="Heading4"/>
        <w:spacing w:line="260" w:lineRule="exact"/>
        <w:ind w:right="0"/>
        <w:jc w:val="left"/>
      </w:pPr>
      <w:r>
        <w:rPr/>
        <w:t>(续上表)</w:t>
      </w:r>
    </w:p>
    <w:p>
      <w:pPr>
        <w:spacing w:line="240" w:lineRule="auto" w:before="0"/>
        <w:rPr>
          <w:rFonts w:ascii="宋体" w:hAnsi="宋体" w:cs="宋体" w:eastAsia="宋体" w:hint="default"/>
          <w:sz w:val="4"/>
          <w:szCs w:val="4"/>
        </w:rPr>
      </w:pPr>
    </w:p>
    <w:tbl>
      <w:tblPr>
        <w:tblW w:w="0" w:type="auto"/>
        <w:jc w:val="left"/>
        <w:tblInd w:w="667" w:type="dxa"/>
        <w:tblLayout w:type="fixed"/>
        <w:tblCellMar>
          <w:top w:w="0" w:type="dxa"/>
          <w:left w:w="0" w:type="dxa"/>
          <w:bottom w:w="0" w:type="dxa"/>
          <w:right w:w="0" w:type="dxa"/>
        </w:tblCellMar>
        <w:tblLook w:val="01E0"/>
      </w:tblPr>
      <w:tblGrid>
        <w:gridCol w:w="1408"/>
        <w:gridCol w:w="1662"/>
        <w:gridCol w:w="1403"/>
        <w:gridCol w:w="1264"/>
        <w:gridCol w:w="1175"/>
        <w:gridCol w:w="1610"/>
      </w:tblGrid>
      <w:tr>
        <w:trPr>
          <w:trHeight w:val="342" w:hRule="exact"/>
        </w:trPr>
        <w:tc>
          <w:tcPr>
            <w:tcW w:w="1408" w:type="dxa"/>
            <w:vMerge w:val="restart"/>
            <w:tcBorders>
              <w:top w:val="single" w:sz="4" w:space="0" w:color="000000"/>
              <w:left w:val="single" w:sz="4" w:space="0" w:color="000000"/>
              <w:right w:val="single" w:sz="4" w:space="0" w:color="000000"/>
            </w:tcBorders>
          </w:tcPr>
          <w:p>
            <w:pPr>
              <w:pStyle w:val="TableParagraph"/>
              <w:spacing w:line="240" w:lineRule="auto" w:before="22"/>
              <w:ind w:left="110"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7114"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342" w:hRule="exact"/>
        </w:trPr>
        <w:tc>
          <w:tcPr>
            <w:tcW w:w="1408" w:type="dxa"/>
            <w:vMerge/>
            <w:tcBorders>
              <w:left w:val="single" w:sz="4" w:space="0" w:color="000000"/>
              <w:right w:val="single" w:sz="4" w:space="0" w:color="000000"/>
            </w:tcBorders>
          </w:tcPr>
          <w:p>
            <w:pPr/>
          </w:p>
        </w:tc>
        <w:tc>
          <w:tcPr>
            <w:tcW w:w="1662" w:type="dxa"/>
            <w:vMerge w:val="restart"/>
            <w:tcBorders>
              <w:top w:val="single" w:sz="4" w:space="0" w:color="000000"/>
              <w:left w:val="single" w:sz="4" w:space="0" w:color="000000"/>
              <w:right w:val="single" w:sz="4" w:space="0" w:color="000000"/>
            </w:tcBorders>
          </w:tcPr>
          <w:p>
            <w:pPr>
              <w:pStyle w:val="TableParagraph"/>
              <w:spacing w:line="240" w:lineRule="auto" w:before="20"/>
              <w:ind w:left="286" w:right="0"/>
              <w:jc w:val="left"/>
              <w:rPr>
                <w:rFonts w:ascii="宋体" w:hAnsi="宋体" w:cs="宋体" w:eastAsia="宋体" w:hint="default"/>
                <w:sz w:val="18"/>
                <w:szCs w:val="18"/>
              </w:rPr>
            </w:pPr>
            <w:r>
              <w:rPr>
                <w:rFonts w:ascii="宋体" w:hAnsi="宋体" w:cs="宋体" w:eastAsia="宋体" w:hint="default"/>
                <w:sz w:val="18"/>
                <w:szCs w:val="18"/>
              </w:rPr>
              <w:t>未逾期未减值</w:t>
            </w:r>
          </w:p>
        </w:tc>
        <w:tc>
          <w:tcPr>
            <w:tcW w:w="384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 w:right="0"/>
              <w:jc w:val="center"/>
              <w:rPr>
                <w:rFonts w:ascii="宋体" w:hAnsi="宋体" w:cs="宋体" w:eastAsia="宋体" w:hint="default"/>
                <w:sz w:val="18"/>
                <w:szCs w:val="18"/>
              </w:rPr>
            </w:pPr>
            <w:r>
              <w:rPr>
                <w:rFonts w:ascii="宋体" w:hAnsi="宋体" w:cs="宋体" w:eastAsia="宋体" w:hint="default"/>
                <w:sz w:val="18"/>
                <w:szCs w:val="18"/>
              </w:rPr>
              <w:t>已逾期未减值</w:t>
            </w:r>
          </w:p>
        </w:tc>
        <w:tc>
          <w:tcPr>
            <w:tcW w:w="1610" w:type="dxa"/>
            <w:vMerge w:val="restart"/>
            <w:tcBorders>
              <w:top w:val="single" w:sz="4" w:space="0" w:color="000000"/>
              <w:left w:val="single" w:sz="4" w:space="0" w:color="000000"/>
              <w:right w:val="single" w:sz="4"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342" w:hRule="exact"/>
        </w:trPr>
        <w:tc>
          <w:tcPr>
            <w:tcW w:w="1408" w:type="dxa"/>
            <w:vMerge/>
            <w:tcBorders>
              <w:left w:val="single" w:sz="4" w:space="0" w:color="000000"/>
              <w:bottom w:val="single" w:sz="4" w:space="0" w:color="000000"/>
              <w:right w:val="single" w:sz="4" w:space="0" w:color="000000"/>
            </w:tcBorders>
          </w:tcPr>
          <w:p>
            <w:pPr/>
          </w:p>
        </w:tc>
        <w:tc>
          <w:tcPr>
            <w:tcW w:w="1662" w:type="dxa"/>
            <w:vMerge/>
            <w:tcBorders>
              <w:left w:val="single" w:sz="4" w:space="0" w:color="000000"/>
              <w:bottom w:val="single" w:sz="4" w:space="0" w:color="000000"/>
              <w:right w:val="single" w:sz="4" w:space="0" w:color="000000"/>
            </w:tcBorders>
          </w:tcPr>
          <w:p>
            <w:pPr/>
          </w:p>
        </w:tc>
        <w:tc>
          <w:tcPr>
            <w:tcW w:w="14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3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1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宋体" w:hAnsi="宋体" w:cs="宋体" w:eastAsia="宋体" w:hint="default"/>
                <w:sz w:val="18"/>
                <w:szCs w:val="18"/>
              </w:rPr>
              <w:t>年</w:t>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6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年以上</w:t>
            </w:r>
          </w:p>
        </w:tc>
        <w:tc>
          <w:tcPr>
            <w:tcW w:w="1610" w:type="dxa"/>
            <w:vMerge/>
            <w:tcBorders>
              <w:left w:val="single" w:sz="4" w:space="0" w:color="000000"/>
              <w:bottom w:val="single" w:sz="4" w:space="0" w:color="000000"/>
              <w:right w:val="single" w:sz="4" w:space="0" w:color="000000"/>
            </w:tcBorders>
          </w:tcPr>
          <w:p>
            <w:pPr/>
          </w:p>
        </w:tc>
      </w:tr>
      <w:tr>
        <w:trPr>
          <w:trHeight w:val="654" w:hRule="exact"/>
        </w:trPr>
        <w:tc>
          <w:tcPr>
            <w:tcW w:w="14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0"/>
              <w:ind w:left="84" w:right="4"/>
              <w:jc w:val="left"/>
              <w:rPr>
                <w:rFonts w:ascii="宋体" w:hAnsi="宋体" w:cs="宋体" w:eastAsia="宋体" w:hint="default"/>
                <w:sz w:val="18"/>
                <w:szCs w:val="18"/>
              </w:rPr>
            </w:pPr>
            <w:r>
              <w:rPr>
                <w:rFonts w:ascii="宋体" w:hAnsi="宋体" w:cs="宋体" w:eastAsia="宋体" w:hint="default"/>
                <w:spacing w:val="6"/>
                <w:sz w:val="18"/>
                <w:szCs w:val="18"/>
              </w:rPr>
              <w:t>应收票据及应收</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账款</w:t>
            </w:r>
          </w:p>
        </w:tc>
        <w:tc>
          <w:tcPr>
            <w:tcW w:w="1662" w:type="dxa"/>
            <w:tcBorders>
              <w:top w:val="single" w:sz="4" w:space="0" w:color="000000"/>
              <w:left w:val="single" w:sz="4" w:space="0" w:color="000000"/>
              <w:bottom w:val="single" w:sz="4" w:space="0" w:color="000000"/>
              <w:right w:val="single" w:sz="4" w:space="0" w:color="000000"/>
            </w:tcBorders>
          </w:tcPr>
          <w:p>
            <w:pPr/>
          </w:p>
        </w:tc>
        <w:tc>
          <w:tcPr>
            <w:tcW w:w="1403" w:type="dxa"/>
            <w:tcBorders>
              <w:top w:val="single" w:sz="4" w:space="0" w:color="000000"/>
              <w:left w:val="single" w:sz="4" w:space="0" w:color="000000"/>
              <w:bottom w:val="single" w:sz="4" w:space="0" w:color="000000"/>
              <w:right w:val="single" w:sz="4" w:space="0" w:color="000000"/>
            </w:tcBorders>
          </w:tcPr>
          <w:p>
            <w:pPr/>
          </w:p>
        </w:tc>
        <w:tc>
          <w:tcPr>
            <w:tcW w:w="1264"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1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10"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662" w:type="dxa"/>
            <w:tcBorders>
              <w:top w:val="single" w:sz="4" w:space="0" w:color="000000"/>
              <w:left w:val="single" w:sz="4" w:space="0" w:color="000000"/>
              <w:bottom w:val="single" w:sz="4" w:space="0" w:color="000000"/>
              <w:right w:val="single" w:sz="4" w:space="0" w:color="000000"/>
            </w:tcBorders>
          </w:tcPr>
          <w:p>
            <w:pPr/>
          </w:p>
        </w:tc>
        <w:tc>
          <w:tcPr>
            <w:tcW w:w="1403" w:type="dxa"/>
            <w:tcBorders>
              <w:top w:val="single" w:sz="4" w:space="0" w:color="000000"/>
              <w:left w:val="single" w:sz="4" w:space="0" w:color="000000"/>
              <w:bottom w:val="single" w:sz="4" w:space="0" w:color="000000"/>
              <w:right w:val="single" w:sz="4" w:space="0" w:color="000000"/>
            </w:tcBorders>
          </w:tcPr>
          <w:p>
            <w:pPr/>
          </w:p>
        </w:tc>
        <w:tc>
          <w:tcPr>
            <w:tcW w:w="1264" w:type="dxa"/>
            <w:tcBorders>
              <w:top w:val="single" w:sz="4" w:space="0" w:color="000000"/>
              <w:left w:val="single" w:sz="4" w:space="0" w:color="000000"/>
              <w:bottom w:val="single" w:sz="4" w:space="0" w:color="000000"/>
              <w:right w:val="single" w:sz="4" w:space="0" w:color="000000"/>
            </w:tcBorders>
          </w:tcPr>
          <w:p>
            <w:pPr/>
          </w:p>
        </w:tc>
        <w:tc>
          <w:tcPr>
            <w:tcW w:w="1175" w:type="dxa"/>
            <w:tcBorders>
              <w:top w:val="single" w:sz="4" w:space="0" w:color="000000"/>
              <w:left w:val="single" w:sz="4" w:space="0" w:color="000000"/>
              <w:bottom w:val="single" w:sz="4" w:space="0" w:color="000000"/>
              <w:right w:val="single" w:sz="4" w:space="0" w:color="000000"/>
            </w:tcBorders>
          </w:tcPr>
          <w:p>
            <w:pPr/>
          </w:p>
        </w:tc>
        <w:tc>
          <w:tcPr>
            <w:tcW w:w="1610"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00" w:lineRule="auto" w:before="11"/>
        <w:ind w:left="532" w:right="3104"/>
        <w:jc w:val="left"/>
      </w:pPr>
      <w:r>
        <w:rPr>
          <w:rFonts w:ascii="Times New Roman" w:hAnsi="Times New Roman" w:cs="Times New Roman" w:eastAsia="Times New Roman" w:hint="default"/>
        </w:rPr>
        <w:t>(2)</w:t>
      </w:r>
      <w:r>
        <w:rPr/>
        <w:t>单项计提减值的应收款项情况见本财务报表附注合并财务报表项目注释之应收款项说明。</w:t>
      </w:r>
      <w:r>
        <w:rPr>
          <w:w w:val="99"/>
        </w:rPr>
        <w:t> </w:t>
      </w:r>
      <w:r>
        <w:rPr>
          <w:rFonts w:ascii="Times New Roman" w:hAnsi="Times New Roman" w:cs="Times New Roman" w:eastAsia="Times New Roman" w:hint="default"/>
        </w:rPr>
        <w:t>(</w:t>
      </w:r>
      <w:r>
        <w:rPr/>
        <w:t>二</w:t>
      </w:r>
      <w:r>
        <w:rPr>
          <w:rFonts w:ascii="Times New Roman" w:hAnsi="Times New Roman" w:cs="Times New Roman" w:eastAsia="Times New Roman" w:hint="default"/>
        </w:rPr>
        <w:t>)</w:t>
      </w:r>
      <w:r>
        <w:rPr/>
        <w:t>流动风险</w:t>
      </w:r>
    </w:p>
    <w:p>
      <w:pPr>
        <w:pStyle w:val="BodyText"/>
        <w:spacing w:line="316" w:lineRule="auto" w:before="13"/>
        <w:ind w:right="1130" w:firstLine="420"/>
        <w:jc w:val="both"/>
      </w:pPr>
      <w:r>
        <w:rPr/>
        <w:t>流动风险，是指本公司在履行以交付现金或其他金融资产的方式结算的义务时发生资金短缺的风险。流动风险可能源 </w:t>
      </w:r>
      <w:r>
        <w:rPr>
          <w:spacing w:val="-2"/>
        </w:rPr>
        <w:t>于无法尽快以公允价值售出金融资产；或者源于对方无法偿还其合同债务；或者源于提前到期的债务；或者源于无法产生预</w:t>
      </w:r>
      <w:r>
        <w:rPr>
          <w:spacing w:val="-63"/>
        </w:rPr>
        <w:t> </w:t>
      </w:r>
      <w:r>
        <w:rPr>
          <w:spacing w:val="-63"/>
        </w:rPr>
      </w:r>
      <w:r>
        <w:rPr/>
        <w:t>期的现金流量。</w:t>
      </w:r>
    </w:p>
    <w:p>
      <w:pPr>
        <w:pStyle w:val="BodyText"/>
        <w:spacing w:line="316" w:lineRule="auto" w:before="19"/>
        <w:ind w:right="1132" w:firstLine="420"/>
        <w:jc w:val="both"/>
      </w:pPr>
      <w:r>
        <w:rPr/>
        <w:t>为控制该项风险，本公司综合运用票据结算、银行借款等多种融资手段，优化融资结构的方法，保持融资持续性与灵 活性之间的平衡。本公司已从多家商业银行取得银行授信额度以满足营运资金需求和资本开支。</w:t>
      </w:r>
    </w:p>
    <w:p>
      <w:pPr>
        <w:pStyle w:val="BodyText"/>
        <w:spacing w:line="240" w:lineRule="auto" w:before="19"/>
        <w:ind w:left="532" w:right="0"/>
        <w:jc w:val="left"/>
      </w:pPr>
      <w:r>
        <w:rPr/>
        <w:t>金融负债按剩余到期日分类</w:t>
      </w:r>
    </w:p>
    <w:p>
      <w:pPr>
        <w:spacing w:line="240" w:lineRule="auto" w:before="0"/>
        <w:rPr>
          <w:rFonts w:ascii="宋体" w:hAnsi="宋体" w:cs="宋体" w:eastAsia="宋体" w:hint="default"/>
          <w:sz w:val="5"/>
          <w:szCs w:val="5"/>
        </w:rPr>
      </w:pPr>
    </w:p>
    <w:tbl>
      <w:tblPr>
        <w:tblW w:w="0" w:type="auto"/>
        <w:jc w:val="left"/>
        <w:tblInd w:w="667" w:type="dxa"/>
        <w:tblLayout w:type="fixed"/>
        <w:tblCellMar>
          <w:top w:w="0" w:type="dxa"/>
          <w:left w:w="0" w:type="dxa"/>
          <w:bottom w:w="0" w:type="dxa"/>
          <w:right w:w="0" w:type="dxa"/>
        </w:tblCellMar>
        <w:tblLook w:val="01E0"/>
      </w:tblPr>
      <w:tblGrid>
        <w:gridCol w:w="1322"/>
        <w:gridCol w:w="1621"/>
        <w:gridCol w:w="1535"/>
        <w:gridCol w:w="1476"/>
        <w:gridCol w:w="1244"/>
        <w:gridCol w:w="1324"/>
      </w:tblGrid>
      <w:tr>
        <w:trPr>
          <w:trHeight w:val="342" w:hRule="exact"/>
        </w:trPr>
        <w:tc>
          <w:tcPr>
            <w:tcW w:w="1322" w:type="dxa"/>
            <w:vMerge w:val="restart"/>
            <w:tcBorders>
              <w:top w:val="single" w:sz="4" w:space="0" w:color="000000"/>
              <w:left w:val="single" w:sz="4" w:space="0" w:color="000000"/>
              <w:right w:val="single" w:sz="4" w:space="0" w:color="000000"/>
            </w:tcBorders>
          </w:tcPr>
          <w:p>
            <w:pPr>
              <w:pStyle w:val="TableParagraph"/>
              <w:spacing w:line="240" w:lineRule="auto" w:before="20"/>
              <w:ind w:left="184"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720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期末数</w:t>
            </w:r>
          </w:p>
        </w:tc>
      </w:tr>
      <w:tr>
        <w:trPr>
          <w:trHeight w:val="342" w:hRule="exact"/>
        </w:trPr>
        <w:tc>
          <w:tcPr>
            <w:tcW w:w="1322" w:type="dxa"/>
            <w:vMerge/>
            <w:tcBorders>
              <w:left w:val="single" w:sz="4" w:space="0" w:color="000000"/>
              <w:bottom w:val="single" w:sz="4" w:space="0" w:color="000000"/>
              <w:right w:val="single" w:sz="4" w:space="0" w:color="000000"/>
            </w:tcBorders>
          </w:tcPr>
          <w:p>
            <w:pP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44"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31" w:right="0"/>
              <w:jc w:val="left"/>
              <w:rPr>
                <w:rFonts w:ascii="宋体" w:hAnsi="宋体" w:cs="宋体" w:eastAsia="宋体" w:hint="default"/>
                <w:sz w:val="18"/>
                <w:szCs w:val="18"/>
              </w:rPr>
            </w:pPr>
            <w:r>
              <w:rPr>
                <w:rFonts w:ascii="宋体" w:hAnsi="宋体" w:cs="宋体" w:eastAsia="宋体" w:hint="default"/>
                <w:sz w:val="18"/>
                <w:szCs w:val="18"/>
              </w:rPr>
              <w:t>未折现合同金额</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1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宋体" w:hAnsi="宋体" w:cs="宋体" w:eastAsia="宋体" w:hint="default"/>
                <w:sz w:val="18"/>
                <w:szCs w:val="18"/>
              </w:rPr>
              <w:t>年</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4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年以上</w:t>
            </w:r>
          </w:p>
        </w:tc>
      </w:tr>
      <w:tr>
        <w:trPr>
          <w:trHeight w:val="342" w:hRule="exact"/>
        </w:trPr>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84" w:right="0"/>
              <w:jc w:val="left"/>
              <w:rPr>
                <w:rFonts w:ascii="宋体" w:hAnsi="宋体" w:cs="宋体" w:eastAsia="宋体" w:hint="default"/>
                <w:sz w:val="18"/>
                <w:szCs w:val="18"/>
              </w:rPr>
            </w:pPr>
            <w:r>
              <w:rPr>
                <w:rFonts w:ascii="宋体" w:hAnsi="宋体" w:cs="宋体" w:eastAsia="宋体" w:hint="default"/>
                <w:sz w:val="18"/>
                <w:szCs w:val="18"/>
              </w:rPr>
              <w:t>银行借款</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177,500,000.00</w:t>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182,505,323.01</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182,505,323.01</w:t>
            </w:r>
          </w:p>
        </w:tc>
        <w:tc>
          <w:tcPr>
            <w:tcW w:w="1244" w:type="dxa"/>
            <w:tcBorders>
              <w:top w:val="single" w:sz="4" w:space="0" w:color="000000"/>
              <w:left w:val="single" w:sz="4" w:space="0" w:color="000000"/>
              <w:bottom w:val="single" w:sz="4" w:space="0" w:color="000000"/>
              <w:right w:val="single" w:sz="4" w:space="0" w:color="000000"/>
            </w:tcBorders>
          </w:tcPr>
          <w:p>
            <w:pPr/>
          </w:p>
        </w:tc>
        <w:tc>
          <w:tcPr>
            <w:tcW w:w="1324" w:type="dxa"/>
            <w:tcBorders>
              <w:top w:val="single" w:sz="4" w:space="0" w:color="000000"/>
              <w:left w:val="single" w:sz="4" w:space="0" w:color="000000"/>
              <w:bottom w:val="single" w:sz="4" w:space="0" w:color="000000"/>
              <w:right w:val="single" w:sz="4" w:space="0" w:color="000000"/>
            </w:tcBorders>
          </w:tcPr>
          <w:p>
            <w:pPr/>
          </w:p>
        </w:tc>
      </w:tr>
      <w:tr>
        <w:trPr>
          <w:trHeight w:val="654" w:hRule="exact"/>
        </w:trPr>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84" w:right="2"/>
              <w:jc w:val="left"/>
              <w:rPr>
                <w:rFonts w:ascii="宋体" w:hAnsi="宋体" w:cs="宋体" w:eastAsia="宋体" w:hint="default"/>
                <w:sz w:val="18"/>
                <w:szCs w:val="18"/>
              </w:rPr>
            </w:pPr>
            <w:r>
              <w:rPr>
                <w:rFonts w:ascii="宋体" w:hAnsi="宋体" w:cs="宋体" w:eastAsia="宋体" w:hint="default"/>
                <w:sz w:val="18"/>
                <w:szCs w:val="18"/>
              </w:rPr>
              <w:t>应</w:t>
            </w:r>
            <w:r>
              <w:rPr>
                <w:rFonts w:ascii="宋体" w:hAnsi="宋体" w:cs="宋体" w:eastAsia="宋体" w:hint="default"/>
                <w:spacing w:val="-62"/>
                <w:sz w:val="18"/>
                <w:szCs w:val="18"/>
              </w:rPr>
              <w:t> </w:t>
            </w:r>
            <w:r>
              <w:rPr>
                <w:rFonts w:ascii="宋体" w:hAnsi="宋体" w:cs="宋体" w:eastAsia="宋体" w:hint="default"/>
                <w:sz w:val="18"/>
                <w:szCs w:val="18"/>
              </w:rPr>
              <w:t>付</w:t>
            </w:r>
            <w:r>
              <w:rPr>
                <w:rFonts w:ascii="宋体" w:hAnsi="宋体" w:cs="宋体" w:eastAsia="宋体" w:hint="default"/>
                <w:spacing w:val="-62"/>
                <w:sz w:val="18"/>
                <w:szCs w:val="18"/>
              </w:rPr>
              <w:t> </w:t>
            </w:r>
            <w:r>
              <w:rPr>
                <w:rFonts w:ascii="宋体" w:hAnsi="宋体" w:cs="宋体" w:eastAsia="宋体" w:hint="default"/>
                <w:sz w:val="18"/>
                <w:szCs w:val="18"/>
              </w:rPr>
              <w:t>票</w:t>
            </w:r>
            <w:r>
              <w:rPr>
                <w:rFonts w:ascii="宋体" w:hAnsi="宋体" w:cs="宋体" w:eastAsia="宋体" w:hint="default"/>
                <w:spacing w:val="-62"/>
                <w:sz w:val="18"/>
                <w:szCs w:val="18"/>
              </w:rPr>
              <w:t> </w:t>
            </w:r>
            <w:r>
              <w:rPr>
                <w:rFonts w:ascii="宋体" w:hAnsi="宋体" w:cs="宋体" w:eastAsia="宋体" w:hint="default"/>
                <w:sz w:val="18"/>
                <w:szCs w:val="18"/>
              </w:rPr>
              <w:t>据</w:t>
            </w:r>
            <w:r>
              <w:rPr>
                <w:rFonts w:ascii="宋体" w:hAnsi="宋体" w:cs="宋体" w:eastAsia="宋体" w:hint="default"/>
                <w:spacing w:val="-62"/>
                <w:sz w:val="18"/>
                <w:szCs w:val="18"/>
              </w:rPr>
              <w:t> </w:t>
            </w:r>
            <w:r>
              <w:rPr>
                <w:rFonts w:ascii="宋体" w:hAnsi="宋体" w:cs="宋体" w:eastAsia="宋体" w:hint="default"/>
                <w:sz w:val="18"/>
                <w:szCs w:val="18"/>
              </w:rPr>
              <w:t>及</w:t>
            </w:r>
            <w:r>
              <w:rPr>
                <w:rFonts w:ascii="宋体" w:hAnsi="宋体" w:cs="宋体" w:eastAsia="宋体" w:hint="default"/>
                <w:spacing w:val="-62"/>
                <w:sz w:val="18"/>
                <w:szCs w:val="18"/>
              </w:rPr>
              <w:t> </w:t>
            </w:r>
            <w:r>
              <w:rPr>
                <w:rFonts w:ascii="宋体" w:hAnsi="宋体" w:cs="宋体" w:eastAsia="宋体" w:hint="default"/>
                <w:sz w:val="18"/>
                <w:szCs w:val="18"/>
              </w:rPr>
              <w:t>应</w:t>
            </w:r>
            <w:r>
              <w:rPr>
                <w:rFonts w:ascii="宋体" w:hAnsi="宋体" w:cs="宋体" w:eastAsia="宋体" w:hint="default"/>
                <w:sz w:val="18"/>
                <w:szCs w:val="18"/>
              </w:rPr>
              <w:t> 付账款</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231,590,017.95</w:t>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231,590,017.95</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231,590,017.95</w:t>
            </w:r>
          </w:p>
        </w:tc>
        <w:tc>
          <w:tcPr>
            <w:tcW w:w="1244" w:type="dxa"/>
            <w:tcBorders>
              <w:top w:val="single" w:sz="4" w:space="0" w:color="000000"/>
              <w:left w:val="single" w:sz="4" w:space="0" w:color="000000"/>
              <w:bottom w:val="single" w:sz="4" w:space="0" w:color="000000"/>
              <w:right w:val="single" w:sz="4" w:space="0" w:color="000000"/>
            </w:tcBorders>
          </w:tcPr>
          <w:p>
            <w:pPr/>
          </w:p>
        </w:tc>
        <w:tc>
          <w:tcPr>
            <w:tcW w:w="1324"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8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59,760,398.83</w:t>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right"/>
              <w:rPr>
                <w:rFonts w:ascii="Times New Roman" w:hAnsi="Times New Roman" w:cs="Times New Roman" w:eastAsia="Times New Roman" w:hint="default"/>
                <w:sz w:val="18"/>
                <w:szCs w:val="18"/>
              </w:rPr>
            </w:pPr>
            <w:r>
              <w:rPr>
                <w:rFonts w:ascii="Times New Roman"/>
                <w:spacing w:val="-1"/>
                <w:sz w:val="18"/>
              </w:rPr>
              <w:t>59,760,398.83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right"/>
              <w:rPr>
                <w:rFonts w:ascii="Times New Roman" w:hAnsi="Times New Roman" w:cs="Times New Roman" w:eastAsia="Times New Roman" w:hint="default"/>
                <w:sz w:val="18"/>
                <w:szCs w:val="18"/>
              </w:rPr>
            </w:pPr>
            <w:r>
              <w:rPr>
                <w:rFonts w:ascii="Times New Roman"/>
                <w:spacing w:val="-1"/>
                <w:sz w:val="18"/>
              </w:rPr>
              <w:t>59,760,398.83</w:t>
            </w:r>
          </w:p>
        </w:tc>
        <w:tc>
          <w:tcPr>
            <w:tcW w:w="1244" w:type="dxa"/>
            <w:tcBorders>
              <w:top w:val="single" w:sz="4" w:space="0" w:color="000000"/>
              <w:left w:val="single" w:sz="4" w:space="0" w:color="000000"/>
              <w:bottom w:val="single" w:sz="4" w:space="0" w:color="000000"/>
              <w:right w:val="single" w:sz="4" w:space="0" w:color="000000"/>
            </w:tcBorders>
          </w:tcPr>
          <w:p>
            <w:pPr/>
          </w:p>
        </w:tc>
        <w:tc>
          <w:tcPr>
            <w:tcW w:w="1324"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8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468,850,416.78</w:t>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473,855,739.79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473,855,739.79</w:t>
            </w:r>
          </w:p>
        </w:tc>
        <w:tc>
          <w:tcPr>
            <w:tcW w:w="1244" w:type="dxa"/>
            <w:tcBorders>
              <w:top w:val="single" w:sz="4" w:space="0" w:color="000000"/>
              <w:left w:val="single" w:sz="4" w:space="0" w:color="000000"/>
              <w:bottom w:val="single" w:sz="4" w:space="0" w:color="000000"/>
              <w:right w:val="single" w:sz="4" w:space="0" w:color="000000"/>
            </w:tcBorders>
          </w:tcPr>
          <w:p>
            <w:pPr/>
          </w:p>
        </w:tc>
        <w:tc>
          <w:tcPr>
            <w:tcW w:w="1324" w:type="dxa"/>
            <w:tcBorders>
              <w:top w:val="single" w:sz="4" w:space="0" w:color="000000"/>
              <w:left w:val="single" w:sz="4" w:space="0" w:color="000000"/>
              <w:bottom w:val="single" w:sz="4" w:space="0" w:color="000000"/>
              <w:right w:val="single" w:sz="4" w:space="0" w:color="000000"/>
            </w:tcBorders>
          </w:tcPr>
          <w:p>
            <w:pPr/>
          </w:p>
        </w:tc>
      </w:tr>
    </w:tbl>
    <w:p>
      <w:pPr>
        <w:pStyle w:val="Heading4"/>
        <w:spacing w:line="260" w:lineRule="exact"/>
        <w:ind w:right="0"/>
        <w:jc w:val="left"/>
      </w:pPr>
      <w:r>
        <w:rPr/>
        <w:t>(续上表)</w:t>
      </w:r>
    </w:p>
    <w:p>
      <w:pPr>
        <w:spacing w:line="240" w:lineRule="auto" w:before="13"/>
        <w:rPr>
          <w:rFonts w:ascii="宋体" w:hAnsi="宋体" w:cs="宋体" w:eastAsia="宋体" w:hint="default"/>
          <w:sz w:val="3"/>
          <w:szCs w:val="3"/>
        </w:rPr>
      </w:pPr>
    </w:p>
    <w:tbl>
      <w:tblPr>
        <w:tblW w:w="0" w:type="auto"/>
        <w:jc w:val="left"/>
        <w:tblInd w:w="667" w:type="dxa"/>
        <w:tblLayout w:type="fixed"/>
        <w:tblCellMar>
          <w:top w:w="0" w:type="dxa"/>
          <w:left w:w="0" w:type="dxa"/>
          <w:bottom w:w="0" w:type="dxa"/>
          <w:right w:w="0" w:type="dxa"/>
        </w:tblCellMar>
        <w:tblLook w:val="01E0"/>
      </w:tblPr>
      <w:tblGrid>
        <w:gridCol w:w="1322"/>
        <w:gridCol w:w="1476"/>
        <w:gridCol w:w="1680"/>
        <w:gridCol w:w="1476"/>
        <w:gridCol w:w="1244"/>
        <w:gridCol w:w="1324"/>
      </w:tblGrid>
      <w:tr>
        <w:trPr>
          <w:trHeight w:val="342" w:hRule="exact"/>
        </w:trPr>
        <w:tc>
          <w:tcPr>
            <w:tcW w:w="1322" w:type="dxa"/>
            <w:vMerge w:val="restart"/>
            <w:tcBorders>
              <w:top w:val="single" w:sz="4" w:space="0" w:color="000000"/>
              <w:left w:val="single" w:sz="4" w:space="0" w:color="000000"/>
              <w:right w:val="single" w:sz="4" w:space="0" w:color="000000"/>
            </w:tcBorders>
          </w:tcPr>
          <w:p>
            <w:pPr>
              <w:pStyle w:val="TableParagraph"/>
              <w:spacing w:line="240" w:lineRule="auto" w:before="20"/>
              <w:ind w:left="184"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720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期初数</w:t>
            </w:r>
          </w:p>
        </w:tc>
      </w:tr>
      <w:tr>
        <w:trPr>
          <w:trHeight w:val="342" w:hRule="exact"/>
        </w:trPr>
        <w:tc>
          <w:tcPr>
            <w:tcW w:w="1322" w:type="dxa"/>
            <w:vMerge/>
            <w:tcBorders>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7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04" w:right="0"/>
              <w:jc w:val="left"/>
              <w:rPr>
                <w:rFonts w:ascii="宋体" w:hAnsi="宋体" w:cs="宋体" w:eastAsia="宋体" w:hint="default"/>
                <w:sz w:val="18"/>
                <w:szCs w:val="18"/>
              </w:rPr>
            </w:pPr>
            <w:r>
              <w:rPr>
                <w:rFonts w:ascii="宋体" w:hAnsi="宋体" w:cs="宋体" w:eastAsia="宋体" w:hint="default"/>
                <w:sz w:val="18"/>
                <w:szCs w:val="18"/>
              </w:rPr>
              <w:t>未折现合同金额</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1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宋体" w:hAnsi="宋体" w:cs="宋体" w:eastAsia="宋体" w:hint="default"/>
                <w:sz w:val="18"/>
                <w:szCs w:val="18"/>
              </w:rPr>
              <w:t>年</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34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年以上</w:t>
            </w:r>
          </w:p>
        </w:tc>
      </w:tr>
      <w:tr>
        <w:trPr>
          <w:trHeight w:val="342" w:hRule="exact"/>
        </w:trPr>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64" w:right="0"/>
              <w:jc w:val="left"/>
              <w:rPr>
                <w:rFonts w:ascii="宋体" w:hAnsi="宋体" w:cs="宋体" w:eastAsia="宋体" w:hint="default"/>
                <w:sz w:val="18"/>
                <w:szCs w:val="18"/>
              </w:rPr>
            </w:pPr>
            <w:r>
              <w:rPr>
                <w:rFonts w:ascii="宋体" w:hAnsi="宋体" w:cs="宋体" w:eastAsia="宋体" w:hint="default"/>
                <w:sz w:val="18"/>
                <w:szCs w:val="18"/>
              </w:rPr>
              <w:t>银行借款</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100,000,000.00</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102,720,638.19</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102,720,638.19</w:t>
            </w:r>
          </w:p>
        </w:tc>
        <w:tc>
          <w:tcPr>
            <w:tcW w:w="1244" w:type="dxa"/>
            <w:tcBorders>
              <w:top w:val="single" w:sz="4" w:space="0" w:color="000000"/>
              <w:left w:val="single" w:sz="4" w:space="0" w:color="000000"/>
              <w:bottom w:val="single" w:sz="4" w:space="0" w:color="000000"/>
              <w:right w:val="single" w:sz="4" w:space="0" w:color="000000"/>
            </w:tcBorders>
          </w:tcPr>
          <w:p>
            <w:pPr/>
          </w:p>
        </w:tc>
        <w:tc>
          <w:tcPr>
            <w:tcW w:w="1324" w:type="dxa"/>
            <w:tcBorders>
              <w:top w:val="single" w:sz="4" w:space="0" w:color="000000"/>
              <w:left w:val="single" w:sz="4" w:space="0" w:color="000000"/>
              <w:bottom w:val="single" w:sz="4" w:space="0" w:color="000000"/>
              <w:right w:val="single" w:sz="4" w:space="0" w:color="000000"/>
            </w:tcBorders>
          </w:tcPr>
          <w:p>
            <w:pPr/>
          </w:p>
        </w:tc>
      </w:tr>
      <w:tr>
        <w:trPr>
          <w:trHeight w:val="654" w:hRule="exact"/>
        </w:trPr>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64" w:right="2"/>
              <w:jc w:val="left"/>
              <w:rPr>
                <w:rFonts w:ascii="宋体" w:hAnsi="宋体" w:cs="宋体" w:eastAsia="宋体" w:hint="default"/>
                <w:sz w:val="18"/>
                <w:szCs w:val="18"/>
              </w:rPr>
            </w:pPr>
            <w:r>
              <w:rPr>
                <w:rFonts w:ascii="宋体" w:hAnsi="宋体" w:cs="宋体" w:eastAsia="宋体" w:hint="default"/>
                <w:sz w:val="18"/>
                <w:szCs w:val="18"/>
              </w:rPr>
              <w:t>应</w:t>
            </w:r>
            <w:r>
              <w:rPr>
                <w:rFonts w:ascii="宋体" w:hAnsi="宋体" w:cs="宋体" w:eastAsia="宋体" w:hint="default"/>
                <w:spacing w:val="-57"/>
                <w:sz w:val="18"/>
                <w:szCs w:val="18"/>
              </w:rPr>
              <w:t> </w:t>
            </w:r>
            <w:r>
              <w:rPr>
                <w:rFonts w:ascii="宋体" w:hAnsi="宋体" w:cs="宋体" w:eastAsia="宋体" w:hint="default"/>
                <w:sz w:val="18"/>
                <w:szCs w:val="18"/>
              </w:rPr>
              <w:t>付</w:t>
            </w:r>
            <w:r>
              <w:rPr>
                <w:rFonts w:ascii="宋体" w:hAnsi="宋体" w:cs="宋体" w:eastAsia="宋体" w:hint="default"/>
                <w:spacing w:val="-59"/>
                <w:sz w:val="18"/>
                <w:szCs w:val="18"/>
              </w:rPr>
              <w:t> </w:t>
            </w:r>
            <w:r>
              <w:rPr>
                <w:rFonts w:ascii="宋体" w:hAnsi="宋体" w:cs="宋体" w:eastAsia="宋体" w:hint="default"/>
                <w:sz w:val="18"/>
                <w:szCs w:val="18"/>
              </w:rPr>
              <w:t>票</w:t>
            </w:r>
            <w:r>
              <w:rPr>
                <w:rFonts w:ascii="宋体" w:hAnsi="宋体" w:cs="宋体" w:eastAsia="宋体" w:hint="default"/>
                <w:spacing w:val="-57"/>
                <w:sz w:val="18"/>
                <w:szCs w:val="18"/>
              </w:rPr>
              <w:t> </w:t>
            </w:r>
            <w:r>
              <w:rPr>
                <w:rFonts w:ascii="宋体" w:hAnsi="宋体" w:cs="宋体" w:eastAsia="宋体" w:hint="default"/>
                <w:sz w:val="18"/>
                <w:szCs w:val="18"/>
              </w:rPr>
              <w:t>据</w:t>
            </w:r>
            <w:r>
              <w:rPr>
                <w:rFonts w:ascii="宋体" w:hAnsi="宋体" w:cs="宋体" w:eastAsia="宋体" w:hint="default"/>
                <w:spacing w:val="-59"/>
                <w:sz w:val="18"/>
                <w:szCs w:val="18"/>
              </w:rPr>
              <w:t> </w:t>
            </w:r>
            <w:r>
              <w:rPr>
                <w:rFonts w:ascii="宋体" w:hAnsi="宋体" w:cs="宋体" w:eastAsia="宋体" w:hint="default"/>
                <w:sz w:val="18"/>
                <w:szCs w:val="18"/>
              </w:rPr>
              <w:t>及</w:t>
            </w:r>
            <w:r>
              <w:rPr>
                <w:rFonts w:ascii="宋体" w:hAnsi="宋体" w:cs="宋体" w:eastAsia="宋体" w:hint="default"/>
                <w:spacing w:val="-57"/>
                <w:sz w:val="18"/>
                <w:szCs w:val="18"/>
              </w:rPr>
              <w:t> </w:t>
            </w:r>
            <w:r>
              <w:rPr>
                <w:rFonts w:ascii="宋体" w:hAnsi="宋体" w:cs="宋体" w:eastAsia="宋体" w:hint="default"/>
                <w:sz w:val="18"/>
                <w:szCs w:val="18"/>
              </w:rPr>
              <w:t>应</w:t>
            </w:r>
            <w:r>
              <w:rPr>
                <w:rFonts w:ascii="宋体" w:hAnsi="宋体" w:cs="宋体" w:eastAsia="宋体" w:hint="default"/>
                <w:sz w:val="18"/>
                <w:szCs w:val="18"/>
              </w:rPr>
              <w:t> 付账款</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Times New Roman" w:hAnsi="Times New Roman" w:cs="Times New Roman" w:eastAsia="Times New Roman" w:hint="default"/>
                <w:sz w:val="18"/>
                <w:szCs w:val="18"/>
              </w:rPr>
            </w:pPr>
            <w:r>
              <w:rPr>
                <w:rFonts w:ascii="Times New Roman"/>
                <w:spacing w:val="-1"/>
                <w:sz w:val="18"/>
              </w:rPr>
              <w:t>161,413,972.08</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Times New Roman" w:hAnsi="Times New Roman" w:cs="Times New Roman" w:eastAsia="Times New Roman" w:hint="default"/>
                <w:sz w:val="18"/>
                <w:szCs w:val="18"/>
              </w:rPr>
            </w:pPr>
            <w:r>
              <w:rPr>
                <w:rFonts w:ascii="Times New Roman"/>
                <w:spacing w:val="-1"/>
                <w:sz w:val="18"/>
              </w:rPr>
              <w:t>161,413,972.08</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Times New Roman" w:hAnsi="Times New Roman" w:cs="Times New Roman" w:eastAsia="Times New Roman" w:hint="default"/>
                <w:sz w:val="18"/>
                <w:szCs w:val="18"/>
              </w:rPr>
            </w:pPr>
            <w:r>
              <w:rPr>
                <w:rFonts w:ascii="Times New Roman"/>
                <w:spacing w:val="-1"/>
                <w:sz w:val="18"/>
              </w:rPr>
              <w:t>161,413,972.08</w:t>
            </w:r>
          </w:p>
        </w:tc>
        <w:tc>
          <w:tcPr>
            <w:tcW w:w="1244" w:type="dxa"/>
            <w:tcBorders>
              <w:top w:val="single" w:sz="4" w:space="0" w:color="000000"/>
              <w:left w:val="single" w:sz="4" w:space="0" w:color="000000"/>
              <w:bottom w:val="single" w:sz="4" w:space="0" w:color="000000"/>
              <w:right w:val="single" w:sz="4" w:space="0" w:color="000000"/>
            </w:tcBorders>
          </w:tcPr>
          <w:p>
            <w:pPr/>
          </w:p>
        </w:tc>
        <w:tc>
          <w:tcPr>
            <w:tcW w:w="1324"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6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right"/>
              <w:rPr>
                <w:rFonts w:ascii="Times New Roman" w:hAnsi="Times New Roman" w:cs="Times New Roman" w:eastAsia="Times New Roman" w:hint="default"/>
                <w:sz w:val="18"/>
                <w:szCs w:val="18"/>
              </w:rPr>
            </w:pPr>
            <w:r>
              <w:rPr>
                <w:rFonts w:ascii="Times New Roman"/>
                <w:spacing w:val="-1"/>
                <w:sz w:val="18"/>
              </w:rPr>
              <w:t>79,972,449.13</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right"/>
              <w:rPr>
                <w:rFonts w:ascii="Times New Roman" w:hAnsi="Times New Roman" w:cs="Times New Roman" w:eastAsia="Times New Roman" w:hint="default"/>
                <w:sz w:val="18"/>
                <w:szCs w:val="18"/>
              </w:rPr>
            </w:pPr>
            <w:r>
              <w:rPr>
                <w:rFonts w:ascii="Times New Roman"/>
                <w:spacing w:val="-1"/>
                <w:sz w:val="18"/>
              </w:rPr>
              <w:t>79,972,449.13</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right"/>
              <w:rPr>
                <w:rFonts w:ascii="Times New Roman" w:hAnsi="Times New Roman" w:cs="Times New Roman" w:eastAsia="Times New Roman" w:hint="default"/>
                <w:sz w:val="18"/>
                <w:szCs w:val="18"/>
              </w:rPr>
            </w:pPr>
            <w:r>
              <w:rPr>
                <w:rFonts w:ascii="Times New Roman"/>
                <w:spacing w:val="-1"/>
                <w:sz w:val="18"/>
              </w:rPr>
              <w:t>79,972,449.13</w:t>
            </w:r>
          </w:p>
        </w:tc>
        <w:tc>
          <w:tcPr>
            <w:tcW w:w="1244" w:type="dxa"/>
            <w:tcBorders>
              <w:top w:val="single" w:sz="4" w:space="0" w:color="000000"/>
              <w:left w:val="single" w:sz="4" w:space="0" w:color="000000"/>
              <w:bottom w:val="single" w:sz="4" w:space="0" w:color="000000"/>
              <w:right w:val="single" w:sz="4" w:space="0" w:color="000000"/>
            </w:tcBorders>
          </w:tcPr>
          <w:p>
            <w:pPr/>
          </w:p>
        </w:tc>
        <w:tc>
          <w:tcPr>
            <w:tcW w:w="1324" w:type="dxa"/>
            <w:tcBorders>
              <w:top w:val="single" w:sz="4" w:space="0" w:color="000000"/>
              <w:left w:val="single" w:sz="4" w:space="0" w:color="000000"/>
              <w:bottom w:val="single" w:sz="4" w:space="0" w:color="000000"/>
              <w:right w:val="single" w:sz="4" w:space="0" w:color="000000"/>
            </w:tcBorders>
          </w:tcPr>
          <w:p>
            <w:pPr/>
          </w:p>
        </w:tc>
      </w:tr>
      <w:tr>
        <w:trPr>
          <w:trHeight w:val="342" w:hRule="exact"/>
        </w:trPr>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8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Times New Roman" w:hAnsi="Times New Roman" w:cs="Times New Roman" w:eastAsia="Times New Roman" w:hint="default"/>
                <w:sz w:val="18"/>
                <w:szCs w:val="18"/>
              </w:rPr>
            </w:pPr>
            <w:r>
              <w:rPr>
                <w:rFonts w:ascii="Times New Roman"/>
                <w:spacing w:val="-1"/>
                <w:sz w:val="18"/>
              </w:rPr>
              <w:t>341,386,421.21</w:t>
            </w:r>
          </w:p>
        </w:tc>
        <w:tc>
          <w:tcPr>
            <w:tcW w:w="1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Times New Roman" w:hAnsi="Times New Roman" w:cs="Times New Roman" w:eastAsia="Times New Roman" w:hint="default"/>
                <w:sz w:val="18"/>
                <w:szCs w:val="18"/>
              </w:rPr>
            </w:pPr>
            <w:r>
              <w:rPr>
                <w:rFonts w:ascii="Times New Roman"/>
                <w:spacing w:val="-1"/>
                <w:sz w:val="18"/>
              </w:rPr>
              <w:t>344,107,059.40</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Times New Roman" w:hAnsi="Times New Roman" w:cs="Times New Roman" w:eastAsia="Times New Roman" w:hint="default"/>
                <w:sz w:val="18"/>
                <w:szCs w:val="18"/>
              </w:rPr>
            </w:pPr>
            <w:r>
              <w:rPr>
                <w:rFonts w:ascii="Times New Roman"/>
                <w:spacing w:val="-1"/>
                <w:sz w:val="18"/>
              </w:rPr>
              <w:t>344,107,059.40</w:t>
            </w:r>
          </w:p>
        </w:tc>
        <w:tc>
          <w:tcPr>
            <w:tcW w:w="1244" w:type="dxa"/>
            <w:tcBorders>
              <w:top w:val="single" w:sz="4" w:space="0" w:color="000000"/>
              <w:left w:val="single" w:sz="4" w:space="0" w:color="000000"/>
              <w:bottom w:val="single" w:sz="4" w:space="0" w:color="000000"/>
              <w:right w:val="single" w:sz="4" w:space="0" w:color="000000"/>
            </w:tcBorders>
          </w:tcPr>
          <w:p>
            <w:pPr/>
          </w:p>
        </w:tc>
        <w:tc>
          <w:tcPr>
            <w:tcW w:w="1324"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10"/>
        <w:ind w:left="532" w:right="0"/>
        <w:jc w:val="left"/>
      </w:pPr>
      <w:r>
        <w:rPr>
          <w:rFonts w:ascii="Times New Roman" w:hAnsi="Times New Roman" w:cs="Times New Roman" w:eastAsia="Times New Roman" w:hint="default"/>
        </w:rPr>
        <w:t>(</w:t>
      </w:r>
      <w:r>
        <w:rPr/>
        <w:t>三</w:t>
      </w:r>
      <w:r>
        <w:rPr>
          <w:rFonts w:ascii="Times New Roman" w:hAnsi="Times New Roman" w:cs="Times New Roman" w:eastAsia="Times New Roman" w:hint="default"/>
        </w:rPr>
        <w:t>)</w:t>
      </w:r>
      <w:r>
        <w:rPr/>
        <w:t>市场风险</w:t>
      </w:r>
    </w:p>
    <w:p>
      <w:pPr>
        <w:spacing w:after="0" w:line="240" w:lineRule="auto"/>
        <w:jc w:val="left"/>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pStyle w:val="BodyText"/>
        <w:spacing w:line="316" w:lineRule="auto" w:before="44"/>
        <w:ind w:right="1120" w:firstLine="420"/>
        <w:jc w:val="left"/>
      </w:pPr>
      <w:r>
        <w:rPr/>
        <w:t>市场风险，是指金融工具的公允价值或未来现金流量因市场价格变动而发生波动的风险。市场风险主要包括利率风险 和外汇风险。</w:t>
      </w:r>
    </w:p>
    <w:p>
      <w:pPr>
        <w:pStyle w:val="BodyText"/>
        <w:spacing w:line="307" w:lineRule="auto" w:before="19"/>
        <w:ind w:left="532" w:right="1120"/>
        <w:jc w:val="left"/>
      </w:pPr>
      <w:r>
        <w:rPr>
          <w:rFonts w:ascii="Times New Roman" w:hAnsi="Times New Roman" w:cs="Times New Roman" w:eastAsia="Times New Roman" w:hint="default"/>
        </w:rPr>
        <w:t>1.</w:t>
      </w:r>
      <w:r>
        <w:rPr/>
        <w:t>利率风险 利率风险，是指金融工具的公允价值或未来现金流量因市场利率变动而发生波动的风险。本公司无重大利率风险。 </w:t>
      </w:r>
      <w:r>
        <w:rPr>
          <w:rFonts w:ascii="Times New Roman" w:hAnsi="Times New Roman" w:cs="Times New Roman" w:eastAsia="Times New Roman" w:hint="default"/>
        </w:rPr>
        <w:t>2.</w:t>
      </w:r>
      <w:r>
        <w:rPr/>
        <w:t>外汇风险 外汇风险，是指金融工具的公允价值或未来现金流量因外汇汇率变动而发生波动的风险。本公司于中国内地经营，且</w:t>
      </w:r>
    </w:p>
    <w:p>
      <w:pPr>
        <w:pStyle w:val="BodyText"/>
        <w:spacing w:line="316" w:lineRule="auto" w:before="26"/>
        <w:ind w:right="4814"/>
        <w:jc w:val="left"/>
      </w:pPr>
      <w:r>
        <w:rPr/>
        <w:t>主要活动以人民币计价。因此，本公司所承担的外汇变动市场风险不重大。 本公司期末无外币货币性资产和负债。</w:t>
      </w:r>
    </w:p>
    <w:p>
      <w:pPr>
        <w:spacing w:line="240" w:lineRule="auto" w:before="9"/>
        <w:rPr>
          <w:rFonts w:ascii="宋体" w:hAnsi="宋体" w:cs="宋体" w:eastAsia="宋体" w:hint="default"/>
          <w:sz w:val="20"/>
          <w:szCs w:val="20"/>
        </w:rPr>
      </w:pPr>
    </w:p>
    <w:p>
      <w:pPr>
        <w:pStyle w:val="Heading2"/>
        <w:spacing w:line="240" w:lineRule="auto"/>
        <w:ind w:right="0"/>
        <w:jc w:val="left"/>
        <w:rPr>
          <w:b w:val="0"/>
          <w:bCs w:val="0"/>
        </w:rPr>
      </w:pPr>
      <w:bookmarkStart w:name="十一、关联方及关联交易" w:id="384"/>
      <w:bookmarkEnd w:id="384"/>
      <w:r>
        <w:rPr>
          <w:b w:val="0"/>
          <w:bCs w:val="0"/>
        </w:rPr>
      </w:r>
      <w:r>
        <w:rPr/>
        <w:t>十一、关联方及关联交易</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本企业的母公司情况" w:id="385"/>
      <w:bookmarkEnd w:id="385"/>
      <w:r>
        <w:rPr>
          <w:b w:val="0"/>
          <w:bCs w:val="0"/>
        </w:rPr>
      </w:r>
      <w:r>
        <w:rPr>
          <w:rFonts w:ascii="Times New Roman" w:hAnsi="Times New Roman" w:cs="Times New Roman" w:eastAsia="Times New Roman" w:hint="default"/>
        </w:rPr>
        <w:t>1</w:t>
      </w:r>
      <w:r>
        <w:rPr/>
        <w:t>、本企业的母公司情况</w:t>
      </w:r>
      <w:r>
        <w:rPr>
          <w:b w:val="0"/>
          <w:bCs w:val="0"/>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595"/>
        <w:gridCol w:w="1594"/>
        <w:gridCol w:w="1594"/>
        <w:gridCol w:w="1594"/>
        <w:gridCol w:w="1594"/>
        <w:gridCol w:w="1595"/>
      </w:tblGrid>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342" w:right="0"/>
              <w:jc w:val="left"/>
              <w:rPr>
                <w:rFonts w:ascii="宋体" w:hAnsi="宋体" w:cs="宋体" w:eastAsia="宋体" w:hint="default"/>
                <w:sz w:val="18"/>
                <w:szCs w:val="18"/>
              </w:rPr>
            </w:pPr>
            <w:r>
              <w:rPr>
                <w:rFonts w:ascii="宋体" w:hAnsi="宋体" w:cs="宋体" w:eastAsia="宋体" w:hint="default"/>
                <w:sz w:val="18"/>
                <w:szCs w:val="18"/>
              </w:rPr>
              <w:t>母公司名称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523"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430"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41" w:right="160" w:hanging="180"/>
              <w:jc w:val="left"/>
              <w:rPr>
                <w:rFonts w:ascii="宋体" w:hAnsi="宋体" w:cs="宋体" w:eastAsia="宋体" w:hint="default"/>
                <w:sz w:val="18"/>
                <w:szCs w:val="18"/>
              </w:rPr>
            </w:pPr>
            <w:r>
              <w:rPr>
                <w:rFonts w:ascii="宋体" w:hAnsi="宋体" w:cs="宋体" w:eastAsia="宋体" w:hint="default"/>
                <w:sz w:val="18"/>
                <w:szCs w:val="18"/>
              </w:rPr>
              <w:t>母公司对本企业 的持股比例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52" w:right="162" w:hanging="92"/>
              <w:jc w:val="left"/>
              <w:rPr>
                <w:rFonts w:ascii="宋体" w:hAnsi="宋体" w:cs="宋体" w:eastAsia="宋体" w:hint="default"/>
                <w:sz w:val="18"/>
                <w:szCs w:val="18"/>
              </w:rPr>
            </w:pPr>
            <w:r>
              <w:rPr>
                <w:rFonts w:ascii="宋体" w:hAnsi="宋体" w:cs="宋体" w:eastAsia="宋体" w:hint="default"/>
                <w:sz w:val="18"/>
                <w:szCs w:val="18"/>
              </w:rPr>
              <w:t>母公司对本企业 的表决权比例</w:t>
            </w:r>
          </w:p>
        </w:tc>
      </w:tr>
      <w:tr>
        <w:trPr>
          <w:trHeight w:val="402"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葛航</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927" w:right="0"/>
              <w:jc w:val="left"/>
              <w:rPr>
                <w:rFonts w:ascii="Times New Roman" w:hAnsi="Times New Roman" w:cs="Times New Roman" w:eastAsia="Times New Roman" w:hint="default"/>
                <w:sz w:val="18"/>
                <w:szCs w:val="18"/>
              </w:rPr>
            </w:pPr>
            <w:r>
              <w:rPr>
                <w:rFonts w:ascii="Times New Roman"/>
                <w:sz w:val="18"/>
              </w:rPr>
              <w:t>25.30%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926" w:right="0"/>
              <w:jc w:val="left"/>
              <w:rPr>
                <w:rFonts w:ascii="Times New Roman" w:hAnsi="Times New Roman" w:cs="Times New Roman" w:eastAsia="Times New Roman" w:hint="default"/>
                <w:sz w:val="18"/>
                <w:szCs w:val="18"/>
              </w:rPr>
            </w:pPr>
            <w:r>
              <w:rPr>
                <w:rFonts w:ascii="Times New Roman"/>
                <w:sz w:val="18"/>
              </w:rPr>
              <w:t>25.30%</w:t>
            </w:r>
          </w:p>
        </w:tc>
      </w:tr>
    </w:tbl>
    <w:p>
      <w:pPr>
        <w:pStyle w:val="BodyText"/>
        <w:spacing w:line="360" w:lineRule="auto" w:before="49"/>
        <w:ind w:left="472" w:right="1184" w:hanging="360"/>
        <w:jc w:val="left"/>
      </w:pPr>
      <w:r>
        <w:rPr/>
        <w:t>本企业的母公司情况的说明 葛航直接持有本公司</w:t>
      </w:r>
      <w:r>
        <w:rPr>
          <w:rFonts w:ascii="Times New Roman" w:hAnsi="Times New Roman" w:cs="Times New Roman" w:eastAsia="Times New Roman" w:hint="default"/>
        </w:rPr>
        <w:t>18.39%</w:t>
      </w:r>
      <w:r>
        <w:rPr/>
        <w:t>的股权；葛航持有浙江中宇信息科技有限公司</w:t>
      </w:r>
      <w:r>
        <w:rPr>
          <w:rFonts w:ascii="Times New Roman" w:hAnsi="Times New Roman" w:cs="Times New Roman" w:eastAsia="Times New Roman" w:hint="default"/>
        </w:rPr>
        <w:t>95.00%</w:t>
      </w:r>
      <w:r>
        <w:rPr/>
        <w:t>的股权，浙江中宇信息科技有限公司</w:t>
      </w:r>
    </w:p>
    <w:p>
      <w:pPr>
        <w:pStyle w:val="BodyText"/>
        <w:spacing w:line="212" w:lineRule="exact"/>
        <w:ind w:right="0"/>
        <w:jc w:val="left"/>
      </w:pPr>
      <w:r>
        <w:rPr/>
        <w:t>持有杭州阜康投资有限公司</w:t>
      </w:r>
      <w:r>
        <w:rPr>
          <w:rFonts w:ascii="Times New Roman" w:hAnsi="Times New Roman" w:cs="Times New Roman" w:eastAsia="Times New Roman" w:hint="default"/>
        </w:rPr>
        <w:t>69.1637%</w:t>
      </w:r>
      <w:r>
        <w:rPr/>
        <w:t>的股权，杭州阜康投资有限公司持有本公司</w:t>
      </w:r>
      <w:r>
        <w:rPr>
          <w:rFonts w:ascii="Times New Roman" w:hAnsi="Times New Roman" w:cs="Times New Roman" w:eastAsia="Times New Roman" w:hint="default"/>
        </w:rPr>
        <w:t>10.51%</w:t>
      </w:r>
      <w:r>
        <w:rPr/>
        <w:t>的股权，因此葛航直接和间接持有</w:t>
      </w:r>
    </w:p>
    <w:p>
      <w:pPr>
        <w:pStyle w:val="BodyText"/>
        <w:spacing w:line="340" w:lineRule="auto" w:before="63"/>
        <w:ind w:left="472" w:right="8234" w:hanging="360"/>
        <w:jc w:val="left"/>
      </w:pPr>
      <w:r>
        <w:rPr/>
        <w:t>公司合计</w:t>
      </w:r>
      <w:r>
        <w:rPr>
          <w:rFonts w:ascii="Times New Roman" w:hAnsi="Times New Roman" w:cs="Times New Roman" w:eastAsia="Times New Roman" w:hint="default"/>
        </w:rPr>
        <w:t>25.30%</w:t>
      </w:r>
      <w:r>
        <w:rPr/>
        <w:t>的股权。 本企业最终控制方是葛航。</w:t>
      </w:r>
    </w:p>
    <w:p>
      <w:pPr>
        <w:pStyle w:val="BodyText"/>
        <w:spacing w:line="240" w:lineRule="auto" w:before="39"/>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2、本企业的子公司情况" w:id="386"/>
      <w:bookmarkEnd w:id="386"/>
      <w:r>
        <w:rPr>
          <w:b w:val="0"/>
          <w:bCs w:val="0"/>
        </w:rPr>
      </w:r>
      <w:r>
        <w:rPr>
          <w:rFonts w:ascii="Times New Roman" w:hAnsi="Times New Roman" w:cs="Times New Roman" w:eastAsia="Times New Roman" w:hint="default"/>
        </w:rPr>
        <w:t>2</w:t>
      </w:r>
      <w:r>
        <w:rPr/>
        <w:t>、本企业的子公司情况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本企业子公司的情况详见附注在其他主体中的权益之说明。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3、本企业合营和联营企业情况" w:id="387"/>
      <w:bookmarkEnd w:id="387"/>
      <w:r>
        <w:rPr>
          <w:b w:val="0"/>
          <w:bCs w:val="0"/>
        </w:rPr>
      </w:r>
      <w:r>
        <w:rPr>
          <w:rFonts w:ascii="Times New Roman" w:hAnsi="Times New Roman" w:cs="Times New Roman" w:eastAsia="Times New Roman" w:hint="default"/>
        </w:rPr>
        <w:t>3</w:t>
      </w:r>
      <w:r>
        <w:rPr/>
        <w:t>、本企业合营和联营企业情况</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2294"/>
        <w:jc w:val="left"/>
      </w:pPr>
      <w:r>
        <w:rPr/>
        <w:t>本企业重要的合营或联营企业详见附注在其他主体中的权益之说明。 本期与本公司发生关联方交易，或前期与本公司发生关联方交易形成余额的其他合营或联营企业情况如下：</w:t>
      </w:r>
    </w:p>
    <w:tbl>
      <w:tblPr>
        <w:tblW w:w="0" w:type="auto"/>
        <w:jc w:val="left"/>
        <w:tblInd w:w="109" w:type="dxa"/>
        <w:tblLayout w:type="fixed"/>
        <w:tblCellMar>
          <w:top w:w="0" w:type="dxa"/>
          <w:left w:w="0" w:type="dxa"/>
          <w:bottom w:w="0" w:type="dxa"/>
          <w:right w:w="0" w:type="dxa"/>
        </w:tblCellMar>
        <w:tblLook w:val="01E0"/>
      </w:tblPr>
      <w:tblGrid>
        <w:gridCol w:w="4782"/>
        <w:gridCol w:w="4786"/>
      </w:tblGrid>
      <w:tr>
        <w:trPr>
          <w:trHeight w:val="402" w:hRule="exact"/>
        </w:trPr>
        <w:tc>
          <w:tcPr>
            <w:tcW w:w="4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5" w:right="0"/>
              <w:jc w:val="left"/>
              <w:rPr>
                <w:rFonts w:ascii="宋体" w:hAnsi="宋体" w:cs="宋体" w:eastAsia="宋体" w:hint="default"/>
                <w:sz w:val="18"/>
                <w:szCs w:val="18"/>
              </w:rPr>
            </w:pPr>
            <w:r>
              <w:rPr>
                <w:rFonts w:ascii="宋体" w:hAnsi="宋体" w:cs="宋体" w:eastAsia="宋体" w:hint="default"/>
                <w:sz w:val="18"/>
                <w:szCs w:val="18"/>
              </w:rPr>
              <w:t>合营或联营企业名称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与本企业关系</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浙江美康网新云健康科技股份有限公司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北京童康医疗信息技术有限公司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联营企业</w:t>
            </w:r>
          </w:p>
        </w:tc>
      </w:tr>
    </w:tbl>
    <w:p>
      <w:pPr>
        <w:pStyle w:val="BodyText"/>
        <w:spacing w:line="240" w:lineRule="auto" w:before="68"/>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4、其他关联方情况" w:id="388"/>
      <w:bookmarkEnd w:id="388"/>
      <w:r>
        <w:rPr>
          <w:b w:val="0"/>
          <w:bCs w:val="0"/>
        </w:rPr>
      </w:r>
      <w:r>
        <w:rPr>
          <w:rFonts w:ascii="Times New Roman" w:hAnsi="Times New Roman" w:cs="Times New Roman" w:eastAsia="Times New Roman" w:hint="default"/>
        </w:rPr>
        <w:t>4</w:t>
      </w:r>
      <w:r>
        <w:rPr/>
        <w:t>、其他关联方情况</w:t>
      </w:r>
      <w:r>
        <w:rPr>
          <w:b w:val="0"/>
          <w:bCs w:val="0"/>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4782"/>
        <w:gridCol w:w="4786"/>
      </w:tblGrid>
      <w:tr>
        <w:trPr>
          <w:trHeight w:val="402" w:hRule="exact"/>
        </w:trPr>
        <w:tc>
          <w:tcPr>
            <w:tcW w:w="4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1"/>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99" w:right="0"/>
              <w:jc w:val="left"/>
              <w:rPr>
                <w:rFonts w:ascii="宋体" w:hAnsi="宋体" w:cs="宋体" w:eastAsia="宋体" w:hint="default"/>
                <w:sz w:val="18"/>
                <w:szCs w:val="18"/>
              </w:rPr>
            </w:pPr>
            <w:r>
              <w:rPr>
                <w:rFonts w:ascii="宋体" w:hAnsi="宋体" w:cs="宋体" w:eastAsia="宋体" w:hint="default"/>
                <w:sz w:val="18"/>
                <w:szCs w:val="18"/>
              </w:rPr>
              <w:t>其他关联方与本企业关系</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浙江建达科技股份有限公司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周建新控制的企业</w:t>
            </w:r>
          </w:p>
        </w:tc>
      </w:tr>
      <w:tr>
        <w:trPr>
          <w:trHeight w:val="400"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浙江中福健康管理有限公司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实际控制人控制的公司</w:t>
            </w:r>
          </w:p>
        </w:tc>
      </w:tr>
    </w:tbl>
    <w:p>
      <w:pPr>
        <w:spacing w:after="0" w:line="240"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6"/>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4782"/>
        <w:gridCol w:w="4786"/>
      </w:tblGrid>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杭州中福投资管理有限公司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实际控制人控制的公司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杭州爱葆云科技有限公司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实际控制人控制的公司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杭州健保付网络科技有限公司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实际控制人控制的公司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杭州生命海网络科技有限公司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实际控制人控制的公司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杭州亿家健康管理有限公司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实际控制人控制的公司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杭州康祥医院有限公司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实际控制人控制的公司</w:t>
            </w:r>
          </w:p>
        </w:tc>
      </w:tr>
      <w:tr>
        <w:trPr>
          <w:trHeight w:val="402"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杭州隽宝科技有限公司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实际控制人控制的公司的联营企业</w:t>
            </w:r>
          </w:p>
        </w:tc>
      </w:tr>
    </w:tbl>
    <w:p>
      <w:pPr>
        <w:pStyle w:val="BodyText"/>
        <w:spacing w:line="240" w:lineRule="auto" w:before="51"/>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5、关联交易情况" w:id="389"/>
      <w:bookmarkEnd w:id="389"/>
      <w:r>
        <w:rPr>
          <w:b w:val="0"/>
          <w:bCs w:val="0"/>
        </w:rPr>
      </w:r>
      <w:r>
        <w:rPr>
          <w:rFonts w:ascii="Times New Roman" w:hAnsi="Times New Roman" w:cs="Times New Roman" w:eastAsia="Times New Roman" w:hint="default"/>
        </w:rPr>
        <w:t>5</w:t>
      </w:r>
      <w:r>
        <w:rPr/>
        <w:t>、关联交易情况</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1）购销商品、提供和接受劳务的关联交易" w:id="390"/>
      <w:bookmarkEnd w:id="390"/>
      <w:r>
        <w:rPr>
          <w:b w:val="0"/>
          <w:bCs w:val="0"/>
        </w:rPr>
      </w:r>
      <w:r>
        <w:rPr/>
        <w:t>（</w:t>
      </w:r>
      <w:r>
        <w:rPr>
          <w:rFonts w:ascii="Times New Roman" w:hAnsi="Times New Roman" w:cs="Times New Roman" w:eastAsia="Times New Roman" w:hint="default"/>
        </w:rPr>
        <w:t>1</w:t>
      </w:r>
      <w:r>
        <w:rPr/>
        <w:t>）购销商品、提供和接受劳务的关联交易</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采购商品</w:t>
      </w:r>
      <w:r>
        <w:rPr>
          <w:rFonts w:ascii="Times New Roman" w:hAnsi="Times New Roman" w:cs="Times New Roman" w:eastAsia="Times New Roman" w:hint="default"/>
        </w:rPr>
        <w:t>/</w:t>
      </w:r>
      <w:r>
        <w:rPr/>
        <w:t>接受劳务情况表</w:t>
      </w:r>
    </w:p>
    <w:p>
      <w:pPr>
        <w:pStyle w:val="BodyText"/>
        <w:spacing w:line="240" w:lineRule="auto" w:before="101"/>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40"/>
        <w:gridCol w:w="1454"/>
        <w:gridCol w:w="1454"/>
        <w:gridCol w:w="1707"/>
        <w:gridCol w:w="1707"/>
        <w:gridCol w:w="1707"/>
      </w:tblGrid>
      <w:tr>
        <w:trPr>
          <w:trHeight w:val="402" w:hRule="exact"/>
        </w:trPr>
        <w:tc>
          <w:tcPr>
            <w:tcW w:w="1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95"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81"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7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18" w:right="0"/>
              <w:jc w:val="left"/>
              <w:rPr>
                <w:rFonts w:ascii="宋体" w:hAnsi="宋体" w:cs="宋体" w:eastAsia="宋体" w:hint="default"/>
                <w:sz w:val="18"/>
                <w:szCs w:val="18"/>
              </w:rPr>
            </w:pPr>
            <w:r>
              <w:rPr>
                <w:rFonts w:ascii="宋体" w:hAnsi="宋体" w:cs="宋体" w:eastAsia="宋体" w:hint="default"/>
                <w:sz w:val="18"/>
                <w:szCs w:val="18"/>
              </w:rPr>
              <w:t>获批的交易额度</w:t>
            </w:r>
          </w:p>
        </w:tc>
        <w:tc>
          <w:tcPr>
            <w:tcW w:w="1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27" w:right="0"/>
              <w:jc w:val="left"/>
              <w:rPr>
                <w:rFonts w:ascii="宋体" w:hAnsi="宋体" w:cs="宋体" w:eastAsia="宋体" w:hint="default"/>
                <w:sz w:val="18"/>
                <w:szCs w:val="18"/>
              </w:rPr>
            </w:pPr>
            <w:r>
              <w:rPr>
                <w:rFonts w:ascii="宋体" w:hAnsi="宋体" w:cs="宋体" w:eastAsia="宋体" w:hint="default"/>
                <w:sz w:val="18"/>
                <w:szCs w:val="18"/>
              </w:rPr>
              <w:t>是否超过交易额度</w:t>
            </w:r>
          </w:p>
        </w:tc>
        <w:tc>
          <w:tcPr>
            <w:tcW w:w="17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97"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026" w:hRule="exact"/>
        </w:trPr>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1" w:right="166"/>
              <w:jc w:val="both"/>
              <w:rPr>
                <w:rFonts w:ascii="宋体" w:hAnsi="宋体" w:cs="宋体" w:eastAsia="宋体" w:hint="default"/>
                <w:sz w:val="18"/>
                <w:szCs w:val="18"/>
              </w:rPr>
            </w:pPr>
            <w:r>
              <w:rPr>
                <w:rFonts w:ascii="宋体" w:hAnsi="宋体" w:cs="宋体" w:eastAsia="宋体" w:hint="default"/>
                <w:sz w:val="18"/>
                <w:szCs w:val="18"/>
              </w:rPr>
              <w:t>浙江美康网新云 健康科技股份有 限公司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2" w:right="0"/>
              <w:jc w:val="left"/>
              <w:rPr>
                <w:rFonts w:ascii="宋体" w:hAnsi="宋体" w:cs="宋体" w:eastAsia="宋体" w:hint="default"/>
                <w:sz w:val="18"/>
                <w:szCs w:val="18"/>
              </w:rPr>
            </w:pPr>
            <w:r>
              <w:rPr>
                <w:rFonts w:ascii="宋体" w:hAnsi="宋体" w:cs="宋体" w:eastAsia="宋体" w:hint="default"/>
                <w:sz w:val="18"/>
                <w:szCs w:val="18"/>
              </w:rPr>
              <w:t>软件产品</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5,000,000.00</w:t>
            </w:r>
          </w:p>
        </w:tc>
        <w:tc>
          <w:tcPr>
            <w:tcW w:w="1707"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70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66"/>
              <w:jc w:val="left"/>
              <w:rPr>
                <w:rFonts w:ascii="宋体" w:hAnsi="宋体" w:cs="宋体" w:eastAsia="宋体" w:hint="default"/>
                <w:sz w:val="18"/>
                <w:szCs w:val="18"/>
              </w:rPr>
            </w:pPr>
            <w:r>
              <w:rPr>
                <w:rFonts w:ascii="宋体" w:hAnsi="宋体" w:cs="宋体" w:eastAsia="宋体" w:hint="default"/>
                <w:sz w:val="18"/>
                <w:szCs w:val="18"/>
              </w:rPr>
              <w:t>北京童康医疗信 息技术有限公司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软件咨询服务</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6,654,960.57</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10,000,000.00</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5,285,272.78</w:t>
            </w:r>
          </w:p>
        </w:tc>
      </w:tr>
      <w:tr>
        <w:trPr>
          <w:trHeight w:val="714" w:hRule="exact"/>
        </w:trPr>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1" w:right="166"/>
              <w:jc w:val="left"/>
              <w:rPr>
                <w:rFonts w:ascii="宋体" w:hAnsi="宋体" w:cs="宋体" w:eastAsia="宋体" w:hint="default"/>
                <w:sz w:val="18"/>
                <w:szCs w:val="18"/>
              </w:rPr>
            </w:pPr>
            <w:r>
              <w:rPr>
                <w:rFonts w:ascii="宋体" w:hAnsi="宋体" w:cs="宋体" w:eastAsia="宋体" w:hint="default"/>
                <w:sz w:val="18"/>
                <w:szCs w:val="18"/>
              </w:rPr>
              <w:t>浙江建达科技股 份有限公司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102" w:right="101"/>
              <w:jc w:val="left"/>
              <w:rPr>
                <w:rFonts w:ascii="宋体" w:hAnsi="宋体" w:cs="宋体" w:eastAsia="宋体" w:hint="default"/>
                <w:sz w:val="18"/>
                <w:szCs w:val="18"/>
              </w:rPr>
            </w:pPr>
            <w:r>
              <w:rPr>
                <w:rFonts w:ascii="宋体" w:hAnsi="宋体" w:cs="宋体" w:eastAsia="宋体" w:hint="default"/>
                <w:spacing w:val="-4"/>
                <w:sz w:val="18"/>
                <w:szCs w:val="18"/>
              </w:rPr>
              <w:t>硬件产品、监控</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维护服务</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93,103.45</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500,000.00</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265,735.20</w:t>
            </w:r>
          </w:p>
        </w:tc>
      </w:tr>
    </w:tbl>
    <w:p>
      <w:pPr>
        <w:pStyle w:val="BodyText"/>
        <w:spacing w:line="240" w:lineRule="auto" w:before="50"/>
        <w:ind w:right="0"/>
        <w:jc w:val="left"/>
      </w:pPr>
      <w:r>
        <w:rPr/>
        <w:t>出售商品</w:t>
      </w:r>
      <w:r>
        <w:rPr>
          <w:rFonts w:ascii="Times New Roman" w:hAnsi="Times New Roman" w:cs="Times New Roman" w:eastAsia="Times New Roman" w:hint="default"/>
        </w:rPr>
        <w:t>/</w:t>
      </w:r>
      <w:r>
        <w:rPr/>
        <w:t>提供劳务情况表</w:t>
      </w:r>
    </w:p>
    <w:p>
      <w:pPr>
        <w:pStyle w:val="BodyText"/>
        <w:spacing w:line="240" w:lineRule="auto" w:before="103"/>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7"/>
        <w:gridCol w:w="2259"/>
        <w:gridCol w:w="2259"/>
        <w:gridCol w:w="2653"/>
      </w:tblGrid>
      <w:tr>
        <w:trPr>
          <w:trHeight w:val="402" w:hRule="exact"/>
        </w:trPr>
        <w:tc>
          <w:tcPr>
            <w:tcW w:w="23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84"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7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71"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23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23"/>
              <w:jc w:val="left"/>
              <w:rPr>
                <w:rFonts w:ascii="宋体" w:hAnsi="宋体" w:cs="宋体" w:eastAsia="宋体" w:hint="default"/>
                <w:sz w:val="18"/>
                <w:szCs w:val="18"/>
              </w:rPr>
            </w:pPr>
            <w:r>
              <w:rPr>
                <w:rFonts w:ascii="宋体" w:hAnsi="宋体" w:cs="宋体" w:eastAsia="宋体" w:hint="default"/>
                <w:sz w:val="18"/>
                <w:szCs w:val="18"/>
              </w:rPr>
              <w:t>浙江美康网新云健康科技股 份有限公司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软件产品</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2,000,000.00</w:t>
            </w:r>
          </w:p>
        </w:tc>
        <w:tc>
          <w:tcPr>
            <w:tcW w:w="265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浙江建达科技股份有限公司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软件产品、</w:t>
            </w:r>
            <w:r>
              <w:rPr>
                <w:rFonts w:ascii="Times New Roman" w:hAnsi="Times New Roman" w:cs="Times New Roman" w:eastAsia="Times New Roman" w:hint="default"/>
                <w:sz w:val="18"/>
                <w:szCs w:val="18"/>
              </w:rPr>
              <w:t>IT</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运维服务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5,127,746.97</w:t>
            </w:r>
          </w:p>
        </w:tc>
        <w:tc>
          <w:tcPr>
            <w:tcW w:w="2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594" w:right="0"/>
              <w:jc w:val="left"/>
              <w:rPr>
                <w:rFonts w:ascii="Times New Roman" w:hAnsi="Times New Roman" w:cs="Times New Roman" w:eastAsia="Times New Roman" w:hint="default"/>
                <w:sz w:val="18"/>
                <w:szCs w:val="18"/>
              </w:rPr>
            </w:pPr>
            <w:r>
              <w:rPr>
                <w:rFonts w:ascii="Times New Roman"/>
                <w:sz w:val="18"/>
              </w:rPr>
              <w:t>2,659,219.15</w:t>
            </w:r>
          </w:p>
        </w:tc>
      </w:tr>
      <w:tr>
        <w:trPr>
          <w:trHeight w:val="402" w:hRule="exact"/>
        </w:trPr>
        <w:tc>
          <w:tcPr>
            <w:tcW w:w="2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杭州康祥医院有限公司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软件产品</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18"/>
                <w:szCs w:val="18"/>
              </w:rPr>
            </w:pPr>
            <w:r>
              <w:rPr>
                <w:rFonts w:ascii="Times New Roman"/>
                <w:spacing w:val="-1"/>
                <w:sz w:val="18"/>
              </w:rPr>
              <w:t>78,720.90</w:t>
            </w:r>
          </w:p>
        </w:tc>
        <w:tc>
          <w:tcPr>
            <w:tcW w:w="2653"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49"/>
        <w:ind w:right="0"/>
        <w:jc w:val="left"/>
      </w:pPr>
      <w:r>
        <w:rPr/>
        <w:t>购销商品、提供和接受劳务的关联交易说明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2）关联受托管理/承包及委托管理/出包情况" w:id="391"/>
      <w:bookmarkEnd w:id="391"/>
      <w:r>
        <w:rPr>
          <w:b w:val="0"/>
          <w:bCs w:val="0"/>
        </w:rPr>
      </w:r>
      <w:r>
        <w:rPr/>
        <w:t>（</w:t>
      </w:r>
      <w:r>
        <w:rPr>
          <w:rFonts w:ascii="Times New Roman" w:hAnsi="Times New Roman" w:cs="Times New Roman" w:eastAsia="Times New Roman" w:hint="default"/>
        </w:rPr>
        <w:t>2</w:t>
      </w:r>
      <w:r>
        <w:rPr/>
        <w:t>）关联受托管理</w:t>
      </w:r>
      <w:r>
        <w:rPr>
          <w:rFonts w:ascii="Times New Roman" w:hAnsi="Times New Roman" w:cs="Times New Roman" w:eastAsia="Times New Roman" w:hint="default"/>
        </w:rPr>
        <w:t>/</w:t>
      </w:r>
      <w:r>
        <w:rPr/>
        <w:t>承包及委托管理</w:t>
      </w:r>
      <w:r>
        <w:rPr>
          <w:rFonts w:ascii="Times New Roman" w:hAnsi="Times New Roman" w:cs="Times New Roman" w:eastAsia="Times New Roman" w:hint="default"/>
        </w:rPr>
        <w:t>/</w:t>
      </w:r>
      <w:r>
        <w:rPr/>
        <w:t>出包情况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本公司受托管理</w:t>
      </w:r>
      <w:r>
        <w:rPr>
          <w:rFonts w:ascii="Times New Roman" w:hAnsi="Times New Roman" w:cs="Times New Roman" w:eastAsia="Times New Roman" w:hint="default"/>
        </w:rPr>
        <w:t>/</w:t>
      </w:r>
      <w:r>
        <w:rPr/>
        <w:t>承包情况表：</w:t>
      </w:r>
    </w:p>
    <w:p>
      <w:pPr>
        <w:pStyle w:val="BodyText"/>
        <w:spacing w:line="240" w:lineRule="auto" w:before="101"/>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7"/>
        <w:gridCol w:w="1368"/>
        <w:gridCol w:w="1367"/>
        <w:gridCol w:w="1367"/>
        <w:gridCol w:w="1367"/>
        <w:gridCol w:w="1367"/>
      </w:tblGrid>
      <w:tr>
        <w:trPr>
          <w:trHeight w:val="1026"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00" w:lineRule="auto"/>
              <w:ind w:left="498" w:right="112" w:hanging="384"/>
              <w:jc w:val="left"/>
              <w:rPr>
                <w:rFonts w:ascii="宋体" w:hAnsi="宋体" w:cs="宋体" w:eastAsia="宋体" w:hint="default"/>
                <w:sz w:val="18"/>
                <w:szCs w:val="18"/>
              </w:rPr>
            </w:pPr>
            <w:r>
              <w:rPr>
                <w:rFonts w:ascii="宋体" w:hAnsi="宋体" w:cs="宋体" w:eastAsia="宋体" w:hint="default"/>
                <w:sz w:val="18"/>
                <w:szCs w:val="18"/>
              </w:rPr>
              <w:t>委托方</w:t>
            </w:r>
            <w:r>
              <w:rPr>
                <w:rFonts w:ascii="Times New Roman" w:hAnsi="Times New Roman" w:cs="Times New Roman" w:eastAsia="Times New Roman" w:hint="default"/>
                <w:sz w:val="18"/>
                <w:szCs w:val="18"/>
              </w:rPr>
              <w:t>/</w:t>
            </w:r>
            <w:r>
              <w:rPr>
                <w:rFonts w:ascii="宋体" w:hAnsi="宋体" w:cs="宋体" w:eastAsia="宋体" w:hint="default"/>
                <w:sz w:val="18"/>
                <w:szCs w:val="18"/>
              </w:rPr>
              <w:t>出包方 名称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00" w:lineRule="auto"/>
              <w:ind w:left="498" w:right="113" w:hanging="384"/>
              <w:jc w:val="left"/>
              <w:rPr>
                <w:rFonts w:ascii="宋体" w:hAnsi="宋体" w:cs="宋体" w:eastAsia="宋体" w:hint="default"/>
                <w:sz w:val="18"/>
                <w:szCs w:val="18"/>
              </w:rPr>
            </w:pPr>
            <w:r>
              <w:rPr>
                <w:rFonts w:ascii="宋体" w:hAnsi="宋体" w:cs="宋体" w:eastAsia="宋体" w:hint="default"/>
                <w:sz w:val="18"/>
                <w:szCs w:val="18"/>
              </w:rPr>
              <w:t>受托方</w:t>
            </w:r>
            <w:r>
              <w:rPr>
                <w:rFonts w:ascii="Times New Roman" w:hAnsi="Times New Roman" w:cs="Times New Roman" w:eastAsia="Times New Roman" w:hint="default"/>
                <w:sz w:val="18"/>
                <w:szCs w:val="18"/>
              </w:rPr>
              <w:t>/</w:t>
            </w:r>
            <w:r>
              <w:rPr>
                <w:rFonts w:ascii="宋体" w:hAnsi="宋体" w:cs="宋体" w:eastAsia="宋体" w:hint="default"/>
                <w:sz w:val="18"/>
                <w:szCs w:val="18"/>
              </w:rPr>
              <w:t>承包方 名称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00" w:lineRule="auto"/>
              <w:ind w:left="498" w:right="113" w:hanging="384"/>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承包资产 类型</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00" w:lineRule="auto"/>
              <w:ind w:left="587" w:right="112" w:hanging="476"/>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承包起始 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00" w:lineRule="auto"/>
              <w:ind w:left="588" w:right="111" w:hanging="476"/>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承包终止 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00" w:lineRule="auto"/>
              <w:ind w:left="138" w:right="112" w:hanging="27"/>
              <w:jc w:val="left"/>
              <w:rPr>
                <w:rFonts w:ascii="宋体" w:hAnsi="宋体" w:cs="宋体" w:eastAsia="宋体" w:hint="default"/>
                <w:sz w:val="18"/>
                <w:szCs w:val="18"/>
              </w:rPr>
            </w:pPr>
            <w:r>
              <w:rPr>
                <w:rFonts w:ascii="宋体" w:hAnsi="宋体" w:cs="宋体" w:eastAsia="宋体" w:hint="default"/>
                <w:sz w:val="18"/>
                <w:szCs w:val="18"/>
              </w:rPr>
              <w:t>托管收益</w:t>
            </w:r>
            <w:r>
              <w:rPr>
                <w:rFonts w:ascii="Times New Roman" w:hAnsi="Times New Roman" w:cs="Times New Roman" w:eastAsia="Times New Roman" w:hint="default"/>
                <w:sz w:val="18"/>
                <w:szCs w:val="18"/>
              </w:rPr>
              <w:t>/</w:t>
            </w:r>
            <w:r>
              <w:rPr>
                <w:rFonts w:ascii="宋体" w:hAnsi="宋体" w:cs="宋体" w:eastAsia="宋体" w:hint="default"/>
                <w:sz w:val="18"/>
                <w:szCs w:val="18"/>
              </w:rPr>
              <w:t>承包 收益定价依据</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0"/>
              <w:ind w:left="113" w:right="111" w:hanging="3"/>
              <w:jc w:val="center"/>
              <w:rPr>
                <w:rFonts w:ascii="宋体" w:hAnsi="宋体" w:cs="宋体" w:eastAsia="宋体" w:hint="default"/>
                <w:sz w:val="18"/>
                <w:szCs w:val="18"/>
              </w:rPr>
            </w:pPr>
            <w:r>
              <w:rPr>
                <w:rFonts w:ascii="宋体" w:hAnsi="宋体" w:cs="宋体" w:eastAsia="宋体" w:hint="default"/>
                <w:sz w:val="18"/>
                <w:szCs w:val="18"/>
              </w:rPr>
              <w:t>本期确认的托 管收益</w:t>
            </w:r>
            <w:r>
              <w:rPr>
                <w:rFonts w:ascii="Times New Roman" w:hAnsi="Times New Roman" w:cs="Times New Roman" w:eastAsia="Times New Roman" w:hint="default"/>
                <w:sz w:val="18"/>
                <w:szCs w:val="18"/>
              </w:rPr>
              <w:t>/</w:t>
            </w:r>
            <w:r>
              <w:rPr>
                <w:rFonts w:ascii="宋体" w:hAnsi="宋体" w:cs="宋体" w:eastAsia="宋体" w:hint="default"/>
                <w:sz w:val="18"/>
                <w:szCs w:val="18"/>
              </w:rPr>
              <w:t>承包收 益</w:t>
            </w:r>
          </w:p>
        </w:tc>
      </w:tr>
    </w:tbl>
    <w:p>
      <w:pPr>
        <w:spacing w:after="0" w:line="309" w:lineRule="auto"/>
        <w:jc w:val="center"/>
        <w:rPr>
          <w:rFonts w:ascii="宋体" w:hAnsi="宋体" w:cs="宋体" w:eastAsia="宋体" w:hint="default"/>
          <w:sz w:val="18"/>
          <w:szCs w:val="18"/>
        </w:rPr>
        <w:sectPr>
          <w:pgSz w:w="11910" w:h="16840"/>
          <w:pgMar w:header="907" w:footer="1016" w:top="1100" w:bottom="1200" w:left="1020" w:right="0"/>
        </w:sectPr>
      </w:pPr>
    </w:p>
    <w:p>
      <w:pPr>
        <w:spacing w:line="240" w:lineRule="auto" w:before="13"/>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907" w:footer="1016" w:top="1100" w:bottom="1200" w:left="1020" w:right="0"/>
        </w:sectPr>
      </w:pPr>
    </w:p>
    <w:p>
      <w:pPr>
        <w:pStyle w:val="BodyText"/>
        <w:spacing w:line="338" w:lineRule="auto" w:before="44"/>
        <w:ind w:right="-19"/>
        <w:jc w:val="left"/>
      </w:pPr>
      <w:r>
        <w:rPr/>
        <w:t>关联托管</w:t>
      </w:r>
      <w:r>
        <w:rPr>
          <w:rFonts w:ascii="Times New Roman" w:hAnsi="Times New Roman" w:cs="Times New Roman" w:eastAsia="Times New Roman" w:hint="default"/>
        </w:rPr>
        <w:t>/</w:t>
      </w:r>
      <w:r>
        <w:rPr/>
        <w:t>承包情况说明 本公司委托管理</w:t>
      </w:r>
      <w:r>
        <w:rPr>
          <w:rFonts w:ascii="Times New Roman" w:hAnsi="Times New Roman" w:cs="Times New Roman" w:eastAsia="Times New Roman" w:hint="default"/>
        </w:rPr>
        <w:t>/</w:t>
      </w:r>
      <w:r>
        <w:rPr/>
        <w:t>出包情况表：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100" w:bottom="1200" w:left="1020" w:right="0"/>
          <w:cols w:num="2" w:equalWidth="0">
            <w:col w:w="2504" w:space="6415"/>
            <w:col w:w="1971"/>
          </w:cols>
        </w:sectPr>
      </w:pP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7"/>
        <w:gridCol w:w="1368"/>
        <w:gridCol w:w="1367"/>
        <w:gridCol w:w="1367"/>
        <w:gridCol w:w="1367"/>
        <w:gridCol w:w="1367"/>
      </w:tblGrid>
      <w:tr>
        <w:trPr>
          <w:trHeight w:val="361" w:hRule="exact"/>
        </w:trPr>
        <w:tc>
          <w:tcPr>
            <w:tcW w:w="1368"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委托方</w:t>
            </w:r>
            <w:r>
              <w:rPr>
                <w:rFonts w:ascii="Times New Roman" w:hAnsi="Times New Roman" w:cs="Times New Roman" w:eastAsia="Times New Roman" w:hint="default"/>
                <w:sz w:val="18"/>
                <w:szCs w:val="18"/>
              </w:rPr>
              <w:t>/</w:t>
            </w:r>
            <w:r>
              <w:rPr>
                <w:rFonts w:ascii="宋体" w:hAnsi="宋体" w:cs="宋体" w:eastAsia="宋体" w:hint="default"/>
                <w:sz w:val="18"/>
                <w:szCs w:val="18"/>
              </w:rPr>
              <w:t>出包方</w:t>
            </w: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受托方</w:t>
            </w:r>
            <w:r>
              <w:rPr>
                <w:rFonts w:ascii="Times New Roman" w:hAnsi="Times New Roman" w:cs="Times New Roman" w:eastAsia="Times New Roman" w:hint="default"/>
                <w:sz w:val="18"/>
                <w:szCs w:val="18"/>
              </w:rPr>
              <w:t>/</w:t>
            </w:r>
            <w:r>
              <w:rPr>
                <w:rFonts w:ascii="宋体" w:hAnsi="宋体" w:cs="宋体" w:eastAsia="宋体" w:hint="default"/>
                <w:sz w:val="18"/>
                <w:szCs w:val="18"/>
              </w:rPr>
              <w:t>承包方</w:t>
            </w:r>
          </w:p>
        </w:tc>
        <w:tc>
          <w:tcPr>
            <w:tcW w:w="1368"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出包资产</w:t>
            </w: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出包起始</w:t>
            </w: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出包终止</w:t>
            </w: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托管费</w:t>
            </w:r>
            <w:r>
              <w:rPr>
                <w:rFonts w:ascii="Times New Roman" w:hAnsi="Times New Roman" w:cs="Times New Roman" w:eastAsia="Times New Roman" w:hint="default"/>
                <w:sz w:val="18"/>
                <w:szCs w:val="18"/>
              </w:rPr>
              <w:t>/</w:t>
            </w:r>
            <w:r>
              <w:rPr>
                <w:rFonts w:ascii="宋体" w:hAnsi="宋体" w:cs="宋体" w:eastAsia="宋体" w:hint="default"/>
                <w:sz w:val="18"/>
                <w:szCs w:val="18"/>
              </w:rPr>
              <w:t>出包费</w:t>
            </w: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本期确认的托</w:t>
            </w:r>
          </w:p>
        </w:tc>
      </w:tr>
      <w:tr>
        <w:trPr>
          <w:trHeight w:val="353" w:hRule="exact"/>
        </w:trPr>
        <w:tc>
          <w:tcPr>
            <w:tcW w:w="136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名称</w:t>
            </w:r>
          </w:p>
        </w:tc>
        <w:tc>
          <w:tcPr>
            <w:tcW w:w="136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类型</w:t>
            </w: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日</w:t>
            </w: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定价依据</w:t>
            </w: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管费</w:t>
            </w:r>
            <w:r>
              <w:rPr>
                <w:rFonts w:ascii="Times New Roman" w:hAnsi="Times New Roman" w:cs="Times New Roman" w:eastAsia="Times New Roman" w:hint="default"/>
                <w:sz w:val="18"/>
                <w:szCs w:val="18"/>
              </w:rPr>
              <w:t>/</w:t>
            </w:r>
            <w:r>
              <w:rPr>
                <w:rFonts w:ascii="宋体" w:hAnsi="宋体" w:cs="宋体" w:eastAsia="宋体" w:hint="default"/>
                <w:sz w:val="18"/>
                <w:szCs w:val="18"/>
              </w:rPr>
              <w:t>出包费</w:t>
            </w:r>
          </w:p>
        </w:tc>
      </w:tr>
    </w:tbl>
    <w:p>
      <w:pPr>
        <w:pStyle w:val="BodyText"/>
        <w:spacing w:line="240" w:lineRule="auto" w:before="51"/>
        <w:ind w:right="0"/>
        <w:jc w:val="left"/>
      </w:pPr>
      <w:r>
        <w:rPr/>
        <w:t>关联管理</w:t>
      </w:r>
      <w:r>
        <w:rPr>
          <w:rFonts w:ascii="Times New Roman" w:hAnsi="Times New Roman" w:cs="Times New Roman" w:eastAsia="Times New Roman" w:hint="default"/>
        </w:rPr>
        <w:t>/</w:t>
      </w:r>
      <w:r>
        <w:rPr/>
        <w:t>出包情况说明</w:t>
      </w:r>
    </w:p>
    <w:p>
      <w:pPr>
        <w:spacing w:line="240" w:lineRule="auto" w:before="13"/>
        <w:rPr>
          <w:rFonts w:ascii="宋体" w:hAnsi="宋体" w:cs="宋体" w:eastAsia="宋体" w:hint="default"/>
          <w:sz w:val="25"/>
          <w:szCs w:val="25"/>
        </w:rPr>
      </w:pPr>
    </w:p>
    <w:p>
      <w:pPr>
        <w:pStyle w:val="Heading3"/>
        <w:spacing w:line="240" w:lineRule="auto"/>
        <w:ind w:right="0"/>
        <w:jc w:val="left"/>
        <w:rPr>
          <w:b w:val="0"/>
          <w:bCs w:val="0"/>
        </w:rPr>
      </w:pPr>
      <w:bookmarkStart w:name="（3）关联租赁情况" w:id="392"/>
      <w:bookmarkEnd w:id="392"/>
      <w:r>
        <w:rPr>
          <w:b w:val="0"/>
          <w:bCs w:val="0"/>
        </w:rPr>
      </w:r>
      <w:r>
        <w:rPr/>
        <w:t>（</w:t>
      </w:r>
      <w:r>
        <w:rPr>
          <w:rFonts w:ascii="Times New Roman" w:hAnsi="Times New Roman" w:cs="Times New Roman" w:eastAsia="Times New Roman" w:hint="default"/>
        </w:rPr>
        <w:t>3</w:t>
      </w:r>
      <w:r>
        <w:rPr/>
        <w:t>）关联租赁情况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0"/>
        <w:jc w:val="left"/>
      </w:pPr>
      <w:r>
        <w:rPr/>
        <w:t>本公司作为出租方：</w:t>
      </w:r>
    </w:p>
    <w:p>
      <w:pPr>
        <w:pStyle w:val="BodyText"/>
        <w:spacing w:line="240" w:lineRule="auto" w:before="117"/>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88"/>
        <w:gridCol w:w="2394"/>
        <w:gridCol w:w="2393"/>
        <w:gridCol w:w="2393"/>
      </w:tblGrid>
      <w:tr>
        <w:trPr>
          <w:trHeight w:val="402"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8" w:right="0"/>
              <w:jc w:val="left"/>
              <w:rPr>
                <w:rFonts w:ascii="宋体" w:hAnsi="宋体" w:cs="宋体" w:eastAsia="宋体" w:hint="default"/>
                <w:sz w:val="18"/>
                <w:szCs w:val="18"/>
              </w:rPr>
            </w:pPr>
            <w:r>
              <w:rPr>
                <w:rFonts w:ascii="宋体" w:hAnsi="宋体" w:cs="宋体" w:eastAsia="宋体" w:hint="default"/>
                <w:sz w:val="18"/>
                <w:szCs w:val="18"/>
              </w:rPr>
              <w:t>承租方名称</w:t>
            </w:r>
          </w:p>
        </w:tc>
        <w:tc>
          <w:tcPr>
            <w:tcW w:w="2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51"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1" w:right="0"/>
              <w:jc w:val="left"/>
              <w:rPr>
                <w:rFonts w:ascii="宋体" w:hAnsi="宋体" w:cs="宋体" w:eastAsia="宋体" w:hint="default"/>
                <w:sz w:val="18"/>
                <w:szCs w:val="18"/>
              </w:rPr>
            </w:pPr>
            <w:r>
              <w:rPr>
                <w:rFonts w:ascii="宋体" w:hAnsi="宋体" w:cs="宋体" w:eastAsia="宋体" w:hint="default"/>
                <w:sz w:val="18"/>
                <w:szCs w:val="18"/>
              </w:rPr>
              <w:t>本期确认的租赁收入</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1" w:right="0"/>
              <w:jc w:val="left"/>
              <w:rPr>
                <w:rFonts w:ascii="宋体" w:hAnsi="宋体" w:cs="宋体" w:eastAsia="宋体" w:hint="default"/>
                <w:sz w:val="18"/>
                <w:szCs w:val="18"/>
              </w:rPr>
            </w:pPr>
            <w:r>
              <w:rPr>
                <w:rFonts w:ascii="宋体" w:hAnsi="宋体" w:cs="宋体" w:eastAsia="宋体" w:hint="default"/>
                <w:sz w:val="18"/>
                <w:szCs w:val="18"/>
              </w:rPr>
              <w:t>上期确认的租赁收入</w:t>
            </w:r>
          </w:p>
        </w:tc>
      </w:tr>
      <w:tr>
        <w:trPr>
          <w:trHeight w:val="402"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浙江中福健康管理有限公司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44,569.81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37,200.00</w:t>
            </w:r>
          </w:p>
        </w:tc>
      </w:tr>
      <w:tr>
        <w:trPr>
          <w:trHeight w:val="402"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杭州中福投资管理有限公司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44,604.00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44,604.00</w:t>
            </w:r>
          </w:p>
        </w:tc>
      </w:tr>
      <w:tr>
        <w:trPr>
          <w:trHeight w:val="402"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杭州爱葆云科技有限公司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204,848.60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170,976.00</w:t>
            </w:r>
          </w:p>
        </w:tc>
      </w:tr>
      <w:tr>
        <w:trPr>
          <w:trHeight w:val="714"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1" w:right="114"/>
              <w:jc w:val="left"/>
              <w:rPr>
                <w:rFonts w:ascii="宋体" w:hAnsi="宋体" w:cs="宋体" w:eastAsia="宋体" w:hint="default"/>
                <w:sz w:val="18"/>
                <w:szCs w:val="18"/>
              </w:rPr>
            </w:pPr>
            <w:r>
              <w:rPr>
                <w:rFonts w:ascii="宋体" w:hAnsi="宋体" w:cs="宋体" w:eastAsia="宋体" w:hint="default"/>
                <w:sz w:val="18"/>
                <w:szCs w:val="18"/>
              </w:rPr>
              <w:t>杭州健保付网络科技有限公 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115,963.20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115,963.20</w:t>
            </w:r>
          </w:p>
        </w:tc>
      </w:tr>
      <w:tr>
        <w:trPr>
          <w:trHeight w:val="714"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14"/>
              <w:jc w:val="left"/>
              <w:rPr>
                <w:rFonts w:ascii="宋体" w:hAnsi="宋体" w:cs="宋体" w:eastAsia="宋体" w:hint="default"/>
                <w:sz w:val="18"/>
                <w:szCs w:val="18"/>
              </w:rPr>
            </w:pPr>
            <w:r>
              <w:rPr>
                <w:rFonts w:ascii="宋体" w:hAnsi="宋体" w:cs="宋体" w:eastAsia="宋体" w:hint="default"/>
                <w:sz w:val="18"/>
                <w:szCs w:val="18"/>
              </w:rPr>
              <w:t>杭州生命海网络科技有限公 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17,208.00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17,208.00</w:t>
            </w:r>
          </w:p>
        </w:tc>
      </w:tr>
      <w:tr>
        <w:trPr>
          <w:trHeight w:val="402"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杭州亿家健康管理有限公司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829,979.30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894,223.20</w:t>
            </w:r>
          </w:p>
        </w:tc>
      </w:tr>
      <w:tr>
        <w:trPr>
          <w:trHeight w:val="402"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杭州隽宝科技有限公司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416,490.51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451,908.60</w:t>
            </w:r>
          </w:p>
        </w:tc>
      </w:tr>
    </w:tbl>
    <w:p>
      <w:pPr>
        <w:pStyle w:val="BodyText"/>
        <w:spacing w:line="240" w:lineRule="auto" w:before="52"/>
        <w:ind w:right="0"/>
        <w:jc w:val="left"/>
      </w:pPr>
      <w:r>
        <w:rPr/>
        <w:t>本公司作为承租方：</w:t>
      </w:r>
    </w:p>
    <w:p>
      <w:pPr>
        <w:pStyle w:val="BodyText"/>
        <w:spacing w:line="240" w:lineRule="auto" w:before="115"/>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1"/>
        <w:gridCol w:w="2393"/>
        <w:gridCol w:w="2392"/>
        <w:gridCol w:w="2392"/>
      </w:tblGrid>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出租方名称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0" w:right="0"/>
              <w:jc w:val="left"/>
              <w:rPr>
                <w:rFonts w:ascii="宋体" w:hAnsi="宋体" w:cs="宋体" w:eastAsia="宋体" w:hint="default"/>
                <w:sz w:val="18"/>
                <w:szCs w:val="18"/>
              </w:rPr>
            </w:pPr>
            <w:r>
              <w:rPr>
                <w:rFonts w:ascii="宋体" w:hAnsi="宋体" w:cs="宋体" w:eastAsia="宋体" w:hint="default"/>
                <w:sz w:val="18"/>
                <w:szCs w:val="18"/>
              </w:rPr>
              <w:t>本期确认的租赁费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1" w:right="0"/>
              <w:jc w:val="left"/>
              <w:rPr>
                <w:rFonts w:ascii="宋体" w:hAnsi="宋体" w:cs="宋体" w:eastAsia="宋体" w:hint="default"/>
                <w:sz w:val="18"/>
                <w:szCs w:val="18"/>
              </w:rPr>
            </w:pPr>
            <w:r>
              <w:rPr>
                <w:rFonts w:ascii="宋体" w:hAnsi="宋体" w:cs="宋体" w:eastAsia="宋体" w:hint="default"/>
                <w:sz w:val="18"/>
                <w:szCs w:val="18"/>
              </w:rPr>
              <w:t>上期确认的租赁费</w:t>
            </w:r>
          </w:p>
        </w:tc>
      </w:tr>
    </w:tbl>
    <w:p>
      <w:pPr>
        <w:pStyle w:val="BodyText"/>
        <w:spacing w:line="240" w:lineRule="auto" w:before="50"/>
        <w:ind w:right="0"/>
        <w:jc w:val="left"/>
      </w:pPr>
      <w:r>
        <w:rPr/>
        <w:t>关联租赁情况说明</w:t>
      </w:r>
    </w:p>
    <w:p>
      <w:pPr>
        <w:pStyle w:val="Heading4"/>
        <w:spacing w:line="240" w:lineRule="auto" w:before="92"/>
        <w:ind w:left="112" w:right="0"/>
        <w:jc w:val="left"/>
      </w:pPr>
      <w:r>
        <w:rPr/>
        <w:t>本期，公司向以上关联单位出租房屋建筑物时，同时提供物业服务，本期收取相关物业费286,117.64元。</w:t>
      </w:r>
    </w:p>
    <w:p>
      <w:pPr>
        <w:spacing w:line="240" w:lineRule="auto" w:before="10"/>
        <w:rPr>
          <w:rFonts w:ascii="宋体" w:hAnsi="宋体" w:cs="宋体" w:eastAsia="宋体" w:hint="default"/>
          <w:sz w:val="25"/>
          <w:szCs w:val="25"/>
        </w:rPr>
      </w:pPr>
    </w:p>
    <w:p>
      <w:pPr>
        <w:pStyle w:val="Heading3"/>
        <w:spacing w:line="240" w:lineRule="auto"/>
        <w:ind w:right="0"/>
        <w:jc w:val="left"/>
        <w:rPr>
          <w:b w:val="0"/>
          <w:bCs w:val="0"/>
        </w:rPr>
      </w:pPr>
      <w:bookmarkStart w:name="（4）关联担保情况" w:id="393"/>
      <w:bookmarkEnd w:id="393"/>
      <w:r>
        <w:rPr>
          <w:b w:val="0"/>
          <w:bCs w:val="0"/>
        </w:rPr>
      </w:r>
      <w:r>
        <w:rPr/>
        <w:t>（</w:t>
      </w:r>
      <w:r>
        <w:rPr>
          <w:rFonts w:ascii="Times New Roman" w:hAnsi="Times New Roman" w:cs="Times New Roman" w:eastAsia="Times New Roman" w:hint="default"/>
        </w:rPr>
        <w:t>4</w:t>
      </w:r>
      <w:r>
        <w:rPr/>
        <w:t>）关联担保情况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本公司作为担保方</w:t>
      </w:r>
    </w:p>
    <w:p>
      <w:pPr>
        <w:pStyle w:val="BodyText"/>
        <w:spacing w:line="240" w:lineRule="auto" w:before="117"/>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3"/>
        <w:gridCol w:w="1915"/>
        <w:gridCol w:w="1914"/>
        <w:gridCol w:w="1914"/>
        <w:gridCol w:w="1914"/>
      </w:tblGrid>
      <w:tr>
        <w:trPr>
          <w:trHeight w:val="714"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被担保方</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02"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862" w:right="139" w:hanging="720"/>
              <w:jc w:val="left"/>
              <w:rPr>
                <w:rFonts w:ascii="宋体" w:hAnsi="宋体" w:cs="宋体" w:eastAsia="宋体" w:hint="default"/>
                <w:sz w:val="18"/>
                <w:szCs w:val="18"/>
              </w:rPr>
            </w:pPr>
            <w:r>
              <w:rPr>
                <w:rFonts w:ascii="宋体" w:hAnsi="宋体" w:cs="宋体" w:eastAsia="宋体" w:hint="default"/>
                <w:sz w:val="18"/>
                <w:szCs w:val="18"/>
              </w:rPr>
              <w:t>担保是否已经履行完 毕</w:t>
            </w:r>
          </w:p>
        </w:tc>
      </w:tr>
    </w:tbl>
    <w:p>
      <w:pPr>
        <w:pStyle w:val="BodyText"/>
        <w:spacing w:line="240" w:lineRule="auto" w:before="50"/>
        <w:ind w:right="0"/>
        <w:jc w:val="left"/>
      </w:pPr>
      <w:r>
        <w:rPr/>
        <w:t>本公司作为被担保方</w:t>
      </w:r>
    </w:p>
    <w:p>
      <w:pPr>
        <w:pStyle w:val="BodyText"/>
        <w:spacing w:line="240" w:lineRule="auto" w:before="117"/>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3"/>
        <w:gridCol w:w="1915"/>
        <w:gridCol w:w="1914"/>
        <w:gridCol w:w="1914"/>
        <w:gridCol w:w="1914"/>
      </w:tblGrid>
      <w:tr>
        <w:trPr>
          <w:trHeight w:val="714"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担保方</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02"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862" w:right="139" w:hanging="720"/>
              <w:jc w:val="left"/>
              <w:rPr>
                <w:rFonts w:ascii="宋体" w:hAnsi="宋体" w:cs="宋体" w:eastAsia="宋体" w:hint="default"/>
                <w:sz w:val="18"/>
                <w:szCs w:val="18"/>
              </w:rPr>
            </w:pPr>
            <w:r>
              <w:rPr>
                <w:rFonts w:ascii="宋体" w:hAnsi="宋体" w:cs="宋体" w:eastAsia="宋体" w:hint="default"/>
                <w:sz w:val="18"/>
                <w:szCs w:val="18"/>
              </w:rPr>
              <w:t>担保是否已经履行完 毕</w:t>
            </w:r>
          </w:p>
        </w:tc>
      </w:tr>
    </w:tbl>
    <w:p>
      <w:pPr>
        <w:pStyle w:val="BodyText"/>
        <w:spacing w:line="240" w:lineRule="auto" w:before="51"/>
        <w:ind w:right="0"/>
        <w:jc w:val="left"/>
      </w:pPr>
      <w:r>
        <w:rPr/>
        <w:t>关联担保情况说明</w:t>
      </w:r>
    </w:p>
    <w:p>
      <w:pPr>
        <w:spacing w:after="0" w:line="240" w:lineRule="auto"/>
        <w:jc w:val="left"/>
        <w:sectPr>
          <w:type w:val="continuous"/>
          <w:pgSz w:w="11910" w:h="16840"/>
          <w:pgMar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0"/>
        <w:jc w:val="left"/>
        <w:rPr>
          <w:b w:val="0"/>
          <w:bCs w:val="0"/>
        </w:rPr>
      </w:pPr>
      <w:bookmarkStart w:name="（5）关联方资金拆借" w:id="394"/>
      <w:bookmarkEnd w:id="394"/>
      <w:r>
        <w:rPr>
          <w:b w:val="0"/>
          <w:bCs w:val="0"/>
        </w:rPr>
      </w:r>
      <w:r>
        <w:rPr/>
        <w:t>（</w:t>
      </w:r>
      <w:r>
        <w:rPr>
          <w:rFonts w:ascii="Times New Roman" w:hAnsi="Times New Roman" w:cs="Times New Roman" w:eastAsia="Times New Roman" w:hint="default"/>
        </w:rPr>
        <w:t>5</w:t>
      </w:r>
      <w:r>
        <w:rPr/>
        <w:t>）关联方资金拆借</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3"/>
        <w:gridCol w:w="1914"/>
        <w:gridCol w:w="1915"/>
        <w:gridCol w:w="1914"/>
        <w:gridCol w:w="1914"/>
      </w:tblGrid>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拆借金额</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957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拆入</w:t>
            </w:r>
          </w:p>
        </w:tc>
      </w:tr>
      <w:tr>
        <w:trPr>
          <w:trHeight w:val="402" w:hRule="exact"/>
        </w:trPr>
        <w:tc>
          <w:tcPr>
            <w:tcW w:w="957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拆出</w:t>
            </w:r>
          </w:p>
        </w:tc>
      </w:tr>
    </w:tbl>
    <w:p>
      <w:pPr>
        <w:spacing w:line="240" w:lineRule="auto" w:before="4"/>
        <w:rPr>
          <w:rFonts w:ascii="宋体" w:hAnsi="宋体" w:cs="宋体" w:eastAsia="宋体" w:hint="default"/>
          <w:sz w:val="19"/>
          <w:szCs w:val="19"/>
        </w:rPr>
      </w:pPr>
    </w:p>
    <w:p>
      <w:pPr>
        <w:pStyle w:val="Heading3"/>
        <w:spacing w:line="240" w:lineRule="auto" w:before="34"/>
        <w:ind w:right="0"/>
        <w:jc w:val="left"/>
        <w:rPr>
          <w:b w:val="0"/>
          <w:bCs w:val="0"/>
        </w:rPr>
      </w:pPr>
      <w:bookmarkStart w:name="（6）关联方资产转让、债务重组情况" w:id="395"/>
      <w:bookmarkEnd w:id="395"/>
      <w:r>
        <w:rPr>
          <w:b w:val="0"/>
          <w:bCs w:val="0"/>
        </w:rPr>
      </w:r>
      <w:r>
        <w:rPr/>
        <w:t>（</w:t>
      </w:r>
      <w:r>
        <w:rPr>
          <w:rFonts w:ascii="Times New Roman" w:hAnsi="Times New Roman" w:cs="Times New Roman" w:eastAsia="Times New Roman" w:hint="default"/>
        </w:rPr>
        <w:t>6</w:t>
      </w:r>
      <w:r>
        <w:rPr/>
        <w:t>）关联方资产转让、债务重组情况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1"/>
        <w:gridCol w:w="2393"/>
        <w:gridCol w:w="2392"/>
        <w:gridCol w:w="2392"/>
      </w:tblGrid>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0"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2"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line="240" w:lineRule="auto" w:before="4"/>
        <w:rPr>
          <w:rFonts w:ascii="宋体" w:hAnsi="宋体" w:cs="宋体" w:eastAsia="宋体" w:hint="default"/>
          <w:sz w:val="19"/>
          <w:szCs w:val="19"/>
        </w:rPr>
      </w:pPr>
    </w:p>
    <w:p>
      <w:pPr>
        <w:pStyle w:val="Heading3"/>
        <w:spacing w:line="240" w:lineRule="auto" w:before="34"/>
        <w:ind w:right="0"/>
        <w:jc w:val="left"/>
        <w:rPr>
          <w:b w:val="0"/>
          <w:bCs w:val="0"/>
        </w:rPr>
      </w:pPr>
      <w:bookmarkStart w:name="（7）关键管理人员报酬" w:id="396"/>
      <w:bookmarkEnd w:id="396"/>
      <w:r>
        <w:rPr>
          <w:b w:val="0"/>
          <w:bCs w:val="0"/>
        </w:rPr>
      </w:r>
      <w:r>
        <w:rPr/>
        <w:t>（</w:t>
      </w:r>
      <w:r>
        <w:rPr>
          <w:rFonts w:ascii="Times New Roman" w:hAnsi="Times New Roman" w:cs="Times New Roman" w:eastAsia="Times New Roman" w:hint="default"/>
        </w:rPr>
        <w:t>7</w:t>
      </w:r>
      <w:r>
        <w:rPr/>
        <w:t>）关键管理人员报酬</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0"/>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关键管理人员报酬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6,105,600.00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4,276,700.00</w:t>
            </w:r>
          </w:p>
        </w:tc>
      </w:tr>
    </w:tbl>
    <w:p>
      <w:pPr>
        <w:spacing w:line="240" w:lineRule="auto" w:before="3"/>
        <w:rPr>
          <w:rFonts w:ascii="宋体" w:hAnsi="宋体" w:cs="宋体" w:eastAsia="宋体" w:hint="default"/>
          <w:sz w:val="19"/>
          <w:szCs w:val="19"/>
        </w:rPr>
      </w:pPr>
    </w:p>
    <w:p>
      <w:pPr>
        <w:pStyle w:val="Heading3"/>
        <w:spacing w:line="240" w:lineRule="auto" w:before="34"/>
        <w:ind w:right="0"/>
        <w:jc w:val="left"/>
        <w:rPr>
          <w:b w:val="0"/>
          <w:bCs w:val="0"/>
        </w:rPr>
      </w:pPr>
      <w:bookmarkStart w:name="（8）其他关联交易" w:id="397"/>
      <w:bookmarkEnd w:id="397"/>
      <w:r>
        <w:rPr>
          <w:b w:val="0"/>
          <w:bCs w:val="0"/>
        </w:rPr>
      </w:r>
      <w:r>
        <w:rPr/>
        <w:t>（</w:t>
      </w:r>
      <w:r>
        <w:rPr>
          <w:rFonts w:ascii="Times New Roman" w:hAnsi="Times New Roman" w:cs="Times New Roman" w:eastAsia="Times New Roman" w:hint="default"/>
        </w:rPr>
        <w:t>8</w:t>
      </w:r>
      <w:r>
        <w:rPr/>
        <w:t>）其他关联交易</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6、关联方应收应付款项" w:id="398"/>
      <w:bookmarkEnd w:id="398"/>
      <w:r>
        <w:rPr>
          <w:b w:val="0"/>
          <w:bCs w:val="0"/>
        </w:rPr>
      </w:r>
      <w:r>
        <w:rPr>
          <w:rFonts w:ascii="Times New Roman" w:hAnsi="Times New Roman" w:cs="Times New Roman" w:eastAsia="Times New Roman" w:hint="default"/>
        </w:rPr>
        <w:t>6</w:t>
      </w:r>
      <w:r>
        <w:rPr/>
        <w:t>、关联方应收应付款项</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1）应收项目" w:id="399"/>
      <w:bookmarkEnd w:id="399"/>
      <w:r>
        <w:rPr>
          <w:b w:val="0"/>
          <w:bCs w:val="0"/>
        </w:rPr>
      </w:r>
      <w:r>
        <w:rPr/>
        <w:t>（</w:t>
      </w:r>
      <w:r>
        <w:rPr>
          <w:rFonts w:ascii="Times New Roman" w:hAnsi="Times New Roman" w:cs="Times New Roman" w:eastAsia="Times New Roman" w:hint="default"/>
        </w:rPr>
        <w:t>1</w:t>
      </w:r>
      <w:r>
        <w:rPr/>
        <w:t>）应收项目</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5"/>
        <w:gridCol w:w="1595"/>
        <w:gridCol w:w="1594"/>
        <w:gridCol w:w="1594"/>
        <w:gridCol w:w="1594"/>
        <w:gridCol w:w="1594"/>
      </w:tblGrid>
      <w:tr>
        <w:trPr>
          <w:trHeight w:val="402" w:hRule="exact"/>
        </w:trPr>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33"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523"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595" w:type="dxa"/>
            <w:vMerge/>
            <w:tcBorders>
              <w:left w:val="single" w:sz="4" w:space="0" w:color="000000"/>
              <w:bottom w:val="single" w:sz="4" w:space="0" w:color="000000"/>
              <w:right w:val="single" w:sz="4" w:space="0" w:color="000000"/>
            </w:tcBorders>
            <w:shd w:val="clear" w:color="auto" w:fill="D2D2D2"/>
          </w:tcPr>
          <w:p>
            <w:pPr/>
          </w:p>
        </w:tc>
        <w:tc>
          <w:tcPr>
            <w:tcW w:w="1595"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1"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1026"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1" w:right="221"/>
              <w:jc w:val="left"/>
              <w:rPr>
                <w:rFonts w:ascii="宋体" w:hAnsi="宋体" w:cs="宋体" w:eastAsia="宋体" w:hint="default"/>
                <w:sz w:val="18"/>
                <w:szCs w:val="18"/>
              </w:rPr>
            </w:pPr>
            <w:r>
              <w:rPr>
                <w:rFonts w:ascii="宋体" w:hAnsi="宋体" w:cs="宋体" w:eastAsia="宋体" w:hint="default"/>
                <w:sz w:val="18"/>
                <w:szCs w:val="18"/>
              </w:rPr>
              <w:t>应收票据及应收 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20"/>
              <w:jc w:val="both"/>
              <w:rPr>
                <w:rFonts w:ascii="宋体" w:hAnsi="宋体" w:cs="宋体" w:eastAsia="宋体" w:hint="default"/>
                <w:sz w:val="18"/>
                <w:szCs w:val="18"/>
              </w:rPr>
            </w:pPr>
            <w:r>
              <w:rPr>
                <w:rFonts w:ascii="宋体" w:hAnsi="宋体" w:cs="宋体" w:eastAsia="宋体" w:hint="default"/>
                <w:sz w:val="18"/>
                <w:szCs w:val="18"/>
              </w:rPr>
              <w:t>浙江美康网新云 健康科技股份有 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4,020,000.00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804,000.00</w:t>
            </w: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220"/>
              <w:jc w:val="left"/>
              <w:rPr>
                <w:rFonts w:ascii="宋体" w:hAnsi="宋体" w:cs="宋体" w:eastAsia="宋体" w:hint="default"/>
                <w:sz w:val="18"/>
                <w:szCs w:val="18"/>
              </w:rPr>
            </w:pPr>
            <w:r>
              <w:rPr>
                <w:rFonts w:ascii="宋体" w:hAnsi="宋体" w:cs="宋体" w:eastAsia="宋体" w:hint="default"/>
                <w:sz w:val="18"/>
                <w:szCs w:val="18"/>
              </w:rPr>
              <w:t>浙江建达科技股 份有限公司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134,820.00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9,564.00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18,820.00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941.00</w:t>
            </w: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20"/>
              <w:jc w:val="left"/>
              <w:rPr>
                <w:rFonts w:ascii="宋体" w:hAnsi="宋体" w:cs="宋体" w:eastAsia="宋体" w:hint="default"/>
                <w:sz w:val="18"/>
                <w:szCs w:val="18"/>
              </w:rPr>
            </w:pPr>
            <w:r>
              <w:rPr>
                <w:rFonts w:ascii="宋体" w:hAnsi="宋体" w:cs="宋体" w:eastAsia="宋体" w:hint="default"/>
                <w:sz w:val="18"/>
                <w:szCs w:val="18"/>
              </w:rPr>
              <w:t>浙江中福健康管 理有限公司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19,530.00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976.50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220"/>
              <w:jc w:val="left"/>
              <w:rPr>
                <w:rFonts w:ascii="宋体" w:hAnsi="宋体" w:cs="宋体" w:eastAsia="宋体" w:hint="default"/>
                <w:sz w:val="18"/>
                <w:szCs w:val="18"/>
              </w:rPr>
            </w:pPr>
            <w:r>
              <w:rPr>
                <w:rFonts w:ascii="宋体" w:hAnsi="宋体" w:cs="宋体" w:eastAsia="宋体" w:hint="default"/>
                <w:sz w:val="18"/>
                <w:szCs w:val="18"/>
              </w:rPr>
              <w:t>杭州中福投资管 理有限公司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2"/>
                <w:sz w:val="18"/>
              </w:rPr>
              <w:t>11,114.46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555.72</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20"/>
              <w:jc w:val="left"/>
              <w:rPr>
                <w:rFonts w:ascii="宋体" w:hAnsi="宋体" w:cs="宋体" w:eastAsia="宋体" w:hint="default"/>
                <w:sz w:val="18"/>
                <w:szCs w:val="18"/>
              </w:rPr>
            </w:pPr>
            <w:r>
              <w:rPr>
                <w:rFonts w:ascii="宋体" w:hAnsi="宋体" w:cs="宋体" w:eastAsia="宋体" w:hint="default"/>
                <w:sz w:val="18"/>
                <w:szCs w:val="18"/>
              </w:rPr>
              <w:t>杭州爱葆云科技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129,891.51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6,494.58</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2" w:hRule="exact"/>
        </w:trPr>
        <w:tc>
          <w:tcPr>
            <w:tcW w:w="159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220"/>
              <w:jc w:val="left"/>
              <w:rPr>
                <w:rFonts w:ascii="宋体" w:hAnsi="宋体" w:cs="宋体" w:eastAsia="宋体" w:hint="default"/>
                <w:sz w:val="18"/>
                <w:szCs w:val="18"/>
              </w:rPr>
            </w:pPr>
            <w:r>
              <w:rPr>
                <w:rFonts w:ascii="宋体" w:hAnsi="宋体" w:cs="宋体" w:eastAsia="宋体" w:hint="default"/>
                <w:sz w:val="18"/>
                <w:szCs w:val="18"/>
              </w:rPr>
              <w:t>杭州健保付网络 科技有限公司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72,547.65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3,627.38</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48"/>
          <w:pgSz w:w="11910" w:h="16840"/>
          <w:pgMar w:footer="1016" w:header="907" w:top="1100" w:bottom="1200" w:left="1020" w:right="0"/>
          <w:pgNumType w:start="18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595"/>
        <w:gridCol w:w="1595"/>
        <w:gridCol w:w="1594"/>
        <w:gridCol w:w="1594"/>
        <w:gridCol w:w="1594"/>
        <w:gridCol w:w="1594"/>
      </w:tblGrid>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220"/>
              <w:jc w:val="left"/>
              <w:rPr>
                <w:rFonts w:ascii="宋体" w:hAnsi="宋体" w:cs="宋体" w:eastAsia="宋体" w:hint="default"/>
                <w:sz w:val="18"/>
                <w:szCs w:val="18"/>
              </w:rPr>
            </w:pPr>
            <w:r>
              <w:rPr>
                <w:rFonts w:ascii="宋体" w:hAnsi="宋体" w:cs="宋体" w:eastAsia="宋体" w:hint="default"/>
                <w:sz w:val="18"/>
                <w:szCs w:val="18"/>
              </w:rPr>
              <w:t>杭州生命海网络 科技有限公司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1,505.70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75.29</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20"/>
              <w:jc w:val="left"/>
              <w:rPr>
                <w:rFonts w:ascii="宋体" w:hAnsi="宋体" w:cs="宋体" w:eastAsia="宋体" w:hint="default"/>
                <w:sz w:val="18"/>
                <w:szCs w:val="18"/>
              </w:rPr>
            </w:pPr>
            <w:r>
              <w:rPr>
                <w:rFonts w:ascii="宋体" w:hAnsi="宋体" w:cs="宋体" w:eastAsia="宋体" w:hint="default"/>
                <w:sz w:val="18"/>
                <w:szCs w:val="18"/>
              </w:rPr>
              <w:t>杭州亿家健康管 理有限公司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1,674,906.67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204,975.04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938,934.36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46,946.72</w:t>
            </w: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220"/>
              <w:jc w:val="left"/>
              <w:rPr>
                <w:rFonts w:ascii="宋体" w:hAnsi="宋体" w:cs="宋体" w:eastAsia="宋体" w:hint="default"/>
                <w:sz w:val="18"/>
                <w:szCs w:val="18"/>
              </w:rPr>
            </w:pPr>
            <w:r>
              <w:rPr>
                <w:rFonts w:ascii="宋体" w:hAnsi="宋体" w:cs="宋体" w:eastAsia="宋体" w:hint="default"/>
                <w:sz w:val="18"/>
                <w:szCs w:val="18"/>
              </w:rPr>
              <w:t>杭州隽宝科技有 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36,500.31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1,825.02</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9"/>
              <w:jc w:val="right"/>
              <w:rPr>
                <w:rFonts w:ascii="Times New Roman" w:hAnsi="Times New Roman" w:cs="Times New Roman" w:eastAsia="Times New Roman" w:hint="default"/>
                <w:sz w:val="18"/>
                <w:szCs w:val="18"/>
              </w:rPr>
            </w:pPr>
            <w:r>
              <w:rPr>
                <w:rFonts w:ascii="Times New Roman"/>
                <w:spacing w:val="-1"/>
                <w:sz w:val="18"/>
              </w:rPr>
              <w:t>2,100,816.30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Times New Roman" w:hAnsi="Times New Roman" w:cs="Times New Roman" w:eastAsia="Times New Roman" w:hint="default"/>
                <w:sz w:val="18"/>
                <w:szCs w:val="18"/>
              </w:rPr>
            </w:pPr>
            <w:r>
              <w:rPr>
                <w:rFonts w:ascii="Times New Roman"/>
                <w:spacing w:val="-1"/>
                <w:sz w:val="18"/>
              </w:rPr>
              <w:t>229,093.53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4,977,754.36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851,887.72</w:t>
            </w:r>
          </w:p>
        </w:tc>
      </w:tr>
    </w:tbl>
    <w:p>
      <w:pPr>
        <w:spacing w:line="240" w:lineRule="auto" w:before="3"/>
        <w:rPr>
          <w:rFonts w:ascii="宋体" w:hAnsi="宋体" w:cs="宋体" w:eastAsia="宋体" w:hint="default"/>
          <w:sz w:val="19"/>
          <w:szCs w:val="19"/>
        </w:rPr>
      </w:pPr>
    </w:p>
    <w:p>
      <w:pPr>
        <w:pStyle w:val="Heading3"/>
        <w:spacing w:line="240" w:lineRule="auto" w:before="34"/>
        <w:ind w:right="0"/>
        <w:jc w:val="left"/>
        <w:rPr>
          <w:b w:val="0"/>
          <w:bCs w:val="0"/>
        </w:rPr>
      </w:pPr>
      <w:bookmarkStart w:name="（2）应付项目" w:id="400"/>
      <w:bookmarkEnd w:id="400"/>
      <w:r>
        <w:rPr>
          <w:b w:val="0"/>
          <w:bCs w:val="0"/>
        </w:rPr>
      </w:r>
      <w:r>
        <w:rPr/>
        <w:t>（</w:t>
      </w:r>
      <w:r>
        <w:rPr>
          <w:rFonts w:ascii="Times New Roman" w:hAnsi="Times New Roman" w:cs="Times New Roman" w:eastAsia="Times New Roman" w:hint="default"/>
        </w:rPr>
        <w:t>2</w:t>
      </w:r>
      <w:r>
        <w:rPr/>
        <w:t>）应付项目</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1"/>
        <w:gridCol w:w="2393"/>
        <w:gridCol w:w="2392"/>
        <w:gridCol w:w="2392"/>
      </w:tblGrid>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1"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714"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3" w:right="117"/>
              <w:jc w:val="left"/>
              <w:rPr>
                <w:rFonts w:ascii="宋体" w:hAnsi="宋体" w:cs="宋体" w:eastAsia="宋体" w:hint="default"/>
                <w:sz w:val="18"/>
                <w:szCs w:val="18"/>
              </w:rPr>
            </w:pPr>
            <w:r>
              <w:rPr>
                <w:rFonts w:ascii="宋体" w:hAnsi="宋体" w:cs="宋体" w:eastAsia="宋体" w:hint="default"/>
                <w:sz w:val="18"/>
                <w:szCs w:val="18"/>
              </w:rPr>
              <w:t>北京童康医疗信息技术有限 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2,007,609.91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1,170,248.21</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2,007,609.91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1,170,248.21</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浙江建达科技股份有限公司</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8,330,110.69</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浙江中福健康管理有限公司</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7,812.00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杭州爱葆云科技有限公司</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35,904.96</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杭州康祥医院有限公司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40,000.00</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杭州隽宝科技有限公司</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73,000.62</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8,446,828.27</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宋体" w:hAnsi="宋体" w:cs="宋体" w:eastAsia="宋体" w:hint="default"/>
                <w:sz w:val="18"/>
                <w:szCs w:val="18"/>
              </w:rPr>
              <w:t>杭州隽宝科技有限公司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36,500.31</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36,500.31</w:t>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4"/>
        <w:rPr>
          <w:rFonts w:ascii="宋体" w:hAnsi="宋体" w:cs="宋体" w:eastAsia="宋体" w:hint="default"/>
          <w:sz w:val="19"/>
          <w:szCs w:val="19"/>
        </w:rPr>
      </w:pPr>
    </w:p>
    <w:p>
      <w:pPr>
        <w:pStyle w:val="Heading3"/>
        <w:spacing w:line="240" w:lineRule="auto" w:before="34"/>
        <w:ind w:right="0"/>
        <w:jc w:val="left"/>
        <w:rPr>
          <w:b w:val="0"/>
          <w:bCs w:val="0"/>
        </w:rPr>
      </w:pPr>
      <w:bookmarkStart w:name="7、关联方承诺" w:id="401"/>
      <w:bookmarkEnd w:id="401"/>
      <w:r>
        <w:rPr>
          <w:b w:val="0"/>
          <w:bCs w:val="0"/>
        </w:rPr>
      </w:r>
      <w:r>
        <w:rPr>
          <w:rFonts w:ascii="Times New Roman" w:hAnsi="Times New Roman" w:cs="Times New Roman" w:eastAsia="Times New Roman" w:hint="default"/>
        </w:rPr>
        <w:t>7</w:t>
      </w:r>
      <w:r>
        <w:rPr/>
        <w:t>、关联方承诺</w:t>
      </w:r>
      <w:r>
        <w:rPr>
          <w:b w:val="0"/>
          <w:bCs w:val="0"/>
        </w:rPr>
      </w:r>
    </w:p>
    <w:p>
      <w:pPr>
        <w:spacing w:line="240" w:lineRule="auto" w:before="10"/>
        <w:rPr>
          <w:rFonts w:ascii="宋体" w:hAnsi="宋体" w:cs="宋体" w:eastAsia="宋体" w:hint="default"/>
          <w:b/>
          <w:bCs/>
          <w:sz w:val="24"/>
          <w:szCs w:val="24"/>
        </w:rPr>
      </w:pPr>
    </w:p>
    <w:p>
      <w:pPr>
        <w:spacing w:line="487" w:lineRule="auto" w:before="0"/>
        <w:ind w:left="112" w:right="8751" w:firstLine="0"/>
        <w:jc w:val="left"/>
        <w:rPr>
          <w:rFonts w:ascii="宋体" w:hAnsi="宋体" w:cs="宋体" w:eastAsia="宋体" w:hint="default"/>
          <w:sz w:val="21"/>
          <w:szCs w:val="21"/>
        </w:rPr>
      </w:pPr>
      <w:bookmarkStart w:name="8、其他" w:id="402"/>
      <w:bookmarkEnd w:id="402"/>
      <w:r>
        <w:rPr/>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、其他</w:t>
      </w:r>
      <w:r>
        <w:rPr>
          <w:rFonts w:ascii="宋体" w:hAnsi="宋体" w:cs="宋体" w:eastAsia="宋体" w:hint="default"/>
          <w:b/>
          <w:bCs/>
          <w:w w:val="99"/>
          <w:sz w:val="21"/>
          <w:szCs w:val="21"/>
        </w:rPr>
        <w:t> </w:t>
      </w:r>
      <w:bookmarkStart w:name="十二、股份支付" w:id="403"/>
      <w:bookmarkEnd w:id="403"/>
      <w:r>
        <w:rPr>
          <w:rFonts w:ascii="宋体" w:hAnsi="宋体" w:cs="宋体" w:eastAsia="宋体" w:hint="default"/>
          <w:b/>
          <w:bCs/>
          <w:w w:val="99"/>
          <w:sz w:val="21"/>
          <w:szCs w:val="21"/>
        </w:rPr>
      </w:r>
      <w:r>
        <w:rPr>
          <w:rFonts w:ascii="宋体" w:hAnsi="宋体" w:cs="宋体" w:eastAsia="宋体" w:hint="default"/>
          <w:b/>
          <w:bCs/>
          <w:sz w:val="24"/>
          <w:szCs w:val="24"/>
        </w:rPr>
        <w:t>十二、股份支付</w:t>
      </w:r>
      <w:r>
        <w:rPr>
          <w:rFonts w:ascii="宋体" w:hAnsi="宋体" w:cs="宋体" w:eastAsia="宋体" w:hint="default"/>
          <w:b/>
          <w:bCs/>
          <w:w w:val="99"/>
          <w:sz w:val="24"/>
          <w:szCs w:val="24"/>
        </w:rPr>
        <w:t> </w:t>
      </w:r>
      <w:bookmarkStart w:name="1、股份支付总体情况" w:id="404"/>
      <w:bookmarkEnd w:id="404"/>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、股份支付总体情况</w:t>
      </w:r>
      <w:r>
        <w:rPr>
          <w:rFonts w:ascii="宋体" w:hAnsi="宋体" w:cs="宋体" w:eastAsia="宋体" w:hint="default"/>
          <w:sz w:val="21"/>
          <w:szCs w:val="21"/>
        </w:rPr>
      </w:r>
    </w:p>
    <w:p>
      <w:pPr>
        <w:pStyle w:val="BodyText"/>
        <w:spacing w:line="240" w:lineRule="auto" w:before="107"/>
        <w:ind w:right="0"/>
        <w:jc w:val="left"/>
      </w:pPr>
      <w:r>
        <w:rPr/>
        <w:t>√ 适用</w:t>
      </w:r>
      <w:r>
        <w:rPr>
          <w:spacing w:val="-1"/>
        </w:rPr>
        <w:t> </w:t>
      </w:r>
      <w:r>
        <w:rPr/>
        <w:t>□不适用</w:t>
      </w:r>
    </w:p>
    <w:p>
      <w:pPr>
        <w:pStyle w:val="BodyText"/>
        <w:spacing w:line="240" w:lineRule="auto" w:before="115"/>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5454"/>
        <w:gridCol w:w="4114"/>
      </w:tblGrid>
      <w:tr>
        <w:trPr>
          <w:trHeight w:val="402" w:hRule="exact"/>
        </w:trPr>
        <w:tc>
          <w:tcPr>
            <w:tcW w:w="5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公司本期授予的各项权益工具总额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2" w:hRule="exact"/>
        </w:trPr>
        <w:tc>
          <w:tcPr>
            <w:tcW w:w="5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公司本期行权的各项权益工具总额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30,140,631.59</w:t>
            </w:r>
          </w:p>
        </w:tc>
      </w:tr>
      <w:tr>
        <w:trPr>
          <w:trHeight w:val="402" w:hRule="exact"/>
        </w:trPr>
        <w:tc>
          <w:tcPr>
            <w:tcW w:w="5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公司本期失效的各项权益工具总额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4,357,611.68</w:t>
            </w:r>
          </w:p>
        </w:tc>
      </w:tr>
      <w:tr>
        <w:trPr>
          <w:trHeight w:val="712" w:hRule="exact"/>
        </w:trPr>
        <w:tc>
          <w:tcPr>
            <w:tcW w:w="5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公司期末发行在外的股票期权行权价格的范围和合同剩余期限</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年授予的股票期权行权价</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20.695</w:t>
            </w:r>
            <w:r>
              <w:rPr>
                <w:rFonts w:ascii="Times New Roman" w:hAnsi="Times New Roman" w:cs="Times New Roman" w:eastAsia="Times New Roman" w:hint="default"/>
                <w:spacing w:val="-2"/>
                <w:sz w:val="18"/>
                <w:szCs w:val="18"/>
              </w:rPr>
              <w:t> </w:t>
            </w:r>
            <w:r>
              <w:rPr>
                <w:rFonts w:ascii="宋体" w:hAnsi="宋体" w:cs="宋体" w:eastAsia="宋体" w:hint="default"/>
                <w:spacing w:val="-4"/>
                <w:sz w:val="18"/>
                <w:szCs w:val="18"/>
              </w:rPr>
              <w:t>元</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股，自授</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予日起分四年行权，至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年结束。</w:t>
            </w:r>
          </w:p>
        </w:tc>
      </w:tr>
    </w:tbl>
    <w:p>
      <w:pPr>
        <w:spacing w:after="0" w:line="240"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1"/>
        <w:rPr>
          <w:rFonts w:ascii="宋体" w:hAnsi="宋体" w:cs="宋体" w:eastAsia="宋体" w:hint="default"/>
          <w:sz w:val="25"/>
          <w:szCs w:val="25"/>
        </w:rPr>
      </w:pPr>
    </w:p>
    <w:p>
      <w:pPr>
        <w:spacing w:line="1352" w:lineRule="exact"/>
        <w:ind w:left="104"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79.4pt;height:67.650pt;mso-position-horizontal-relative:char;mso-position-vertical-relative:line" coordorigin="0,0" coordsize="9588,1353">
            <v:group style="position:absolute;left:13;top:13;width:5449;height:1333" coordorigin="13,13" coordsize="5449,1333">
              <v:shape style="position:absolute;left:13;top:13;width:5449;height:1333" coordorigin="13,13" coordsize="5449,1333" path="m13,13l5462,13,5462,1346,13,1346,13,13xe" filled="true" fillcolor="#d2d2d2"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1348;width:9578;height:2" coordorigin="5,1348" coordsize="9578,2">
              <v:shape style="position:absolute;left:5;top:1348;width:9578;height:2" coordorigin="5,1348" coordsize="9578,0" path="m5,1348l9582,1348e" filled="false" stroked="true" strokeweight=".48pt" strokecolor="#000000">
                <v:path arrowok="t"/>
              </v:shape>
            </v:group>
            <v:group style="position:absolute;left:10;top:5;width:2;height:1338" coordorigin="10,5" coordsize="2,1338">
              <v:shape style="position:absolute;left:10;top:5;width:2;height:1338" coordorigin="10,5" coordsize="0,1338" path="m10,5l10,1343e" filled="false" stroked="true" strokeweight=".48pt" strokecolor="#000000">
                <v:path arrowok="t"/>
              </v:shape>
            </v:group>
            <v:group style="position:absolute;left:5464;top:5;width:2;height:1338" coordorigin="5464,5" coordsize="2,1338">
              <v:shape style="position:absolute;left:5464;top:5;width:2;height:1338" coordorigin="5464,5" coordsize="0,1338" path="m5464,5l5464,1343e" filled="false" stroked="true" strokeweight=".48pt" strokecolor="#000000">
                <v:path arrowok="t"/>
              </v:shape>
            </v:group>
            <v:group style="position:absolute;left:9578;top:5;width:2;height:1338" coordorigin="9578,5" coordsize="2,1338">
              <v:shape style="position:absolute;left:9578;top:5;width:2;height:1338" coordorigin="9578,5" coordsize="0,1338" path="m9578,5l9578,1343e" filled="false" stroked="true" strokeweight=".48pt" strokecolor="#000000">
                <v:path arrowok="t"/>
              </v:shape>
              <v:shape style="position:absolute;left:10;top:10;width:5454;height:1338"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1"/>
                          <w:szCs w:val="21"/>
                        </w:rPr>
                      </w:pPr>
                    </w:p>
                    <w:p>
                      <w:pPr>
                        <w:spacing w:before="0"/>
                        <w:ind w:left="106" w:right="0" w:firstLine="0"/>
                        <w:jc w:val="left"/>
                        <w:rPr>
                          <w:rFonts w:ascii="宋体" w:hAnsi="宋体" w:cs="宋体" w:eastAsia="宋体" w:hint="default"/>
                          <w:sz w:val="18"/>
                          <w:szCs w:val="18"/>
                        </w:rPr>
                      </w:pPr>
                      <w:r>
                        <w:rPr>
                          <w:rFonts w:ascii="宋体" w:hAnsi="宋体" w:cs="宋体" w:eastAsia="宋体" w:hint="default"/>
                          <w:sz w:val="18"/>
                          <w:szCs w:val="18"/>
                        </w:rPr>
                        <w:t>公司期末发行在外的其他权益工具行权价格的范围和合同剩余期限</w:t>
                      </w:r>
                    </w:p>
                  </w:txbxContent>
                </v:textbox>
                <w10:wrap type="none"/>
              </v:shape>
              <v:shape style="position:absolute;left:5464;top:10;width:4114;height:1338" type="#_x0000_t202" filled="false" stroked="false">
                <v:textbox inset="0,0,0,0">
                  <w:txbxContent>
                    <w:p>
                      <w:pPr>
                        <w:spacing w:before="54"/>
                        <w:ind w:left="108"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年度授予的限制性股票行权价格</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8.37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p>
                      <w:pPr>
                        <w:spacing w:before="63"/>
                        <w:ind w:left="108" w:right="0" w:firstLine="0"/>
                        <w:jc w:val="left"/>
                        <w:rPr>
                          <w:rFonts w:ascii="宋体" w:hAnsi="宋体" w:cs="宋体" w:eastAsia="宋体" w:hint="default"/>
                          <w:sz w:val="18"/>
                          <w:szCs w:val="18"/>
                        </w:rPr>
                      </w:pPr>
                      <w:r>
                        <w:rPr>
                          <w:rFonts w:ascii="宋体" w:hAnsi="宋体" w:cs="宋体" w:eastAsia="宋体" w:hint="default"/>
                          <w:sz w:val="18"/>
                          <w:szCs w:val="18"/>
                        </w:rPr>
                        <w:t>自授予日起分</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年解锁，至</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年结束；</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spacing w:before="63"/>
                        <w:ind w:left="108" w:right="0" w:firstLine="0"/>
                        <w:jc w:val="left"/>
                        <w:rPr>
                          <w:rFonts w:ascii="宋体" w:hAnsi="宋体" w:cs="宋体" w:eastAsia="宋体" w:hint="default"/>
                          <w:sz w:val="18"/>
                          <w:szCs w:val="18"/>
                        </w:rPr>
                      </w:pPr>
                      <w:r>
                        <w:rPr>
                          <w:rFonts w:ascii="宋体" w:hAnsi="宋体" w:cs="宋体" w:eastAsia="宋体" w:hint="default"/>
                          <w:sz w:val="18"/>
                          <w:szCs w:val="18"/>
                        </w:rPr>
                        <w:t>度授予的限制性股票行权价格</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12.47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股自授予</w:t>
                      </w:r>
                    </w:p>
                    <w:p>
                      <w:pPr>
                        <w:spacing w:before="63"/>
                        <w:ind w:left="108" w:right="0" w:firstLine="0"/>
                        <w:jc w:val="left"/>
                        <w:rPr>
                          <w:rFonts w:ascii="宋体" w:hAnsi="宋体" w:cs="宋体" w:eastAsia="宋体" w:hint="default"/>
                          <w:sz w:val="18"/>
                          <w:szCs w:val="18"/>
                        </w:rPr>
                      </w:pPr>
                      <w:r>
                        <w:rPr>
                          <w:rFonts w:ascii="宋体" w:hAnsi="宋体" w:cs="宋体" w:eastAsia="宋体" w:hint="default"/>
                          <w:sz w:val="18"/>
                          <w:szCs w:val="18"/>
                        </w:rPr>
                        <w:t>日起分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年解锁，至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年结束。</w:t>
                      </w:r>
                    </w:p>
                  </w:txbxContent>
                </v:textbox>
                <w10:wrap type="none"/>
              </v:shape>
            </v:group>
          </v:group>
        </w:pict>
      </w:r>
      <w:r>
        <w:rPr>
          <w:rFonts w:ascii="宋体" w:hAnsi="宋体" w:cs="宋体" w:eastAsia="宋体" w:hint="default"/>
          <w:position w:val="-26"/>
          <w:sz w:val="20"/>
          <w:szCs w:val="20"/>
        </w:rPr>
      </w:r>
    </w:p>
    <w:p>
      <w:pPr>
        <w:pStyle w:val="BodyText"/>
        <w:spacing w:line="240" w:lineRule="auto" w:before="51"/>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2、以权益结算的股份支付情况" w:id="405"/>
      <w:bookmarkEnd w:id="405"/>
      <w:r>
        <w:rPr>
          <w:b w:val="0"/>
          <w:bCs w:val="0"/>
        </w:rPr>
      </w:r>
      <w:r>
        <w:rPr>
          <w:rFonts w:ascii="Times New Roman" w:hAnsi="Times New Roman" w:cs="Times New Roman" w:eastAsia="Times New Roman" w:hint="default"/>
        </w:rPr>
        <w:t>2</w:t>
      </w:r>
      <w:r>
        <w:rPr/>
        <w:t>、以权益结算的股份支付情况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0"/>
        <w:jc w:val="left"/>
      </w:pPr>
      <w:r>
        <w:rPr/>
        <w:t>√ 适用</w:t>
      </w:r>
      <w:r>
        <w:rPr>
          <w:spacing w:val="-1"/>
        </w:rPr>
        <w:t> </w:t>
      </w:r>
      <w:r>
        <w:rPr/>
        <w:t>□不适用</w:t>
      </w:r>
    </w:p>
    <w:p>
      <w:pPr>
        <w:pStyle w:val="BodyText"/>
        <w:spacing w:line="240" w:lineRule="auto" w:before="117"/>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983"/>
        <w:gridCol w:w="4585"/>
      </w:tblGrid>
      <w:tr>
        <w:trPr>
          <w:trHeight w:val="714" w:hRule="exact"/>
        </w:trPr>
        <w:tc>
          <w:tcPr>
            <w:tcW w:w="4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授予日权益工具公允价值的确定方法</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49"/>
              <w:jc w:val="left"/>
              <w:rPr>
                <w:rFonts w:ascii="宋体" w:hAnsi="宋体" w:cs="宋体" w:eastAsia="宋体" w:hint="default"/>
                <w:sz w:val="18"/>
                <w:szCs w:val="18"/>
              </w:rPr>
            </w:pPr>
            <w:r>
              <w:rPr>
                <w:rFonts w:ascii="宋体" w:hAnsi="宋体" w:cs="宋体" w:eastAsia="宋体" w:hint="default"/>
                <w:sz w:val="18"/>
                <w:szCs w:val="18"/>
              </w:rPr>
              <w:t>采用授予日股票收盘价减去组合期权的价值的方法确定 限制性股票</w:t>
            </w:r>
            <w:r>
              <w:rPr>
                <w:rFonts w:ascii="Times New Roman" w:hAnsi="Times New Roman" w:cs="Times New Roman" w:eastAsia="Times New Roman" w:hint="default"/>
                <w:sz w:val="18"/>
                <w:szCs w:val="18"/>
              </w:rPr>
              <w:t>/</w:t>
            </w:r>
            <w:r>
              <w:rPr>
                <w:rFonts w:ascii="宋体" w:hAnsi="宋体" w:cs="宋体" w:eastAsia="宋体" w:hint="default"/>
                <w:sz w:val="18"/>
                <w:szCs w:val="18"/>
              </w:rPr>
              <w:t>股票期权的公允价值。</w:t>
            </w:r>
          </w:p>
        </w:tc>
      </w:tr>
      <w:tr>
        <w:trPr>
          <w:trHeight w:val="1338" w:hRule="exact"/>
        </w:trPr>
        <w:tc>
          <w:tcPr>
            <w:tcW w:w="4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可行权权益工具数量的确定依据</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01"/>
              <w:jc w:val="both"/>
              <w:rPr>
                <w:rFonts w:ascii="宋体" w:hAnsi="宋体" w:cs="宋体" w:eastAsia="宋体" w:hint="default"/>
                <w:sz w:val="18"/>
                <w:szCs w:val="18"/>
              </w:rPr>
            </w:pPr>
            <w:r>
              <w:rPr>
                <w:rFonts w:ascii="宋体" w:hAnsi="宋体" w:cs="宋体" w:eastAsia="宋体" w:hint="default"/>
                <w:spacing w:val="-3"/>
                <w:sz w:val="18"/>
                <w:szCs w:val="18"/>
              </w:rPr>
              <w:t>限制性股票</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股票期权，以获授限制性股票</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股票期权额度</w:t>
            </w:r>
            <w:r>
              <w:rPr>
                <w:rFonts w:ascii="宋体" w:hAnsi="宋体" w:cs="宋体" w:eastAsia="宋体" w:hint="default"/>
                <w:spacing w:val="-66"/>
                <w:sz w:val="18"/>
                <w:szCs w:val="18"/>
              </w:rPr>
              <w:t> </w:t>
            </w:r>
            <w:r>
              <w:rPr>
                <w:rFonts w:ascii="宋体" w:hAnsi="宋体" w:cs="宋体" w:eastAsia="宋体" w:hint="default"/>
                <w:sz w:val="18"/>
                <w:szCs w:val="18"/>
              </w:rPr>
              <w:t>为基数，综合考虑每个资产负债表日可行权职工人数变 动情况、各个可行权年度公司业绩考核指标和激励对象 个人绩效考核情况确定。</w:t>
            </w:r>
          </w:p>
        </w:tc>
      </w:tr>
      <w:tr>
        <w:trPr>
          <w:trHeight w:val="402" w:hRule="exact"/>
        </w:trPr>
        <w:tc>
          <w:tcPr>
            <w:tcW w:w="4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本期估计与上期估计有重大差异的原因</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4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以权益结算的股份支付计入资本公积的累计金额</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83,022,357.03</w:t>
            </w:r>
          </w:p>
        </w:tc>
      </w:tr>
      <w:tr>
        <w:trPr>
          <w:trHeight w:val="402" w:hRule="exact"/>
        </w:trPr>
        <w:tc>
          <w:tcPr>
            <w:tcW w:w="4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 w:right="0"/>
              <w:jc w:val="left"/>
              <w:rPr>
                <w:rFonts w:ascii="宋体" w:hAnsi="宋体" w:cs="宋体" w:eastAsia="宋体" w:hint="default"/>
                <w:sz w:val="18"/>
                <w:szCs w:val="18"/>
              </w:rPr>
            </w:pPr>
            <w:r>
              <w:rPr>
                <w:rFonts w:ascii="宋体" w:hAnsi="宋体" w:cs="宋体" w:eastAsia="宋体" w:hint="default"/>
                <w:sz w:val="18"/>
                <w:szCs w:val="18"/>
              </w:rPr>
              <w:t>本期以权益结算的股份支付确认的费用总额</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8,350,800.00</w:t>
            </w:r>
          </w:p>
        </w:tc>
      </w:tr>
    </w:tbl>
    <w:p>
      <w:pPr>
        <w:pStyle w:val="BodyText"/>
        <w:spacing w:line="240" w:lineRule="auto" w:before="51"/>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3、以现金结算的股份支付情况" w:id="406"/>
      <w:bookmarkEnd w:id="406"/>
      <w:r>
        <w:rPr>
          <w:b w:val="0"/>
          <w:bCs w:val="0"/>
        </w:rPr>
      </w:r>
      <w:r>
        <w:rPr>
          <w:rFonts w:ascii="Times New Roman" w:hAnsi="Times New Roman" w:cs="Times New Roman" w:eastAsia="Times New Roman" w:hint="default"/>
        </w:rPr>
        <w:t>3</w:t>
      </w:r>
      <w:r>
        <w:rPr/>
        <w:t>、以现金结算的股份支付情况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204" w:right="0"/>
        <w:jc w:val="left"/>
      </w:pPr>
      <w:r>
        <w:rPr/>
        <w:t>□ 适用  √</w:t>
      </w:r>
      <w:r>
        <w:rPr>
          <w:spacing w:val="-1"/>
        </w:rPr>
        <w:t> </w:t>
      </w:r>
      <w:r>
        <w:rPr/>
        <w:t>不适用</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4、股份支付的修改、终止情况" w:id="407"/>
      <w:bookmarkEnd w:id="407"/>
      <w:r>
        <w:rPr>
          <w:b w:val="0"/>
          <w:bCs w:val="0"/>
        </w:rPr>
      </w:r>
      <w:r>
        <w:rPr>
          <w:rFonts w:ascii="Times New Roman" w:hAnsi="Times New Roman" w:cs="Times New Roman" w:eastAsia="Times New Roman" w:hint="default"/>
        </w:rPr>
        <w:t>4</w:t>
      </w:r>
      <w:r>
        <w:rPr/>
        <w:t>、股份支付的修改、终止情况</w:t>
      </w:r>
      <w:r>
        <w:rPr>
          <w:b w:val="0"/>
          <w:bCs w:val="0"/>
        </w:rPr>
      </w:r>
    </w:p>
    <w:p>
      <w:pPr>
        <w:spacing w:line="240" w:lineRule="auto" w:before="7"/>
        <w:rPr>
          <w:rFonts w:ascii="宋体" w:hAnsi="宋体" w:cs="宋体" w:eastAsia="宋体" w:hint="default"/>
          <w:b/>
          <w:bCs/>
          <w:sz w:val="24"/>
          <w:szCs w:val="24"/>
        </w:rPr>
      </w:pPr>
    </w:p>
    <w:p>
      <w:pPr>
        <w:spacing w:line="487" w:lineRule="auto" w:before="0"/>
        <w:ind w:left="112" w:right="8344" w:firstLine="0"/>
        <w:jc w:val="left"/>
        <w:rPr>
          <w:rFonts w:ascii="宋体" w:hAnsi="宋体" w:cs="宋体" w:eastAsia="宋体" w:hint="default"/>
          <w:sz w:val="21"/>
          <w:szCs w:val="21"/>
        </w:rPr>
      </w:pPr>
      <w:bookmarkStart w:name="5、其他" w:id="408"/>
      <w:bookmarkEnd w:id="408"/>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、其他</w:t>
      </w:r>
      <w:r>
        <w:rPr>
          <w:rFonts w:ascii="宋体" w:hAnsi="宋体" w:cs="宋体" w:eastAsia="宋体" w:hint="default"/>
          <w:b/>
          <w:bCs/>
          <w:w w:val="99"/>
          <w:sz w:val="21"/>
          <w:szCs w:val="21"/>
        </w:rPr>
        <w:t> </w:t>
      </w:r>
      <w:bookmarkStart w:name="十三、承诺及或有事项" w:id="409"/>
      <w:bookmarkEnd w:id="409"/>
      <w:r>
        <w:rPr>
          <w:rFonts w:ascii="宋体" w:hAnsi="宋体" w:cs="宋体" w:eastAsia="宋体" w:hint="default"/>
          <w:b/>
          <w:bCs/>
          <w:w w:val="99"/>
          <w:sz w:val="21"/>
          <w:szCs w:val="21"/>
        </w:rPr>
      </w:r>
      <w:r>
        <w:rPr>
          <w:rFonts w:ascii="宋体" w:hAnsi="宋体" w:cs="宋体" w:eastAsia="宋体" w:hint="default"/>
          <w:b/>
          <w:bCs/>
          <w:sz w:val="24"/>
          <w:szCs w:val="24"/>
        </w:rPr>
        <w:t>十三、承诺及或有事项</w:t>
      </w:r>
      <w:r>
        <w:rPr>
          <w:rFonts w:ascii="宋体" w:hAnsi="宋体" w:cs="宋体" w:eastAsia="宋体" w:hint="default"/>
          <w:b/>
          <w:bCs/>
          <w:w w:val="99"/>
          <w:sz w:val="24"/>
          <w:szCs w:val="24"/>
        </w:rPr>
        <w:t> </w:t>
      </w:r>
      <w:bookmarkStart w:name="1、重要承诺事项" w:id="410"/>
      <w:bookmarkEnd w:id="410"/>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、重要承诺事项</w:t>
      </w:r>
      <w:r>
        <w:rPr>
          <w:rFonts w:ascii="宋体" w:hAnsi="宋体" w:cs="宋体" w:eastAsia="宋体" w:hint="default"/>
          <w:sz w:val="21"/>
          <w:szCs w:val="21"/>
        </w:rPr>
      </w:r>
    </w:p>
    <w:p>
      <w:pPr>
        <w:pStyle w:val="BodyText"/>
        <w:spacing w:line="240" w:lineRule="auto" w:before="107"/>
        <w:ind w:right="0"/>
        <w:jc w:val="left"/>
      </w:pPr>
      <w:r>
        <w:rPr/>
        <w:t>资产负债表日存在的重要承诺</w:t>
      </w:r>
    </w:p>
    <w:p>
      <w:pPr>
        <w:pStyle w:val="BodyText"/>
        <w:spacing w:line="240" w:lineRule="auto" w:before="115"/>
        <w:ind w:left="472" w:right="0"/>
        <w:jc w:val="left"/>
      </w:pPr>
      <w:r>
        <w:rPr/>
        <w:t>截至</w:t>
      </w:r>
      <w:r>
        <w:rPr>
          <w:spacing w:val="-47"/>
        </w:rPr>
        <w:t> </w:t>
      </w:r>
      <w:r>
        <w:rPr>
          <w:rFonts w:ascii="Times New Roman" w:hAnsi="Times New Roman" w:cs="Times New Roman" w:eastAsia="Times New Roman" w:hint="default"/>
        </w:rPr>
        <w:t>2018</w:t>
      </w:r>
      <w:r>
        <w:rPr>
          <w:rFonts w:ascii="Times New Roman" w:hAnsi="Times New Roman" w:cs="Times New Roman" w:eastAsia="Times New Roman" w:hint="default"/>
          <w:spacing w:val="-3"/>
        </w:rPr>
        <w:t> </w:t>
      </w:r>
      <w:r>
        <w:rPr/>
        <w:t>年</w:t>
      </w:r>
      <w:r>
        <w:rPr>
          <w:spacing w:val="-47"/>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t>月</w:t>
      </w:r>
      <w:r>
        <w:rPr>
          <w:spacing w:val="-47"/>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日，本公司对已设立及投资子公司尚未履行的出资义务共计</w:t>
      </w:r>
      <w:r>
        <w:rPr>
          <w:spacing w:val="-49"/>
        </w:rPr>
        <w:t> </w:t>
      </w:r>
      <w:r>
        <w:rPr>
          <w:rFonts w:ascii="Times New Roman" w:hAnsi="Times New Roman" w:cs="Times New Roman" w:eastAsia="Times New Roman" w:hint="default"/>
        </w:rPr>
        <w:t>42,565,000.00</w:t>
      </w:r>
      <w:r>
        <w:rPr>
          <w:rFonts w:ascii="Times New Roman" w:hAnsi="Times New Roman" w:cs="Times New Roman" w:eastAsia="Times New Roman" w:hint="default"/>
          <w:spacing w:val="-3"/>
        </w:rPr>
        <w:t> </w:t>
      </w:r>
      <w:r>
        <w:rPr>
          <w:spacing w:val="-3"/>
        </w:rPr>
        <w:t>元，其中：天津创津科</w:t>
      </w:r>
    </w:p>
    <w:p>
      <w:pPr>
        <w:pStyle w:val="BodyText"/>
        <w:spacing w:line="240" w:lineRule="auto" w:before="63"/>
        <w:ind w:right="0"/>
        <w:jc w:val="left"/>
      </w:pPr>
      <w:r>
        <w:rPr/>
        <w:t>技有限公司</w:t>
      </w:r>
      <w:r>
        <w:rPr>
          <w:spacing w:val="-48"/>
        </w:rPr>
        <w:t> </w:t>
      </w:r>
      <w:r>
        <w:rPr>
          <w:rFonts w:ascii="Times New Roman" w:hAnsi="Times New Roman" w:cs="Times New Roman" w:eastAsia="Times New Roman" w:hint="default"/>
        </w:rPr>
        <w:t>2,975,000.00</w:t>
      </w:r>
      <w:r>
        <w:rPr>
          <w:rFonts w:ascii="Times New Roman" w:hAnsi="Times New Roman" w:cs="Times New Roman" w:eastAsia="Times New Roman" w:hint="default"/>
          <w:spacing w:val="-4"/>
        </w:rPr>
        <w:t> </w:t>
      </w:r>
      <w:r>
        <w:rPr/>
        <w:t>元、中山市杭创科技有限公司</w:t>
      </w:r>
      <w:r>
        <w:rPr>
          <w:spacing w:val="-50"/>
        </w:rPr>
        <w:t> </w:t>
      </w:r>
      <w:r>
        <w:rPr>
          <w:rFonts w:ascii="Times New Roman" w:hAnsi="Times New Roman" w:cs="Times New Roman" w:eastAsia="Times New Roman" w:hint="default"/>
        </w:rPr>
        <w:t>15,350,000.00</w:t>
      </w:r>
      <w:r>
        <w:rPr>
          <w:rFonts w:ascii="Times New Roman" w:hAnsi="Times New Roman" w:cs="Times New Roman" w:eastAsia="Times New Roman" w:hint="default"/>
          <w:spacing w:val="-4"/>
        </w:rPr>
        <w:t> </w:t>
      </w:r>
      <w:r>
        <w:rPr/>
        <w:t>元、宁海杭创网络科技有限公司</w:t>
      </w:r>
      <w:r>
        <w:rPr>
          <w:spacing w:val="-48"/>
        </w:rPr>
        <w:t> </w:t>
      </w:r>
      <w:r>
        <w:rPr>
          <w:rFonts w:ascii="Times New Roman" w:hAnsi="Times New Roman" w:cs="Times New Roman" w:eastAsia="Times New Roman" w:hint="default"/>
        </w:rPr>
        <w:t>10,000,000.00</w:t>
      </w:r>
      <w:r>
        <w:rPr>
          <w:rFonts w:ascii="Times New Roman" w:hAnsi="Times New Roman" w:cs="Times New Roman" w:eastAsia="Times New Roman" w:hint="default"/>
          <w:spacing w:val="-4"/>
        </w:rPr>
        <w:t> </w:t>
      </w:r>
      <w:r>
        <w:rPr/>
        <w:t>元、杭</w:t>
      </w:r>
    </w:p>
    <w:p>
      <w:pPr>
        <w:pStyle w:val="BodyText"/>
        <w:spacing w:line="240" w:lineRule="auto" w:before="63"/>
        <w:ind w:right="0"/>
        <w:jc w:val="left"/>
      </w:pPr>
      <w:r>
        <w:rPr/>
        <w:t>州梅清数码科技有限公司</w:t>
      </w:r>
      <w:r>
        <w:rPr>
          <w:spacing w:val="-48"/>
        </w:rPr>
        <w:t> </w:t>
      </w:r>
      <w:r>
        <w:rPr>
          <w:rFonts w:ascii="Times New Roman" w:hAnsi="Times New Roman" w:cs="Times New Roman" w:eastAsia="Times New Roman" w:hint="default"/>
        </w:rPr>
        <w:t>8,000,000.00</w:t>
      </w:r>
      <w:r>
        <w:rPr>
          <w:rFonts w:ascii="Times New Roman" w:hAnsi="Times New Roman" w:cs="Times New Roman" w:eastAsia="Times New Roman" w:hint="default"/>
          <w:spacing w:val="-3"/>
        </w:rPr>
        <w:t> </w:t>
      </w:r>
      <w:r>
        <w:rPr/>
        <w:t>元、浙江医康数据科技研究院有限公司</w:t>
      </w:r>
      <w:r>
        <w:rPr>
          <w:spacing w:val="-49"/>
        </w:rPr>
        <w:t> </w:t>
      </w:r>
      <w:r>
        <w:rPr>
          <w:rFonts w:ascii="Times New Roman" w:hAnsi="Times New Roman" w:cs="Times New Roman" w:eastAsia="Times New Roman" w:hint="default"/>
        </w:rPr>
        <w:t>6,240,000.00</w:t>
      </w:r>
      <w:r>
        <w:rPr>
          <w:rFonts w:ascii="Times New Roman" w:hAnsi="Times New Roman" w:cs="Times New Roman" w:eastAsia="Times New Roman" w:hint="default"/>
          <w:spacing w:val="-3"/>
        </w:rPr>
        <w:t> </w:t>
      </w:r>
      <w:r>
        <w:rPr/>
        <w:t>元。</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0"/>
        <w:jc w:val="left"/>
        <w:rPr>
          <w:b w:val="0"/>
          <w:bCs w:val="0"/>
        </w:rPr>
      </w:pPr>
      <w:bookmarkStart w:name="2、或有事项" w:id="411"/>
      <w:bookmarkEnd w:id="411"/>
      <w:r>
        <w:rPr>
          <w:b w:val="0"/>
          <w:bCs w:val="0"/>
        </w:rPr>
      </w:r>
      <w:r>
        <w:rPr>
          <w:rFonts w:ascii="Times New Roman" w:hAnsi="Times New Roman" w:cs="Times New Roman" w:eastAsia="Times New Roman" w:hint="default"/>
        </w:rPr>
        <w:t>2</w:t>
      </w:r>
      <w:r>
        <w:rPr/>
        <w:t>、或有事项</w:t>
      </w:r>
      <w:r>
        <w:rPr>
          <w:b w:val="0"/>
          <w:bCs w:val="0"/>
        </w:rPr>
      </w:r>
    </w:p>
    <w:p>
      <w:pPr>
        <w:spacing w:line="240" w:lineRule="auto" w:before="10"/>
        <w:rPr>
          <w:rFonts w:ascii="宋体" w:hAnsi="宋体" w:cs="宋体" w:eastAsia="宋体" w:hint="default"/>
          <w:b/>
          <w:bCs/>
          <w:sz w:val="24"/>
          <w:szCs w:val="24"/>
        </w:rPr>
      </w:pPr>
    </w:p>
    <w:p>
      <w:pPr>
        <w:spacing w:line="506" w:lineRule="auto" w:before="0"/>
        <w:ind w:left="112" w:right="2654" w:firstLine="0"/>
        <w:jc w:val="left"/>
        <w:rPr>
          <w:rFonts w:ascii="宋体" w:hAnsi="宋体" w:cs="宋体" w:eastAsia="宋体" w:hint="default"/>
          <w:sz w:val="21"/>
          <w:szCs w:val="21"/>
        </w:rPr>
      </w:pPr>
      <w:bookmarkStart w:name="（1）资产负债表日存在的重要或有事项" w:id="412"/>
      <w:bookmarkEnd w:id="41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）资产负债表日存在的重要或有事项</w:t>
      </w:r>
      <w:r>
        <w:rPr>
          <w:rFonts w:ascii="宋体" w:hAnsi="宋体" w:cs="宋体" w:eastAsia="宋体" w:hint="default"/>
          <w:b/>
          <w:bCs/>
          <w:w w:val="99"/>
          <w:sz w:val="21"/>
          <w:szCs w:val="21"/>
        </w:rPr>
        <w:t> </w:t>
      </w:r>
      <w:r>
        <w:rPr>
          <w:rFonts w:ascii="宋体" w:hAnsi="宋体" w:cs="宋体" w:eastAsia="宋体" w:hint="default"/>
          <w:w w:val="95"/>
          <w:sz w:val="21"/>
          <w:szCs w:val="21"/>
        </w:rPr>
        <w:t>截至资产负债表日，本公司不存在需要披露的重大或有事项。</w:t>
      </w:r>
      <w:r>
        <w:rPr>
          <w:rFonts w:ascii="宋体" w:hAnsi="宋体" w:cs="宋体" w:eastAsia="宋体" w:hint="default"/>
          <w:sz w:val="21"/>
          <w:szCs w:val="21"/>
        </w:rPr>
      </w:r>
    </w:p>
    <w:p>
      <w:pPr>
        <w:pStyle w:val="Heading3"/>
        <w:spacing w:line="240" w:lineRule="auto" w:before="104"/>
        <w:ind w:right="0"/>
        <w:jc w:val="left"/>
        <w:rPr>
          <w:b w:val="0"/>
          <w:bCs w:val="0"/>
        </w:rPr>
      </w:pPr>
      <w:bookmarkStart w:name="（2）公司没有需要披露的重要或有事项，也应予以说明" w:id="413"/>
      <w:bookmarkEnd w:id="413"/>
      <w:r>
        <w:rPr>
          <w:b w:val="0"/>
          <w:bCs w:val="0"/>
        </w:rPr>
      </w:r>
      <w:r>
        <w:rPr/>
        <w:t>（</w:t>
      </w:r>
      <w:r>
        <w:rPr>
          <w:rFonts w:ascii="Times New Roman" w:hAnsi="Times New Roman" w:cs="Times New Roman" w:eastAsia="Times New Roman" w:hint="default"/>
        </w:rPr>
        <w:t>2</w:t>
      </w:r>
      <w:r>
        <w:rPr/>
        <w:t>）公司没有需要披露的重要或有事项，也应予以说明</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公司不存在需要披露的重要或有事项。</w:t>
      </w:r>
    </w:p>
    <w:p>
      <w:pPr>
        <w:spacing w:line="240" w:lineRule="auto" w:before="11"/>
        <w:rPr>
          <w:rFonts w:ascii="宋体" w:hAnsi="宋体" w:cs="宋体" w:eastAsia="宋体" w:hint="default"/>
          <w:sz w:val="26"/>
          <w:szCs w:val="26"/>
        </w:rPr>
      </w:pPr>
    </w:p>
    <w:p>
      <w:pPr>
        <w:spacing w:line="487" w:lineRule="auto" w:before="0"/>
        <w:ind w:left="112" w:right="7862" w:firstLine="0"/>
        <w:jc w:val="left"/>
        <w:rPr>
          <w:rFonts w:ascii="宋体" w:hAnsi="宋体" w:cs="宋体" w:eastAsia="宋体" w:hint="default"/>
          <w:sz w:val="21"/>
          <w:szCs w:val="21"/>
        </w:rPr>
      </w:pPr>
      <w:bookmarkStart w:name="3、其他" w:id="414"/>
      <w:bookmarkEnd w:id="414"/>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、其他</w:t>
      </w:r>
      <w:r>
        <w:rPr>
          <w:rFonts w:ascii="宋体" w:hAnsi="宋体" w:cs="宋体" w:eastAsia="宋体" w:hint="default"/>
          <w:b/>
          <w:bCs/>
          <w:w w:val="99"/>
          <w:sz w:val="21"/>
          <w:szCs w:val="21"/>
        </w:rPr>
        <w:t> </w:t>
      </w:r>
      <w:bookmarkStart w:name="十四、资产负债表日后事项" w:id="415"/>
      <w:bookmarkEnd w:id="415"/>
      <w:r>
        <w:rPr>
          <w:rFonts w:ascii="宋体" w:hAnsi="宋体" w:cs="宋体" w:eastAsia="宋体" w:hint="default"/>
          <w:b/>
          <w:bCs/>
          <w:w w:val="99"/>
          <w:sz w:val="21"/>
          <w:szCs w:val="21"/>
        </w:rPr>
      </w:r>
      <w:r>
        <w:rPr>
          <w:rFonts w:ascii="宋体" w:hAnsi="宋体" w:cs="宋体" w:eastAsia="宋体" w:hint="default"/>
          <w:b/>
          <w:bCs/>
          <w:sz w:val="24"/>
          <w:szCs w:val="24"/>
        </w:rPr>
        <w:t>十四、资产负债表日后事项</w:t>
      </w:r>
      <w:r>
        <w:rPr>
          <w:rFonts w:ascii="宋体" w:hAnsi="宋体" w:cs="宋体" w:eastAsia="宋体" w:hint="default"/>
          <w:b/>
          <w:bCs/>
          <w:w w:val="99"/>
          <w:sz w:val="24"/>
          <w:szCs w:val="24"/>
        </w:rPr>
        <w:t> </w:t>
      </w:r>
      <w:bookmarkStart w:name="1、重要的非调整事项" w:id="416"/>
      <w:bookmarkEnd w:id="416"/>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、重要的非调整事项</w:t>
      </w:r>
      <w:r>
        <w:rPr>
          <w:rFonts w:ascii="宋体" w:hAnsi="宋体" w:cs="宋体" w:eastAsia="宋体" w:hint="default"/>
          <w:sz w:val="21"/>
          <w:szCs w:val="21"/>
        </w:rPr>
      </w:r>
    </w:p>
    <w:p>
      <w:pPr>
        <w:pStyle w:val="BodyText"/>
        <w:spacing w:line="240" w:lineRule="auto" w:before="107"/>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493"/>
        <w:gridCol w:w="2295"/>
        <w:gridCol w:w="2390"/>
        <w:gridCol w:w="2390"/>
      </w:tblGrid>
      <w:tr>
        <w:trPr>
          <w:trHeight w:val="714"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内容</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09" w:right="109" w:hanging="900"/>
              <w:jc w:val="left"/>
              <w:rPr>
                <w:rFonts w:ascii="宋体" w:hAnsi="宋体" w:cs="宋体" w:eastAsia="宋体" w:hint="default"/>
                <w:sz w:val="18"/>
                <w:szCs w:val="18"/>
              </w:rPr>
            </w:pPr>
            <w:r>
              <w:rPr>
                <w:rFonts w:ascii="宋体" w:hAnsi="宋体" w:cs="宋体" w:eastAsia="宋体" w:hint="default"/>
                <w:sz w:val="18"/>
                <w:szCs w:val="18"/>
              </w:rPr>
              <w:t>对财务状况和经营成果的影 响数</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89" w:right="0"/>
              <w:jc w:val="left"/>
              <w:rPr>
                <w:rFonts w:ascii="宋体" w:hAnsi="宋体" w:cs="宋体" w:eastAsia="宋体" w:hint="default"/>
                <w:sz w:val="18"/>
                <w:szCs w:val="18"/>
              </w:rPr>
            </w:pPr>
            <w:r>
              <w:rPr>
                <w:rFonts w:ascii="宋体" w:hAnsi="宋体" w:cs="宋体" w:eastAsia="宋体" w:hint="default"/>
                <w:sz w:val="18"/>
                <w:szCs w:val="18"/>
              </w:rPr>
              <w:t>无法估计影响数的原因</w:t>
            </w:r>
          </w:p>
        </w:tc>
      </w:tr>
    </w:tbl>
    <w:p>
      <w:pPr>
        <w:spacing w:line="240" w:lineRule="auto" w:before="2"/>
        <w:rPr>
          <w:rFonts w:ascii="宋体" w:hAnsi="宋体" w:cs="宋体" w:eastAsia="宋体" w:hint="default"/>
          <w:sz w:val="19"/>
          <w:szCs w:val="19"/>
        </w:rPr>
      </w:pPr>
    </w:p>
    <w:p>
      <w:pPr>
        <w:pStyle w:val="Heading3"/>
        <w:spacing w:line="240" w:lineRule="auto" w:before="34"/>
        <w:ind w:right="0"/>
        <w:jc w:val="left"/>
        <w:rPr>
          <w:b w:val="0"/>
          <w:bCs w:val="0"/>
        </w:rPr>
      </w:pPr>
      <w:bookmarkStart w:name="2、利润分配情况" w:id="417"/>
      <w:bookmarkEnd w:id="417"/>
      <w:r>
        <w:rPr>
          <w:b w:val="0"/>
          <w:bCs w:val="0"/>
        </w:rPr>
      </w:r>
      <w:r>
        <w:rPr>
          <w:rFonts w:ascii="Times New Roman" w:hAnsi="Times New Roman" w:cs="Times New Roman" w:eastAsia="Times New Roman" w:hint="default"/>
        </w:rPr>
        <w:t>2</w:t>
      </w:r>
      <w:r>
        <w:rPr/>
        <w:t>、利润分配情况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9"/>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4pt;height:20.85pt;mso-position-horizontal-relative:char;mso-position-vertical-relative:line" coordorigin="0,0" coordsize="9588,417">
            <v:group style="position:absolute;left:13;top:13;width:4978;height:397" coordorigin="13,13" coordsize="4978,397">
              <v:shape style="position:absolute;left:13;top:13;width:4978;height:397" coordorigin="13,13" coordsize="4978,397" path="m13,13l4991,13,4991,410,13,410,13,13xe" filled="true" fillcolor="#d2d2d2"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993;top:5;width:2;height:402" coordorigin="4993,5" coordsize="2,402">
              <v:shape style="position:absolute;left:4993;top:5;width:2;height:402" coordorigin="4993,5" coordsize="0,402" path="m4993,5l4993,407e" filled="false" stroked="true" strokeweight=".48pt" strokecolor="#000000">
                <v:path arrowok="t"/>
              </v:shape>
            </v:group>
            <v:group style="position:absolute;left:9578;top:5;width:2;height:402" coordorigin="9578,5" coordsize="2,402">
              <v:shape style="position:absolute;left:9578;top:5;width:2;height:402" coordorigin="9578,5" coordsize="0,402" path="m9578,5l9578,407e" filled="false" stroked="true" strokeweight=".48pt" strokecolor="#000000">
                <v:path arrowok="t"/>
              </v:shape>
              <v:shape style="position:absolute;left:10;top:10;width:4983;height:402" type="#_x0000_t202" filled="false" stroked="false">
                <v:textbox inset="0,0,0,0">
                  <w:txbxContent>
                    <w:p>
                      <w:pPr>
                        <w:spacing w:before="55"/>
                        <w:ind w:left="106" w:right="0" w:firstLine="0"/>
                        <w:jc w:val="left"/>
                        <w:rPr>
                          <w:rFonts w:ascii="宋体" w:hAnsi="宋体" w:cs="宋体" w:eastAsia="宋体" w:hint="default"/>
                          <w:sz w:val="18"/>
                          <w:szCs w:val="18"/>
                        </w:rPr>
                      </w:pPr>
                      <w:r>
                        <w:rPr>
                          <w:rFonts w:ascii="宋体" w:hAnsi="宋体" w:cs="宋体" w:eastAsia="宋体" w:hint="default"/>
                          <w:sz w:val="18"/>
                          <w:szCs w:val="18"/>
                        </w:rPr>
                        <w:t>拟分配的利润或股利</w:t>
                      </w:r>
                    </w:p>
                  </w:txbxContent>
                </v:textbox>
                <w10:wrap type="none"/>
              </v:shape>
              <v:shape style="position:absolute;left:4993;top:10;width:4585;height:402" type="#_x0000_t202" filled="false" stroked="false">
                <v:textbox inset="0,0,0,0">
                  <w:txbxContent>
                    <w:p>
                      <w:pPr>
                        <w:spacing w:before="97"/>
                        <w:ind w:left="0" w:right="105" w:firstLine="0"/>
                        <w:jc w:val="right"/>
                        <w:rPr>
                          <w:rFonts w:ascii="Times New Roman" w:hAnsi="Times New Roman" w:cs="Times New Roman" w:eastAsia="Times New Roman" w:hint="default"/>
                          <w:sz w:val="18"/>
                          <w:szCs w:val="18"/>
                        </w:rPr>
                      </w:pPr>
                      <w:r>
                        <w:rPr>
                          <w:rFonts w:ascii="Times New Roman"/>
                          <w:spacing w:val="-1"/>
                          <w:sz w:val="18"/>
                        </w:rPr>
                        <w:t>24,276,938.70</w:t>
                      </w:r>
                    </w:p>
                  </w:txbxContent>
                </v:textbox>
                <w10:wrap type="none"/>
              </v:shape>
            </v:group>
          </v:group>
        </w:pict>
      </w:r>
      <w:r>
        <w:rPr>
          <w:rFonts w:ascii="宋体" w:hAnsi="宋体" w:cs="宋体" w:eastAsia="宋体" w:hint="default"/>
          <w:position w:val="-7"/>
          <w:sz w:val="20"/>
          <w:szCs w:val="20"/>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p>
      <w:pPr>
        <w:pStyle w:val="Heading3"/>
        <w:spacing w:line="240" w:lineRule="auto" w:before="34"/>
        <w:ind w:right="0"/>
        <w:jc w:val="left"/>
        <w:rPr>
          <w:b w:val="0"/>
          <w:bCs w:val="0"/>
        </w:rPr>
      </w:pPr>
      <w:bookmarkStart w:name="3、销售退回" w:id="418"/>
      <w:bookmarkEnd w:id="418"/>
      <w:r>
        <w:rPr>
          <w:b w:val="0"/>
          <w:bCs w:val="0"/>
        </w:rPr>
      </w:r>
      <w:r>
        <w:rPr>
          <w:rFonts w:ascii="Times New Roman" w:hAnsi="Times New Roman" w:cs="Times New Roman" w:eastAsia="Times New Roman" w:hint="default"/>
        </w:rPr>
        <w:t>3</w:t>
      </w:r>
      <w:r>
        <w:rPr/>
        <w:t>、销售退回</w:t>
      </w:r>
      <w:r>
        <w:rPr>
          <w:b w:val="0"/>
          <w:bCs w:val="0"/>
        </w:rPr>
      </w:r>
    </w:p>
    <w:p>
      <w:pPr>
        <w:spacing w:line="240" w:lineRule="auto" w:before="10"/>
        <w:rPr>
          <w:rFonts w:ascii="宋体" w:hAnsi="宋体" w:cs="宋体" w:eastAsia="宋体" w:hint="default"/>
          <w:b/>
          <w:bCs/>
          <w:sz w:val="24"/>
          <w:szCs w:val="24"/>
        </w:rPr>
      </w:pPr>
    </w:p>
    <w:p>
      <w:pPr>
        <w:spacing w:line="487" w:lineRule="auto" w:before="0"/>
        <w:ind w:left="112" w:right="7697" w:firstLine="0"/>
        <w:jc w:val="left"/>
        <w:rPr>
          <w:rFonts w:ascii="宋体" w:hAnsi="宋体" w:cs="宋体" w:eastAsia="宋体" w:hint="default"/>
          <w:sz w:val="21"/>
          <w:szCs w:val="21"/>
        </w:rPr>
      </w:pPr>
      <w:bookmarkStart w:name="4、其他资产负债表日后事项说明" w:id="419"/>
      <w:bookmarkEnd w:id="419"/>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、其他资产负债表日后事项说明</w:t>
      </w:r>
      <w:r>
        <w:rPr>
          <w:rFonts w:ascii="宋体" w:hAnsi="宋体" w:cs="宋体" w:eastAsia="宋体" w:hint="default"/>
          <w:b/>
          <w:bCs/>
          <w:w w:val="99"/>
          <w:sz w:val="21"/>
          <w:szCs w:val="21"/>
        </w:rPr>
        <w:t> </w:t>
      </w:r>
      <w:bookmarkStart w:name="十五、其他重要事项" w:id="420"/>
      <w:bookmarkEnd w:id="420"/>
      <w:r>
        <w:rPr>
          <w:rFonts w:ascii="宋体" w:hAnsi="宋体" w:cs="宋体" w:eastAsia="宋体" w:hint="default"/>
          <w:b/>
          <w:bCs/>
          <w:w w:val="99"/>
          <w:sz w:val="21"/>
          <w:szCs w:val="21"/>
        </w:rPr>
      </w:r>
      <w:r>
        <w:rPr>
          <w:rFonts w:ascii="宋体" w:hAnsi="宋体" w:cs="宋体" w:eastAsia="宋体" w:hint="default"/>
          <w:b/>
          <w:bCs/>
          <w:sz w:val="24"/>
          <w:szCs w:val="24"/>
        </w:rPr>
        <w:t>十五、其他重要事项</w:t>
      </w:r>
      <w:r>
        <w:rPr>
          <w:rFonts w:ascii="宋体" w:hAnsi="宋体" w:cs="宋体" w:eastAsia="宋体" w:hint="default"/>
          <w:b/>
          <w:bCs/>
          <w:w w:val="99"/>
          <w:sz w:val="24"/>
          <w:szCs w:val="24"/>
        </w:rPr>
        <w:t> </w:t>
      </w:r>
      <w:bookmarkStart w:name="1、前期会计差错更正" w:id="421"/>
      <w:bookmarkEnd w:id="421"/>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、前期会计差错更正</w:t>
      </w:r>
      <w:r>
        <w:rPr>
          <w:rFonts w:ascii="宋体" w:hAnsi="宋体" w:cs="宋体" w:eastAsia="宋体" w:hint="default"/>
          <w:sz w:val="21"/>
          <w:szCs w:val="21"/>
        </w:rPr>
      </w:r>
    </w:p>
    <w:p>
      <w:pPr>
        <w:pStyle w:val="Heading3"/>
        <w:spacing w:line="240" w:lineRule="auto" w:before="81"/>
        <w:ind w:right="0"/>
        <w:jc w:val="left"/>
        <w:rPr>
          <w:b w:val="0"/>
          <w:bCs w:val="0"/>
        </w:rPr>
      </w:pPr>
      <w:bookmarkStart w:name="（1）追溯重述法" w:id="422"/>
      <w:bookmarkEnd w:id="422"/>
      <w:r>
        <w:rPr>
          <w:b w:val="0"/>
          <w:bCs w:val="0"/>
        </w:rPr>
      </w:r>
      <w:r>
        <w:rPr/>
        <w:t>（</w:t>
      </w:r>
      <w:r>
        <w:rPr>
          <w:rFonts w:ascii="Times New Roman" w:hAnsi="Times New Roman" w:cs="Times New Roman" w:eastAsia="Times New Roman" w:hint="default"/>
        </w:rPr>
        <w:t>1</w:t>
      </w:r>
      <w:r>
        <w:rPr/>
        <w:t>）追溯重述法</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493"/>
        <w:gridCol w:w="2295"/>
        <w:gridCol w:w="2390"/>
        <w:gridCol w:w="2390"/>
      </w:tblGrid>
      <w:tr>
        <w:trPr>
          <w:trHeight w:val="714"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430" w:right="0"/>
              <w:jc w:val="left"/>
              <w:rPr>
                <w:rFonts w:ascii="宋体" w:hAnsi="宋体" w:cs="宋体" w:eastAsia="宋体" w:hint="default"/>
                <w:sz w:val="18"/>
                <w:szCs w:val="18"/>
              </w:rPr>
            </w:pPr>
            <w:r>
              <w:rPr>
                <w:rFonts w:ascii="宋体" w:hAnsi="宋体" w:cs="宋体" w:eastAsia="宋体" w:hint="default"/>
                <w:sz w:val="18"/>
                <w:szCs w:val="18"/>
              </w:rPr>
              <w:t>会计差错更正的内容</w:t>
            </w: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处理程序</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829" w:right="109" w:hanging="720"/>
              <w:jc w:val="left"/>
              <w:rPr>
                <w:rFonts w:ascii="宋体" w:hAnsi="宋体" w:cs="宋体" w:eastAsia="宋体" w:hint="default"/>
                <w:sz w:val="18"/>
                <w:szCs w:val="18"/>
              </w:rPr>
            </w:pPr>
            <w:r>
              <w:rPr>
                <w:rFonts w:ascii="宋体" w:hAnsi="宋体" w:cs="宋体" w:eastAsia="宋体" w:hint="default"/>
                <w:sz w:val="18"/>
                <w:szCs w:val="18"/>
              </w:rPr>
              <w:t>受影响的各个比较期间报表 项目名称</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740" w:right="0"/>
              <w:jc w:val="left"/>
              <w:rPr>
                <w:rFonts w:ascii="宋体" w:hAnsi="宋体" w:cs="宋体" w:eastAsia="宋体" w:hint="default"/>
                <w:sz w:val="18"/>
                <w:szCs w:val="18"/>
              </w:rPr>
            </w:pPr>
            <w:r>
              <w:rPr>
                <w:rFonts w:ascii="宋体" w:hAnsi="宋体" w:cs="宋体" w:eastAsia="宋体" w:hint="default"/>
                <w:sz w:val="18"/>
                <w:szCs w:val="18"/>
              </w:rPr>
              <w:t>累积影响数</w:t>
            </w:r>
          </w:p>
        </w:tc>
      </w:tr>
    </w:tbl>
    <w:p>
      <w:pPr>
        <w:spacing w:line="240" w:lineRule="auto" w:before="3"/>
        <w:rPr>
          <w:rFonts w:ascii="宋体" w:hAnsi="宋体" w:cs="宋体" w:eastAsia="宋体" w:hint="default"/>
          <w:sz w:val="19"/>
          <w:szCs w:val="19"/>
        </w:rPr>
      </w:pPr>
    </w:p>
    <w:p>
      <w:pPr>
        <w:pStyle w:val="Heading3"/>
        <w:spacing w:line="240" w:lineRule="auto" w:before="34"/>
        <w:ind w:right="0"/>
        <w:jc w:val="left"/>
        <w:rPr>
          <w:b w:val="0"/>
          <w:bCs w:val="0"/>
        </w:rPr>
      </w:pPr>
      <w:bookmarkStart w:name="（2）未来适用法" w:id="423"/>
      <w:bookmarkEnd w:id="423"/>
      <w:r>
        <w:rPr>
          <w:b w:val="0"/>
          <w:bCs w:val="0"/>
        </w:rPr>
      </w:r>
      <w:r>
        <w:rPr/>
        <w:t>（</w:t>
      </w:r>
      <w:r>
        <w:rPr>
          <w:rFonts w:ascii="Times New Roman" w:hAnsi="Times New Roman" w:cs="Times New Roman" w:eastAsia="Times New Roman" w:hint="default"/>
        </w:rPr>
        <w:t>2</w:t>
      </w:r>
      <w:r>
        <w:rPr/>
        <w:t>）未来适用法</w:t>
      </w:r>
      <w:r>
        <w:rPr>
          <w:b w:val="0"/>
          <w:bCs w:val="0"/>
        </w:rPr>
      </w:r>
    </w:p>
    <w:p>
      <w:pPr>
        <w:spacing w:line="240" w:lineRule="auto" w:before="10"/>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845" w:right="0"/>
              <w:jc w:val="left"/>
              <w:rPr>
                <w:rFonts w:ascii="宋体" w:hAnsi="宋体" w:cs="宋体" w:eastAsia="宋体" w:hint="default"/>
                <w:sz w:val="18"/>
                <w:szCs w:val="18"/>
              </w:rPr>
            </w:pPr>
            <w:r>
              <w:rPr>
                <w:rFonts w:ascii="宋体" w:hAnsi="宋体" w:cs="宋体" w:eastAsia="宋体" w:hint="default"/>
                <w:sz w:val="18"/>
                <w:szCs w:val="18"/>
              </w:rPr>
              <w:t>会计差错更正的内容</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批准程序</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688" w:right="0"/>
              <w:jc w:val="left"/>
              <w:rPr>
                <w:rFonts w:ascii="宋体" w:hAnsi="宋体" w:cs="宋体" w:eastAsia="宋体" w:hint="default"/>
                <w:sz w:val="18"/>
                <w:szCs w:val="18"/>
              </w:rPr>
            </w:pPr>
            <w:r>
              <w:rPr>
                <w:rFonts w:ascii="宋体" w:hAnsi="宋体" w:cs="宋体" w:eastAsia="宋体" w:hint="default"/>
                <w:sz w:val="18"/>
                <w:szCs w:val="18"/>
              </w:rPr>
              <w:t>采用未来适用法的原因</w:t>
            </w:r>
          </w:p>
        </w:tc>
      </w:tr>
    </w:tbl>
    <w:p>
      <w:pPr>
        <w:spacing w:after="0" w:line="240" w:lineRule="auto"/>
        <w:jc w:val="left"/>
        <w:rPr>
          <w:rFonts w:ascii="宋体" w:hAnsi="宋体" w:cs="宋体" w:eastAsia="宋体" w:hint="default"/>
          <w:sz w:val="18"/>
          <w:szCs w:val="18"/>
        </w:rPr>
        <w:sectPr>
          <w:pgSz w:w="11910" w:h="16840"/>
          <w:pgMar w:header="907" w:footer="1016" w:top="1100" w:bottom="1200" w:left="1020" w:right="0"/>
        </w:sectPr>
      </w:pPr>
    </w:p>
    <w:p>
      <w:pPr>
        <w:spacing w:line="240" w:lineRule="auto" w:before="10"/>
        <w:rPr>
          <w:rFonts w:ascii="宋体" w:hAnsi="宋体" w:cs="宋体" w:eastAsia="宋体" w:hint="default"/>
          <w:b/>
          <w:bCs/>
          <w:sz w:val="21"/>
          <w:szCs w:val="21"/>
        </w:rPr>
      </w:pPr>
    </w:p>
    <w:p>
      <w:pPr>
        <w:pStyle w:val="Heading3"/>
        <w:spacing w:line="240" w:lineRule="auto" w:before="34"/>
        <w:ind w:right="0"/>
        <w:jc w:val="left"/>
        <w:rPr>
          <w:b w:val="0"/>
          <w:bCs w:val="0"/>
        </w:rPr>
      </w:pPr>
      <w:bookmarkStart w:name="2、债务重组" w:id="424"/>
      <w:bookmarkEnd w:id="424"/>
      <w:r>
        <w:rPr>
          <w:b w:val="0"/>
          <w:bCs w:val="0"/>
        </w:rPr>
      </w:r>
      <w:r>
        <w:rPr>
          <w:rFonts w:ascii="Times New Roman" w:hAnsi="Times New Roman" w:cs="Times New Roman" w:eastAsia="Times New Roman" w:hint="default"/>
        </w:rPr>
        <w:t>2</w:t>
      </w:r>
      <w:r>
        <w:rPr/>
        <w:t>、债务重组</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3、资产置换" w:id="425"/>
      <w:bookmarkEnd w:id="425"/>
      <w:r>
        <w:rPr>
          <w:b w:val="0"/>
          <w:bCs w:val="0"/>
        </w:rPr>
      </w:r>
      <w:r>
        <w:rPr>
          <w:rFonts w:ascii="Times New Roman" w:hAnsi="Times New Roman" w:cs="Times New Roman" w:eastAsia="Times New Roman" w:hint="default"/>
        </w:rPr>
        <w:t>3</w:t>
      </w:r>
      <w:r>
        <w:rPr/>
        <w:t>、资产置换</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1）非货币性资产交换" w:id="426"/>
      <w:bookmarkEnd w:id="426"/>
      <w:r>
        <w:rPr>
          <w:b w:val="0"/>
          <w:bCs w:val="0"/>
        </w:rPr>
      </w:r>
      <w:r>
        <w:rPr/>
        <w:t>（</w:t>
      </w:r>
      <w:r>
        <w:rPr>
          <w:rFonts w:ascii="Times New Roman" w:hAnsi="Times New Roman" w:cs="Times New Roman" w:eastAsia="Times New Roman" w:hint="default"/>
        </w:rPr>
        <w:t>1</w:t>
      </w:r>
      <w:r>
        <w:rPr/>
        <w:t>）非货币性资产交换</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2）其他资产置换" w:id="427"/>
      <w:bookmarkEnd w:id="427"/>
      <w:r>
        <w:rPr>
          <w:b w:val="0"/>
          <w:bCs w:val="0"/>
        </w:rPr>
      </w:r>
      <w:r>
        <w:rPr/>
        <w:t>（</w:t>
      </w:r>
      <w:r>
        <w:rPr>
          <w:rFonts w:ascii="Times New Roman" w:hAnsi="Times New Roman" w:cs="Times New Roman" w:eastAsia="Times New Roman" w:hint="default"/>
        </w:rPr>
        <w:t>2</w:t>
      </w:r>
      <w:r>
        <w:rPr/>
        <w:t>）其他资产置换</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4、年金计划" w:id="428"/>
      <w:bookmarkEnd w:id="428"/>
      <w:r>
        <w:rPr>
          <w:b w:val="0"/>
          <w:bCs w:val="0"/>
        </w:rPr>
      </w:r>
      <w:r>
        <w:rPr>
          <w:rFonts w:ascii="Times New Roman" w:hAnsi="Times New Roman" w:cs="Times New Roman" w:eastAsia="Times New Roman" w:hint="default"/>
        </w:rPr>
        <w:t>4</w:t>
      </w:r>
      <w:r>
        <w:rPr/>
        <w:t>、年金计划</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5、终止经营" w:id="429"/>
      <w:bookmarkEnd w:id="429"/>
      <w:r>
        <w:rPr>
          <w:b w:val="0"/>
          <w:bCs w:val="0"/>
        </w:rPr>
      </w:r>
      <w:r>
        <w:rPr>
          <w:rFonts w:ascii="Times New Roman" w:hAnsi="Times New Roman" w:cs="Times New Roman" w:eastAsia="Times New Roman" w:hint="default"/>
        </w:rPr>
        <w:t>5</w:t>
      </w:r>
      <w:r>
        <w:rPr/>
        <w:t>、终止经营</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7"/>
        <w:gridCol w:w="1367"/>
        <w:gridCol w:w="1367"/>
      </w:tblGrid>
      <w:tr>
        <w:trPr>
          <w:trHeight w:val="356" w:hRule="exact"/>
        </w:trPr>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7"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归属于母公司</w:t>
            </w:r>
          </w:p>
        </w:tc>
      </w:tr>
      <w:tr>
        <w:trPr>
          <w:trHeight w:val="312" w:hRule="exact"/>
        </w:trPr>
        <w:tc>
          <w:tcPr>
            <w:tcW w:w="13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费用</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318"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228"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407"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36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所有者的终止</w:t>
            </w:r>
          </w:p>
        </w:tc>
      </w:tr>
      <w:tr>
        <w:trPr>
          <w:trHeight w:val="358" w:hRule="exact"/>
        </w:trPr>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right="2"/>
              <w:jc w:val="center"/>
              <w:rPr>
                <w:rFonts w:ascii="宋体" w:hAnsi="宋体" w:cs="宋体" w:eastAsia="宋体" w:hint="default"/>
                <w:sz w:val="18"/>
                <w:szCs w:val="18"/>
              </w:rPr>
            </w:pPr>
            <w:r>
              <w:rPr>
                <w:rFonts w:ascii="宋体" w:hAnsi="宋体" w:cs="宋体" w:eastAsia="宋体" w:hint="default"/>
                <w:sz w:val="18"/>
                <w:szCs w:val="18"/>
              </w:rPr>
              <w:t>经营利润</w:t>
            </w:r>
          </w:p>
        </w:tc>
      </w:tr>
    </w:tbl>
    <w:p>
      <w:pPr>
        <w:pStyle w:val="BodyText"/>
        <w:spacing w:line="240" w:lineRule="auto" w:before="51"/>
        <w:ind w:right="0"/>
        <w:jc w:val="left"/>
      </w:pPr>
      <w:r>
        <w:rPr/>
        <w:t>其他说明</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6、分部信息" w:id="430"/>
      <w:bookmarkEnd w:id="430"/>
      <w:r>
        <w:rPr>
          <w:b w:val="0"/>
          <w:bCs w:val="0"/>
        </w:rPr>
      </w:r>
      <w:r>
        <w:rPr>
          <w:rFonts w:ascii="Times New Roman" w:hAnsi="Times New Roman" w:cs="Times New Roman" w:eastAsia="Times New Roman" w:hint="default"/>
        </w:rPr>
        <w:t>6</w:t>
      </w:r>
      <w:r>
        <w:rPr/>
        <w:t>、分部信息</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报告分部的确定依据与会计政策" w:id="431"/>
      <w:bookmarkEnd w:id="431"/>
      <w:r>
        <w:rPr>
          <w:b w:val="0"/>
          <w:bCs w:val="0"/>
        </w:rPr>
      </w:r>
      <w:r>
        <w:rPr/>
        <w:t>（</w:t>
      </w:r>
      <w:r>
        <w:rPr>
          <w:rFonts w:ascii="Times New Roman" w:hAnsi="Times New Roman" w:cs="Times New Roman" w:eastAsia="Times New Roman" w:hint="default"/>
        </w:rPr>
        <w:t>1</w:t>
      </w:r>
      <w:r>
        <w:rPr/>
        <w:t>）报告分部的确定依据与会计政策</w:t>
      </w:r>
      <w:r>
        <w:rPr>
          <w:b w:val="0"/>
          <w:bCs w:val="0"/>
        </w:rPr>
      </w:r>
    </w:p>
    <w:p>
      <w:pPr>
        <w:spacing w:line="240" w:lineRule="auto" w:before="7"/>
        <w:rPr>
          <w:rFonts w:ascii="宋体" w:hAnsi="宋体" w:cs="宋体" w:eastAsia="宋体" w:hint="default"/>
          <w:b/>
          <w:bCs/>
          <w:sz w:val="26"/>
          <w:szCs w:val="26"/>
        </w:rPr>
      </w:pPr>
    </w:p>
    <w:p>
      <w:pPr>
        <w:pStyle w:val="BodyText"/>
        <w:spacing w:line="309" w:lineRule="auto"/>
        <w:ind w:right="1132" w:firstLine="420"/>
        <w:jc w:val="both"/>
      </w:pPr>
      <w:r>
        <w:rPr/>
        <w:t>本公司主要业务包括医疗卫生信息化应用软件业务和基于信息技术的系统集成业务以及</w:t>
      </w:r>
      <w:r>
        <w:rPr>
          <w:rFonts w:ascii="Times New Roman" w:hAnsi="Times New Roman" w:cs="Times New Roman" w:eastAsia="Times New Roman" w:hint="default"/>
        </w:rPr>
        <w:t>IT</w:t>
      </w:r>
      <w:r>
        <w:rPr/>
        <w:t>运维服务业务，公司尚不能 </w:t>
      </w:r>
      <w:r>
        <w:rPr>
          <w:spacing w:val="-2"/>
        </w:rPr>
        <w:t>够准确划分直接归属于某一分部的经营资产和负债，故无报告分部。本公司按产品分类的主营业务收入及主营业务成本明细</w:t>
      </w:r>
      <w:r>
        <w:rPr>
          <w:spacing w:val="-64"/>
        </w:rPr>
        <w:t> </w:t>
      </w:r>
      <w:r>
        <w:rPr>
          <w:spacing w:val="-64"/>
        </w:rPr>
      </w:r>
      <w:r>
        <w:rPr/>
        <w:t>如下。</w:t>
      </w:r>
    </w:p>
    <w:tbl>
      <w:tblPr>
        <w:tblW w:w="0" w:type="auto"/>
        <w:jc w:val="left"/>
        <w:tblInd w:w="667" w:type="dxa"/>
        <w:tblLayout w:type="fixed"/>
        <w:tblCellMar>
          <w:top w:w="0" w:type="dxa"/>
          <w:left w:w="0" w:type="dxa"/>
          <w:bottom w:w="0" w:type="dxa"/>
          <w:right w:w="0" w:type="dxa"/>
        </w:tblCellMar>
        <w:tblLook w:val="01E0"/>
      </w:tblPr>
      <w:tblGrid>
        <w:gridCol w:w="3226"/>
        <w:gridCol w:w="2649"/>
        <w:gridCol w:w="2647"/>
      </w:tblGrid>
      <w:tr>
        <w:trPr>
          <w:trHeight w:val="342" w:hRule="exact"/>
        </w:trPr>
        <w:tc>
          <w:tcPr>
            <w:tcW w:w="3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216"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86"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2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784" w:right="0"/>
              <w:jc w:val="left"/>
              <w:rPr>
                <w:rFonts w:ascii="宋体" w:hAnsi="宋体" w:cs="宋体" w:eastAsia="宋体" w:hint="default"/>
                <w:sz w:val="18"/>
                <w:szCs w:val="18"/>
              </w:rPr>
            </w:pPr>
            <w:r>
              <w:rPr>
                <w:rFonts w:ascii="宋体" w:hAnsi="宋体" w:cs="宋体" w:eastAsia="宋体" w:hint="default"/>
                <w:sz w:val="18"/>
                <w:szCs w:val="18"/>
              </w:rPr>
              <w:t>主营业务成本</w:t>
            </w:r>
          </w:p>
        </w:tc>
      </w:tr>
      <w:tr>
        <w:trPr>
          <w:trHeight w:val="342" w:hRule="exact"/>
        </w:trPr>
        <w:tc>
          <w:tcPr>
            <w:tcW w:w="3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4" w:right="0"/>
              <w:jc w:val="left"/>
              <w:rPr>
                <w:rFonts w:ascii="宋体" w:hAnsi="宋体" w:cs="宋体" w:eastAsia="宋体" w:hint="default"/>
                <w:sz w:val="18"/>
                <w:szCs w:val="18"/>
              </w:rPr>
            </w:pPr>
            <w:r>
              <w:rPr>
                <w:rFonts w:ascii="宋体" w:hAnsi="宋体" w:cs="宋体" w:eastAsia="宋体" w:hint="default"/>
                <w:sz w:val="18"/>
                <w:szCs w:val="18"/>
              </w:rPr>
              <w:t>软件销售</w:t>
            </w:r>
          </w:p>
        </w:tc>
        <w:tc>
          <w:tcPr>
            <w:tcW w:w="2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352,150,398.08</w:t>
            </w:r>
          </w:p>
        </w:tc>
        <w:tc>
          <w:tcPr>
            <w:tcW w:w="2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130,340,629.03</w:t>
            </w:r>
          </w:p>
        </w:tc>
      </w:tr>
      <w:tr>
        <w:trPr>
          <w:trHeight w:val="342" w:hRule="exact"/>
        </w:trPr>
        <w:tc>
          <w:tcPr>
            <w:tcW w:w="3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2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Times New Roman" w:hAnsi="Times New Roman" w:cs="Times New Roman" w:eastAsia="Times New Roman" w:hint="default"/>
                <w:sz w:val="18"/>
                <w:szCs w:val="18"/>
              </w:rPr>
            </w:pPr>
            <w:r>
              <w:rPr>
                <w:rFonts w:ascii="Times New Roman"/>
                <w:spacing w:val="-1"/>
                <w:sz w:val="18"/>
              </w:rPr>
              <w:t>178,386,179.84</w:t>
            </w:r>
          </w:p>
        </w:tc>
        <w:tc>
          <w:tcPr>
            <w:tcW w:w="2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Times New Roman" w:hAnsi="Times New Roman" w:cs="Times New Roman" w:eastAsia="Times New Roman" w:hint="default"/>
                <w:sz w:val="18"/>
                <w:szCs w:val="18"/>
              </w:rPr>
            </w:pPr>
            <w:r>
              <w:rPr>
                <w:rFonts w:ascii="Times New Roman"/>
                <w:spacing w:val="-1"/>
                <w:sz w:val="18"/>
              </w:rPr>
              <w:t>145,958,834.35</w:t>
            </w:r>
          </w:p>
        </w:tc>
      </w:tr>
      <w:tr>
        <w:trPr>
          <w:trHeight w:val="342" w:hRule="exact"/>
        </w:trPr>
        <w:tc>
          <w:tcPr>
            <w:tcW w:w="3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4" w:right="0"/>
              <w:jc w:val="left"/>
              <w:rPr>
                <w:rFonts w:ascii="宋体" w:hAnsi="宋体" w:cs="宋体" w:eastAsia="宋体" w:hint="default"/>
                <w:sz w:val="18"/>
                <w:szCs w:val="18"/>
              </w:rPr>
            </w:pPr>
            <w:r>
              <w:rPr>
                <w:rFonts w:ascii="宋体" w:hAnsi="宋体" w:cs="宋体" w:eastAsia="宋体" w:hint="default"/>
                <w:sz w:val="18"/>
                <w:szCs w:val="18"/>
              </w:rPr>
              <w:t>技术服务</w:t>
            </w:r>
          </w:p>
        </w:tc>
        <w:tc>
          <w:tcPr>
            <w:tcW w:w="2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631,622,505.40</w:t>
            </w:r>
          </w:p>
        </w:tc>
        <w:tc>
          <w:tcPr>
            <w:tcW w:w="2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286,609,791.55</w:t>
            </w:r>
          </w:p>
        </w:tc>
      </w:tr>
      <w:tr>
        <w:trPr>
          <w:trHeight w:val="342" w:hRule="exact"/>
        </w:trPr>
        <w:tc>
          <w:tcPr>
            <w:tcW w:w="3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right"/>
              <w:rPr>
                <w:rFonts w:ascii="Times New Roman" w:hAnsi="Times New Roman" w:cs="Times New Roman" w:eastAsia="Times New Roman" w:hint="default"/>
                <w:sz w:val="18"/>
                <w:szCs w:val="18"/>
              </w:rPr>
            </w:pPr>
            <w:r>
              <w:rPr>
                <w:rFonts w:ascii="Times New Roman"/>
                <w:spacing w:val="-1"/>
                <w:sz w:val="18"/>
              </w:rPr>
              <w:t>122,600,465.11</w:t>
            </w:r>
          </w:p>
        </w:tc>
        <w:tc>
          <w:tcPr>
            <w:tcW w:w="2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3"/>
              <w:jc w:val="right"/>
              <w:rPr>
                <w:rFonts w:ascii="Times New Roman" w:hAnsi="Times New Roman" w:cs="Times New Roman" w:eastAsia="Times New Roman" w:hint="default"/>
                <w:sz w:val="18"/>
                <w:szCs w:val="18"/>
              </w:rPr>
            </w:pPr>
            <w:r>
              <w:rPr>
                <w:rFonts w:ascii="Times New Roman"/>
                <w:spacing w:val="-1"/>
                <w:sz w:val="18"/>
              </w:rPr>
              <w:t>83,639,626.48</w:t>
            </w:r>
          </w:p>
        </w:tc>
      </w:tr>
      <w:tr>
        <w:trPr>
          <w:trHeight w:val="342" w:hRule="exact"/>
        </w:trPr>
        <w:tc>
          <w:tcPr>
            <w:tcW w:w="3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2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1,284,759,548.43</w:t>
            </w:r>
          </w:p>
        </w:tc>
        <w:tc>
          <w:tcPr>
            <w:tcW w:w="26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646,548,881.41</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p>
      <w:pPr>
        <w:pStyle w:val="Heading3"/>
        <w:spacing w:line="240" w:lineRule="auto" w:before="34"/>
        <w:ind w:right="0"/>
        <w:jc w:val="left"/>
        <w:rPr>
          <w:b w:val="0"/>
          <w:bCs w:val="0"/>
        </w:rPr>
      </w:pPr>
      <w:bookmarkStart w:name="（2）报告分部的财务信息" w:id="432"/>
      <w:bookmarkEnd w:id="432"/>
      <w:r>
        <w:rPr>
          <w:b w:val="0"/>
          <w:bCs w:val="0"/>
        </w:rPr>
      </w:r>
      <w:r>
        <w:rPr/>
        <w:t>（</w:t>
      </w:r>
      <w:r>
        <w:rPr>
          <w:rFonts w:ascii="Times New Roman" w:hAnsi="Times New Roman" w:cs="Times New Roman" w:eastAsia="Times New Roman" w:hint="default"/>
        </w:rPr>
        <w:t>2</w:t>
      </w:r>
      <w:r>
        <w:rPr/>
        <w:t>）报告分部的财务信息</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2"/>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2"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742" w:right="0"/>
              <w:jc w:val="left"/>
              <w:rPr>
                <w:rFonts w:ascii="宋体" w:hAnsi="宋体" w:cs="宋体" w:eastAsia="宋体" w:hint="default"/>
                <w:sz w:val="18"/>
                <w:szCs w:val="18"/>
              </w:rPr>
            </w:pPr>
            <w:r>
              <w:rPr>
                <w:rFonts w:ascii="宋体" w:hAnsi="宋体" w:cs="宋体" w:eastAsia="宋体" w:hint="default"/>
                <w:sz w:val="18"/>
                <w:szCs w:val="18"/>
              </w:rPr>
              <w:t>分部间抵销</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after="0" w:line="240" w:lineRule="auto"/>
        <w:jc w:val="center"/>
        <w:rPr>
          <w:rFonts w:ascii="宋体" w:hAnsi="宋体" w:cs="宋体" w:eastAsia="宋体" w:hint="default"/>
          <w:sz w:val="18"/>
          <w:szCs w:val="18"/>
        </w:rPr>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0"/>
        <w:jc w:val="left"/>
        <w:rPr>
          <w:b w:val="0"/>
          <w:bCs w:val="0"/>
        </w:rPr>
      </w:pPr>
      <w:bookmarkStart w:name="（3）公司无报告分部的，或者不能披露各报告分部的资产总额和负债总额的，应说明原因" w:id="433"/>
      <w:bookmarkEnd w:id="433"/>
      <w:r>
        <w:rPr>
          <w:b w:val="0"/>
          <w:bCs w:val="0"/>
        </w:rPr>
      </w:r>
      <w:r>
        <w:rPr/>
        <w:t>（</w:t>
      </w:r>
      <w:r>
        <w:rPr>
          <w:rFonts w:ascii="Times New Roman" w:hAnsi="Times New Roman" w:cs="Times New Roman" w:eastAsia="Times New Roman" w:hint="default"/>
        </w:rPr>
        <w:t>3</w:t>
      </w:r>
      <w:r>
        <w:rPr/>
        <w:t>）公司无报告分部的，或者不能披露各报告分部的资产总额和负债总额的，应说明原因</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4）其他说明" w:id="434"/>
      <w:bookmarkEnd w:id="434"/>
      <w:r>
        <w:rPr>
          <w:b w:val="0"/>
          <w:bCs w:val="0"/>
        </w:rPr>
      </w:r>
      <w:r>
        <w:rPr/>
        <w:t>（</w:t>
      </w:r>
      <w:r>
        <w:rPr>
          <w:rFonts w:ascii="Times New Roman" w:hAnsi="Times New Roman" w:cs="Times New Roman" w:eastAsia="Times New Roman" w:hint="default"/>
        </w:rPr>
        <w:t>4</w:t>
      </w:r>
      <w:r>
        <w:rPr/>
        <w:t>）其他说明</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bookmarkStart w:name="7、其他对投资者决策有影响的重要交易和事项" w:id="435"/>
      <w:bookmarkEnd w:id="435"/>
      <w:r>
        <w:rPr>
          <w:b w:val="0"/>
          <w:bCs w:val="0"/>
        </w:rPr>
      </w:r>
      <w:r>
        <w:rPr>
          <w:rFonts w:ascii="Times New Roman" w:hAnsi="Times New Roman" w:cs="Times New Roman" w:eastAsia="Times New Roman" w:hint="default"/>
        </w:rPr>
        <w:t>7</w:t>
      </w:r>
      <w:r>
        <w:rPr/>
        <w:t>、其他对投资者决策有影响的重要交易和事项</w:t>
      </w:r>
      <w:r>
        <w:rPr>
          <w:b w:val="0"/>
          <w:bCs w:val="0"/>
        </w:rPr>
      </w:r>
    </w:p>
    <w:p>
      <w:pPr>
        <w:spacing w:line="240" w:lineRule="auto" w:before="7"/>
        <w:rPr>
          <w:rFonts w:ascii="宋体" w:hAnsi="宋体" w:cs="宋体" w:eastAsia="宋体" w:hint="default"/>
          <w:b/>
          <w:bCs/>
          <w:sz w:val="24"/>
          <w:szCs w:val="24"/>
        </w:rPr>
      </w:pPr>
    </w:p>
    <w:p>
      <w:pPr>
        <w:spacing w:line="487" w:lineRule="auto" w:before="0"/>
        <w:ind w:left="112" w:right="6899" w:firstLine="0"/>
        <w:jc w:val="left"/>
        <w:rPr>
          <w:rFonts w:ascii="宋体" w:hAnsi="宋体" w:cs="宋体" w:eastAsia="宋体" w:hint="default"/>
          <w:sz w:val="21"/>
          <w:szCs w:val="21"/>
        </w:rPr>
      </w:pPr>
      <w:bookmarkStart w:name="8、其他" w:id="436"/>
      <w:bookmarkEnd w:id="436"/>
      <w:r>
        <w:rPr/>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、其他</w:t>
      </w:r>
      <w:r>
        <w:rPr>
          <w:rFonts w:ascii="宋体" w:hAnsi="宋体" w:cs="宋体" w:eastAsia="宋体" w:hint="default"/>
          <w:b/>
          <w:bCs/>
          <w:w w:val="99"/>
          <w:sz w:val="21"/>
          <w:szCs w:val="21"/>
        </w:rPr>
        <w:t> </w:t>
      </w:r>
      <w:bookmarkStart w:name="十六、母公司财务报表主要项目注释" w:id="437"/>
      <w:bookmarkEnd w:id="437"/>
      <w:r>
        <w:rPr>
          <w:rFonts w:ascii="宋体" w:hAnsi="宋体" w:cs="宋体" w:eastAsia="宋体" w:hint="default"/>
          <w:b/>
          <w:bCs/>
          <w:w w:val="99"/>
          <w:sz w:val="21"/>
          <w:szCs w:val="21"/>
        </w:rPr>
      </w:r>
      <w:r>
        <w:rPr>
          <w:rFonts w:ascii="宋体" w:hAnsi="宋体" w:cs="宋体" w:eastAsia="宋体" w:hint="default"/>
          <w:b/>
          <w:bCs/>
          <w:sz w:val="24"/>
          <w:szCs w:val="24"/>
        </w:rPr>
        <w:t>十六、母公司财务报表主要项目注释</w:t>
      </w:r>
      <w:r>
        <w:rPr>
          <w:rFonts w:ascii="宋体" w:hAnsi="宋体" w:cs="宋体" w:eastAsia="宋体" w:hint="default"/>
          <w:b/>
          <w:bCs/>
          <w:w w:val="99"/>
          <w:sz w:val="24"/>
          <w:szCs w:val="24"/>
        </w:rPr>
        <w:t> </w:t>
      </w:r>
      <w:bookmarkStart w:name="1、应收票据及应收账款" w:id="438"/>
      <w:bookmarkEnd w:id="438"/>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、应收票据及应收账款</w:t>
      </w:r>
      <w:r>
        <w:rPr>
          <w:rFonts w:ascii="宋体" w:hAnsi="宋体" w:cs="宋体" w:eastAsia="宋体" w:hint="default"/>
          <w:sz w:val="21"/>
          <w:szCs w:val="21"/>
        </w:rPr>
      </w:r>
    </w:p>
    <w:p>
      <w:pPr>
        <w:pStyle w:val="BodyText"/>
        <w:spacing w:line="240" w:lineRule="auto" w:before="107"/>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1,154,448.73</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449,196,171.05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318,133,654.51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450,350,619.78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318,133,654.51</w:t>
            </w:r>
          </w:p>
        </w:tc>
      </w:tr>
    </w:tbl>
    <w:p>
      <w:pPr>
        <w:spacing w:line="240" w:lineRule="auto" w:before="3"/>
        <w:rPr>
          <w:rFonts w:ascii="宋体" w:hAnsi="宋体" w:cs="宋体" w:eastAsia="宋体" w:hint="default"/>
          <w:sz w:val="19"/>
          <w:szCs w:val="19"/>
        </w:rPr>
      </w:pPr>
    </w:p>
    <w:p>
      <w:pPr>
        <w:pStyle w:val="Heading3"/>
        <w:spacing w:line="240" w:lineRule="auto" w:before="34"/>
        <w:ind w:right="0"/>
        <w:jc w:val="left"/>
        <w:rPr>
          <w:b w:val="0"/>
          <w:bCs w:val="0"/>
        </w:rPr>
      </w:pPr>
      <w:bookmarkStart w:name="（1）应收票据" w:id="439"/>
      <w:bookmarkEnd w:id="439"/>
      <w:r>
        <w:rPr>
          <w:b w:val="0"/>
          <w:bCs w:val="0"/>
        </w:rPr>
      </w:r>
      <w:r>
        <w:rPr/>
        <w:t>（</w:t>
      </w:r>
      <w:r>
        <w:rPr>
          <w:rFonts w:ascii="Times New Roman" w:hAnsi="Times New Roman" w:cs="Times New Roman" w:eastAsia="Times New Roman" w:hint="default"/>
        </w:rPr>
        <w:t>1</w:t>
      </w:r>
      <w:r>
        <w:rPr/>
        <w:t>）应收票据</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应收票据分类列示</w:t>
      </w:r>
    </w:p>
    <w:p>
      <w:pPr>
        <w:pStyle w:val="BodyText"/>
        <w:spacing w:line="240" w:lineRule="auto" w:before="103"/>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1,154,448.73</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1,154,448.73</w:t>
            </w:r>
          </w:p>
        </w:tc>
        <w:tc>
          <w:tcPr>
            <w:tcW w:w="3190"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0"/>
        <w:jc w:val="left"/>
      </w:pPr>
      <w:r>
        <w:rPr>
          <w:rFonts w:ascii="Times New Roman" w:hAnsi="Times New Roman" w:cs="Times New Roman" w:eastAsia="Times New Roman" w:hint="default"/>
        </w:rPr>
        <w:t>2)</w:t>
      </w:r>
      <w:r>
        <w:rPr/>
        <w:t>期末公司已质押的应收票据</w:t>
      </w:r>
    </w:p>
    <w:p>
      <w:pPr>
        <w:pStyle w:val="BodyText"/>
        <w:spacing w:line="240" w:lineRule="auto" w:before="103"/>
        <w:ind w:left="0" w:right="1132"/>
        <w:jc w:val="right"/>
      </w:pPr>
      <w:r>
        <w:rPr/>
        <w:t>单位：元</w:t>
      </w:r>
    </w:p>
    <w:p>
      <w:pPr>
        <w:spacing w:line="240" w:lineRule="auto" w:before="8"/>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4pt;height:20.85pt;mso-position-horizontal-relative:char;mso-position-vertical-relative:line" coordorigin="0,0" coordsize="9588,417">
            <v:group style="position:absolute;left:13;top:13;width:4779;height:397" coordorigin="13,13" coordsize="4779,397">
              <v:shape style="position:absolute;left:13;top:13;width:4779;height:397" coordorigin="13,13" coordsize="4779,397" path="m13,13l4792,13,4792,410,13,410,13,13xe" filled="true" fillcolor="#d2d2d2" stroked="false">
                <v:path arrowok="t"/>
                <v:fill type="solid"/>
              </v:shape>
            </v:group>
            <v:group style="position:absolute;left:4797;top:13;width:4779;height:397" coordorigin="4797,13" coordsize="4779,397">
              <v:shape style="position:absolute;left:4797;top:13;width:4779;height:397" coordorigin="4797,13" coordsize="4779,397" path="m4797,13l9576,13,9576,410,4797,410,4797,13xe" filled="true" fillcolor="#d2d2d2"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94;top:5;width:2;height:402" coordorigin="4794,5" coordsize="2,402">
              <v:shape style="position:absolute;left:4794;top:5;width:2;height:402" coordorigin="4794,5" coordsize="0,402" path="m4794,5l4794,407e" filled="false" stroked="true" strokeweight=".48pt" strokecolor="#000000">
                <v:path arrowok="t"/>
              </v:shape>
            </v:group>
            <v:group style="position:absolute;left:9578;top:5;width:2;height:402" coordorigin="9578,5" coordsize="2,402">
              <v:shape style="position:absolute;left:9578;top:5;width:2;height:402" coordorigin="9578,5" coordsize="0,402" path="m9578,5l9578,407e" filled="false" stroked="true" strokeweight=".48pt" strokecolor="#000000">
                <v:path arrowok="t"/>
              </v:shape>
              <v:shape style="position:absolute;left:2221;top:12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794;top:10;width:4784;height:402" type="#_x0000_t202" filled="false" stroked="false">
                <v:textbox inset="0,0,0,0">
                  <w:txbxContent>
                    <w:p>
                      <w:pPr>
                        <w:spacing w:before="55"/>
                        <w:ind w:left="0" w:right="0" w:firstLine="0"/>
                        <w:jc w:val="center"/>
                        <w:rPr>
                          <w:rFonts w:ascii="宋体" w:hAnsi="宋体" w:cs="宋体" w:eastAsia="宋体" w:hint="default"/>
                          <w:sz w:val="18"/>
                          <w:szCs w:val="18"/>
                        </w:rPr>
                      </w:pPr>
                      <w:r>
                        <w:rPr>
                          <w:rFonts w:ascii="宋体" w:hAnsi="宋体" w:cs="宋体" w:eastAsia="宋体" w:hint="default"/>
                          <w:sz w:val="18"/>
                          <w:szCs w:val="18"/>
                        </w:rPr>
                        <w:t>期末已质押金额</w:t>
                      </w:r>
                    </w:p>
                  </w:txbxContent>
                </v:textbox>
                <w10:wrap type="none"/>
              </v:shape>
            </v:group>
          </v:group>
        </w:pict>
      </w:r>
      <w:r>
        <w:rPr>
          <w:rFonts w:ascii="宋体" w:hAnsi="宋体" w:cs="宋体" w:eastAsia="宋体" w:hint="default"/>
          <w:position w:val="-7"/>
          <w:sz w:val="20"/>
          <w:szCs w:val="20"/>
        </w:rPr>
      </w:r>
    </w:p>
    <w:p>
      <w:pPr>
        <w:pStyle w:val="BodyText"/>
        <w:spacing w:line="240" w:lineRule="auto" w:before="52"/>
        <w:ind w:right="0"/>
        <w:jc w:val="left"/>
      </w:pPr>
      <w:r>
        <w:rPr>
          <w:rFonts w:ascii="Times New Roman" w:hAnsi="Times New Roman" w:cs="Times New Roman" w:eastAsia="Times New Roman" w:hint="default"/>
        </w:rPr>
        <w:t>3)</w:t>
      </w:r>
      <w:r>
        <w:rPr/>
        <w:t>期末公司已背书或贴现且在资产负债表日尚未到期的应收票据</w:t>
      </w:r>
    </w:p>
    <w:p>
      <w:pPr>
        <w:pStyle w:val="BodyText"/>
        <w:spacing w:line="240" w:lineRule="auto" w:before="101"/>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70"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8"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253,038.00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253,038.00</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4"/>
        <w:rPr>
          <w:rFonts w:ascii="宋体" w:hAnsi="宋体" w:cs="宋体" w:eastAsia="宋体" w:hint="default"/>
          <w:sz w:val="19"/>
          <w:szCs w:val="19"/>
        </w:rPr>
      </w:pPr>
    </w:p>
    <w:p>
      <w:pPr>
        <w:pStyle w:val="Heading3"/>
        <w:spacing w:line="240" w:lineRule="auto" w:before="34"/>
        <w:ind w:right="0"/>
        <w:jc w:val="left"/>
        <w:rPr>
          <w:b w:val="0"/>
          <w:bCs w:val="0"/>
        </w:rPr>
      </w:pPr>
      <w:bookmarkStart w:name="4)期末公司因出票人未履约而将其转应收账款的票据" w:id="440"/>
      <w:bookmarkEnd w:id="440"/>
      <w:r>
        <w:rPr>
          <w:b w:val="0"/>
          <w:bCs w:val="0"/>
        </w:rPr>
      </w:r>
      <w:r>
        <w:rPr>
          <w:rFonts w:ascii="Times New Roman" w:hAnsi="Times New Roman" w:cs="Times New Roman" w:eastAsia="Times New Roman" w:hint="default"/>
        </w:rPr>
        <w:t>4)</w:t>
      </w:r>
      <w:r>
        <w:rPr/>
        <w:t>期末公司因出票人未履约而将其转应收账款的票据</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9"/>
        <w:rPr>
          <w:rFonts w:ascii="宋体" w:hAnsi="宋体" w:cs="宋体" w:eastAsia="宋体" w:hint="default"/>
          <w:sz w:val="7"/>
          <w:szCs w:val="7"/>
        </w:rPr>
      </w:pPr>
    </w:p>
    <w:p>
      <w:pPr>
        <w:spacing w:line="416" w:lineRule="exact"/>
        <w:ind w:left="104"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4pt;height:20.85pt;mso-position-horizontal-relative:char;mso-position-vertical-relative:line" coordorigin="0,0" coordsize="9588,417">
            <v:group style="position:absolute;left:13;top:13;width:4779;height:397" coordorigin="13,13" coordsize="4779,397">
              <v:shape style="position:absolute;left:13;top:13;width:4779;height:397" coordorigin="13,13" coordsize="4779,397" path="m13,13l4792,13,4792,410,13,410,13,13xe" filled="true" fillcolor="#d2d2d2" stroked="false">
                <v:path arrowok="t"/>
                <v:fill type="solid"/>
              </v:shape>
            </v:group>
            <v:group style="position:absolute;left:4797;top:13;width:4779;height:397" coordorigin="4797,13" coordsize="4779,397">
              <v:shape style="position:absolute;left:4797;top:13;width:4779;height:397" coordorigin="4797,13" coordsize="4779,397" path="m4797,13l9576,13,9576,410,4797,410,4797,13xe" filled="true" fillcolor="#d2d2d2" stroked="false">
                <v:path arrowok="t"/>
                <v:fill type="solid"/>
              </v:shape>
            </v:group>
            <v:group style="position:absolute;left:5;top:10;width:9578;height:2" coordorigin="5,10" coordsize="9578,2">
              <v:shape style="position:absolute;left:5;top:10;width:9578;height:2" coordorigin="5,10" coordsize="9578,0" path="m5,10l9582,10e" filled="false" stroked="true" strokeweight=".48pt" strokecolor="#000000">
                <v:path arrowok="t"/>
              </v:shape>
            </v:group>
            <v:group style="position:absolute;left:5;top:412;width:9578;height:2" coordorigin="5,412" coordsize="9578,2">
              <v:shape style="position:absolute;left:5;top:412;width:9578;height:2" coordorigin="5,412" coordsize="9578,0" path="m5,412l9582,412e" filled="false" stroked="true" strokeweight=".48pt" strokecolor="#000000">
                <v:path arrowok="t"/>
              </v:shape>
            </v:group>
            <v:group style="position:absolute;left:10;top:5;width:2;height:402" coordorigin="10,5" coordsize="2,402">
              <v:shape style="position:absolute;left:10;top:5;width:2;height:402" coordorigin="10,5" coordsize="0,402" path="m10,5l10,407e" filled="false" stroked="true" strokeweight=".48pt" strokecolor="#000000">
                <v:path arrowok="t"/>
              </v:shape>
            </v:group>
            <v:group style="position:absolute;left:4794;top:5;width:2;height:402" coordorigin="4794,5" coordsize="2,402">
              <v:shape style="position:absolute;left:4794;top:5;width:2;height:402" coordorigin="4794,5" coordsize="0,402" path="m4794,5l4794,407e" filled="false" stroked="true" strokeweight=".48pt" strokecolor="#000000">
                <v:path arrowok="t"/>
              </v:shape>
            </v:group>
            <v:group style="position:absolute;left:9578;top:5;width:2;height:402" coordorigin="9578,5" coordsize="2,402">
              <v:shape style="position:absolute;left:9578;top:5;width:2;height:402" coordorigin="9578,5" coordsize="0,402" path="m9578,5l9578,407e" filled="false" stroked="true" strokeweight=".48pt" strokecolor="#000000">
                <v:path arrowok="t"/>
              </v:shape>
              <v:shape style="position:absolute;left:2221;top:12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794;top:10;width:4784;height:402" type="#_x0000_t202" filled="false" stroked="false">
                <v:textbox inset="0,0,0,0">
                  <w:txbxContent>
                    <w:p>
                      <w:pPr>
                        <w:spacing w:before="54"/>
                        <w:ind w:left="1582" w:right="0" w:firstLine="0"/>
                        <w:jc w:val="left"/>
                        <w:rPr>
                          <w:rFonts w:ascii="宋体" w:hAnsi="宋体" w:cs="宋体" w:eastAsia="宋体" w:hint="default"/>
                          <w:sz w:val="18"/>
                          <w:szCs w:val="18"/>
                        </w:rPr>
                      </w:pPr>
                      <w:r>
                        <w:rPr>
                          <w:rFonts w:ascii="宋体" w:hAnsi="宋体" w:cs="宋体" w:eastAsia="宋体" w:hint="default"/>
                          <w:sz w:val="18"/>
                          <w:szCs w:val="18"/>
                        </w:rPr>
                        <w:t>期末转应收账款金额</w:t>
                      </w:r>
                    </w:p>
                  </w:txbxContent>
                </v:textbox>
                <w10:wrap type="none"/>
              </v:shape>
            </v:group>
          </v:group>
        </w:pict>
      </w:r>
      <w:r>
        <w:rPr>
          <w:rFonts w:ascii="宋体" w:hAnsi="宋体" w:cs="宋体" w:eastAsia="宋体" w:hint="default"/>
          <w:position w:val="-7"/>
          <w:sz w:val="20"/>
          <w:szCs w:val="20"/>
        </w:rPr>
      </w:r>
    </w:p>
    <w:p>
      <w:pPr>
        <w:pStyle w:val="BodyText"/>
        <w:spacing w:line="240" w:lineRule="auto" w:before="51"/>
        <w:ind w:right="0"/>
        <w:jc w:val="left"/>
      </w:pPr>
      <w:r>
        <w:rPr/>
        <w:t>其他说明</w:t>
      </w:r>
    </w:p>
    <w:p>
      <w:pPr>
        <w:spacing w:after="0" w:line="240" w:lineRule="auto"/>
        <w:jc w:val="left"/>
        <w:sectPr>
          <w:pgSz w:w="11910" w:h="16840"/>
          <w:pgMar w:header="907" w:footer="1016"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0"/>
        <w:jc w:val="left"/>
        <w:rPr>
          <w:b w:val="0"/>
          <w:bCs w:val="0"/>
        </w:rPr>
      </w:pPr>
      <w:bookmarkStart w:name="（2）应收账款" w:id="441"/>
      <w:bookmarkEnd w:id="441"/>
      <w:r>
        <w:rPr>
          <w:b w:val="0"/>
          <w:bCs w:val="0"/>
        </w:rPr>
      </w:r>
      <w:r>
        <w:rPr/>
        <w:t>（</w:t>
      </w:r>
      <w:r>
        <w:rPr>
          <w:rFonts w:ascii="Times New Roman" w:hAnsi="Times New Roman" w:cs="Times New Roman" w:eastAsia="Times New Roman" w:hint="default"/>
        </w:rPr>
        <w:t>2</w:t>
      </w:r>
      <w:r>
        <w:rPr/>
        <w:t>）应收账款</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应收账款分类披露</w:t>
      </w:r>
    </w:p>
    <w:p>
      <w:pPr>
        <w:pStyle w:val="BodyText"/>
        <w:spacing w:line="240" w:lineRule="auto" w:before="103"/>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634"/>
        <w:gridCol w:w="763"/>
        <w:gridCol w:w="762"/>
        <w:gridCol w:w="762"/>
        <w:gridCol w:w="763"/>
        <w:gridCol w:w="789"/>
        <w:gridCol w:w="654"/>
        <w:gridCol w:w="762"/>
        <w:gridCol w:w="813"/>
        <w:gridCol w:w="932"/>
        <w:gridCol w:w="932"/>
      </w:tblGrid>
      <w:tr>
        <w:trPr>
          <w:trHeight w:val="402" w:hRule="exact"/>
        </w:trPr>
        <w:tc>
          <w:tcPr>
            <w:tcW w:w="163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3"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634"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9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299" w:right="117" w:hanging="180"/>
              <w:jc w:val="left"/>
              <w:rPr>
                <w:rFonts w:ascii="宋体" w:hAnsi="宋体" w:cs="宋体" w:eastAsia="宋体" w:hint="default"/>
                <w:sz w:val="18"/>
                <w:szCs w:val="18"/>
              </w:rPr>
            </w:pPr>
            <w:r>
              <w:rPr>
                <w:rFonts w:ascii="宋体" w:hAnsi="宋体" w:cs="宋体" w:eastAsia="宋体" w:hint="default"/>
                <w:sz w:val="18"/>
                <w:szCs w:val="18"/>
              </w:rPr>
              <w:t>账面价 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372" w:right="188" w:hanging="180"/>
              <w:jc w:val="left"/>
              <w:rPr>
                <w:rFonts w:ascii="宋体" w:hAnsi="宋体" w:cs="宋体" w:eastAsia="宋体" w:hint="default"/>
                <w:sz w:val="18"/>
                <w:szCs w:val="18"/>
              </w:rPr>
            </w:pPr>
            <w:r>
              <w:rPr>
                <w:rFonts w:ascii="宋体" w:hAnsi="宋体" w:cs="宋体" w:eastAsia="宋体" w:hint="default"/>
                <w:sz w:val="18"/>
                <w:szCs w:val="18"/>
              </w:rPr>
              <w:t>账面价 值</w:t>
            </w:r>
          </w:p>
        </w:tc>
      </w:tr>
      <w:tr>
        <w:trPr>
          <w:trHeight w:val="714" w:hRule="exact"/>
        </w:trPr>
        <w:tc>
          <w:tcPr>
            <w:tcW w:w="1634"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285" w:right="106"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9"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370" w:right="190"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260"/>
              <w:jc w:val="both"/>
              <w:rPr>
                <w:rFonts w:ascii="宋体" w:hAnsi="宋体" w:cs="宋体" w:eastAsia="宋体" w:hint="default"/>
                <w:sz w:val="18"/>
                <w:szCs w:val="18"/>
              </w:rPr>
            </w:pPr>
            <w:r>
              <w:rPr>
                <w:rFonts w:ascii="宋体" w:hAnsi="宋体" w:cs="宋体" w:eastAsia="宋体" w:hint="default"/>
                <w:sz w:val="18"/>
                <w:szCs w:val="18"/>
              </w:rPr>
              <w:t>按信用风险特征 组合计提坏账准 备的应收账款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529,38</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4,909.6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2"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8" w:right="0"/>
              <w:jc w:val="left"/>
              <w:rPr>
                <w:rFonts w:ascii="Times New Roman" w:hAnsi="Times New Roman" w:cs="Times New Roman" w:eastAsia="Times New Roman" w:hint="default"/>
                <w:sz w:val="18"/>
                <w:szCs w:val="18"/>
              </w:rPr>
            </w:pPr>
            <w:r>
              <w:rPr>
                <w:rFonts w:ascii="Times New Roman"/>
                <w:sz w:val="18"/>
              </w:rPr>
              <w:t>80,188,</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738.55</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15.15</w:t>
            </w:r>
          </w:p>
          <w:p>
            <w:pPr>
              <w:pStyle w:val="TableParagraph"/>
              <w:spacing w:line="240" w:lineRule="auto" w:before="105"/>
              <w:ind w:left="501"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449,19</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6,171.0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5</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6" w:right="0"/>
              <w:jc w:val="left"/>
              <w:rPr>
                <w:rFonts w:ascii="Times New Roman" w:hAnsi="Times New Roman" w:cs="Times New Roman" w:eastAsia="Times New Roman" w:hint="default"/>
                <w:sz w:val="18"/>
                <w:szCs w:val="18"/>
              </w:rPr>
            </w:pPr>
            <w:r>
              <w:rPr>
                <w:rFonts w:ascii="Times New Roman"/>
                <w:sz w:val="18"/>
              </w:rPr>
              <w:t>376,4</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85,62</w:t>
            </w:r>
          </w:p>
          <w:p>
            <w:pPr>
              <w:pStyle w:val="TableParagraph"/>
              <w:spacing w:line="240" w:lineRule="auto" w:before="105"/>
              <w:ind w:left="225" w:right="0"/>
              <w:jc w:val="left"/>
              <w:rPr>
                <w:rFonts w:ascii="Times New Roman" w:hAnsi="Times New Roman" w:cs="Times New Roman" w:eastAsia="Times New Roman" w:hint="default"/>
                <w:sz w:val="18"/>
                <w:szCs w:val="18"/>
              </w:rPr>
            </w:pPr>
            <w:r>
              <w:rPr>
                <w:rFonts w:ascii="Times New Roman"/>
                <w:sz w:val="18"/>
              </w:rPr>
              <w:t>2.03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3" w:right="0"/>
              <w:jc w:val="left"/>
              <w:rPr>
                <w:rFonts w:ascii="Times New Roman" w:hAnsi="Times New Roman" w:cs="Times New Roman" w:eastAsia="Times New Roman" w:hint="default"/>
                <w:sz w:val="18"/>
                <w:szCs w:val="18"/>
              </w:rPr>
            </w:pPr>
            <w:r>
              <w:rPr>
                <w:rFonts w:ascii="Times New Roman"/>
                <w:sz w:val="18"/>
              </w:rPr>
              <w:t>99.81</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1" w:right="0"/>
              <w:jc w:val="left"/>
              <w:rPr>
                <w:rFonts w:ascii="Times New Roman" w:hAnsi="Times New Roman" w:cs="Times New Roman" w:eastAsia="Times New Roman" w:hint="default"/>
                <w:sz w:val="18"/>
                <w:szCs w:val="18"/>
              </w:rPr>
            </w:pPr>
            <w:r>
              <w:rPr>
                <w:rFonts w:ascii="Times New Roman"/>
                <w:sz w:val="18"/>
              </w:rPr>
              <w:t>58,351,</w:t>
            </w:r>
          </w:p>
          <w:p>
            <w:pPr>
              <w:pStyle w:val="TableParagraph"/>
              <w:spacing w:line="240" w:lineRule="auto" w:before="105"/>
              <w:ind w:left="204" w:right="0"/>
              <w:jc w:val="left"/>
              <w:rPr>
                <w:rFonts w:ascii="Times New Roman" w:hAnsi="Times New Roman" w:cs="Times New Roman" w:eastAsia="Times New Roman" w:hint="default"/>
                <w:sz w:val="18"/>
                <w:szCs w:val="18"/>
              </w:rPr>
            </w:pPr>
            <w:r>
              <w:rPr>
                <w:rFonts w:ascii="Times New Roman"/>
                <w:sz w:val="18"/>
              </w:rPr>
              <w:t>967.52</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15.50%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7" w:right="0"/>
              <w:jc w:val="center"/>
              <w:rPr>
                <w:rFonts w:ascii="Times New Roman" w:hAnsi="Times New Roman" w:cs="Times New Roman" w:eastAsia="Times New Roman" w:hint="default"/>
                <w:sz w:val="18"/>
                <w:szCs w:val="18"/>
              </w:rPr>
            </w:pPr>
            <w:r>
              <w:rPr>
                <w:rFonts w:ascii="Times New Roman"/>
                <w:sz w:val="18"/>
              </w:rPr>
              <w:t>318,133,</w:t>
            </w:r>
          </w:p>
          <w:p>
            <w:pPr>
              <w:pStyle w:val="TableParagraph"/>
              <w:spacing w:line="240" w:lineRule="auto" w:before="105"/>
              <w:ind w:left="221" w:right="0"/>
              <w:jc w:val="center"/>
              <w:rPr>
                <w:rFonts w:ascii="Times New Roman" w:hAnsi="Times New Roman" w:cs="Times New Roman" w:eastAsia="Times New Roman" w:hint="default"/>
                <w:sz w:val="18"/>
                <w:szCs w:val="18"/>
              </w:rPr>
            </w:pPr>
            <w:r>
              <w:rPr>
                <w:rFonts w:ascii="Times New Roman"/>
                <w:sz w:val="18"/>
              </w:rPr>
              <w:t>654.51</w:t>
            </w:r>
          </w:p>
        </w:tc>
      </w:tr>
      <w:tr>
        <w:trPr>
          <w:trHeight w:val="1026"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260"/>
              <w:jc w:val="both"/>
              <w:rPr>
                <w:rFonts w:ascii="宋体" w:hAnsi="宋体" w:cs="宋体" w:eastAsia="宋体" w:hint="default"/>
                <w:sz w:val="18"/>
                <w:szCs w:val="18"/>
              </w:rPr>
            </w:pPr>
            <w:r>
              <w:rPr>
                <w:rFonts w:ascii="宋体" w:hAnsi="宋体" w:cs="宋体" w:eastAsia="宋体" w:hint="default"/>
                <w:sz w:val="18"/>
                <w:szCs w:val="18"/>
              </w:rPr>
              <w:t>单项金额不重大 但单独计提坏账 准备的应收账款</w:t>
            </w:r>
          </w:p>
        </w:tc>
        <w:tc>
          <w:tcPr>
            <w:tcW w:w="763"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789" w:type="dxa"/>
            <w:tcBorders>
              <w:top w:val="single" w:sz="4" w:space="0" w:color="000000"/>
              <w:left w:val="single" w:sz="4" w:space="0" w:color="000000"/>
              <w:bottom w:val="single" w:sz="4" w:space="0" w:color="000000"/>
              <w:right w:val="single" w:sz="4" w:space="0" w:color="000000"/>
            </w:tcBorders>
          </w:tcPr>
          <w:p>
            <w:pP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136" w:right="0"/>
              <w:jc w:val="left"/>
              <w:rPr>
                <w:rFonts w:ascii="Times New Roman" w:hAnsi="Times New Roman" w:cs="Times New Roman" w:eastAsia="Times New Roman" w:hint="default"/>
                <w:sz w:val="18"/>
                <w:szCs w:val="18"/>
              </w:rPr>
            </w:pPr>
            <w:r>
              <w:rPr>
                <w:rFonts w:ascii="Times New Roman"/>
                <w:sz w:val="18"/>
              </w:rPr>
              <w:t>709,0</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33.65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86" w:right="0"/>
              <w:jc w:val="left"/>
              <w:rPr>
                <w:rFonts w:ascii="Times New Roman" w:hAnsi="Times New Roman" w:cs="Times New Roman" w:eastAsia="Times New Roman" w:hint="default"/>
                <w:sz w:val="18"/>
                <w:szCs w:val="18"/>
              </w:rPr>
            </w:pPr>
            <w:r>
              <w:rPr>
                <w:rFonts w:ascii="Times New Roman"/>
                <w:sz w:val="18"/>
              </w:rPr>
              <w:t>0.19%</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709,033</w:t>
            </w:r>
          </w:p>
          <w:p>
            <w:pPr>
              <w:pStyle w:val="TableParagraph"/>
              <w:spacing w:line="240" w:lineRule="auto" w:before="105"/>
              <w:ind w:left="475" w:right="0"/>
              <w:jc w:val="left"/>
              <w:rPr>
                <w:rFonts w:ascii="Times New Roman" w:hAnsi="Times New Roman" w:cs="Times New Roman" w:eastAsia="Times New Roman" w:hint="default"/>
                <w:sz w:val="18"/>
                <w:szCs w:val="18"/>
              </w:rPr>
            </w:pPr>
            <w:r>
              <w:rPr>
                <w:rFonts w:ascii="Times New Roman"/>
                <w:sz w:val="18"/>
              </w:rPr>
              <w:t>.65</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93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529,38</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4,909.6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2"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8" w:right="0"/>
              <w:jc w:val="left"/>
              <w:rPr>
                <w:rFonts w:ascii="Times New Roman" w:hAnsi="Times New Roman" w:cs="Times New Roman" w:eastAsia="Times New Roman" w:hint="default"/>
                <w:sz w:val="18"/>
                <w:szCs w:val="18"/>
              </w:rPr>
            </w:pPr>
            <w:r>
              <w:rPr>
                <w:rFonts w:ascii="Times New Roman"/>
                <w:sz w:val="18"/>
              </w:rPr>
              <w:t>80,188,</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738.55</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15.15</w:t>
            </w:r>
          </w:p>
          <w:p>
            <w:pPr>
              <w:pStyle w:val="TableParagraph"/>
              <w:spacing w:line="240" w:lineRule="auto" w:before="105"/>
              <w:ind w:left="501"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449,19</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pacing w:val="-1"/>
                <w:sz w:val="18"/>
              </w:rPr>
              <w:t>6,171.0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5</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6" w:right="0"/>
              <w:jc w:val="left"/>
              <w:rPr>
                <w:rFonts w:ascii="Times New Roman" w:hAnsi="Times New Roman" w:cs="Times New Roman" w:eastAsia="Times New Roman" w:hint="default"/>
                <w:sz w:val="18"/>
                <w:szCs w:val="18"/>
              </w:rPr>
            </w:pPr>
            <w:r>
              <w:rPr>
                <w:rFonts w:ascii="Times New Roman"/>
                <w:sz w:val="18"/>
              </w:rPr>
              <w:t>377,1</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94,65</w:t>
            </w:r>
          </w:p>
          <w:p>
            <w:pPr>
              <w:pStyle w:val="TableParagraph"/>
              <w:spacing w:line="240" w:lineRule="auto" w:before="105"/>
              <w:ind w:left="225" w:right="0"/>
              <w:jc w:val="left"/>
              <w:rPr>
                <w:rFonts w:ascii="Times New Roman" w:hAnsi="Times New Roman" w:cs="Times New Roman" w:eastAsia="Times New Roman" w:hint="default"/>
                <w:sz w:val="18"/>
                <w:szCs w:val="18"/>
              </w:rPr>
            </w:pPr>
            <w:r>
              <w:rPr>
                <w:rFonts w:ascii="Times New Roman"/>
                <w:sz w:val="18"/>
              </w:rPr>
              <w:t>5.68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5"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1" w:right="0"/>
              <w:jc w:val="left"/>
              <w:rPr>
                <w:rFonts w:ascii="Times New Roman" w:hAnsi="Times New Roman" w:cs="Times New Roman" w:eastAsia="Times New Roman" w:hint="default"/>
                <w:sz w:val="18"/>
                <w:szCs w:val="18"/>
              </w:rPr>
            </w:pPr>
            <w:r>
              <w:rPr>
                <w:rFonts w:ascii="Times New Roman"/>
                <w:sz w:val="18"/>
              </w:rPr>
              <w:t>59,061,</w:t>
            </w:r>
          </w:p>
          <w:p>
            <w:pPr>
              <w:pStyle w:val="TableParagraph"/>
              <w:spacing w:line="240" w:lineRule="auto" w:before="105"/>
              <w:ind w:left="204" w:right="0"/>
              <w:jc w:val="left"/>
              <w:rPr>
                <w:rFonts w:ascii="Times New Roman" w:hAnsi="Times New Roman" w:cs="Times New Roman" w:eastAsia="Times New Roman" w:hint="default"/>
                <w:sz w:val="18"/>
                <w:szCs w:val="18"/>
              </w:rPr>
            </w:pPr>
            <w:r>
              <w:rPr>
                <w:rFonts w:ascii="Times New Roman"/>
                <w:sz w:val="18"/>
              </w:rPr>
              <w:t>001.17</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15.66%</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7" w:right="0"/>
              <w:jc w:val="center"/>
              <w:rPr>
                <w:rFonts w:ascii="Times New Roman" w:hAnsi="Times New Roman" w:cs="Times New Roman" w:eastAsia="Times New Roman" w:hint="default"/>
                <w:sz w:val="18"/>
                <w:szCs w:val="18"/>
              </w:rPr>
            </w:pPr>
            <w:r>
              <w:rPr>
                <w:rFonts w:ascii="Times New Roman"/>
                <w:sz w:val="18"/>
              </w:rPr>
              <w:t>318,133,</w:t>
            </w:r>
          </w:p>
          <w:p>
            <w:pPr>
              <w:pStyle w:val="TableParagraph"/>
              <w:spacing w:line="240" w:lineRule="auto" w:before="105"/>
              <w:ind w:left="221" w:right="0"/>
              <w:jc w:val="center"/>
              <w:rPr>
                <w:rFonts w:ascii="Times New Roman" w:hAnsi="Times New Roman" w:cs="Times New Roman" w:eastAsia="Times New Roman" w:hint="default"/>
                <w:sz w:val="18"/>
                <w:szCs w:val="18"/>
              </w:rPr>
            </w:pPr>
            <w:r>
              <w:rPr>
                <w:rFonts w:ascii="Times New Roman"/>
                <w:sz w:val="18"/>
              </w:rPr>
              <w:t>654.51</w:t>
            </w:r>
          </w:p>
        </w:tc>
      </w:tr>
    </w:tbl>
    <w:p>
      <w:pPr>
        <w:spacing w:after="0" w:line="240" w:lineRule="auto"/>
        <w:jc w:val="center"/>
        <w:rPr>
          <w:rFonts w:ascii="Times New Roman" w:hAnsi="Times New Roman" w:cs="Times New Roman" w:eastAsia="Times New Roman" w:hint="default"/>
          <w:sz w:val="18"/>
          <w:szCs w:val="18"/>
        </w:rPr>
        <w:sectPr>
          <w:pgSz w:w="11910" w:h="16840"/>
          <w:pgMar w:header="907" w:footer="1016" w:top="1100" w:bottom="1200" w:left="1020" w:right="0"/>
        </w:sectPr>
      </w:pPr>
    </w:p>
    <w:p>
      <w:pPr>
        <w:pStyle w:val="BodyText"/>
        <w:spacing w:line="240" w:lineRule="auto" w:before="50"/>
        <w:ind w:right="-20"/>
        <w:jc w:val="left"/>
      </w:pPr>
      <w:r>
        <w:rPr/>
        <w:t>期末单项金额重大并单项计提坏账准备的应收账款：</w:t>
      </w:r>
    </w:p>
    <w:p>
      <w:pPr>
        <w:pStyle w:val="BodyText"/>
        <w:spacing w:line="360" w:lineRule="auto" w:before="117"/>
        <w:ind w:right="160" w:firstLine="91"/>
        <w:jc w:val="left"/>
      </w:pPr>
      <w:r>
        <w:rPr/>
        <w:t>□ 适用 √</w:t>
      </w:r>
      <w:r>
        <w:rPr>
          <w:spacing w:val="-1"/>
        </w:rPr>
        <w:t> </w:t>
      </w:r>
      <w:r>
        <w:rPr/>
        <w:t>不适用</w:t>
      </w:r>
      <w:r>
        <w:rPr/>
        <w:t> 组合中，按账龄分析法计提坏账准备的应收账款：</w:t>
      </w:r>
    </w:p>
    <w:p>
      <w:pPr>
        <w:pStyle w:val="BodyText"/>
        <w:spacing w:line="240" w:lineRule="auto" w:before="25"/>
        <w:ind w:right="-20"/>
        <w:jc w:val="left"/>
      </w:pPr>
      <w:r>
        <w:rPr/>
        <w:t>√ 适用</w:t>
      </w:r>
      <w:r>
        <w:rPr>
          <w:spacing w:val="-1"/>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100" w:bottom="1200" w:left="1020" w:right="0"/>
          <w:cols w:num="2" w:equalWidth="0">
            <w:col w:w="4253" w:space="4665"/>
            <w:col w:w="1972"/>
          </w:cols>
        </w:sectPr>
      </w:pP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493"/>
        <w:gridCol w:w="2295"/>
        <w:gridCol w:w="2390"/>
        <w:gridCol w:w="2390"/>
      </w:tblGrid>
      <w:tr>
        <w:trPr>
          <w:trHeight w:val="402" w:hRule="exact"/>
        </w:trPr>
        <w:tc>
          <w:tcPr>
            <w:tcW w:w="24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07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493" w:type="dxa"/>
            <w:vMerge/>
            <w:tcBorders>
              <w:left w:val="single" w:sz="4" w:space="0" w:color="000000"/>
              <w:bottom w:val="single" w:sz="4" w:space="0" w:color="000000"/>
              <w:right w:val="single" w:sz="4" w:space="0" w:color="000000"/>
            </w:tcBorders>
            <w:shd w:val="clear" w:color="auto" w:fill="D2D2D2"/>
          </w:tcPr>
          <w:p>
            <w:pP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9568"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343,207,971.83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17,160,398.59</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343,207,971.83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17,160,398.59</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90,920,416.16</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18,184,083.23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38,435,221.72</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11,530,566.52</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47,015,219.36</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23,507,609.68</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50.00%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29,294,094.45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14,647,047.23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50.00%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17,721,124.91</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8,860,562.45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50.00%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9,806,080.53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9,806,080.53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529,384,909.60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80,188,738.55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15.15%</w:t>
            </w:r>
          </w:p>
        </w:tc>
      </w:tr>
    </w:tbl>
    <w:p>
      <w:pPr>
        <w:pStyle w:val="BodyText"/>
        <w:spacing w:line="360" w:lineRule="auto" w:before="50"/>
        <w:ind w:right="6434"/>
        <w:jc w:val="left"/>
      </w:pPr>
      <w:r>
        <w:rPr/>
        <w:t>确定该组合依据的说明： 组合中，采用余额百分比法计提坏账准备的应收账款：</w:t>
      </w:r>
    </w:p>
    <w:p>
      <w:pPr>
        <w:pStyle w:val="BodyText"/>
        <w:spacing w:line="357" w:lineRule="auto" w:before="27"/>
        <w:ind w:right="6794" w:firstLine="91"/>
        <w:jc w:val="left"/>
      </w:pPr>
      <w:r>
        <w:rPr/>
        <w:t>□ 适用 √</w:t>
      </w:r>
      <w:r>
        <w:rPr>
          <w:spacing w:val="-1"/>
        </w:rPr>
        <w:t> </w:t>
      </w:r>
      <w:r>
        <w:rPr/>
        <w:t>不适用</w:t>
      </w:r>
      <w:r>
        <w:rPr/>
        <w:t> 组合中，采用其他方法计提坏账准备的应收账款：</w:t>
      </w:r>
    </w:p>
    <w:p>
      <w:pPr>
        <w:spacing w:after="0" w:line="357" w:lineRule="auto"/>
        <w:jc w:val="left"/>
        <w:sectPr>
          <w:type w:val="continuous"/>
          <w:pgSz w:w="11910" w:h="16840"/>
          <w:pgMar w:top="1100" w:bottom="1200" w:left="1020" w:right="0"/>
        </w:sectPr>
      </w:pPr>
    </w:p>
    <w:p>
      <w:pPr>
        <w:spacing w:line="240" w:lineRule="auto" w:before="13"/>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footerReference w:type="default" r:id="rId49"/>
          <w:pgSz w:w="11910" w:h="16840"/>
          <w:pgMar w:footer="1016" w:header="907" w:top="1100" w:bottom="1200" w:left="1020" w:right="0"/>
          <w:pgNumType w:start="187"/>
        </w:sectPr>
      </w:pPr>
    </w:p>
    <w:p>
      <w:pPr>
        <w:pStyle w:val="BodyText"/>
        <w:spacing w:line="240" w:lineRule="auto" w:before="44"/>
        <w:ind w:right="-12"/>
        <w:jc w:val="left"/>
      </w:pPr>
      <w:r>
        <w:rPr>
          <w:rFonts w:ascii="Times New Roman" w:hAnsi="Times New Roman" w:cs="Times New Roman" w:eastAsia="Times New Roman" w:hint="default"/>
        </w:rPr>
        <w:t>2)</w:t>
      </w:r>
      <w:r>
        <w:rPr/>
        <w:t>本期计提、收回或转回的坏账准备情况</w:t>
      </w:r>
    </w:p>
    <w:p>
      <w:pPr>
        <w:pStyle w:val="BodyText"/>
        <w:spacing w:line="340" w:lineRule="auto" w:before="101"/>
        <w:ind w:right="-12"/>
        <w:jc w:val="left"/>
      </w:pPr>
      <w:r>
        <w:rPr/>
        <w:t>本期计提坏账准备金额</w:t>
      </w:r>
      <w:r>
        <w:rPr>
          <w:spacing w:val="-48"/>
        </w:rPr>
        <w:t> </w:t>
      </w:r>
      <w:r>
        <w:rPr>
          <w:rFonts w:ascii="Times New Roman" w:hAnsi="Times New Roman" w:cs="Times New Roman" w:eastAsia="Times New Roman" w:hint="default"/>
        </w:rPr>
        <w:t>25,694,814.23</w:t>
      </w:r>
      <w:r>
        <w:rPr>
          <w:rFonts w:ascii="Times New Roman" w:hAnsi="Times New Roman" w:cs="Times New Roman" w:eastAsia="Times New Roman" w:hint="default"/>
          <w:spacing w:val="-4"/>
        </w:rPr>
        <w:t> </w:t>
      </w:r>
      <w:r>
        <w:rPr/>
        <w:t>元；本期收回或转回坏账准备金额元。 其中本期坏账准备收回或转回金额重要的：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58"/>
        <w:ind w:right="0"/>
        <w:jc w:val="left"/>
      </w:pPr>
      <w:r>
        <w:rPr/>
        <w:t>单位：元</w:t>
      </w:r>
    </w:p>
    <w:p>
      <w:pPr>
        <w:spacing w:after="0" w:line="240" w:lineRule="auto"/>
        <w:jc w:val="left"/>
        <w:sectPr>
          <w:type w:val="continuous"/>
          <w:pgSz w:w="11910" w:h="16840"/>
          <w:pgMar w:top="1100" w:bottom="1200" w:left="1020" w:right="0"/>
          <w:cols w:num="2" w:equalWidth="0">
            <w:col w:w="6099" w:space="2819"/>
            <w:col w:w="1972"/>
          </w:cols>
        </w:sectPr>
      </w:pP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68"/>
        <w:gridCol w:w="3100"/>
        <w:gridCol w:w="3100"/>
      </w:tblGrid>
      <w:tr>
        <w:trPr>
          <w:trHeight w:val="402" w:hRule="exact"/>
        </w:trPr>
        <w:tc>
          <w:tcPr>
            <w:tcW w:w="3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14" w:right="0"/>
              <w:jc w:val="left"/>
              <w:rPr>
                <w:rFonts w:ascii="宋体" w:hAnsi="宋体" w:cs="宋体" w:eastAsia="宋体" w:hint="default"/>
                <w:sz w:val="18"/>
                <w:szCs w:val="18"/>
              </w:rPr>
            </w:pPr>
            <w:r>
              <w:rPr>
                <w:rFonts w:ascii="宋体" w:hAnsi="宋体" w:cs="宋体" w:eastAsia="宋体" w:hint="default"/>
                <w:sz w:val="18"/>
                <w:szCs w:val="18"/>
              </w:rPr>
              <w:t>收回或转回金额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pStyle w:val="BodyText"/>
        <w:spacing w:line="240" w:lineRule="auto" w:before="52"/>
        <w:ind w:right="0"/>
        <w:jc w:val="left"/>
      </w:pPr>
      <w:r>
        <w:rPr>
          <w:rFonts w:ascii="Times New Roman" w:hAnsi="Times New Roman" w:cs="Times New Roman" w:eastAsia="Times New Roman" w:hint="default"/>
        </w:rPr>
        <w:t>3)</w:t>
      </w:r>
      <w:r>
        <w:rPr/>
        <w:t>本期实际核销的应收账款情况</w:t>
      </w:r>
    </w:p>
    <w:p>
      <w:pPr>
        <w:pStyle w:val="BodyText"/>
        <w:spacing w:line="240" w:lineRule="auto" w:before="101"/>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983"/>
        <w:gridCol w:w="4585"/>
      </w:tblGrid>
      <w:tr>
        <w:trPr>
          <w:trHeight w:val="402" w:hRule="exact"/>
        </w:trPr>
        <w:tc>
          <w:tcPr>
            <w:tcW w:w="4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45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2" w:hRule="exact"/>
        </w:trPr>
        <w:tc>
          <w:tcPr>
            <w:tcW w:w="4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货款</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4,567,076.85</w:t>
            </w:r>
          </w:p>
        </w:tc>
      </w:tr>
    </w:tbl>
    <w:p>
      <w:pPr>
        <w:pStyle w:val="BodyText"/>
        <w:spacing w:line="240" w:lineRule="auto" w:before="51"/>
        <w:ind w:right="0"/>
        <w:jc w:val="left"/>
      </w:pPr>
      <w:r>
        <w:rPr/>
        <w:t>其中重要的应收账款核销情况：</w:t>
      </w:r>
    </w:p>
    <w:p>
      <w:pPr>
        <w:pStyle w:val="BodyText"/>
        <w:spacing w:line="240" w:lineRule="auto" w:before="115"/>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684"/>
        <w:gridCol w:w="1551"/>
        <w:gridCol w:w="1552"/>
        <w:gridCol w:w="1552"/>
        <w:gridCol w:w="1615"/>
        <w:gridCol w:w="1615"/>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9"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1"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1"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42" w:right="172" w:hanging="272"/>
              <w:jc w:val="left"/>
              <w:rPr>
                <w:rFonts w:ascii="宋体" w:hAnsi="宋体" w:cs="宋体" w:eastAsia="宋体" w:hint="default"/>
                <w:sz w:val="18"/>
                <w:szCs w:val="18"/>
              </w:rPr>
            </w:pPr>
            <w:r>
              <w:rPr>
                <w:rFonts w:ascii="宋体" w:hAnsi="宋体" w:cs="宋体" w:eastAsia="宋体" w:hint="default"/>
                <w:sz w:val="18"/>
                <w:szCs w:val="18"/>
              </w:rPr>
              <w:t>款项是否由关联 交易产生</w:t>
            </w:r>
          </w:p>
        </w:tc>
      </w:tr>
    </w:tbl>
    <w:p>
      <w:pPr>
        <w:pStyle w:val="BodyText"/>
        <w:spacing w:line="240" w:lineRule="auto" w:before="50"/>
        <w:ind w:right="0"/>
        <w:jc w:val="left"/>
      </w:pPr>
      <w:r>
        <w:rPr/>
        <w:t>应收账款核销说明：</w:t>
      </w:r>
    </w:p>
    <w:p>
      <w:pPr>
        <w:pStyle w:val="BodyText"/>
        <w:spacing w:line="328" w:lineRule="auto" w:before="117"/>
        <w:ind w:right="0"/>
        <w:jc w:val="left"/>
      </w:pPr>
      <w:r>
        <w:rPr>
          <w:rFonts w:ascii="Times New Roman" w:hAnsi="Times New Roman" w:cs="Times New Roman" w:eastAsia="Times New Roman" w:hint="default"/>
        </w:rPr>
        <w:t>4)</w:t>
      </w:r>
      <w:r>
        <w:rPr/>
        <w:t>按欠款方归集的期末余额前五名的应收账款情况 </w:t>
      </w:r>
      <w:r>
        <w:rPr>
          <w:spacing w:val="-2"/>
        </w:rPr>
        <w:t>期末余额前5名的应收账款合计数为53,421,432.18元，占应收账款期末余额合计数的比例为10.09%，相应计提的坏账准备合</w:t>
      </w:r>
      <w:r>
        <w:rPr>
          <w:spacing w:val="-54"/>
        </w:rPr>
        <w:t> </w:t>
      </w:r>
      <w:r>
        <w:rPr>
          <w:spacing w:val="-54"/>
        </w:rPr>
      </w:r>
      <w:r>
        <w:rPr/>
        <w:t>计数为5,179,239.61元。</w:t>
      </w:r>
    </w:p>
    <w:p>
      <w:pPr>
        <w:pStyle w:val="BodyText"/>
        <w:spacing w:line="240" w:lineRule="auto" w:before="48"/>
        <w:ind w:right="0"/>
        <w:jc w:val="left"/>
      </w:pPr>
      <w:r>
        <w:rPr>
          <w:rFonts w:ascii="Times New Roman" w:hAnsi="Times New Roman" w:cs="Times New Roman" w:eastAsia="Times New Roman" w:hint="default"/>
        </w:rPr>
        <w:t>5)</w:t>
      </w:r>
      <w:r>
        <w:rPr/>
        <w:t>因金融资产转移而终止确认的应收账款</w:t>
      </w:r>
    </w:p>
    <w:p>
      <w:pPr>
        <w:pStyle w:val="BodyText"/>
        <w:spacing w:line="340" w:lineRule="auto" w:before="103"/>
        <w:ind w:right="6824"/>
        <w:jc w:val="left"/>
      </w:pPr>
      <w:r>
        <w:rPr>
          <w:rFonts w:ascii="Times New Roman" w:hAnsi="Times New Roman" w:cs="Times New Roman" w:eastAsia="Times New Roman" w:hint="default"/>
        </w:rPr>
        <w:t>6)</w:t>
      </w:r>
      <w:r>
        <w:rPr/>
        <w:t>转移应收账款且继续涉入形成的资产、负债金额 其他说明：</w:t>
      </w:r>
    </w:p>
    <w:p>
      <w:pPr>
        <w:spacing w:line="240" w:lineRule="auto" w:before="1"/>
        <w:rPr>
          <w:rFonts w:ascii="宋体" w:hAnsi="宋体" w:cs="宋体" w:eastAsia="宋体" w:hint="default"/>
          <w:sz w:val="21"/>
          <w:szCs w:val="21"/>
        </w:rPr>
      </w:pPr>
    </w:p>
    <w:p>
      <w:pPr>
        <w:pStyle w:val="Heading3"/>
        <w:spacing w:line="240" w:lineRule="auto"/>
        <w:ind w:right="0"/>
        <w:jc w:val="left"/>
        <w:rPr>
          <w:b w:val="0"/>
          <w:bCs w:val="0"/>
        </w:rPr>
      </w:pPr>
      <w:bookmarkStart w:name="2、其他应收款" w:id="442"/>
      <w:bookmarkEnd w:id="442"/>
      <w:r>
        <w:rPr>
          <w:b w:val="0"/>
          <w:bCs w:val="0"/>
        </w:rPr>
      </w:r>
      <w:r>
        <w:rPr>
          <w:rFonts w:ascii="Times New Roman" w:hAnsi="Times New Roman" w:cs="Times New Roman" w:eastAsia="Times New Roman" w:hint="default"/>
        </w:rPr>
        <w:t>2</w:t>
      </w:r>
      <w:r>
        <w:rPr/>
        <w:t>、其他应收款</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51,452,558.84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40,190,395.45</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51,452,558.84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40,190,395.45</w:t>
            </w:r>
          </w:p>
        </w:tc>
      </w:tr>
    </w:tbl>
    <w:p>
      <w:pPr>
        <w:spacing w:line="240" w:lineRule="auto" w:before="4"/>
        <w:rPr>
          <w:rFonts w:ascii="宋体" w:hAnsi="宋体" w:cs="宋体" w:eastAsia="宋体" w:hint="default"/>
          <w:sz w:val="19"/>
          <w:szCs w:val="19"/>
        </w:rPr>
      </w:pPr>
    </w:p>
    <w:p>
      <w:pPr>
        <w:pStyle w:val="Heading3"/>
        <w:spacing w:line="240" w:lineRule="auto" w:before="34"/>
        <w:ind w:right="0"/>
        <w:jc w:val="left"/>
        <w:rPr>
          <w:b w:val="0"/>
          <w:bCs w:val="0"/>
        </w:rPr>
      </w:pPr>
      <w:bookmarkStart w:name="（1）应收利息" w:id="443"/>
      <w:bookmarkEnd w:id="443"/>
      <w:r>
        <w:rPr>
          <w:b w:val="0"/>
          <w:bCs w:val="0"/>
        </w:rPr>
      </w:r>
      <w:r>
        <w:rPr/>
        <w:t>（</w:t>
      </w:r>
      <w:r>
        <w:rPr>
          <w:rFonts w:ascii="Times New Roman" w:hAnsi="Times New Roman" w:cs="Times New Roman" w:eastAsia="Times New Roman" w:hint="default"/>
        </w:rPr>
        <w:t>1</w:t>
      </w:r>
      <w:r>
        <w:rPr/>
        <w:t>）应收利息</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应收利息分类</w:t>
      </w:r>
    </w:p>
    <w:p>
      <w:pPr>
        <w:pStyle w:val="BodyText"/>
        <w:spacing w:line="240" w:lineRule="auto" w:before="103"/>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8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1"/>
        <w:ind w:right="0"/>
        <w:jc w:val="left"/>
      </w:pPr>
      <w:r>
        <w:rPr>
          <w:rFonts w:ascii="Times New Roman" w:hAnsi="Times New Roman" w:cs="Times New Roman" w:eastAsia="Times New Roman" w:hint="default"/>
        </w:rPr>
        <w:t>2)</w:t>
      </w:r>
      <w:r>
        <w:rPr/>
        <w:t>重要逾期利息</w:t>
      </w:r>
    </w:p>
    <w:p>
      <w:pPr>
        <w:pStyle w:val="BodyText"/>
        <w:spacing w:line="240" w:lineRule="auto" w:before="101"/>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逾期原因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682" w:right="139" w:hanging="540"/>
              <w:jc w:val="left"/>
              <w:rPr>
                <w:rFonts w:ascii="宋体" w:hAnsi="宋体" w:cs="宋体" w:eastAsia="宋体" w:hint="default"/>
                <w:sz w:val="18"/>
                <w:szCs w:val="18"/>
              </w:rPr>
            </w:pPr>
            <w:r>
              <w:rPr>
                <w:rFonts w:ascii="宋体" w:hAnsi="宋体" w:cs="宋体" w:eastAsia="宋体" w:hint="default"/>
                <w:sz w:val="18"/>
                <w:szCs w:val="18"/>
              </w:rPr>
              <w:t>是否发生减值及其判 断依据</w:t>
            </w:r>
          </w:p>
        </w:tc>
      </w:tr>
    </w:tbl>
    <w:p>
      <w:pPr>
        <w:pStyle w:val="BodyText"/>
        <w:spacing w:line="240" w:lineRule="auto" w:before="49"/>
        <w:ind w:right="0"/>
        <w:jc w:val="left"/>
      </w:pPr>
      <w:r>
        <w:rPr/>
        <w:t>其他说明：</w:t>
      </w:r>
    </w:p>
    <w:p>
      <w:pPr>
        <w:spacing w:after="0" w:line="240" w:lineRule="auto"/>
        <w:jc w:val="left"/>
        <w:sectPr>
          <w:type w:val="continuous"/>
          <w:pgSz w:w="11910" w:h="16840"/>
          <w:pgMar w:top="1100" w:bottom="1200" w:left="1020" w:right="0"/>
        </w:sectPr>
      </w:pPr>
    </w:p>
    <w:p>
      <w:pPr>
        <w:spacing w:line="240" w:lineRule="auto" w:before="10"/>
        <w:rPr>
          <w:rFonts w:ascii="宋体" w:hAnsi="宋体" w:cs="宋体" w:eastAsia="宋体" w:hint="default"/>
          <w:sz w:val="21"/>
          <w:szCs w:val="21"/>
        </w:rPr>
      </w:pPr>
    </w:p>
    <w:p>
      <w:pPr>
        <w:pStyle w:val="Heading3"/>
        <w:spacing w:line="240" w:lineRule="auto" w:before="34"/>
        <w:ind w:right="0"/>
        <w:jc w:val="left"/>
        <w:rPr>
          <w:b w:val="0"/>
          <w:bCs w:val="0"/>
        </w:rPr>
      </w:pPr>
      <w:bookmarkStart w:name="（2）应收股利" w:id="444"/>
      <w:bookmarkEnd w:id="444"/>
      <w:r>
        <w:rPr>
          <w:b w:val="0"/>
          <w:bCs w:val="0"/>
        </w:rPr>
      </w:r>
      <w:r>
        <w:rPr/>
        <w:t>（</w:t>
      </w:r>
      <w:r>
        <w:rPr>
          <w:rFonts w:ascii="Times New Roman" w:hAnsi="Times New Roman" w:cs="Times New Roman" w:eastAsia="Times New Roman" w:hint="default"/>
        </w:rPr>
        <w:t>2</w:t>
      </w:r>
      <w:r>
        <w:rPr/>
        <w:t>）应收股利</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应收股利</w:t>
      </w:r>
    </w:p>
    <w:p>
      <w:pPr>
        <w:pStyle w:val="BodyText"/>
        <w:spacing w:line="240" w:lineRule="auto" w:before="103"/>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8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80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pStyle w:val="BodyText"/>
        <w:spacing w:line="240" w:lineRule="auto" w:before="51"/>
        <w:ind w:right="0"/>
        <w:jc w:val="left"/>
      </w:pPr>
      <w:r>
        <w:rPr>
          <w:rFonts w:ascii="Times New Roman" w:hAnsi="Times New Roman" w:cs="Times New Roman" w:eastAsia="Times New Roman" w:hint="default"/>
        </w:rPr>
        <w:t>2)</w:t>
      </w:r>
      <w:r>
        <w:rPr/>
        <w:t>重要的账龄超过</w:t>
      </w:r>
      <w:r>
        <w:rPr>
          <w:spacing w:val="-47"/>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年的应收股利</w:t>
      </w:r>
    </w:p>
    <w:p>
      <w:pPr>
        <w:pStyle w:val="BodyText"/>
        <w:spacing w:line="240" w:lineRule="auto" w:before="101"/>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未收回的原因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682" w:right="139" w:hanging="540"/>
              <w:jc w:val="left"/>
              <w:rPr>
                <w:rFonts w:ascii="宋体" w:hAnsi="宋体" w:cs="宋体" w:eastAsia="宋体" w:hint="default"/>
                <w:sz w:val="18"/>
                <w:szCs w:val="18"/>
              </w:rPr>
            </w:pPr>
            <w:r>
              <w:rPr>
                <w:rFonts w:ascii="宋体" w:hAnsi="宋体" w:cs="宋体" w:eastAsia="宋体" w:hint="default"/>
                <w:sz w:val="18"/>
                <w:szCs w:val="18"/>
              </w:rPr>
              <w:t>是否发生减值及其判 断依据</w:t>
            </w:r>
          </w:p>
        </w:tc>
      </w:tr>
    </w:tbl>
    <w:p>
      <w:pPr>
        <w:pStyle w:val="BodyText"/>
        <w:spacing w:line="240" w:lineRule="auto" w:before="50"/>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3）其他应收款" w:id="445"/>
      <w:bookmarkEnd w:id="445"/>
      <w:r>
        <w:rPr>
          <w:b w:val="0"/>
          <w:bCs w:val="0"/>
        </w:rPr>
      </w:r>
      <w:r>
        <w:rPr/>
        <w:t>（</w:t>
      </w:r>
      <w:r>
        <w:rPr>
          <w:rFonts w:ascii="Times New Roman" w:hAnsi="Times New Roman" w:cs="Times New Roman" w:eastAsia="Times New Roman" w:hint="default"/>
        </w:rPr>
        <w:t>3</w:t>
      </w:r>
      <w:r>
        <w:rPr/>
        <w:t>）其他应收款</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1)</w:t>
      </w:r>
      <w:r>
        <w:rPr/>
        <w:t>其他应收款分类披露</w:t>
      </w:r>
    </w:p>
    <w:p>
      <w:pPr>
        <w:pStyle w:val="BodyText"/>
        <w:spacing w:line="240" w:lineRule="auto" w:before="101"/>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634"/>
        <w:gridCol w:w="763"/>
        <w:gridCol w:w="762"/>
        <w:gridCol w:w="762"/>
        <w:gridCol w:w="763"/>
        <w:gridCol w:w="789"/>
        <w:gridCol w:w="654"/>
        <w:gridCol w:w="762"/>
        <w:gridCol w:w="813"/>
        <w:gridCol w:w="932"/>
        <w:gridCol w:w="932"/>
      </w:tblGrid>
      <w:tr>
        <w:trPr>
          <w:trHeight w:val="402" w:hRule="exact"/>
        </w:trPr>
        <w:tc>
          <w:tcPr>
            <w:tcW w:w="163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3"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634"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299" w:right="117" w:hanging="180"/>
              <w:jc w:val="left"/>
              <w:rPr>
                <w:rFonts w:ascii="宋体" w:hAnsi="宋体" w:cs="宋体" w:eastAsia="宋体" w:hint="default"/>
                <w:sz w:val="18"/>
                <w:szCs w:val="18"/>
              </w:rPr>
            </w:pPr>
            <w:r>
              <w:rPr>
                <w:rFonts w:ascii="宋体" w:hAnsi="宋体" w:cs="宋体" w:eastAsia="宋体" w:hint="default"/>
                <w:sz w:val="18"/>
                <w:szCs w:val="18"/>
              </w:rPr>
              <w:t>账面价 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372" w:right="188" w:hanging="180"/>
              <w:jc w:val="left"/>
              <w:rPr>
                <w:rFonts w:ascii="宋体" w:hAnsi="宋体" w:cs="宋体" w:eastAsia="宋体" w:hint="default"/>
                <w:sz w:val="18"/>
                <w:szCs w:val="18"/>
              </w:rPr>
            </w:pPr>
            <w:r>
              <w:rPr>
                <w:rFonts w:ascii="宋体" w:hAnsi="宋体" w:cs="宋体" w:eastAsia="宋体" w:hint="default"/>
                <w:sz w:val="18"/>
                <w:szCs w:val="18"/>
              </w:rPr>
              <w:t>账面价 值</w:t>
            </w:r>
          </w:p>
        </w:tc>
      </w:tr>
      <w:tr>
        <w:trPr>
          <w:trHeight w:val="714" w:hRule="exact"/>
        </w:trPr>
        <w:tc>
          <w:tcPr>
            <w:tcW w:w="1634"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285" w:right="106"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9"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370" w:right="190"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1" w:right="260"/>
              <w:jc w:val="both"/>
              <w:rPr>
                <w:rFonts w:ascii="宋体" w:hAnsi="宋体" w:cs="宋体" w:eastAsia="宋体" w:hint="default"/>
                <w:sz w:val="18"/>
                <w:szCs w:val="18"/>
              </w:rPr>
            </w:pPr>
            <w:r>
              <w:rPr>
                <w:rFonts w:ascii="宋体" w:hAnsi="宋体" w:cs="宋体" w:eastAsia="宋体" w:hint="default"/>
                <w:sz w:val="18"/>
                <w:szCs w:val="18"/>
              </w:rPr>
              <w:t>按信用风险特征 组合计提坏账准 备的其他应收款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9" w:right="0"/>
              <w:jc w:val="left"/>
              <w:rPr>
                <w:rFonts w:ascii="Times New Roman" w:hAnsi="Times New Roman" w:cs="Times New Roman" w:eastAsia="Times New Roman" w:hint="default"/>
                <w:sz w:val="18"/>
                <w:szCs w:val="18"/>
              </w:rPr>
            </w:pPr>
            <w:r>
              <w:rPr>
                <w:rFonts w:ascii="Times New Roman"/>
                <w:sz w:val="18"/>
              </w:rPr>
              <w:t>65,464,</w:t>
            </w:r>
          </w:p>
          <w:p>
            <w:pPr>
              <w:pStyle w:val="TableParagraph"/>
              <w:spacing w:line="240" w:lineRule="auto" w:before="105"/>
              <w:ind w:left="155" w:right="0"/>
              <w:jc w:val="left"/>
              <w:rPr>
                <w:rFonts w:ascii="Times New Roman" w:hAnsi="Times New Roman" w:cs="Times New Roman" w:eastAsia="Times New Roman" w:hint="default"/>
                <w:sz w:val="18"/>
                <w:szCs w:val="18"/>
              </w:rPr>
            </w:pPr>
            <w:r>
              <w:rPr>
                <w:rFonts w:ascii="Times New Roman"/>
                <w:sz w:val="18"/>
              </w:rPr>
              <w:t>712.62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2"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8" w:right="0"/>
              <w:jc w:val="left"/>
              <w:rPr>
                <w:rFonts w:ascii="Times New Roman" w:hAnsi="Times New Roman" w:cs="Times New Roman" w:eastAsia="Times New Roman" w:hint="default"/>
                <w:sz w:val="18"/>
                <w:szCs w:val="18"/>
              </w:rPr>
            </w:pPr>
            <w:r>
              <w:rPr>
                <w:rFonts w:ascii="Times New Roman"/>
                <w:sz w:val="18"/>
              </w:rPr>
              <w:t>14,012,</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153.78</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21.40</w:t>
            </w:r>
          </w:p>
          <w:p>
            <w:pPr>
              <w:pStyle w:val="TableParagraph"/>
              <w:spacing w:line="240" w:lineRule="auto" w:before="105"/>
              <w:ind w:left="501"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6" w:right="0"/>
              <w:jc w:val="left"/>
              <w:rPr>
                <w:rFonts w:ascii="Times New Roman" w:hAnsi="Times New Roman" w:cs="Times New Roman" w:eastAsia="Times New Roman" w:hint="default"/>
                <w:sz w:val="18"/>
                <w:szCs w:val="18"/>
              </w:rPr>
            </w:pPr>
            <w:r>
              <w:rPr>
                <w:rFonts w:ascii="Times New Roman"/>
                <w:sz w:val="18"/>
              </w:rPr>
              <w:t>51,452,</w:t>
            </w:r>
          </w:p>
          <w:p>
            <w:pPr>
              <w:pStyle w:val="TableParagraph"/>
              <w:spacing w:line="240" w:lineRule="auto" w:before="105"/>
              <w:ind w:left="182" w:right="0"/>
              <w:jc w:val="left"/>
              <w:rPr>
                <w:rFonts w:ascii="Times New Roman" w:hAnsi="Times New Roman" w:cs="Times New Roman" w:eastAsia="Times New Roman" w:hint="default"/>
                <w:sz w:val="18"/>
                <w:szCs w:val="18"/>
              </w:rPr>
            </w:pPr>
            <w:r>
              <w:rPr>
                <w:rFonts w:ascii="Times New Roman"/>
                <w:sz w:val="18"/>
              </w:rPr>
              <w:t>558.84</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center"/>
              <w:rPr>
                <w:rFonts w:ascii="Times New Roman" w:hAnsi="Times New Roman" w:cs="Times New Roman" w:eastAsia="Times New Roman" w:hint="default"/>
                <w:sz w:val="18"/>
                <w:szCs w:val="18"/>
              </w:rPr>
            </w:pPr>
            <w:r>
              <w:rPr>
                <w:rFonts w:ascii="Times New Roman"/>
                <w:sz w:val="18"/>
              </w:rPr>
              <w:t>50,50</w:t>
            </w:r>
          </w:p>
          <w:p>
            <w:pPr>
              <w:pStyle w:val="TableParagraph"/>
              <w:spacing w:line="240" w:lineRule="auto" w:before="105"/>
              <w:ind w:left="33" w:right="0"/>
              <w:jc w:val="center"/>
              <w:rPr>
                <w:rFonts w:ascii="Times New Roman" w:hAnsi="Times New Roman" w:cs="Times New Roman" w:eastAsia="Times New Roman" w:hint="default"/>
                <w:sz w:val="18"/>
                <w:szCs w:val="18"/>
              </w:rPr>
            </w:pPr>
            <w:r>
              <w:rPr>
                <w:rFonts w:ascii="Times New Roman"/>
                <w:sz w:val="18"/>
              </w:rPr>
              <w:t>7,606</w:t>
            </w:r>
          </w:p>
          <w:p>
            <w:pPr>
              <w:pStyle w:val="TableParagraph"/>
              <w:spacing w:line="240" w:lineRule="auto" w:before="105"/>
              <w:ind w:left="213" w:right="0"/>
              <w:jc w:val="center"/>
              <w:rPr>
                <w:rFonts w:ascii="Times New Roman" w:hAnsi="Times New Roman" w:cs="Times New Roman" w:eastAsia="Times New Roman" w:hint="default"/>
                <w:sz w:val="18"/>
                <w:szCs w:val="18"/>
              </w:rPr>
            </w:pPr>
            <w:r>
              <w:rPr>
                <w:rFonts w:ascii="Times New Roman"/>
                <w:sz w:val="18"/>
              </w:rPr>
              <w:t>.48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3" w:right="0"/>
              <w:jc w:val="left"/>
              <w:rPr>
                <w:rFonts w:ascii="Times New Roman" w:hAnsi="Times New Roman" w:cs="Times New Roman" w:eastAsia="Times New Roman" w:hint="default"/>
                <w:sz w:val="18"/>
                <w:szCs w:val="18"/>
              </w:rPr>
            </w:pPr>
            <w:r>
              <w:rPr>
                <w:rFonts w:ascii="Times New Roman"/>
                <w:sz w:val="18"/>
              </w:rPr>
              <w:t>99.15</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1" w:right="0"/>
              <w:jc w:val="left"/>
              <w:rPr>
                <w:rFonts w:ascii="Times New Roman" w:hAnsi="Times New Roman" w:cs="Times New Roman" w:eastAsia="Times New Roman" w:hint="default"/>
                <w:sz w:val="18"/>
                <w:szCs w:val="18"/>
              </w:rPr>
            </w:pPr>
            <w:r>
              <w:rPr>
                <w:rFonts w:ascii="Times New Roman"/>
                <w:sz w:val="18"/>
              </w:rPr>
              <w:t>10,317,</w:t>
            </w:r>
          </w:p>
          <w:p>
            <w:pPr>
              <w:pStyle w:val="TableParagraph"/>
              <w:spacing w:line="240" w:lineRule="auto" w:before="105"/>
              <w:ind w:left="211" w:right="0"/>
              <w:jc w:val="left"/>
              <w:rPr>
                <w:rFonts w:ascii="Times New Roman" w:hAnsi="Times New Roman" w:cs="Times New Roman" w:eastAsia="Times New Roman" w:hint="default"/>
                <w:sz w:val="18"/>
                <w:szCs w:val="18"/>
              </w:rPr>
            </w:pPr>
            <w:r>
              <w:rPr>
                <w:rFonts w:ascii="Times New Roman"/>
                <w:sz w:val="18"/>
              </w:rPr>
              <w:t>211.03</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20.43%</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9" w:right="0"/>
              <w:jc w:val="left"/>
              <w:rPr>
                <w:rFonts w:ascii="Times New Roman" w:hAnsi="Times New Roman" w:cs="Times New Roman" w:eastAsia="Times New Roman" w:hint="default"/>
                <w:sz w:val="18"/>
                <w:szCs w:val="18"/>
              </w:rPr>
            </w:pPr>
            <w:r>
              <w:rPr>
                <w:rFonts w:ascii="Times New Roman"/>
                <w:sz w:val="18"/>
              </w:rPr>
              <w:t>40,190,3</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95.45</w:t>
            </w:r>
          </w:p>
        </w:tc>
      </w:tr>
      <w:tr>
        <w:trPr>
          <w:trHeight w:val="1338"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260"/>
              <w:jc w:val="both"/>
              <w:rPr>
                <w:rFonts w:ascii="宋体" w:hAnsi="宋体" w:cs="宋体" w:eastAsia="宋体" w:hint="default"/>
                <w:sz w:val="18"/>
                <w:szCs w:val="18"/>
              </w:rPr>
            </w:pPr>
            <w:r>
              <w:rPr>
                <w:rFonts w:ascii="宋体" w:hAnsi="宋体" w:cs="宋体" w:eastAsia="宋体" w:hint="default"/>
                <w:sz w:val="18"/>
                <w:szCs w:val="18"/>
              </w:rPr>
              <w:t>单项金额不重大 但单独计提坏账 准备的其他应收 款</w:t>
            </w:r>
          </w:p>
        </w:tc>
        <w:tc>
          <w:tcPr>
            <w:tcW w:w="763"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789" w:type="dxa"/>
            <w:tcBorders>
              <w:top w:val="single" w:sz="4" w:space="0" w:color="000000"/>
              <w:left w:val="single" w:sz="4" w:space="0" w:color="000000"/>
              <w:bottom w:val="single" w:sz="4" w:space="0" w:color="000000"/>
              <w:right w:val="single" w:sz="4" w:space="0" w:color="000000"/>
            </w:tcBorders>
          </w:tcPr>
          <w:p>
            <w:pP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36" w:right="0"/>
              <w:jc w:val="left"/>
              <w:rPr>
                <w:rFonts w:ascii="Times New Roman" w:hAnsi="Times New Roman" w:cs="Times New Roman" w:eastAsia="Times New Roman" w:hint="default"/>
                <w:sz w:val="18"/>
                <w:szCs w:val="18"/>
              </w:rPr>
            </w:pPr>
            <w:r>
              <w:rPr>
                <w:rFonts w:ascii="Times New Roman"/>
                <w:sz w:val="18"/>
              </w:rPr>
              <w:t>434,9</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72.25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86" w:right="0"/>
              <w:jc w:val="left"/>
              <w:rPr>
                <w:rFonts w:ascii="Times New Roman" w:hAnsi="Times New Roman" w:cs="Times New Roman" w:eastAsia="Times New Roman" w:hint="default"/>
                <w:sz w:val="18"/>
                <w:szCs w:val="18"/>
              </w:rPr>
            </w:pPr>
            <w:r>
              <w:rPr>
                <w:rFonts w:ascii="Times New Roman"/>
                <w:sz w:val="18"/>
              </w:rPr>
              <w:t>0.85%</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434,972</w:t>
            </w:r>
          </w:p>
          <w:p>
            <w:pPr>
              <w:pStyle w:val="TableParagraph"/>
              <w:spacing w:line="240" w:lineRule="auto" w:before="105"/>
              <w:ind w:left="475" w:right="0"/>
              <w:jc w:val="left"/>
              <w:rPr>
                <w:rFonts w:ascii="Times New Roman" w:hAnsi="Times New Roman" w:cs="Times New Roman" w:eastAsia="Times New Roman" w:hint="default"/>
                <w:sz w:val="18"/>
                <w:szCs w:val="18"/>
              </w:rPr>
            </w:pPr>
            <w:r>
              <w:rPr>
                <w:rFonts w:ascii="Times New Roman"/>
                <w:sz w:val="18"/>
              </w:rPr>
              <w:t>.25</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93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9" w:right="0"/>
              <w:jc w:val="left"/>
              <w:rPr>
                <w:rFonts w:ascii="Times New Roman" w:hAnsi="Times New Roman" w:cs="Times New Roman" w:eastAsia="Times New Roman" w:hint="default"/>
                <w:sz w:val="18"/>
                <w:szCs w:val="18"/>
              </w:rPr>
            </w:pPr>
            <w:r>
              <w:rPr>
                <w:rFonts w:ascii="Times New Roman"/>
                <w:sz w:val="18"/>
              </w:rPr>
              <w:t>65,464,</w:t>
            </w:r>
          </w:p>
          <w:p>
            <w:pPr>
              <w:pStyle w:val="TableParagraph"/>
              <w:spacing w:line="240" w:lineRule="auto" w:before="105"/>
              <w:ind w:left="155" w:right="0"/>
              <w:jc w:val="left"/>
              <w:rPr>
                <w:rFonts w:ascii="Times New Roman" w:hAnsi="Times New Roman" w:cs="Times New Roman" w:eastAsia="Times New Roman" w:hint="default"/>
                <w:sz w:val="18"/>
                <w:szCs w:val="18"/>
              </w:rPr>
            </w:pPr>
            <w:r>
              <w:rPr>
                <w:rFonts w:ascii="Times New Roman"/>
                <w:sz w:val="18"/>
              </w:rPr>
              <w:t>712.62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2"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8" w:right="0"/>
              <w:jc w:val="left"/>
              <w:rPr>
                <w:rFonts w:ascii="Times New Roman" w:hAnsi="Times New Roman" w:cs="Times New Roman" w:eastAsia="Times New Roman" w:hint="default"/>
                <w:sz w:val="18"/>
                <w:szCs w:val="18"/>
              </w:rPr>
            </w:pPr>
            <w:r>
              <w:rPr>
                <w:rFonts w:ascii="Times New Roman"/>
                <w:sz w:val="18"/>
              </w:rPr>
              <w:t>14,012,</w:t>
            </w:r>
          </w:p>
          <w:p>
            <w:pPr>
              <w:pStyle w:val="TableParagraph"/>
              <w:spacing w:line="240" w:lineRule="auto" w:before="105"/>
              <w:ind w:left="154" w:right="0"/>
              <w:jc w:val="left"/>
              <w:rPr>
                <w:rFonts w:ascii="Times New Roman" w:hAnsi="Times New Roman" w:cs="Times New Roman" w:eastAsia="Times New Roman" w:hint="default"/>
                <w:sz w:val="18"/>
                <w:szCs w:val="18"/>
              </w:rPr>
            </w:pPr>
            <w:r>
              <w:rPr>
                <w:rFonts w:ascii="Times New Roman"/>
                <w:sz w:val="18"/>
              </w:rPr>
              <w:t>153.78</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21.40</w:t>
            </w:r>
          </w:p>
          <w:p>
            <w:pPr>
              <w:pStyle w:val="TableParagraph"/>
              <w:spacing w:line="240" w:lineRule="auto" w:before="105"/>
              <w:ind w:left="501"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6" w:right="0"/>
              <w:jc w:val="left"/>
              <w:rPr>
                <w:rFonts w:ascii="Times New Roman" w:hAnsi="Times New Roman" w:cs="Times New Roman" w:eastAsia="Times New Roman" w:hint="default"/>
                <w:sz w:val="18"/>
                <w:szCs w:val="18"/>
              </w:rPr>
            </w:pPr>
            <w:r>
              <w:rPr>
                <w:rFonts w:ascii="Times New Roman"/>
                <w:sz w:val="18"/>
              </w:rPr>
              <w:t>51,452,</w:t>
            </w:r>
          </w:p>
          <w:p>
            <w:pPr>
              <w:pStyle w:val="TableParagraph"/>
              <w:spacing w:line="240" w:lineRule="auto" w:before="105"/>
              <w:ind w:left="182" w:right="0"/>
              <w:jc w:val="left"/>
              <w:rPr>
                <w:rFonts w:ascii="Times New Roman" w:hAnsi="Times New Roman" w:cs="Times New Roman" w:eastAsia="Times New Roman" w:hint="default"/>
                <w:sz w:val="18"/>
                <w:szCs w:val="18"/>
              </w:rPr>
            </w:pPr>
            <w:r>
              <w:rPr>
                <w:rFonts w:ascii="Times New Roman"/>
                <w:sz w:val="18"/>
              </w:rPr>
              <w:t>558.84</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center"/>
              <w:rPr>
                <w:rFonts w:ascii="Times New Roman" w:hAnsi="Times New Roman" w:cs="Times New Roman" w:eastAsia="Times New Roman" w:hint="default"/>
                <w:sz w:val="18"/>
                <w:szCs w:val="18"/>
              </w:rPr>
            </w:pPr>
            <w:r>
              <w:rPr>
                <w:rFonts w:ascii="Times New Roman"/>
                <w:sz w:val="18"/>
              </w:rPr>
              <w:t>50,94</w:t>
            </w:r>
          </w:p>
          <w:p>
            <w:pPr>
              <w:pStyle w:val="TableParagraph"/>
              <w:spacing w:line="240" w:lineRule="auto" w:before="105"/>
              <w:ind w:left="33" w:right="0"/>
              <w:jc w:val="center"/>
              <w:rPr>
                <w:rFonts w:ascii="Times New Roman" w:hAnsi="Times New Roman" w:cs="Times New Roman" w:eastAsia="Times New Roman" w:hint="default"/>
                <w:sz w:val="18"/>
                <w:szCs w:val="18"/>
              </w:rPr>
            </w:pPr>
            <w:r>
              <w:rPr>
                <w:rFonts w:ascii="Times New Roman"/>
                <w:sz w:val="18"/>
              </w:rPr>
              <w:t>2,578</w:t>
            </w:r>
          </w:p>
          <w:p>
            <w:pPr>
              <w:pStyle w:val="TableParagraph"/>
              <w:spacing w:line="240" w:lineRule="auto" w:before="105"/>
              <w:ind w:left="213" w:right="0"/>
              <w:jc w:val="center"/>
              <w:rPr>
                <w:rFonts w:ascii="Times New Roman" w:hAnsi="Times New Roman" w:cs="Times New Roman" w:eastAsia="Times New Roman" w:hint="default"/>
                <w:sz w:val="18"/>
                <w:szCs w:val="18"/>
              </w:rPr>
            </w:pPr>
            <w:r>
              <w:rPr>
                <w:rFonts w:ascii="Times New Roman"/>
                <w:sz w:val="18"/>
              </w:rPr>
              <w:t>.73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5"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500"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1" w:right="0"/>
              <w:jc w:val="left"/>
              <w:rPr>
                <w:rFonts w:ascii="Times New Roman" w:hAnsi="Times New Roman" w:cs="Times New Roman" w:eastAsia="Times New Roman" w:hint="default"/>
                <w:sz w:val="18"/>
                <w:szCs w:val="18"/>
              </w:rPr>
            </w:pPr>
            <w:r>
              <w:rPr>
                <w:rFonts w:ascii="Times New Roman"/>
                <w:sz w:val="18"/>
              </w:rPr>
              <w:t>10,752,</w:t>
            </w:r>
          </w:p>
          <w:p>
            <w:pPr>
              <w:pStyle w:val="TableParagraph"/>
              <w:spacing w:line="240" w:lineRule="auto" w:before="105"/>
              <w:ind w:left="204" w:right="0"/>
              <w:jc w:val="left"/>
              <w:rPr>
                <w:rFonts w:ascii="Times New Roman" w:hAnsi="Times New Roman" w:cs="Times New Roman" w:eastAsia="Times New Roman" w:hint="default"/>
                <w:sz w:val="18"/>
                <w:szCs w:val="18"/>
              </w:rPr>
            </w:pPr>
            <w:r>
              <w:rPr>
                <w:rFonts w:ascii="Times New Roman"/>
                <w:sz w:val="18"/>
              </w:rPr>
              <w:t>183.28</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pacing w:val="-2"/>
                <w:sz w:val="18"/>
              </w:rPr>
              <w:t>21.11%</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9" w:right="0"/>
              <w:jc w:val="left"/>
              <w:rPr>
                <w:rFonts w:ascii="Times New Roman" w:hAnsi="Times New Roman" w:cs="Times New Roman" w:eastAsia="Times New Roman" w:hint="default"/>
                <w:sz w:val="18"/>
                <w:szCs w:val="18"/>
              </w:rPr>
            </w:pPr>
            <w:r>
              <w:rPr>
                <w:rFonts w:ascii="Times New Roman"/>
                <w:sz w:val="18"/>
              </w:rPr>
              <w:t>40,190,3</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95.45</w:t>
            </w:r>
          </w:p>
        </w:tc>
      </w:tr>
    </w:tbl>
    <w:p>
      <w:pPr>
        <w:spacing w:after="0" w:line="240" w:lineRule="auto"/>
        <w:jc w:val="left"/>
        <w:rPr>
          <w:rFonts w:ascii="Times New Roman" w:hAnsi="Times New Roman" w:cs="Times New Roman" w:eastAsia="Times New Roman" w:hint="default"/>
          <w:sz w:val="18"/>
          <w:szCs w:val="18"/>
        </w:rPr>
        <w:sectPr>
          <w:pgSz w:w="11910" w:h="16840"/>
          <w:pgMar w:header="907" w:footer="1016" w:top="1100" w:bottom="1200" w:left="1020" w:right="0"/>
        </w:sectPr>
      </w:pPr>
    </w:p>
    <w:p>
      <w:pPr>
        <w:pStyle w:val="BodyText"/>
        <w:spacing w:line="240" w:lineRule="auto" w:before="50"/>
        <w:ind w:right="-20"/>
        <w:jc w:val="left"/>
      </w:pPr>
      <w:r>
        <w:rPr/>
        <w:t>期末单项金额重大并单项计提坏账准备的其他应收款：</w:t>
      </w:r>
    </w:p>
    <w:p>
      <w:pPr>
        <w:pStyle w:val="BodyText"/>
        <w:spacing w:line="357" w:lineRule="auto" w:before="117"/>
        <w:ind w:right="160" w:firstLine="91"/>
        <w:jc w:val="left"/>
      </w:pPr>
      <w:r>
        <w:rPr/>
        <w:t>□ 适用 √</w:t>
      </w:r>
      <w:r>
        <w:rPr>
          <w:spacing w:val="-1"/>
        </w:rPr>
        <w:t> </w:t>
      </w:r>
      <w:r>
        <w:rPr/>
        <w:t>不适用</w:t>
      </w:r>
      <w:r>
        <w:rPr/>
        <w:t> 组合中，按账龄分析法计提坏账准备的其他应收款：</w:t>
      </w:r>
    </w:p>
    <w:p>
      <w:pPr>
        <w:pStyle w:val="BodyText"/>
        <w:spacing w:line="240" w:lineRule="auto" w:before="29"/>
        <w:ind w:right="-20"/>
        <w:jc w:val="left"/>
      </w:pPr>
      <w:r>
        <w:rPr/>
        <w:t>√ 适用</w:t>
      </w:r>
      <w:r>
        <w:rPr>
          <w:spacing w:val="-1"/>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100" w:bottom="1200" w:left="1020" w:right="0"/>
          <w:cols w:num="2" w:equalWidth="0">
            <w:col w:w="4433" w:space="4485"/>
            <w:col w:w="1972"/>
          </w:cols>
        </w:sectPr>
      </w:pP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493"/>
        <w:gridCol w:w="2295"/>
        <w:gridCol w:w="2390"/>
        <w:gridCol w:w="2390"/>
      </w:tblGrid>
      <w:tr>
        <w:trPr>
          <w:trHeight w:val="402" w:hRule="exact"/>
        </w:trPr>
        <w:tc>
          <w:tcPr>
            <w:tcW w:w="24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07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493" w:type="dxa"/>
            <w:vMerge/>
            <w:tcBorders>
              <w:left w:val="single" w:sz="4" w:space="0" w:color="000000"/>
              <w:bottom w:val="single" w:sz="4" w:space="0" w:color="000000"/>
              <w:right w:val="single" w:sz="4" w:space="0" w:color="000000"/>
            </w:tcBorders>
            <w:shd w:val="clear" w:color="auto" w:fill="D2D2D2"/>
          </w:tcPr>
          <w:p>
            <w:pP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9568"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33,126,229.93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1,656,311.50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98"/>
              <w:jc w:val="right"/>
              <w:rPr>
                <w:rFonts w:ascii="Times New Roman" w:hAnsi="Times New Roman" w:cs="Times New Roman" w:eastAsia="Times New Roman" w:hint="default"/>
                <w:sz w:val="18"/>
                <w:szCs w:val="18"/>
              </w:rPr>
            </w:pPr>
            <w:r>
              <w:rPr>
                <w:rFonts w:ascii="Times New Roman"/>
                <w:sz w:val="18"/>
              </w:rPr>
              <w:t>5.00%</w:t>
            </w:r>
          </w:p>
        </w:tc>
      </w:tr>
      <w:tr>
        <w:trPr>
          <w:trHeight w:val="400"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33,126,229.93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1,656,311.50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18"/>
                <w:szCs w:val="18"/>
              </w:rPr>
            </w:pPr>
            <w:r>
              <w:rPr>
                <w:rFonts w:ascii="Times New Roman"/>
                <w:sz w:val="18"/>
              </w:rPr>
              <w:t>5.00%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493"/>
        <w:gridCol w:w="2295"/>
        <w:gridCol w:w="2390"/>
        <w:gridCol w:w="2390"/>
      </w:tblGrid>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8,959,934.25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1,791,986.85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20.00%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13,128,206.44</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3,938,461.93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30.00%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7,249,897.00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3,624,948.50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50.00%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5,889,514.50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2,944,757.25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50.00%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1,360,382.50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680,191.25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50.00%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3,000,445.00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3,000,445.00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98"/>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65,464,712.62</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14,012,153.78</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21.40%</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pStyle w:val="BodyText"/>
        <w:spacing w:line="360" w:lineRule="auto" w:before="51"/>
        <w:ind w:right="2186"/>
        <w:jc w:val="left"/>
      </w:pPr>
      <w:r>
        <w:rPr/>
        <w:t>确定该组合依据的说明： 组合中，采用余额百分比法计提坏账准备的其他应收款：</w:t>
      </w:r>
    </w:p>
    <w:p>
      <w:pPr>
        <w:pStyle w:val="BodyText"/>
        <w:spacing w:line="360" w:lineRule="auto" w:before="25"/>
        <w:ind w:right="2546" w:firstLine="91"/>
        <w:jc w:val="left"/>
      </w:pPr>
      <w:r>
        <w:rPr/>
        <w:t>□ 适用 √</w:t>
      </w:r>
      <w:r>
        <w:rPr>
          <w:spacing w:val="-1"/>
        </w:rPr>
        <w:t> </w:t>
      </w:r>
      <w:r>
        <w:rPr/>
        <w:t>不适用</w:t>
      </w:r>
      <w:r>
        <w:rPr/>
        <w:t> 组合中，采用其他方法计提坏账准备的其他应收款：</w:t>
      </w:r>
    </w:p>
    <w:p>
      <w:pPr>
        <w:pStyle w:val="BodyText"/>
        <w:spacing w:line="240" w:lineRule="auto" w:before="27"/>
        <w:ind w:left="204" w:right="2186"/>
        <w:jc w:val="left"/>
      </w:pPr>
      <w:r>
        <w:rPr/>
        <w:t>□ 适用  √</w:t>
      </w:r>
      <w:r>
        <w:rPr>
          <w:spacing w:val="-1"/>
        </w:rPr>
        <w:t> </w:t>
      </w:r>
      <w:r>
        <w:rPr/>
        <w:t>不适用</w:t>
      </w:r>
    </w:p>
    <w:p>
      <w:pPr>
        <w:pStyle w:val="BodyText"/>
        <w:spacing w:line="240" w:lineRule="auto" w:before="115"/>
        <w:ind w:right="2186"/>
        <w:jc w:val="left"/>
      </w:pPr>
      <w:r>
        <w:rPr>
          <w:rFonts w:ascii="Times New Roman" w:hAnsi="Times New Roman" w:cs="Times New Roman" w:eastAsia="Times New Roman" w:hint="default"/>
        </w:rPr>
        <w:t>2)</w:t>
      </w:r>
      <w:r>
        <w:rPr/>
        <w:t>本期计提、收回或转回的坏账准备情况</w:t>
      </w:r>
    </w:p>
    <w:p>
      <w:pPr>
        <w:pStyle w:val="BodyText"/>
        <w:spacing w:line="340" w:lineRule="auto" w:before="103"/>
        <w:ind w:right="-7"/>
        <w:jc w:val="left"/>
      </w:pPr>
      <w:r>
        <w:rPr/>
        <w:t>本期计提坏账准备金额</w:t>
      </w:r>
      <w:r>
        <w:rPr>
          <w:spacing w:val="-47"/>
        </w:rPr>
        <w:t> </w:t>
      </w:r>
      <w:r>
        <w:rPr>
          <w:rFonts w:ascii="Times New Roman" w:hAnsi="Times New Roman" w:cs="Times New Roman" w:eastAsia="Times New Roman" w:hint="default"/>
        </w:rPr>
        <w:t>3,684,942.75</w:t>
      </w:r>
      <w:r>
        <w:rPr>
          <w:rFonts w:ascii="Times New Roman" w:hAnsi="Times New Roman" w:cs="Times New Roman" w:eastAsia="Times New Roman" w:hint="default"/>
          <w:spacing w:val="-3"/>
        </w:rPr>
        <w:t> </w:t>
      </w:r>
      <w:r>
        <w:rPr/>
        <w:t>元；本期收回或转回坏账准备金额</w:t>
      </w:r>
      <w:r>
        <w:rPr>
          <w:spacing w:val="-49"/>
        </w:rPr>
        <w:t> </w:t>
      </w:r>
      <w:r>
        <w:rPr>
          <w:rFonts w:ascii="Times New Roman" w:hAnsi="Times New Roman" w:cs="Times New Roman" w:eastAsia="Times New Roman" w:hint="default"/>
        </w:rPr>
        <w:t>10,000.00</w:t>
      </w:r>
      <w:r>
        <w:rPr>
          <w:rFonts w:ascii="Times New Roman" w:hAnsi="Times New Roman" w:cs="Times New Roman" w:eastAsia="Times New Roman" w:hint="default"/>
          <w:spacing w:val="-3"/>
        </w:rPr>
        <w:t> </w:t>
      </w:r>
      <w:r>
        <w:rPr/>
        <w:t>元。 其中本期坏账准备转回或收回金额重要的：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100" w:bottom="1200" w:left="1020" w:right="0"/>
          <w:cols w:num="2" w:equalWidth="0">
            <w:col w:w="6819" w:space="2099"/>
            <w:col w:w="1972"/>
          </w:cols>
        </w:sectPr>
      </w:pP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68"/>
        <w:gridCol w:w="3100"/>
        <w:gridCol w:w="3100"/>
      </w:tblGrid>
      <w:tr>
        <w:trPr>
          <w:trHeight w:val="402" w:hRule="exact"/>
        </w:trPr>
        <w:tc>
          <w:tcPr>
            <w:tcW w:w="3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4" w:right="0"/>
              <w:jc w:val="left"/>
              <w:rPr>
                <w:rFonts w:ascii="宋体" w:hAnsi="宋体" w:cs="宋体" w:eastAsia="宋体" w:hint="default"/>
                <w:sz w:val="18"/>
                <w:szCs w:val="18"/>
              </w:rPr>
            </w:pPr>
            <w:r>
              <w:rPr>
                <w:rFonts w:ascii="宋体" w:hAnsi="宋体" w:cs="宋体" w:eastAsia="宋体" w:hint="default"/>
                <w:sz w:val="18"/>
                <w:szCs w:val="18"/>
              </w:rPr>
              <w:t>转回或收回金额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pStyle w:val="BodyText"/>
        <w:spacing w:line="240" w:lineRule="auto" w:before="50"/>
        <w:ind w:right="0"/>
        <w:jc w:val="left"/>
      </w:pPr>
      <w:r>
        <w:rPr>
          <w:rFonts w:ascii="Times New Roman" w:hAnsi="Times New Roman" w:cs="Times New Roman" w:eastAsia="Times New Roman" w:hint="default"/>
        </w:rPr>
        <w:t>3)</w:t>
      </w:r>
      <w:r>
        <w:rPr/>
        <w:t>本期实际核销的其他应收款情况</w:t>
      </w:r>
    </w:p>
    <w:p>
      <w:pPr>
        <w:pStyle w:val="BodyText"/>
        <w:spacing w:line="240" w:lineRule="auto" w:before="103"/>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983"/>
        <w:gridCol w:w="4585"/>
      </w:tblGrid>
      <w:tr>
        <w:trPr>
          <w:trHeight w:val="402" w:hRule="exact"/>
        </w:trPr>
        <w:tc>
          <w:tcPr>
            <w:tcW w:w="4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45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2" w:hRule="exact"/>
        </w:trPr>
        <w:tc>
          <w:tcPr>
            <w:tcW w:w="4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434,972.25</w:t>
            </w:r>
          </w:p>
        </w:tc>
      </w:tr>
    </w:tbl>
    <w:p>
      <w:pPr>
        <w:pStyle w:val="BodyText"/>
        <w:spacing w:line="240" w:lineRule="auto" w:before="50"/>
        <w:ind w:right="0"/>
        <w:jc w:val="left"/>
      </w:pPr>
      <w:r>
        <w:rPr/>
        <w:t>其中重要的其他应收款核销情况：</w:t>
      </w:r>
    </w:p>
    <w:p>
      <w:pPr>
        <w:pStyle w:val="BodyText"/>
        <w:spacing w:line="240" w:lineRule="auto" w:before="117"/>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684"/>
        <w:gridCol w:w="1551"/>
        <w:gridCol w:w="1552"/>
        <w:gridCol w:w="1552"/>
        <w:gridCol w:w="1615"/>
        <w:gridCol w:w="1615"/>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其他应收款性质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1"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71"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42" w:right="172" w:hanging="272"/>
              <w:jc w:val="left"/>
              <w:rPr>
                <w:rFonts w:ascii="宋体" w:hAnsi="宋体" w:cs="宋体" w:eastAsia="宋体" w:hint="default"/>
                <w:sz w:val="18"/>
                <w:szCs w:val="18"/>
              </w:rPr>
            </w:pPr>
            <w:r>
              <w:rPr>
                <w:rFonts w:ascii="宋体" w:hAnsi="宋体" w:cs="宋体" w:eastAsia="宋体" w:hint="default"/>
                <w:sz w:val="18"/>
                <w:szCs w:val="18"/>
              </w:rPr>
              <w:t>款项是否由关联 交易产生</w:t>
            </w:r>
          </w:p>
        </w:tc>
      </w:tr>
    </w:tbl>
    <w:p>
      <w:pPr>
        <w:spacing w:after="0" w:line="316" w:lineRule="auto"/>
        <w:jc w:val="left"/>
        <w:rPr>
          <w:rFonts w:ascii="宋体" w:hAnsi="宋体" w:cs="宋体" w:eastAsia="宋体" w:hint="default"/>
          <w:sz w:val="18"/>
          <w:szCs w:val="18"/>
        </w:rPr>
        <w:sectPr>
          <w:type w:val="continuous"/>
          <w:pgSz w:w="11910" w:h="16840"/>
          <w:pgMar w:top="1100" w:bottom="1200" w:left="1020" w:right="0"/>
        </w:sectPr>
      </w:pPr>
    </w:p>
    <w:p>
      <w:pPr>
        <w:pStyle w:val="BodyText"/>
        <w:spacing w:line="240" w:lineRule="auto" w:before="50"/>
        <w:ind w:right="-18"/>
        <w:jc w:val="left"/>
      </w:pPr>
      <w:r>
        <w:rPr/>
        <w:t>其他应收款核销说明：</w:t>
      </w:r>
    </w:p>
    <w:p>
      <w:pPr>
        <w:pStyle w:val="BodyText"/>
        <w:spacing w:line="240" w:lineRule="auto" w:before="117"/>
        <w:ind w:right="-18"/>
        <w:jc w:val="left"/>
      </w:pPr>
      <w:r>
        <w:rPr>
          <w:rFonts w:ascii="Times New Roman" w:hAnsi="Times New Roman" w:cs="Times New Roman" w:eastAsia="Times New Roman" w:hint="default"/>
        </w:rPr>
        <w:t>4)</w:t>
      </w:r>
      <w:r>
        <w:rPr/>
        <w:t>其他应收款按款项性质分类情况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100" w:bottom="1200" w:left="1020" w:right="0"/>
          <w:cols w:num="2" w:equalWidth="0">
            <w:col w:w="2785" w:space="6134"/>
            <w:col w:w="1971"/>
          </w:cols>
        </w:sectPr>
      </w:pP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68"/>
        <w:gridCol w:w="3100"/>
        <w:gridCol w:w="3100"/>
      </w:tblGrid>
      <w:tr>
        <w:trPr>
          <w:trHeight w:val="402" w:hRule="exact"/>
        </w:trPr>
        <w:tc>
          <w:tcPr>
            <w:tcW w:w="3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5"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4"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押金保证金</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48,327,785.09</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40,269,862.37</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2,977,158.76</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3,652,247.75</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拆借款</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9,214,880.15</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2,220,923.70</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Times New Roman" w:hAnsi="Times New Roman" w:cs="Times New Roman" w:eastAsia="Times New Roman" w:hint="default"/>
                <w:sz w:val="18"/>
                <w:szCs w:val="18"/>
              </w:rPr>
            </w:pPr>
            <w:r>
              <w:rPr>
                <w:rFonts w:ascii="Times New Roman"/>
                <w:spacing w:val="-1"/>
                <w:sz w:val="18"/>
              </w:rPr>
              <w:t>4,944,888.62</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0"/>
              <w:jc w:val="right"/>
              <w:rPr>
                <w:rFonts w:ascii="Times New Roman" w:hAnsi="Times New Roman" w:cs="Times New Roman" w:eastAsia="Times New Roman" w:hint="default"/>
                <w:sz w:val="18"/>
                <w:szCs w:val="18"/>
              </w:rPr>
            </w:pPr>
            <w:r>
              <w:rPr>
                <w:rFonts w:ascii="Times New Roman"/>
                <w:spacing w:val="-1"/>
                <w:sz w:val="18"/>
              </w:rPr>
              <w:t>4,799,544.91</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65,464,712.62</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50,942,578.73</w:t>
            </w:r>
          </w:p>
        </w:tc>
      </w:tr>
    </w:tbl>
    <w:p>
      <w:pPr>
        <w:pStyle w:val="BodyText"/>
        <w:spacing w:line="240" w:lineRule="auto" w:before="51"/>
        <w:ind w:right="0"/>
        <w:jc w:val="left"/>
      </w:pPr>
      <w:r>
        <w:rPr>
          <w:rFonts w:ascii="Times New Roman" w:hAnsi="Times New Roman" w:cs="Times New Roman" w:eastAsia="Times New Roman" w:hint="default"/>
        </w:rPr>
        <w:t>5)</w:t>
      </w:r>
      <w:r>
        <w:rPr/>
        <w:t>按欠款方归集的期末余额前五名的其他应收款情况</w:t>
      </w:r>
    </w:p>
    <w:p>
      <w:pPr>
        <w:pStyle w:val="BodyText"/>
        <w:spacing w:line="240" w:lineRule="auto" w:before="103"/>
        <w:ind w:left="0" w:right="1132"/>
        <w:jc w:val="right"/>
      </w:pPr>
      <w:r>
        <w:rPr/>
        <w:t>单位：元</w:t>
      </w:r>
    </w:p>
    <w:p>
      <w:pPr>
        <w:spacing w:after="0" w:line="240" w:lineRule="auto"/>
        <w:jc w:val="right"/>
        <w:sectPr>
          <w:type w:val="continuous"/>
          <w:pgSz w:w="11910" w:h="16840"/>
          <w:pgMar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684"/>
        <w:gridCol w:w="1551"/>
        <w:gridCol w:w="1552"/>
        <w:gridCol w:w="1552"/>
        <w:gridCol w:w="1615"/>
        <w:gridCol w:w="1615"/>
      </w:tblGrid>
      <w:tr>
        <w:trPr>
          <w:trHeight w:val="1026"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321"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41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71" w:right="172"/>
              <w:jc w:val="center"/>
              <w:rPr>
                <w:rFonts w:ascii="宋体" w:hAnsi="宋体" w:cs="宋体" w:eastAsia="宋体" w:hint="default"/>
                <w:sz w:val="18"/>
                <w:szCs w:val="18"/>
              </w:rPr>
            </w:pPr>
            <w:r>
              <w:rPr>
                <w:rFonts w:ascii="宋体" w:hAnsi="宋体" w:cs="宋体" w:eastAsia="宋体" w:hint="default"/>
                <w:sz w:val="18"/>
                <w:szCs w:val="18"/>
              </w:rPr>
              <w:t>占其他应收款期 末余额合计数的 比例</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711" w:right="172" w:hanging="540"/>
              <w:jc w:val="left"/>
              <w:rPr>
                <w:rFonts w:ascii="宋体" w:hAnsi="宋体" w:cs="宋体" w:eastAsia="宋体" w:hint="default"/>
                <w:sz w:val="18"/>
                <w:szCs w:val="18"/>
              </w:rPr>
            </w:pPr>
            <w:r>
              <w:rPr>
                <w:rFonts w:ascii="宋体" w:hAnsi="宋体" w:cs="宋体" w:eastAsia="宋体" w:hint="default"/>
                <w:sz w:val="18"/>
                <w:szCs w:val="18"/>
              </w:rPr>
              <w:t>坏账准备期末余 额</w:t>
            </w: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30"/>
              <w:jc w:val="left"/>
              <w:rPr>
                <w:rFonts w:ascii="宋体" w:hAnsi="宋体" w:cs="宋体" w:eastAsia="宋体" w:hint="default"/>
                <w:sz w:val="18"/>
                <w:szCs w:val="18"/>
              </w:rPr>
            </w:pPr>
            <w:r>
              <w:rPr>
                <w:rFonts w:ascii="宋体" w:hAnsi="宋体" w:cs="宋体" w:eastAsia="宋体" w:hint="default"/>
                <w:sz w:val="18"/>
                <w:szCs w:val="18"/>
              </w:rPr>
              <w:t>中国人民解放军第 八五医院</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履约保证金</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4,474,000.00</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6.84%</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1,342,200.00</w:t>
            </w: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130"/>
              <w:jc w:val="left"/>
              <w:rPr>
                <w:rFonts w:ascii="宋体" w:hAnsi="宋体" w:cs="宋体" w:eastAsia="宋体" w:hint="default"/>
                <w:sz w:val="18"/>
                <w:szCs w:val="18"/>
              </w:rPr>
            </w:pPr>
            <w:r>
              <w:rPr>
                <w:rFonts w:ascii="宋体" w:hAnsi="宋体" w:cs="宋体" w:eastAsia="宋体" w:hint="default"/>
                <w:sz w:val="18"/>
                <w:szCs w:val="18"/>
              </w:rPr>
              <w:t>创业软件南京有限 公司</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拆借款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4,177,427.44</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6.38%</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208,871.37</w:t>
            </w: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30"/>
              <w:jc w:val="left"/>
              <w:rPr>
                <w:rFonts w:ascii="宋体" w:hAnsi="宋体" w:cs="宋体" w:eastAsia="宋体" w:hint="default"/>
                <w:sz w:val="18"/>
                <w:szCs w:val="18"/>
              </w:rPr>
            </w:pPr>
            <w:r>
              <w:rPr>
                <w:rFonts w:ascii="宋体" w:hAnsi="宋体" w:cs="宋体" w:eastAsia="宋体" w:hint="default"/>
                <w:sz w:val="18"/>
                <w:szCs w:val="18"/>
              </w:rPr>
              <w:t>福建省天海招标有 限公司</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投标保证金</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3,250,000.00</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4.97%</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162,500.00</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中山市财政局</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宋体" w:hAnsi="宋体" w:cs="宋体" w:eastAsia="宋体" w:hint="default"/>
                <w:sz w:val="18"/>
                <w:szCs w:val="18"/>
              </w:rPr>
              <w:t>质量保证金</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3,000,000.00</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z w:val="18"/>
              </w:rPr>
              <w:t>4.58%</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1,500,000.00</w:t>
            </w: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30"/>
              <w:jc w:val="left"/>
              <w:rPr>
                <w:rFonts w:ascii="宋体" w:hAnsi="宋体" w:cs="宋体" w:eastAsia="宋体" w:hint="default"/>
                <w:sz w:val="18"/>
                <w:szCs w:val="18"/>
              </w:rPr>
            </w:pPr>
            <w:r>
              <w:rPr>
                <w:rFonts w:ascii="宋体" w:hAnsi="宋体" w:cs="宋体" w:eastAsia="宋体" w:hint="default"/>
                <w:sz w:val="18"/>
                <w:szCs w:val="18"/>
              </w:rPr>
              <w:t>北京好望角视真科 技有限公司</w:t>
            </w:r>
          </w:p>
        </w:tc>
        <w:tc>
          <w:tcPr>
            <w:tcW w:w="15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投资保证金</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3,000,000.00</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4.58%</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900,000.00</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17,901,427.44</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 w:right="0"/>
              <w:jc w:val="center"/>
              <w:rPr>
                <w:rFonts w:ascii="Times New Roman" w:hAnsi="Times New Roman" w:cs="Times New Roman" w:eastAsia="Times New Roman" w:hint="default"/>
                <w:sz w:val="18"/>
                <w:szCs w:val="18"/>
              </w:rPr>
            </w:pPr>
            <w:r>
              <w:rPr>
                <w:rFonts w:ascii="Times New Roman"/>
                <w:sz w:val="18"/>
              </w:rPr>
              <w:t>--</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27.35%</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4,113,571.37</w:t>
            </w:r>
          </w:p>
        </w:tc>
      </w:tr>
    </w:tbl>
    <w:p>
      <w:pPr>
        <w:pStyle w:val="BodyText"/>
        <w:spacing w:line="240" w:lineRule="auto" w:before="51"/>
        <w:ind w:right="0"/>
        <w:jc w:val="left"/>
      </w:pPr>
      <w:r>
        <w:rPr>
          <w:rFonts w:ascii="Times New Roman" w:hAnsi="Times New Roman" w:cs="Times New Roman" w:eastAsia="Times New Roman" w:hint="default"/>
        </w:rPr>
        <w:t>6)</w:t>
      </w:r>
      <w:r>
        <w:rPr/>
        <w:t>涉及政府补助的应收款项</w:t>
      </w:r>
    </w:p>
    <w:p>
      <w:pPr>
        <w:pStyle w:val="BodyText"/>
        <w:spacing w:line="240" w:lineRule="auto" w:before="103"/>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025"/>
        <w:gridCol w:w="1866"/>
        <w:gridCol w:w="1867"/>
        <w:gridCol w:w="1867"/>
        <w:gridCol w:w="1944"/>
      </w:tblGrid>
      <w:tr>
        <w:trPr>
          <w:trHeight w:val="714" w:hRule="exact"/>
        </w:trPr>
        <w:tc>
          <w:tcPr>
            <w:tcW w:w="20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64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08" w:right="0"/>
              <w:jc w:val="left"/>
              <w:rPr>
                <w:rFonts w:ascii="宋体" w:hAnsi="宋体" w:cs="宋体" w:eastAsia="宋体" w:hint="default"/>
                <w:sz w:val="18"/>
                <w:szCs w:val="18"/>
              </w:rPr>
            </w:pPr>
            <w:r>
              <w:rPr>
                <w:rFonts w:ascii="宋体" w:hAnsi="宋体" w:cs="宋体" w:eastAsia="宋体" w:hint="default"/>
                <w:sz w:val="18"/>
                <w:szCs w:val="18"/>
              </w:rPr>
              <w:t>政府补助项目名称</w:t>
            </w:r>
          </w:p>
        </w:tc>
        <w:tc>
          <w:tcPr>
            <w:tcW w:w="18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66"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8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567" w:right="0"/>
              <w:jc w:val="left"/>
              <w:rPr>
                <w:rFonts w:ascii="宋体" w:hAnsi="宋体" w:cs="宋体" w:eastAsia="宋体" w:hint="default"/>
                <w:sz w:val="18"/>
                <w:szCs w:val="18"/>
              </w:rPr>
            </w:pPr>
            <w:r>
              <w:rPr>
                <w:rFonts w:ascii="宋体" w:hAnsi="宋体" w:cs="宋体" w:eastAsia="宋体" w:hint="default"/>
                <w:sz w:val="18"/>
                <w:szCs w:val="18"/>
              </w:rPr>
              <w:t>期末账龄</w:t>
            </w:r>
          </w:p>
        </w:tc>
        <w:tc>
          <w:tcPr>
            <w:tcW w:w="19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697" w:right="100" w:hanging="593"/>
              <w:jc w:val="left"/>
              <w:rPr>
                <w:rFonts w:ascii="宋体" w:hAnsi="宋体" w:cs="宋体" w:eastAsia="宋体" w:hint="default"/>
                <w:sz w:val="18"/>
                <w:szCs w:val="18"/>
              </w:rPr>
            </w:pPr>
            <w:r>
              <w:rPr>
                <w:rFonts w:ascii="宋体" w:hAnsi="宋体" w:cs="宋体" w:eastAsia="宋体" w:hint="default"/>
                <w:spacing w:val="-8"/>
                <w:sz w:val="18"/>
                <w:szCs w:val="18"/>
              </w:rPr>
              <w:t>预计收取的时间、金额</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及依据</w:t>
            </w:r>
          </w:p>
        </w:tc>
      </w:tr>
    </w:tbl>
    <w:p>
      <w:pPr>
        <w:pStyle w:val="BodyText"/>
        <w:spacing w:line="240" w:lineRule="auto" w:before="52"/>
        <w:ind w:right="0"/>
        <w:jc w:val="left"/>
      </w:pPr>
      <w:r>
        <w:rPr>
          <w:rFonts w:ascii="Times New Roman" w:hAnsi="Times New Roman" w:cs="Times New Roman" w:eastAsia="Times New Roman" w:hint="default"/>
        </w:rPr>
        <w:t>7)</w:t>
      </w:r>
      <w:r>
        <w:rPr/>
        <w:t>因金融资产转移而终止确认的其他应收款</w:t>
      </w:r>
    </w:p>
    <w:p>
      <w:pPr>
        <w:pStyle w:val="BodyText"/>
        <w:spacing w:line="340" w:lineRule="auto" w:before="101"/>
        <w:ind w:right="6644"/>
        <w:jc w:val="left"/>
      </w:pPr>
      <w:r>
        <w:rPr>
          <w:rFonts w:ascii="Times New Roman" w:hAnsi="Times New Roman" w:cs="Times New Roman" w:eastAsia="Times New Roman" w:hint="default"/>
        </w:rPr>
        <w:t>8)</w:t>
      </w:r>
      <w:r>
        <w:rPr/>
        <w:t>转移其他应收款且继续涉入形成的资产、负债金额 其他说明：</w:t>
      </w:r>
    </w:p>
    <w:p>
      <w:pPr>
        <w:spacing w:line="240" w:lineRule="auto" w:before="3"/>
        <w:rPr>
          <w:rFonts w:ascii="宋体" w:hAnsi="宋体" w:cs="宋体" w:eastAsia="宋体" w:hint="default"/>
          <w:sz w:val="21"/>
          <w:szCs w:val="21"/>
        </w:rPr>
      </w:pPr>
    </w:p>
    <w:p>
      <w:pPr>
        <w:pStyle w:val="Heading3"/>
        <w:spacing w:line="240" w:lineRule="auto"/>
        <w:ind w:right="0"/>
        <w:jc w:val="left"/>
        <w:rPr>
          <w:b w:val="0"/>
          <w:bCs w:val="0"/>
        </w:rPr>
      </w:pPr>
      <w:bookmarkStart w:name="3、长期股权投资" w:id="446"/>
      <w:bookmarkEnd w:id="446"/>
      <w:r>
        <w:rPr>
          <w:b w:val="0"/>
          <w:bCs w:val="0"/>
        </w:rPr>
      </w:r>
      <w:r>
        <w:rPr>
          <w:rFonts w:ascii="Times New Roman" w:hAnsi="Times New Roman" w:cs="Times New Roman" w:eastAsia="Times New Roman" w:hint="default"/>
        </w:rPr>
        <w:t>3</w:t>
      </w:r>
      <w:r>
        <w:rPr/>
        <w:t>、长期股权投资</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7"/>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2"/>
              <w:jc w:val="center"/>
              <w:rPr>
                <w:rFonts w:ascii="宋体" w:hAnsi="宋体" w:cs="宋体" w:eastAsia="宋体" w:hint="default"/>
                <w:sz w:val="18"/>
                <w:szCs w:val="18"/>
              </w:rPr>
            </w:pPr>
            <w:r>
              <w:rPr>
                <w:rFonts w:ascii="宋体" w:hAnsi="宋体" w:cs="宋体" w:eastAsia="宋体" w:hint="default"/>
                <w:sz w:val="18"/>
                <w:szCs w:val="18"/>
              </w:rPr>
              <w:t>账面价值</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1,539,700,054.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1,539,700,054.</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1,453,045,883.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93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1,453,045,883.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93</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74"/>
              <w:jc w:val="left"/>
              <w:rPr>
                <w:rFonts w:ascii="宋体" w:hAnsi="宋体" w:cs="宋体" w:eastAsia="宋体" w:hint="default"/>
                <w:sz w:val="18"/>
                <w:szCs w:val="18"/>
              </w:rPr>
            </w:pPr>
            <w:r>
              <w:rPr>
                <w:rFonts w:ascii="宋体" w:hAnsi="宋体" w:cs="宋体" w:eastAsia="宋体" w:hint="default"/>
                <w:sz w:val="18"/>
                <w:szCs w:val="18"/>
              </w:rPr>
              <w:t>对联营、合营 企业投资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7" w:right="0"/>
              <w:jc w:val="center"/>
              <w:rPr>
                <w:rFonts w:ascii="Times New Roman" w:hAnsi="Times New Roman" w:cs="Times New Roman" w:eastAsia="Times New Roman" w:hint="default"/>
                <w:sz w:val="18"/>
                <w:szCs w:val="18"/>
              </w:rPr>
            </w:pPr>
            <w:r>
              <w:rPr>
                <w:rFonts w:ascii="Times New Roman"/>
                <w:sz w:val="18"/>
              </w:rPr>
              <w:t>174,191,056.66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8" w:right="0"/>
              <w:jc w:val="center"/>
              <w:rPr>
                <w:rFonts w:ascii="Times New Roman" w:hAnsi="Times New Roman" w:cs="Times New Roman" w:eastAsia="Times New Roman" w:hint="default"/>
                <w:sz w:val="18"/>
                <w:szCs w:val="18"/>
              </w:rPr>
            </w:pPr>
            <w:r>
              <w:rPr>
                <w:rFonts w:ascii="Times New Roman"/>
                <w:sz w:val="18"/>
              </w:rPr>
              <w:t>174,191,056.66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16" w:right="0"/>
              <w:jc w:val="center"/>
              <w:rPr>
                <w:rFonts w:ascii="Times New Roman" w:hAnsi="Times New Roman" w:cs="Times New Roman" w:eastAsia="Times New Roman" w:hint="default"/>
                <w:sz w:val="18"/>
                <w:szCs w:val="18"/>
              </w:rPr>
            </w:pPr>
            <w:r>
              <w:rPr>
                <w:rFonts w:ascii="Times New Roman"/>
                <w:sz w:val="18"/>
              </w:rPr>
              <w:t>42,169,001.69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15" w:right="0"/>
              <w:jc w:val="center"/>
              <w:rPr>
                <w:rFonts w:ascii="Times New Roman" w:hAnsi="Times New Roman" w:cs="Times New Roman" w:eastAsia="Times New Roman" w:hint="default"/>
                <w:sz w:val="18"/>
                <w:szCs w:val="18"/>
              </w:rPr>
            </w:pPr>
            <w:r>
              <w:rPr>
                <w:rFonts w:ascii="Times New Roman"/>
                <w:sz w:val="18"/>
              </w:rPr>
              <w:t>42,169,001.69</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2"/>
                <w:sz w:val="18"/>
              </w:rPr>
              <w:t>1,713,891,111.</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8"/>
              <w:jc w:val="right"/>
              <w:rPr>
                <w:rFonts w:ascii="Times New Roman" w:hAnsi="Times New Roman" w:cs="Times New Roman" w:eastAsia="Times New Roman" w:hint="default"/>
                <w:sz w:val="18"/>
                <w:szCs w:val="18"/>
              </w:rPr>
            </w:pPr>
            <w:r>
              <w:rPr>
                <w:rFonts w:ascii="Times New Roman"/>
                <w:spacing w:val="-2"/>
                <w:sz w:val="18"/>
              </w:rPr>
              <w:t>1,713,891,111.</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02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1,495,214,885.</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1,495,214,885.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62</w:t>
            </w:r>
          </w:p>
        </w:tc>
      </w:tr>
    </w:tbl>
    <w:p>
      <w:pPr>
        <w:spacing w:line="240" w:lineRule="auto" w:before="3"/>
        <w:rPr>
          <w:rFonts w:ascii="宋体" w:hAnsi="宋体" w:cs="宋体" w:eastAsia="宋体" w:hint="default"/>
          <w:sz w:val="19"/>
          <w:szCs w:val="19"/>
        </w:rPr>
      </w:pPr>
    </w:p>
    <w:p>
      <w:pPr>
        <w:pStyle w:val="Heading3"/>
        <w:spacing w:line="240" w:lineRule="auto" w:before="34"/>
        <w:ind w:right="0"/>
        <w:jc w:val="left"/>
        <w:rPr>
          <w:b w:val="0"/>
          <w:bCs w:val="0"/>
        </w:rPr>
      </w:pPr>
      <w:bookmarkStart w:name="（1）对子公司投资" w:id="447"/>
      <w:bookmarkEnd w:id="447"/>
      <w:r>
        <w:rPr>
          <w:b w:val="0"/>
          <w:bCs w:val="0"/>
        </w:rPr>
      </w:r>
      <w:r>
        <w:rPr/>
        <w:t>（</w:t>
      </w:r>
      <w:r>
        <w:rPr>
          <w:rFonts w:ascii="Times New Roman" w:hAnsi="Times New Roman" w:cs="Times New Roman" w:eastAsia="Times New Roman" w:hint="default"/>
        </w:rPr>
        <w:t>1</w:t>
      </w:r>
      <w:r>
        <w:rPr/>
        <w:t>）对子公司投资</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447"/>
        <w:gridCol w:w="1336"/>
        <w:gridCol w:w="1335"/>
        <w:gridCol w:w="1335"/>
        <w:gridCol w:w="1335"/>
        <w:gridCol w:w="1389"/>
        <w:gridCol w:w="1389"/>
      </w:tblGrid>
      <w:tr>
        <w:trPr>
          <w:trHeight w:val="714" w:hRule="exact"/>
        </w:trPr>
        <w:tc>
          <w:tcPr>
            <w:tcW w:w="14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67"/>
              <w:jc w:val="right"/>
              <w:rPr>
                <w:rFonts w:ascii="宋体" w:hAnsi="宋体" w:cs="宋体" w:eastAsia="宋体" w:hint="default"/>
                <w:sz w:val="18"/>
                <w:szCs w:val="18"/>
              </w:rPr>
            </w:pPr>
            <w:r>
              <w:rPr>
                <w:rFonts w:ascii="宋体" w:hAnsi="宋体" w:cs="宋体" w:eastAsia="宋体" w:hint="default"/>
                <w:sz w:val="18"/>
                <w:szCs w:val="18"/>
              </w:rPr>
              <w:t>被投资单位</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09" w:right="148" w:hanging="360"/>
              <w:jc w:val="left"/>
              <w:rPr>
                <w:rFonts w:ascii="宋体" w:hAnsi="宋体" w:cs="宋体" w:eastAsia="宋体" w:hint="default"/>
                <w:sz w:val="18"/>
                <w:szCs w:val="18"/>
              </w:rPr>
            </w:pPr>
            <w:r>
              <w:rPr>
                <w:rFonts w:ascii="宋体" w:hAnsi="宋体" w:cs="宋体" w:eastAsia="宋体" w:hint="default"/>
                <w:sz w:val="18"/>
                <w:szCs w:val="18"/>
              </w:rPr>
              <w:t>本期计提减值 准备</w:t>
            </w:r>
          </w:p>
        </w:tc>
        <w:tc>
          <w:tcPr>
            <w:tcW w:w="1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09" w:right="147" w:hanging="360"/>
              <w:jc w:val="left"/>
              <w:rPr>
                <w:rFonts w:ascii="宋体" w:hAnsi="宋体" w:cs="宋体" w:eastAsia="宋体" w:hint="default"/>
                <w:sz w:val="18"/>
                <w:szCs w:val="18"/>
              </w:rPr>
            </w:pPr>
            <w:r>
              <w:rPr>
                <w:rFonts w:ascii="宋体" w:hAnsi="宋体" w:cs="宋体" w:eastAsia="宋体" w:hint="default"/>
                <w:sz w:val="18"/>
                <w:szCs w:val="18"/>
              </w:rPr>
              <w:t>减值准备期末 余额</w:t>
            </w:r>
          </w:p>
        </w:tc>
      </w:tr>
      <w:tr>
        <w:trPr>
          <w:trHeight w:val="400"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253"/>
              <w:jc w:val="right"/>
              <w:rPr>
                <w:rFonts w:ascii="宋体" w:hAnsi="宋体" w:cs="宋体" w:eastAsia="宋体" w:hint="default"/>
                <w:sz w:val="18"/>
                <w:szCs w:val="18"/>
              </w:rPr>
            </w:pPr>
            <w:r>
              <w:rPr>
                <w:rFonts w:ascii="宋体" w:hAnsi="宋体" w:cs="宋体" w:eastAsia="宋体" w:hint="default"/>
                <w:sz w:val="18"/>
                <w:szCs w:val="18"/>
              </w:rPr>
              <w:t>杭州联旗科技</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77" w:right="0"/>
              <w:jc w:val="left"/>
              <w:rPr>
                <w:rFonts w:ascii="Times New Roman" w:hAnsi="Times New Roman" w:cs="Times New Roman" w:eastAsia="Times New Roman" w:hint="default"/>
                <w:sz w:val="18"/>
                <w:szCs w:val="18"/>
              </w:rPr>
            </w:pPr>
            <w:r>
              <w:rPr>
                <w:rFonts w:ascii="Times New Roman"/>
                <w:sz w:val="18"/>
              </w:rPr>
              <w:t>8,951,051.13</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76" w:right="0"/>
              <w:jc w:val="left"/>
              <w:rPr>
                <w:rFonts w:ascii="Times New Roman" w:hAnsi="Times New Roman" w:cs="Times New Roman" w:eastAsia="Times New Roman" w:hint="default"/>
                <w:sz w:val="18"/>
                <w:szCs w:val="18"/>
              </w:rPr>
            </w:pPr>
            <w:r>
              <w:rPr>
                <w:rFonts w:ascii="Times New Roman"/>
                <w:sz w:val="18"/>
              </w:rPr>
              <w:t>8,951,051.13</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50"/>
          <w:pgSz w:w="11910" w:h="16840"/>
          <w:pgMar w:footer="1016" w:header="907" w:top="1100" w:bottom="1200" w:left="1020" w:right="0"/>
          <w:pgNumType w:start="19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447"/>
        <w:gridCol w:w="1336"/>
        <w:gridCol w:w="1335"/>
        <w:gridCol w:w="1335"/>
        <w:gridCol w:w="1335"/>
        <w:gridCol w:w="1389"/>
        <w:gridCol w:w="1389"/>
      </w:tblGrid>
      <w:tr>
        <w:trPr>
          <w:trHeight w:val="362"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53"/>
              <w:jc w:val="both"/>
              <w:rPr>
                <w:rFonts w:ascii="宋体" w:hAnsi="宋体" w:cs="宋体" w:eastAsia="宋体" w:hint="default"/>
                <w:sz w:val="18"/>
                <w:szCs w:val="18"/>
              </w:rPr>
            </w:pPr>
            <w:r>
              <w:rPr>
                <w:rFonts w:ascii="宋体" w:hAnsi="宋体" w:cs="宋体" w:eastAsia="宋体" w:hint="default"/>
                <w:sz w:val="18"/>
                <w:szCs w:val="18"/>
              </w:rPr>
              <w:t>苏州创业亿康 信息科技有限 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6,000,000.00</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53"/>
              <w:jc w:val="left"/>
              <w:rPr>
                <w:rFonts w:ascii="宋体" w:hAnsi="宋体" w:cs="宋体" w:eastAsia="宋体" w:hint="default"/>
                <w:sz w:val="18"/>
                <w:szCs w:val="18"/>
              </w:rPr>
            </w:pPr>
            <w:r>
              <w:rPr>
                <w:rFonts w:ascii="宋体" w:hAnsi="宋体" w:cs="宋体" w:eastAsia="宋体" w:hint="default"/>
                <w:sz w:val="18"/>
                <w:szCs w:val="18"/>
              </w:rPr>
              <w:t>上海创航软件 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36,000,000.00</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36,000,000.00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53"/>
              <w:jc w:val="left"/>
              <w:rPr>
                <w:rFonts w:ascii="宋体" w:hAnsi="宋体" w:cs="宋体" w:eastAsia="宋体" w:hint="default"/>
                <w:sz w:val="18"/>
                <w:szCs w:val="18"/>
              </w:rPr>
            </w:pPr>
            <w:r>
              <w:rPr>
                <w:rFonts w:ascii="宋体" w:hAnsi="宋体" w:cs="宋体" w:eastAsia="宋体" w:hint="default"/>
                <w:sz w:val="18"/>
                <w:szCs w:val="18"/>
              </w:rPr>
              <w:t>创业软件南京 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15,000,000.00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84" w:right="0"/>
              <w:jc w:val="center"/>
              <w:rPr>
                <w:rFonts w:ascii="Times New Roman" w:hAnsi="Times New Roman" w:cs="Times New Roman" w:eastAsia="Times New Roman" w:hint="default"/>
                <w:sz w:val="18"/>
                <w:szCs w:val="18"/>
              </w:rPr>
            </w:pPr>
            <w:r>
              <w:rPr>
                <w:rFonts w:ascii="Times New Roman"/>
                <w:sz w:val="18"/>
              </w:rPr>
              <w:t>14,632,221.29</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29,632,221.29</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53"/>
              <w:jc w:val="left"/>
              <w:rPr>
                <w:rFonts w:ascii="宋体" w:hAnsi="宋体" w:cs="宋体" w:eastAsia="宋体" w:hint="default"/>
                <w:sz w:val="18"/>
                <w:szCs w:val="18"/>
              </w:rPr>
            </w:pPr>
            <w:r>
              <w:rPr>
                <w:rFonts w:ascii="宋体" w:hAnsi="宋体" w:cs="宋体" w:eastAsia="宋体" w:hint="default"/>
                <w:sz w:val="18"/>
                <w:szCs w:val="18"/>
              </w:rPr>
              <w:t>新疆创什信息 科技有限公司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4,250,000.00</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4,250,000.00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53"/>
              <w:jc w:val="left"/>
              <w:rPr>
                <w:rFonts w:ascii="宋体" w:hAnsi="宋体" w:cs="宋体" w:eastAsia="宋体" w:hint="default"/>
                <w:sz w:val="18"/>
                <w:szCs w:val="18"/>
              </w:rPr>
            </w:pPr>
            <w:r>
              <w:rPr>
                <w:rFonts w:ascii="宋体" w:hAnsi="宋体" w:cs="宋体" w:eastAsia="宋体" w:hint="default"/>
                <w:sz w:val="18"/>
                <w:szCs w:val="18"/>
              </w:rPr>
              <w:t>重庆创易康软 件有限公司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75" w:right="0"/>
              <w:jc w:val="center"/>
              <w:rPr>
                <w:rFonts w:ascii="Times New Roman" w:hAnsi="Times New Roman" w:cs="Times New Roman" w:eastAsia="Times New Roman" w:hint="default"/>
                <w:sz w:val="18"/>
                <w:szCs w:val="18"/>
              </w:rPr>
            </w:pPr>
            <w:r>
              <w:rPr>
                <w:rFonts w:ascii="Times New Roman"/>
                <w:sz w:val="18"/>
              </w:rPr>
              <w:t>5,361,949.14</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15,361,949.14</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53"/>
              <w:jc w:val="left"/>
              <w:rPr>
                <w:rFonts w:ascii="宋体" w:hAnsi="宋体" w:cs="宋体" w:eastAsia="宋体" w:hint="default"/>
                <w:sz w:val="18"/>
                <w:szCs w:val="18"/>
              </w:rPr>
            </w:pPr>
            <w:r>
              <w:rPr>
                <w:rFonts w:ascii="宋体" w:hAnsi="宋体" w:cs="宋体" w:eastAsia="宋体" w:hint="default"/>
                <w:sz w:val="18"/>
                <w:szCs w:val="18"/>
              </w:rPr>
              <w:t>天津创津科技 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4,025,000.00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75" w:right="0"/>
              <w:jc w:val="center"/>
              <w:rPr>
                <w:rFonts w:ascii="Times New Roman" w:hAnsi="Times New Roman" w:cs="Times New Roman" w:eastAsia="Times New Roman" w:hint="default"/>
                <w:sz w:val="18"/>
                <w:szCs w:val="18"/>
              </w:rPr>
            </w:pPr>
            <w:r>
              <w:rPr>
                <w:rFonts w:ascii="Times New Roman"/>
                <w:sz w:val="18"/>
              </w:rPr>
              <w:t>3,000,000.00</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7,025,000.00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53"/>
              <w:jc w:val="left"/>
              <w:rPr>
                <w:rFonts w:ascii="宋体" w:hAnsi="宋体" w:cs="宋体" w:eastAsia="宋体" w:hint="default"/>
                <w:sz w:val="18"/>
                <w:szCs w:val="18"/>
              </w:rPr>
            </w:pPr>
            <w:r>
              <w:rPr>
                <w:rFonts w:ascii="宋体" w:hAnsi="宋体" w:cs="宋体" w:eastAsia="宋体" w:hint="default"/>
                <w:sz w:val="18"/>
                <w:szCs w:val="18"/>
              </w:rPr>
              <w:t>杭州惟勤科技 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2,540,900.00</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2,540,900.00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53"/>
              <w:jc w:val="left"/>
              <w:rPr>
                <w:rFonts w:ascii="宋体" w:hAnsi="宋体" w:cs="宋体" w:eastAsia="宋体" w:hint="default"/>
                <w:sz w:val="18"/>
                <w:szCs w:val="18"/>
              </w:rPr>
            </w:pPr>
            <w:r>
              <w:rPr>
                <w:rFonts w:ascii="宋体" w:hAnsi="宋体" w:cs="宋体" w:eastAsia="宋体" w:hint="default"/>
                <w:sz w:val="18"/>
                <w:szCs w:val="18"/>
              </w:rPr>
              <w:t>广东中拓信息 技术有限公司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39,760,000.00</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39,760,000.00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53"/>
              <w:jc w:val="left"/>
              <w:rPr>
                <w:rFonts w:ascii="宋体" w:hAnsi="宋体" w:cs="宋体" w:eastAsia="宋体" w:hint="default"/>
                <w:sz w:val="18"/>
                <w:szCs w:val="18"/>
              </w:rPr>
            </w:pPr>
            <w:r>
              <w:rPr>
                <w:rFonts w:ascii="宋体" w:hAnsi="宋体" w:cs="宋体" w:eastAsia="宋体" w:hint="default"/>
                <w:sz w:val="18"/>
                <w:szCs w:val="18"/>
              </w:rPr>
              <w:t>中山市蓝天电 脑有限公司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240,000.00</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240,000.00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53"/>
              <w:jc w:val="left"/>
              <w:rPr>
                <w:rFonts w:ascii="宋体" w:hAnsi="宋体" w:cs="宋体" w:eastAsia="宋体" w:hint="default"/>
                <w:sz w:val="18"/>
                <w:szCs w:val="18"/>
              </w:rPr>
            </w:pPr>
            <w:r>
              <w:rPr>
                <w:rFonts w:ascii="宋体" w:hAnsi="宋体" w:cs="宋体" w:eastAsia="宋体" w:hint="default"/>
                <w:sz w:val="18"/>
                <w:szCs w:val="18"/>
              </w:rPr>
              <w:t>中山市杭创科 技有限公司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1,650,000.00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75" w:right="0"/>
              <w:jc w:val="center"/>
              <w:rPr>
                <w:rFonts w:ascii="Times New Roman" w:hAnsi="Times New Roman" w:cs="Times New Roman" w:eastAsia="Times New Roman" w:hint="default"/>
                <w:sz w:val="18"/>
                <w:szCs w:val="18"/>
              </w:rPr>
            </w:pPr>
            <w:r>
              <w:rPr>
                <w:rFonts w:ascii="Times New Roman"/>
                <w:sz w:val="18"/>
              </w:rPr>
              <w:t>3,000,000.00</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4,650,000.00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53"/>
              <w:jc w:val="both"/>
              <w:rPr>
                <w:rFonts w:ascii="宋体" w:hAnsi="宋体" w:cs="宋体" w:eastAsia="宋体" w:hint="default"/>
                <w:sz w:val="18"/>
                <w:szCs w:val="18"/>
              </w:rPr>
            </w:pPr>
            <w:r>
              <w:rPr>
                <w:rFonts w:ascii="宋体" w:hAnsi="宋体" w:cs="宋体" w:eastAsia="宋体" w:hint="default"/>
                <w:sz w:val="18"/>
                <w:szCs w:val="18"/>
              </w:rPr>
              <w:t>杭州慧康物联 网科技有限公 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1,238,000,000.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00</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1,238,000,000.</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53"/>
              <w:jc w:val="left"/>
              <w:rPr>
                <w:rFonts w:ascii="宋体" w:hAnsi="宋体" w:cs="宋体" w:eastAsia="宋体" w:hint="default"/>
                <w:sz w:val="18"/>
                <w:szCs w:val="18"/>
              </w:rPr>
            </w:pPr>
            <w:r>
              <w:rPr>
                <w:rFonts w:ascii="宋体" w:hAnsi="宋体" w:cs="宋体" w:eastAsia="宋体" w:hint="default"/>
                <w:sz w:val="18"/>
                <w:szCs w:val="18"/>
              </w:rPr>
              <w:t>杭州卓腾信息 技术有限公司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14,829,104.80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75" w:right="0"/>
              <w:jc w:val="center"/>
              <w:rPr>
                <w:rFonts w:ascii="Times New Roman" w:hAnsi="Times New Roman" w:cs="Times New Roman" w:eastAsia="Times New Roman" w:hint="default"/>
                <w:sz w:val="18"/>
                <w:szCs w:val="18"/>
              </w:rPr>
            </w:pPr>
            <w:r>
              <w:rPr>
                <w:rFonts w:ascii="Times New Roman"/>
                <w:sz w:val="18"/>
              </w:rPr>
              <w:t>4,500,000.00</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19,329,104.80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53"/>
              <w:jc w:val="left"/>
              <w:rPr>
                <w:rFonts w:ascii="宋体" w:hAnsi="宋体" w:cs="宋体" w:eastAsia="宋体" w:hint="default"/>
                <w:sz w:val="18"/>
                <w:szCs w:val="18"/>
              </w:rPr>
            </w:pPr>
            <w:r>
              <w:rPr>
                <w:rFonts w:ascii="宋体" w:hAnsi="宋体" w:cs="宋体" w:eastAsia="宋体" w:hint="default"/>
                <w:sz w:val="18"/>
                <w:szCs w:val="18"/>
              </w:rPr>
              <w:t>杭州合美物业 管理有限公司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1,000,000.00</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53"/>
              <w:jc w:val="left"/>
              <w:rPr>
                <w:rFonts w:ascii="宋体" w:hAnsi="宋体" w:cs="宋体" w:eastAsia="宋体" w:hint="default"/>
                <w:sz w:val="18"/>
                <w:szCs w:val="18"/>
              </w:rPr>
            </w:pPr>
            <w:r>
              <w:rPr>
                <w:rFonts w:ascii="宋体" w:hAnsi="宋体" w:cs="宋体" w:eastAsia="宋体" w:hint="default"/>
                <w:sz w:val="18"/>
                <w:szCs w:val="18"/>
              </w:rPr>
              <w:t>杭州梅清数码 科技有限公司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30,000,000.00</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30,000,000.00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53"/>
              <w:jc w:val="left"/>
              <w:rPr>
                <w:rFonts w:ascii="宋体" w:hAnsi="宋体" w:cs="宋体" w:eastAsia="宋体" w:hint="default"/>
                <w:sz w:val="18"/>
                <w:szCs w:val="18"/>
              </w:rPr>
            </w:pPr>
            <w:r>
              <w:rPr>
                <w:rFonts w:ascii="宋体" w:hAnsi="宋体" w:cs="宋体" w:eastAsia="宋体" w:hint="default"/>
                <w:sz w:val="18"/>
                <w:szCs w:val="18"/>
              </w:rPr>
              <w:t>杭州美诺泰科 科技有限公司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40,799,828.00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84" w:right="0"/>
              <w:jc w:val="center"/>
              <w:rPr>
                <w:rFonts w:ascii="Times New Roman" w:hAnsi="Times New Roman" w:cs="Times New Roman" w:eastAsia="Times New Roman" w:hint="default"/>
                <w:sz w:val="18"/>
                <w:szCs w:val="18"/>
              </w:rPr>
            </w:pPr>
            <w:r>
              <w:rPr>
                <w:rFonts w:ascii="Times New Roman"/>
                <w:sz w:val="18"/>
              </w:rPr>
              <w:t>54,600,000.00</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95,399,828.00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253"/>
              <w:jc w:val="both"/>
              <w:rPr>
                <w:rFonts w:ascii="Times New Roman" w:hAnsi="Times New Roman" w:cs="Times New Roman" w:eastAsia="Times New Roman" w:hint="default"/>
                <w:sz w:val="18"/>
                <w:szCs w:val="18"/>
              </w:rPr>
            </w:pPr>
            <w:r>
              <w:rPr>
                <w:rFonts w:ascii="宋体" w:hAnsi="宋体" w:cs="宋体" w:eastAsia="宋体" w:hint="default"/>
                <w:sz w:val="18"/>
                <w:szCs w:val="18"/>
              </w:rPr>
              <w:t>宁海杭创网络 科技有限公司 </w:t>
            </w:r>
            <w:r>
              <w:rPr>
                <w:rFonts w:ascii="Times New Roman" w:hAnsi="Times New Roman" w:cs="Times New Roman" w:eastAsia="Times New Roman" w:hint="default"/>
                <w:sz w:val="18"/>
                <w:szCs w:val="18"/>
              </w:rPr>
              <w:t>[</w:t>
            </w:r>
            <w:r>
              <w:rPr>
                <w:rFonts w:ascii="宋体" w:hAnsi="宋体" w:cs="宋体" w:eastAsia="宋体" w:hint="default"/>
                <w:sz w:val="18"/>
                <w:szCs w:val="18"/>
              </w:rPr>
              <w:t>注</w:t>
            </w:r>
            <w:r>
              <w:rPr>
                <w:rFonts w:ascii="Times New Roman" w:hAnsi="Times New Roman" w:cs="Times New Roman" w:eastAsia="Times New Roman" w:hint="default"/>
                <w:sz w:val="18"/>
                <w:szCs w:val="18"/>
              </w:rPr>
              <w:t>]</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r>
      <w:tr>
        <w:trPr>
          <w:trHeight w:val="1024"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0"/>
              <w:ind w:left="101" w:right="253"/>
              <w:jc w:val="both"/>
              <w:rPr>
                <w:rFonts w:ascii="宋体" w:hAnsi="宋体" w:cs="宋体" w:eastAsia="宋体" w:hint="default"/>
                <w:sz w:val="18"/>
                <w:szCs w:val="18"/>
              </w:rPr>
            </w:pPr>
            <w:r>
              <w:rPr>
                <w:rFonts w:ascii="宋体" w:hAnsi="宋体" w:cs="宋体" w:eastAsia="宋体" w:hint="default"/>
                <w:sz w:val="18"/>
                <w:szCs w:val="18"/>
              </w:rPr>
              <w:t>浙江医康数据 科技研究院有 限公司</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175" w:right="0"/>
              <w:jc w:val="center"/>
              <w:rPr>
                <w:rFonts w:ascii="Times New Roman" w:hAnsi="Times New Roman" w:cs="Times New Roman" w:eastAsia="Times New Roman" w:hint="default"/>
                <w:sz w:val="18"/>
                <w:szCs w:val="18"/>
              </w:rPr>
            </w:pPr>
            <w:r>
              <w:rPr>
                <w:rFonts w:ascii="Times New Roman"/>
                <w:sz w:val="18"/>
              </w:rPr>
              <w:t>1,560,000.00</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1,560,000.00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11"/>
        <w:rPr>
          <w:rFonts w:ascii="Times New Roman" w:hAnsi="Times New Roman" w:cs="Times New Roman" w:eastAsia="Times New Roman" w:hint="default"/>
          <w:sz w:val="28"/>
          <w:szCs w:val="28"/>
        </w:rPr>
      </w:pPr>
    </w:p>
    <w:tbl>
      <w:tblPr>
        <w:tblW w:w="0" w:type="auto"/>
        <w:jc w:val="left"/>
        <w:tblInd w:w="109" w:type="dxa"/>
        <w:tblLayout w:type="fixed"/>
        <w:tblCellMar>
          <w:top w:w="0" w:type="dxa"/>
          <w:left w:w="0" w:type="dxa"/>
          <w:bottom w:w="0" w:type="dxa"/>
          <w:right w:w="0" w:type="dxa"/>
        </w:tblCellMar>
        <w:tblLook w:val="01E0"/>
      </w:tblPr>
      <w:tblGrid>
        <w:gridCol w:w="1447"/>
        <w:gridCol w:w="1336"/>
        <w:gridCol w:w="1335"/>
        <w:gridCol w:w="1335"/>
        <w:gridCol w:w="1335"/>
        <w:gridCol w:w="1389"/>
        <w:gridCol w:w="1389"/>
      </w:tblGrid>
      <w:tr>
        <w:trPr>
          <w:trHeight w:val="714" w:hRule="exact"/>
        </w:trPr>
        <w:tc>
          <w:tcPr>
            <w:tcW w:w="14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1,453,045,883.</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93</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86" w:right="0"/>
              <w:jc w:val="left"/>
              <w:rPr>
                <w:rFonts w:ascii="Times New Roman" w:hAnsi="Times New Roman" w:cs="Times New Roman" w:eastAsia="Times New Roman" w:hint="default"/>
                <w:sz w:val="18"/>
                <w:szCs w:val="18"/>
              </w:rPr>
            </w:pPr>
            <w:r>
              <w:rPr>
                <w:rFonts w:ascii="Times New Roman"/>
                <w:sz w:val="18"/>
              </w:rPr>
              <w:t>86,654,170.43</w:t>
            </w: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1,539,700,054.</w:t>
            </w:r>
          </w:p>
          <w:p>
            <w:pPr>
              <w:pStyle w:val="TableParagraph"/>
              <w:spacing w:line="240" w:lineRule="auto" w:before="105"/>
              <w:ind w:right="99"/>
              <w:jc w:val="right"/>
              <w:rPr>
                <w:rFonts w:ascii="Times New Roman" w:hAnsi="Times New Roman" w:cs="Times New Roman" w:eastAsia="Times New Roman" w:hint="default"/>
                <w:sz w:val="18"/>
                <w:szCs w:val="18"/>
              </w:rPr>
            </w:pPr>
            <w:r>
              <w:rPr>
                <w:rFonts w:ascii="Times New Roman"/>
                <w:sz w:val="18"/>
              </w:rPr>
              <w:t>36</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1"/>
        <w:rPr>
          <w:rFonts w:ascii="Times New Roman" w:hAnsi="Times New Roman" w:cs="Times New Roman" w:eastAsia="Times New Roman" w:hint="default"/>
          <w:sz w:val="21"/>
          <w:szCs w:val="21"/>
        </w:rPr>
      </w:pPr>
    </w:p>
    <w:p>
      <w:pPr>
        <w:pStyle w:val="Heading3"/>
        <w:spacing w:line="240" w:lineRule="auto" w:before="34"/>
        <w:ind w:right="0"/>
        <w:jc w:val="left"/>
        <w:rPr>
          <w:b w:val="0"/>
          <w:bCs w:val="0"/>
        </w:rPr>
      </w:pPr>
      <w:bookmarkStart w:name="（2）对联营、合营企业投资" w:id="448"/>
      <w:bookmarkEnd w:id="448"/>
      <w:r>
        <w:rPr>
          <w:b w:val="0"/>
          <w:bCs w:val="0"/>
        </w:rPr>
      </w:r>
      <w:r>
        <w:rPr/>
        <w:t>（</w:t>
      </w:r>
      <w:r>
        <w:rPr>
          <w:rFonts w:ascii="Times New Roman" w:hAnsi="Times New Roman" w:cs="Times New Roman" w:eastAsia="Times New Roman" w:hint="default"/>
        </w:rPr>
        <w:t>2</w:t>
      </w:r>
      <w:r>
        <w:rPr/>
        <w:t>）对联营、合营企业投资</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796"/>
        <w:gridCol w:w="797"/>
        <w:gridCol w:w="797"/>
        <w:gridCol w:w="798"/>
        <w:gridCol w:w="798"/>
        <w:gridCol w:w="798"/>
        <w:gridCol w:w="798"/>
        <w:gridCol w:w="798"/>
        <w:gridCol w:w="798"/>
        <w:gridCol w:w="798"/>
        <w:gridCol w:w="798"/>
        <w:gridCol w:w="798"/>
      </w:tblGrid>
      <w:tr>
        <w:trPr>
          <w:trHeight w:val="402" w:hRule="exact"/>
        </w:trPr>
        <w:tc>
          <w:tcPr>
            <w:tcW w:w="796"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6383"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tcBorders>
              <w:top w:val="single" w:sz="4" w:space="0" w:color="000000"/>
              <w:left w:val="single" w:sz="4" w:space="0" w:color="000000"/>
              <w:bottom w:val="nil" w:sz="6" w:space="0" w:color="auto"/>
              <w:right w:val="single" w:sz="4" w:space="0" w:color="000000"/>
            </w:tcBorders>
            <w:shd w:val="clear" w:color="auto" w:fill="D2D2D2"/>
          </w:tcPr>
          <w:p>
            <w:pPr/>
          </w:p>
        </w:tc>
        <w:tc>
          <w:tcPr>
            <w:tcW w:w="79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338" w:hRule="exact"/>
        </w:trPr>
        <w:tc>
          <w:tcPr>
            <w:tcW w:w="79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303" w:right="120" w:hanging="180"/>
              <w:jc w:val="left"/>
              <w:rPr>
                <w:rFonts w:ascii="宋体" w:hAnsi="宋体" w:cs="宋体" w:eastAsia="宋体" w:hint="default"/>
                <w:sz w:val="18"/>
                <w:szCs w:val="18"/>
              </w:rPr>
            </w:pPr>
            <w:r>
              <w:rPr>
                <w:rFonts w:ascii="宋体" w:hAnsi="宋体" w:cs="宋体" w:eastAsia="宋体" w:hint="default"/>
                <w:sz w:val="18"/>
                <w:szCs w:val="18"/>
              </w:rPr>
              <w:t>投资单 位</w:t>
            </w: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302" w:right="123"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04" w:right="121" w:hanging="180"/>
              <w:jc w:val="left"/>
              <w:rPr>
                <w:rFonts w:ascii="宋体" w:hAnsi="宋体" w:cs="宋体" w:eastAsia="宋体" w:hint="default"/>
                <w:sz w:val="18"/>
                <w:szCs w:val="18"/>
              </w:rPr>
            </w:pPr>
            <w:r>
              <w:rPr>
                <w:rFonts w:ascii="宋体" w:hAnsi="宋体" w:cs="宋体" w:eastAsia="宋体" w:hint="default"/>
                <w:sz w:val="18"/>
                <w:szCs w:val="18"/>
              </w:rPr>
              <w:t>追加投 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03" w:right="122" w:hanging="180"/>
              <w:jc w:val="left"/>
              <w:rPr>
                <w:rFonts w:ascii="宋体" w:hAnsi="宋体" w:cs="宋体" w:eastAsia="宋体" w:hint="default"/>
                <w:sz w:val="18"/>
                <w:szCs w:val="18"/>
              </w:rPr>
            </w:pPr>
            <w:r>
              <w:rPr>
                <w:rFonts w:ascii="宋体" w:hAnsi="宋体" w:cs="宋体" w:eastAsia="宋体" w:hint="default"/>
                <w:sz w:val="18"/>
                <w:szCs w:val="18"/>
              </w:rPr>
              <w:t>减少投 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25" w:right="121"/>
              <w:jc w:val="both"/>
              <w:rPr>
                <w:rFonts w:ascii="宋体" w:hAnsi="宋体" w:cs="宋体" w:eastAsia="宋体" w:hint="default"/>
                <w:sz w:val="18"/>
                <w:szCs w:val="18"/>
              </w:rPr>
            </w:pPr>
            <w:r>
              <w:rPr>
                <w:rFonts w:ascii="宋体" w:hAnsi="宋体" w:cs="宋体" w:eastAsia="宋体" w:hint="default"/>
                <w:sz w:val="18"/>
                <w:szCs w:val="18"/>
              </w:rPr>
              <w:t>权益法 下确认 的投资 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23" w:right="122"/>
              <w:jc w:val="both"/>
              <w:rPr>
                <w:rFonts w:ascii="宋体" w:hAnsi="宋体" w:cs="宋体" w:eastAsia="宋体" w:hint="default"/>
                <w:sz w:val="18"/>
                <w:szCs w:val="18"/>
              </w:rPr>
            </w:pPr>
            <w:r>
              <w:rPr>
                <w:rFonts w:ascii="宋体" w:hAnsi="宋体" w:cs="宋体" w:eastAsia="宋体" w:hint="default"/>
                <w:sz w:val="18"/>
                <w:szCs w:val="18"/>
              </w:rPr>
              <w:t>其他综 合收益 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25" w:right="121"/>
              <w:jc w:val="left"/>
              <w:rPr>
                <w:rFonts w:ascii="宋体" w:hAnsi="宋体" w:cs="宋体" w:eastAsia="宋体" w:hint="default"/>
                <w:sz w:val="18"/>
                <w:szCs w:val="18"/>
              </w:rPr>
            </w:pPr>
            <w:r>
              <w:rPr>
                <w:rFonts w:ascii="宋体" w:hAnsi="宋体" w:cs="宋体" w:eastAsia="宋体" w:hint="default"/>
                <w:sz w:val="18"/>
                <w:szCs w:val="18"/>
              </w:rPr>
              <w:t>其他权 益变动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23" w:right="122"/>
              <w:jc w:val="both"/>
              <w:rPr>
                <w:rFonts w:ascii="宋体" w:hAnsi="宋体" w:cs="宋体" w:eastAsia="宋体" w:hint="default"/>
                <w:sz w:val="18"/>
                <w:szCs w:val="18"/>
              </w:rPr>
            </w:pPr>
            <w:r>
              <w:rPr>
                <w:rFonts w:ascii="宋体" w:hAnsi="宋体" w:cs="宋体" w:eastAsia="宋体" w:hint="default"/>
                <w:sz w:val="18"/>
                <w:szCs w:val="18"/>
              </w:rPr>
              <w:t>宣告发 放现金 股利或 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25" w:right="121"/>
              <w:jc w:val="left"/>
              <w:rPr>
                <w:rFonts w:ascii="宋体" w:hAnsi="宋体" w:cs="宋体" w:eastAsia="宋体" w:hint="default"/>
                <w:sz w:val="18"/>
                <w:szCs w:val="18"/>
              </w:rPr>
            </w:pPr>
            <w:r>
              <w:rPr>
                <w:rFonts w:ascii="宋体" w:hAnsi="宋体" w:cs="宋体" w:eastAsia="宋体" w:hint="default"/>
                <w:sz w:val="18"/>
                <w:szCs w:val="18"/>
              </w:rPr>
              <w:t>计提减 值准备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1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305" w:right="121" w:hanging="180"/>
              <w:jc w:val="left"/>
              <w:rPr>
                <w:rFonts w:ascii="宋体" w:hAnsi="宋体" w:cs="宋体" w:eastAsia="宋体" w:hint="default"/>
                <w:sz w:val="18"/>
                <w:szCs w:val="18"/>
              </w:rPr>
            </w:pPr>
            <w:r>
              <w:rPr>
                <w:rFonts w:ascii="宋体" w:hAnsi="宋体" w:cs="宋体" w:eastAsia="宋体" w:hint="default"/>
                <w:sz w:val="18"/>
                <w:szCs w:val="18"/>
              </w:rPr>
              <w:t>期末余 额</w:t>
            </w:r>
          </w:p>
        </w:tc>
        <w:tc>
          <w:tcPr>
            <w:tcW w:w="79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316" w:lineRule="auto" w:before="11"/>
              <w:ind w:left="123" w:right="122"/>
              <w:jc w:val="both"/>
              <w:rPr>
                <w:rFonts w:ascii="宋体" w:hAnsi="宋体" w:cs="宋体" w:eastAsia="宋体" w:hint="default"/>
                <w:sz w:val="18"/>
                <w:szCs w:val="18"/>
              </w:rPr>
            </w:pPr>
            <w:r>
              <w:rPr>
                <w:rFonts w:ascii="宋体" w:hAnsi="宋体" w:cs="宋体" w:eastAsia="宋体" w:hint="default"/>
                <w:sz w:val="18"/>
                <w:szCs w:val="18"/>
              </w:rPr>
              <w:t>减值准 备期末 余额</w:t>
            </w:r>
          </w:p>
        </w:tc>
      </w:tr>
      <w:tr>
        <w:trPr>
          <w:trHeight w:val="402" w:hRule="exact"/>
        </w:trPr>
        <w:tc>
          <w:tcPr>
            <w:tcW w:w="9572"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2" w:hRule="exact"/>
        </w:trPr>
        <w:tc>
          <w:tcPr>
            <w:tcW w:w="9572"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357"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北京童</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936"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42"/>
              <w:jc w:val="both"/>
              <w:rPr>
                <w:rFonts w:ascii="宋体" w:hAnsi="宋体" w:cs="宋体" w:eastAsia="宋体" w:hint="default"/>
                <w:sz w:val="18"/>
                <w:szCs w:val="18"/>
              </w:rPr>
            </w:pPr>
            <w:r>
              <w:rPr>
                <w:rFonts w:ascii="宋体" w:hAnsi="宋体" w:cs="宋体" w:eastAsia="宋体" w:hint="default"/>
                <w:sz w:val="18"/>
                <w:szCs w:val="18"/>
              </w:rPr>
              <w:t>康医疗 信息技 术有限</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0" w:right="0"/>
              <w:jc w:val="center"/>
              <w:rPr>
                <w:rFonts w:ascii="Times New Roman" w:hAnsi="Times New Roman" w:cs="Times New Roman" w:eastAsia="Times New Roman" w:hint="default"/>
                <w:sz w:val="18"/>
                <w:szCs w:val="18"/>
              </w:rPr>
            </w:pPr>
            <w:r>
              <w:rPr>
                <w:rFonts w:ascii="Times New Roman"/>
                <w:sz w:val="18"/>
              </w:rPr>
              <w:t>3,476,5</w:t>
            </w:r>
          </w:p>
          <w:p>
            <w:pPr>
              <w:pStyle w:val="TableParagraph"/>
              <w:spacing w:line="240" w:lineRule="auto" w:before="105"/>
              <w:ind w:left="175" w:right="0"/>
              <w:jc w:val="center"/>
              <w:rPr>
                <w:rFonts w:ascii="Times New Roman" w:hAnsi="Times New Roman" w:cs="Times New Roman" w:eastAsia="Times New Roman" w:hint="default"/>
                <w:sz w:val="18"/>
                <w:szCs w:val="18"/>
              </w:rPr>
            </w:pPr>
            <w:r>
              <w:rPr>
                <w:rFonts w:ascii="Times New Roman"/>
                <w:sz w:val="18"/>
              </w:rPr>
              <w:t>64.77</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29,482.</w:t>
            </w:r>
          </w:p>
          <w:p>
            <w:pPr>
              <w:pStyle w:val="TableParagraph"/>
              <w:spacing w:line="240" w:lineRule="auto" w:before="105"/>
              <w:ind w:left="504" w:right="0"/>
              <w:jc w:val="left"/>
              <w:rPr>
                <w:rFonts w:ascii="Times New Roman" w:hAnsi="Times New Roman" w:cs="Times New Roman" w:eastAsia="Times New Roman" w:hint="default"/>
                <w:sz w:val="18"/>
                <w:szCs w:val="18"/>
              </w:rPr>
            </w:pPr>
            <w:r>
              <w:rPr>
                <w:rFonts w:ascii="Times New Roman"/>
                <w:sz w:val="18"/>
              </w:rPr>
              <w:t>57</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3,506,0</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47.34</w:t>
            </w:r>
          </w:p>
        </w:tc>
        <w:tc>
          <w:tcPr>
            <w:tcW w:w="798" w:type="dxa"/>
            <w:vMerge/>
            <w:tcBorders>
              <w:left w:val="single" w:sz="4" w:space="0" w:color="000000"/>
              <w:right w:val="single" w:sz="4" w:space="0" w:color="000000"/>
            </w:tcBorders>
          </w:tcPr>
          <w:p>
            <w:pPr/>
          </w:p>
        </w:tc>
      </w:tr>
      <w:tr>
        <w:trPr>
          <w:trHeight w:val="357"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358"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浙江美</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康网新</w:t>
            </w:r>
          </w:p>
        </w:tc>
        <w:tc>
          <w:tcPr>
            <w:tcW w:w="797" w:type="dxa"/>
            <w:tcBorders>
              <w:top w:val="nil" w:sz="6" w:space="0" w:color="auto"/>
              <w:left w:val="single" w:sz="4" w:space="0" w:color="000000"/>
              <w:bottom w:val="nil" w:sz="6" w:space="0" w:color="auto"/>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316"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云健康</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2,925,3</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-319,33</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2,606,0</w:t>
            </w:r>
          </w:p>
        </w:tc>
        <w:tc>
          <w:tcPr>
            <w:tcW w:w="798" w:type="dxa"/>
            <w:vMerge/>
            <w:tcBorders>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科技股</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0"/>
              <w:jc w:val="right"/>
              <w:rPr>
                <w:rFonts w:ascii="Times New Roman" w:hAnsi="Times New Roman" w:cs="Times New Roman" w:eastAsia="Times New Roman" w:hint="default"/>
                <w:sz w:val="18"/>
                <w:szCs w:val="18"/>
              </w:rPr>
            </w:pPr>
            <w:r>
              <w:rPr>
                <w:rFonts w:ascii="Times New Roman"/>
                <w:sz w:val="18"/>
              </w:rPr>
              <w:t>78.56</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98"/>
              <w:jc w:val="right"/>
              <w:rPr>
                <w:rFonts w:ascii="Times New Roman" w:hAnsi="Times New Roman" w:cs="Times New Roman" w:eastAsia="Times New Roman" w:hint="default"/>
                <w:sz w:val="18"/>
                <w:szCs w:val="18"/>
              </w:rPr>
            </w:pPr>
            <w:r>
              <w:rPr>
                <w:rFonts w:ascii="Times New Roman"/>
                <w:spacing w:val="-2"/>
                <w:sz w:val="18"/>
              </w:rPr>
              <w:t>1.11</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0"/>
              <w:jc w:val="right"/>
              <w:rPr>
                <w:rFonts w:ascii="Times New Roman" w:hAnsi="Times New Roman" w:cs="Times New Roman" w:eastAsia="Times New Roman" w:hint="default"/>
                <w:sz w:val="18"/>
                <w:szCs w:val="18"/>
              </w:rPr>
            </w:pPr>
            <w:r>
              <w:rPr>
                <w:rFonts w:ascii="Times New Roman"/>
                <w:spacing w:val="-1"/>
                <w:sz w:val="18"/>
              </w:rPr>
              <w:t>47.45</w:t>
            </w:r>
          </w:p>
        </w:tc>
        <w:tc>
          <w:tcPr>
            <w:tcW w:w="798" w:type="dxa"/>
            <w:vMerge/>
            <w:tcBorders>
              <w:left w:val="single" w:sz="4" w:space="0" w:color="000000"/>
              <w:right w:val="single" w:sz="4" w:space="0" w:color="000000"/>
            </w:tcBorders>
          </w:tcPr>
          <w:p>
            <w:pPr/>
          </w:p>
        </w:tc>
      </w:tr>
      <w:tr>
        <w:trPr>
          <w:trHeight w:val="308"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份有限</w:t>
            </w:r>
          </w:p>
        </w:tc>
        <w:tc>
          <w:tcPr>
            <w:tcW w:w="797" w:type="dxa"/>
            <w:tcBorders>
              <w:top w:val="nil" w:sz="6" w:space="0" w:color="auto"/>
              <w:left w:val="single" w:sz="4" w:space="0" w:color="000000"/>
              <w:bottom w:val="nil" w:sz="6" w:space="0" w:color="auto"/>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356"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357"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浙江创</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936"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42"/>
              <w:jc w:val="both"/>
              <w:rPr>
                <w:rFonts w:ascii="宋体" w:hAnsi="宋体" w:cs="宋体" w:eastAsia="宋体" w:hint="default"/>
                <w:sz w:val="18"/>
                <w:szCs w:val="18"/>
              </w:rPr>
            </w:pPr>
            <w:r>
              <w:rPr>
                <w:rFonts w:ascii="宋体" w:hAnsi="宋体" w:cs="宋体" w:eastAsia="宋体" w:hint="default"/>
                <w:sz w:val="18"/>
                <w:szCs w:val="18"/>
              </w:rPr>
              <w:t>源环境 科技股 份有限</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35,767,</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058.36</w:t>
            </w: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8,247,7</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69.35</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44,014,</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827.71</w:t>
            </w:r>
          </w:p>
        </w:tc>
        <w:tc>
          <w:tcPr>
            <w:tcW w:w="798" w:type="dxa"/>
            <w:vMerge/>
            <w:tcBorders>
              <w:left w:val="single" w:sz="4" w:space="0" w:color="000000"/>
              <w:right w:val="single" w:sz="4" w:space="0" w:color="000000"/>
            </w:tcBorders>
          </w:tcPr>
          <w:p>
            <w:pPr/>
          </w:p>
        </w:tc>
      </w:tr>
      <w:tr>
        <w:trPr>
          <w:trHeight w:val="357"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358"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浙江大</w:t>
            </w: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健康产</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936"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42"/>
              <w:jc w:val="both"/>
              <w:rPr>
                <w:rFonts w:ascii="宋体" w:hAnsi="宋体" w:cs="宋体" w:eastAsia="宋体" w:hint="default"/>
                <w:sz w:val="18"/>
                <w:szCs w:val="18"/>
              </w:rPr>
            </w:pPr>
            <w:r>
              <w:rPr>
                <w:rFonts w:ascii="宋体" w:hAnsi="宋体" w:cs="宋体" w:eastAsia="宋体" w:hint="default"/>
                <w:sz w:val="18"/>
                <w:szCs w:val="18"/>
              </w:rPr>
              <w:t>业股权 投资基 金（有</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50,000,</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000.00</w:t>
            </w: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30" w:right="0"/>
              <w:jc w:val="left"/>
              <w:rPr>
                <w:rFonts w:ascii="Times New Roman" w:hAnsi="Times New Roman" w:cs="Times New Roman" w:eastAsia="Times New Roman" w:hint="default"/>
                <w:sz w:val="18"/>
                <w:szCs w:val="18"/>
              </w:rPr>
            </w:pPr>
            <w:r>
              <w:rPr>
                <w:rFonts w:ascii="Times New Roman"/>
                <w:sz w:val="18"/>
              </w:rPr>
              <w:t>-667,98</w:t>
            </w:r>
          </w:p>
          <w:p>
            <w:pPr>
              <w:pStyle w:val="TableParagraph"/>
              <w:spacing w:line="240" w:lineRule="auto" w:before="105"/>
              <w:ind w:left="370" w:right="0"/>
              <w:jc w:val="left"/>
              <w:rPr>
                <w:rFonts w:ascii="Times New Roman" w:hAnsi="Times New Roman" w:cs="Times New Roman" w:eastAsia="Times New Roman" w:hint="default"/>
                <w:sz w:val="18"/>
                <w:szCs w:val="18"/>
              </w:rPr>
            </w:pPr>
            <w:r>
              <w:rPr>
                <w:rFonts w:ascii="Times New Roman"/>
                <w:sz w:val="18"/>
              </w:rPr>
              <w:t>9.36</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49,332,</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010.64</w:t>
            </w:r>
          </w:p>
        </w:tc>
        <w:tc>
          <w:tcPr>
            <w:tcW w:w="798" w:type="dxa"/>
            <w:vMerge/>
            <w:tcBorders>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限合</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356"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伙）</w:t>
            </w: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357"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舟山创</w:t>
            </w: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936"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42"/>
              <w:jc w:val="both"/>
              <w:rPr>
                <w:rFonts w:ascii="宋体" w:hAnsi="宋体" w:cs="宋体" w:eastAsia="宋体" w:hint="default"/>
                <w:sz w:val="18"/>
                <w:szCs w:val="18"/>
              </w:rPr>
            </w:pPr>
            <w:r>
              <w:rPr>
                <w:rFonts w:ascii="宋体" w:hAnsi="宋体" w:cs="宋体" w:eastAsia="宋体" w:hint="default"/>
                <w:sz w:val="18"/>
                <w:szCs w:val="18"/>
              </w:rPr>
              <w:t>融投资 管理合 伙企业</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50,000,</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000.00</w:t>
            </w: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486.82</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50,000,</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486.82</w:t>
            </w:r>
          </w:p>
        </w:tc>
        <w:tc>
          <w:tcPr>
            <w:tcW w:w="798" w:type="dxa"/>
            <w:vMerge/>
            <w:tcBorders>
              <w:left w:val="single" w:sz="4" w:space="0" w:color="000000"/>
              <w:right w:val="single" w:sz="4" w:space="0" w:color="000000"/>
            </w:tcBorders>
          </w:tcPr>
          <w:p>
            <w:pPr/>
          </w:p>
        </w:tc>
      </w:tr>
      <w:tr>
        <w:trPr>
          <w:trHeight w:val="315"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（有限</w:t>
            </w: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796"/>
        <w:gridCol w:w="797"/>
        <w:gridCol w:w="797"/>
        <w:gridCol w:w="798"/>
        <w:gridCol w:w="798"/>
        <w:gridCol w:w="798"/>
        <w:gridCol w:w="798"/>
        <w:gridCol w:w="798"/>
        <w:gridCol w:w="798"/>
        <w:gridCol w:w="798"/>
        <w:gridCol w:w="798"/>
        <w:gridCol w:w="798"/>
      </w:tblGrid>
      <w:tr>
        <w:trPr>
          <w:trHeight w:val="362"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合伙）</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357"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杭州安</w:t>
            </w: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丰创健</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936"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101" w:right="142"/>
              <w:jc w:val="both"/>
              <w:rPr>
                <w:rFonts w:ascii="宋体" w:hAnsi="宋体" w:cs="宋体" w:eastAsia="宋体" w:hint="default"/>
                <w:sz w:val="18"/>
                <w:szCs w:val="18"/>
              </w:rPr>
            </w:pPr>
            <w:r>
              <w:rPr>
                <w:rFonts w:ascii="宋体" w:hAnsi="宋体" w:cs="宋体" w:eastAsia="宋体" w:hint="default"/>
                <w:sz w:val="18"/>
                <w:szCs w:val="18"/>
              </w:rPr>
              <w:t>创业投 资合伙 企业</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25,000,</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000.00</w:t>
            </w: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30" w:right="0"/>
              <w:jc w:val="left"/>
              <w:rPr>
                <w:rFonts w:ascii="Times New Roman" w:hAnsi="Times New Roman" w:cs="Times New Roman" w:eastAsia="Times New Roman" w:hint="default"/>
                <w:sz w:val="18"/>
                <w:szCs w:val="18"/>
              </w:rPr>
            </w:pPr>
            <w:r>
              <w:rPr>
                <w:rFonts w:ascii="Times New Roman"/>
                <w:sz w:val="18"/>
              </w:rPr>
              <w:t>-987,69</w:t>
            </w:r>
          </w:p>
          <w:p>
            <w:pPr>
              <w:pStyle w:val="TableParagraph"/>
              <w:spacing w:line="240" w:lineRule="auto" w:before="105"/>
              <w:ind w:left="370" w:right="0"/>
              <w:jc w:val="left"/>
              <w:rPr>
                <w:rFonts w:ascii="Times New Roman" w:hAnsi="Times New Roman" w:cs="Times New Roman" w:eastAsia="Times New Roman" w:hint="default"/>
                <w:sz w:val="18"/>
                <w:szCs w:val="18"/>
              </w:rPr>
            </w:pPr>
            <w:r>
              <w:rPr>
                <w:rFonts w:ascii="Times New Roman"/>
                <w:sz w:val="18"/>
              </w:rPr>
              <w:t>9.02</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24,012,</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300.98</w:t>
            </w:r>
          </w:p>
        </w:tc>
        <w:tc>
          <w:tcPr>
            <w:tcW w:w="798" w:type="dxa"/>
            <w:vMerge/>
            <w:tcBorders>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（有限</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
        </w:tc>
        <w:tc>
          <w:tcPr>
            <w:tcW w:w="798" w:type="dxa"/>
            <w:vMerge/>
            <w:tcBorders>
              <w:left w:val="single" w:sz="4" w:space="0" w:color="000000"/>
              <w:right w:val="single" w:sz="4" w:space="0" w:color="000000"/>
            </w:tcBorders>
          </w:tcPr>
          <w:p>
            <w:pPr/>
          </w:p>
        </w:tc>
      </w:tr>
      <w:tr>
        <w:trPr>
          <w:trHeight w:val="357"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合伙）</w:t>
            </w: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358" w:hRule="exact"/>
        </w:trPr>
        <w:tc>
          <w:tcPr>
            <w:tcW w:w="79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成都米</w:t>
            </w:r>
          </w:p>
        </w:tc>
        <w:tc>
          <w:tcPr>
            <w:tcW w:w="797" w:type="dxa"/>
            <w:vMerge w:val="restart"/>
            <w:tcBorders>
              <w:top w:val="single" w:sz="4" w:space="0" w:color="000000"/>
              <w:left w:val="single" w:sz="4" w:space="0" w:color="000000"/>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tcBorders>
              <w:top w:val="single" w:sz="4" w:space="0" w:color="000000"/>
              <w:left w:val="single" w:sz="4" w:space="0" w:color="000000"/>
              <w:bottom w:val="nil" w:sz="6" w:space="0" w:color="auto"/>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r>
      <w:tr>
        <w:trPr>
          <w:trHeight w:val="316"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1" w:right="0"/>
              <w:jc w:val="left"/>
              <w:rPr>
                <w:rFonts w:ascii="宋体" w:hAnsi="宋体" w:cs="宋体" w:eastAsia="宋体" w:hint="default"/>
                <w:sz w:val="18"/>
                <w:szCs w:val="18"/>
              </w:rPr>
            </w:pPr>
            <w:r>
              <w:rPr>
                <w:rFonts w:ascii="宋体" w:hAnsi="宋体" w:cs="宋体" w:eastAsia="宋体" w:hint="default"/>
                <w:sz w:val="18"/>
                <w:szCs w:val="18"/>
              </w:rPr>
              <w:t>索信息</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1,000,0</w:t>
            </w: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-280,66</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719,33</w:t>
            </w:r>
          </w:p>
        </w:tc>
        <w:tc>
          <w:tcPr>
            <w:tcW w:w="798" w:type="dxa"/>
            <w:vMerge/>
            <w:tcBorders>
              <w:left w:val="single" w:sz="4" w:space="0" w:color="000000"/>
              <w:right w:val="single" w:sz="4" w:space="0" w:color="000000"/>
            </w:tcBorders>
          </w:tcPr>
          <w:p>
            <w:pPr/>
          </w:p>
        </w:tc>
      </w:tr>
      <w:tr>
        <w:trPr>
          <w:trHeight w:val="312" w:hRule="exact"/>
        </w:trPr>
        <w:tc>
          <w:tcPr>
            <w:tcW w:w="79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技术有</w:t>
            </w:r>
          </w:p>
        </w:tc>
        <w:tc>
          <w:tcPr>
            <w:tcW w:w="797" w:type="dxa"/>
            <w:vMerge/>
            <w:tcBorders>
              <w:left w:val="single" w:sz="4" w:space="0" w:color="000000"/>
              <w:right w:val="single" w:sz="4" w:space="0" w:color="000000"/>
            </w:tcBorders>
          </w:tcPr>
          <w:p>
            <w:pP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0"/>
              <w:jc w:val="right"/>
              <w:rPr>
                <w:rFonts w:ascii="Times New Roman" w:hAnsi="Times New Roman" w:cs="Times New Roman" w:eastAsia="Times New Roman" w:hint="default"/>
                <w:sz w:val="18"/>
                <w:szCs w:val="18"/>
              </w:rPr>
            </w:pPr>
            <w:r>
              <w:rPr>
                <w:rFonts w:ascii="Times New Roman"/>
                <w:spacing w:val="-1"/>
                <w:sz w:val="18"/>
              </w:rPr>
              <w:t>00.00</w:t>
            </w: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0"/>
              <w:jc w:val="right"/>
              <w:rPr>
                <w:rFonts w:ascii="Times New Roman" w:hAnsi="Times New Roman" w:cs="Times New Roman" w:eastAsia="Times New Roman" w:hint="default"/>
                <w:sz w:val="18"/>
                <w:szCs w:val="18"/>
              </w:rPr>
            </w:pPr>
            <w:r>
              <w:rPr>
                <w:rFonts w:ascii="Times New Roman"/>
                <w:spacing w:val="-1"/>
                <w:sz w:val="18"/>
              </w:rPr>
              <w:t>4.28</w:t>
            </w: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0"/>
              <w:jc w:val="right"/>
              <w:rPr>
                <w:rFonts w:ascii="Times New Roman" w:hAnsi="Times New Roman" w:cs="Times New Roman" w:eastAsia="Times New Roman" w:hint="default"/>
                <w:sz w:val="18"/>
                <w:szCs w:val="18"/>
              </w:rPr>
            </w:pPr>
            <w:r>
              <w:rPr>
                <w:rFonts w:ascii="Times New Roman"/>
                <w:spacing w:val="-1"/>
                <w:sz w:val="18"/>
              </w:rPr>
              <w:t>5.72</w:t>
            </w:r>
          </w:p>
        </w:tc>
        <w:tc>
          <w:tcPr>
            <w:tcW w:w="798" w:type="dxa"/>
            <w:vMerge/>
            <w:tcBorders>
              <w:left w:val="single" w:sz="4" w:space="0" w:color="000000"/>
              <w:right w:val="single" w:sz="4" w:space="0" w:color="000000"/>
            </w:tcBorders>
          </w:tcPr>
          <w:p>
            <w:pPr/>
          </w:p>
        </w:tc>
      </w:tr>
      <w:tr>
        <w:trPr>
          <w:trHeight w:val="352" w:hRule="exact"/>
        </w:trPr>
        <w:tc>
          <w:tcPr>
            <w:tcW w:w="79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6"/>
              <w:ind w:left="101"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797" w:type="dxa"/>
            <w:vMerge/>
            <w:tcBorders>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tcBorders>
              <w:top w:val="nil" w:sz="6" w:space="0" w:color="auto"/>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1"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42,169,</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001.69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126,00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0,000.0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6,022,0</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54.97</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174,19</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1,056.6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42,169,</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001.69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126,00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0,000.0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6,022,0</w:t>
            </w:r>
          </w:p>
          <w:p>
            <w:pPr>
              <w:pStyle w:val="TableParagraph"/>
              <w:spacing w:line="240" w:lineRule="auto" w:before="105"/>
              <w:ind w:left="178" w:right="0"/>
              <w:jc w:val="center"/>
              <w:rPr>
                <w:rFonts w:ascii="Times New Roman" w:hAnsi="Times New Roman" w:cs="Times New Roman" w:eastAsia="Times New Roman" w:hint="default"/>
                <w:sz w:val="18"/>
                <w:szCs w:val="18"/>
              </w:rPr>
            </w:pPr>
            <w:r>
              <w:rPr>
                <w:rFonts w:ascii="Times New Roman"/>
                <w:sz w:val="18"/>
              </w:rPr>
              <w:t>54.97</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174,19</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pacing w:val="-1"/>
                <w:sz w:val="18"/>
              </w:rPr>
              <w:t>1,056.6</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w:t>
            </w: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4"/>
        <w:rPr>
          <w:rFonts w:ascii="宋体" w:hAnsi="宋体" w:cs="宋体" w:eastAsia="宋体" w:hint="default"/>
          <w:sz w:val="19"/>
          <w:szCs w:val="19"/>
        </w:rPr>
      </w:pPr>
    </w:p>
    <w:p>
      <w:pPr>
        <w:pStyle w:val="Heading3"/>
        <w:spacing w:line="240" w:lineRule="auto" w:before="34"/>
        <w:ind w:right="0"/>
        <w:jc w:val="left"/>
        <w:rPr>
          <w:b w:val="0"/>
          <w:bCs w:val="0"/>
        </w:rPr>
      </w:pPr>
      <w:bookmarkStart w:name="（3）其他说明" w:id="449"/>
      <w:bookmarkEnd w:id="449"/>
      <w:r>
        <w:rPr>
          <w:b w:val="0"/>
          <w:bCs w:val="0"/>
        </w:rPr>
      </w:r>
      <w:r>
        <w:rPr/>
        <w:t>（</w:t>
      </w:r>
      <w:r>
        <w:rPr>
          <w:rFonts w:ascii="Times New Roman" w:hAnsi="Times New Roman" w:cs="Times New Roman" w:eastAsia="Times New Roman" w:hint="default"/>
        </w:rPr>
        <w:t>3</w:t>
      </w:r>
      <w:r>
        <w:rPr/>
        <w:t>）其他说明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472" w:right="0"/>
        <w:jc w:val="left"/>
      </w:pPr>
      <w:r>
        <w:rPr/>
        <w:t>截至</w:t>
      </w:r>
      <w:r>
        <w:rPr>
          <w:spacing w:val="-45"/>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4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日，宁海杭创网络科技有限公司尚未实际出资。</w:t>
      </w:r>
    </w:p>
    <w:p>
      <w:pPr>
        <w:spacing w:line="240" w:lineRule="auto" w:before="13"/>
        <w:rPr>
          <w:rFonts w:ascii="宋体" w:hAnsi="宋体" w:cs="宋体" w:eastAsia="宋体" w:hint="default"/>
          <w:sz w:val="25"/>
          <w:szCs w:val="25"/>
        </w:rPr>
      </w:pPr>
    </w:p>
    <w:p>
      <w:pPr>
        <w:pStyle w:val="Heading3"/>
        <w:spacing w:line="240" w:lineRule="auto"/>
        <w:ind w:right="0"/>
        <w:jc w:val="left"/>
        <w:rPr>
          <w:b w:val="0"/>
          <w:bCs w:val="0"/>
        </w:rPr>
      </w:pPr>
      <w:bookmarkStart w:name="4、营业收入和营业成本" w:id="450"/>
      <w:bookmarkEnd w:id="450"/>
      <w:r>
        <w:rPr>
          <w:b w:val="0"/>
          <w:bCs w:val="0"/>
        </w:rPr>
      </w:r>
      <w:r>
        <w:rPr>
          <w:rFonts w:ascii="Times New Roman" w:hAnsi="Times New Roman" w:cs="Times New Roman" w:eastAsia="Times New Roman" w:hint="default"/>
        </w:rPr>
        <w:t>4</w:t>
      </w:r>
      <w:r>
        <w:rPr/>
        <w:t>、营业收入和营业成本</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132"/>
        <w:jc w:val="right"/>
      </w:pPr>
      <w:r>
        <w:rPr/>
        <w:t>单位：元</w:t>
      </w:r>
    </w:p>
    <w:p>
      <w:pPr>
        <w:spacing w:line="240" w:lineRule="auto" w:before="3"/>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94"/>
        <w:gridCol w:w="1837"/>
        <w:gridCol w:w="1913"/>
        <w:gridCol w:w="1913"/>
        <w:gridCol w:w="1913"/>
      </w:tblGrid>
      <w:tr>
        <w:trPr>
          <w:trHeight w:val="402" w:hRule="exact"/>
        </w:trPr>
        <w:tc>
          <w:tcPr>
            <w:tcW w:w="19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75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1994" w:type="dxa"/>
            <w:vMerge/>
            <w:tcBorders>
              <w:left w:val="single" w:sz="4" w:space="0" w:color="000000"/>
              <w:bottom w:val="single" w:sz="4" w:space="0" w:color="000000"/>
              <w:right w:val="single" w:sz="4" w:space="0" w:color="000000"/>
            </w:tcBorders>
            <w:shd w:val="clear" w:color="auto" w:fill="D2D2D2"/>
          </w:tcPr>
          <w:p>
            <w:pPr/>
          </w:p>
        </w:tc>
        <w:tc>
          <w:tcPr>
            <w:tcW w:w="1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794,721,939.14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400,775,339.83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610,457,973.54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301,138,471.00</w:t>
            </w: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5,006,176.91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1,339,770.94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4,166,950.43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1,091,793.67</w:t>
            </w:r>
          </w:p>
        </w:tc>
      </w:tr>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799,728,116.05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2"/>
                <w:sz w:val="18"/>
              </w:rPr>
              <w:t>402,115,110.77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614,624,923.97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302,230,264.67</w:t>
            </w:r>
          </w:p>
        </w:tc>
      </w:tr>
    </w:tbl>
    <w:p>
      <w:pPr>
        <w:pStyle w:val="BodyText"/>
        <w:spacing w:line="240" w:lineRule="auto" w:before="49"/>
        <w:ind w:right="0"/>
        <w:jc w:val="left"/>
      </w:pPr>
      <w:r>
        <w:rPr/>
        <w:t>其他说明：</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5、投资收益" w:id="451"/>
      <w:bookmarkEnd w:id="451"/>
      <w:r>
        <w:rPr>
          <w:b w:val="0"/>
          <w:bCs w:val="0"/>
        </w:rPr>
      </w:r>
      <w:r>
        <w:rPr>
          <w:rFonts w:ascii="Times New Roman" w:hAnsi="Times New Roman" w:cs="Times New Roman" w:eastAsia="Times New Roman" w:hint="default"/>
        </w:rPr>
        <w:t>5</w:t>
      </w:r>
      <w:r>
        <w:rPr/>
        <w:t>、投资收益</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132"/>
        <w:jc w:val="right"/>
      </w:pPr>
      <w:r>
        <w:rPr/>
        <w:t>单位：元</w:t>
      </w:r>
    </w:p>
    <w:p>
      <w:pPr>
        <w:spacing w:line="240" w:lineRule="auto" w:before="2"/>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140,000,000.00</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1"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6,022,054.97</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4,592,488.67</w:t>
            </w:r>
          </w:p>
        </w:tc>
      </w:tr>
      <w:tr>
        <w:trPr>
          <w:trHeight w:val="400"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9"/>
              <w:ind w:left="101"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Times New Roman" w:hAnsi="Times New Roman" w:cs="Times New Roman" w:eastAsia="Times New Roman" w:hint="default"/>
                <w:sz w:val="18"/>
                <w:szCs w:val="18"/>
              </w:rPr>
            </w:pPr>
            <w:r>
              <w:rPr>
                <w:rFonts w:ascii="Times New Roman"/>
                <w:spacing w:val="-1"/>
                <w:sz w:val="18"/>
              </w:rPr>
              <w:t>1,448,301.37</w:t>
            </w:r>
          </w:p>
        </w:tc>
        <w:tc>
          <w:tcPr>
            <w:tcW w:w="318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07" w:footer="1016" w:top="1100" w:bottom="1200" w:left="1020" w:right="0"/>
        </w:sectPr>
      </w:pPr>
    </w:p>
    <w:p>
      <w:pPr>
        <w:spacing w:line="240" w:lineRule="auto" w:before="6"/>
        <w:rPr>
          <w:rFonts w:ascii="宋体" w:hAnsi="宋体" w:cs="宋体" w:eastAsia="宋体"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324"/>
        <w:gridCol w:w="3059"/>
        <w:gridCol w:w="3186"/>
      </w:tblGrid>
      <w:tr>
        <w:trPr>
          <w:trHeight w:val="36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益</w:t>
            </w:r>
          </w:p>
        </w:tc>
        <w:tc>
          <w:tcPr>
            <w:tcW w:w="3059" w:type="dxa"/>
            <w:tcBorders>
              <w:top w:val="single" w:sz="4" w:space="0" w:color="000000"/>
              <w:left w:val="single" w:sz="4" w:space="0" w:color="000000"/>
              <w:bottom w:val="single" w:sz="4" w:space="0" w:color="000000"/>
              <w:right w:val="single" w:sz="4" w:space="0" w:color="000000"/>
            </w:tcBorders>
          </w:tcPr>
          <w:p>
            <w:pP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1" w:right="0"/>
              <w:jc w:val="left"/>
              <w:rPr>
                <w:rFonts w:ascii="宋体" w:hAnsi="宋体" w:cs="宋体" w:eastAsia="宋体" w:hint="default"/>
                <w:sz w:val="18"/>
                <w:szCs w:val="18"/>
              </w:rPr>
            </w:pPr>
            <w:r>
              <w:rPr>
                <w:rFonts w:ascii="宋体" w:hAnsi="宋体" w:cs="宋体" w:eastAsia="宋体" w:hint="default"/>
                <w:sz w:val="18"/>
                <w:szCs w:val="18"/>
              </w:rPr>
              <w:t>银行短期理财产品收益</w:t>
            </w:r>
          </w:p>
        </w:tc>
        <w:tc>
          <w:tcPr>
            <w:tcW w:w="3059" w:type="dxa"/>
            <w:tcBorders>
              <w:top w:val="single" w:sz="4" w:space="0" w:color="000000"/>
              <w:left w:val="single" w:sz="4" w:space="0" w:color="000000"/>
              <w:bottom w:val="single" w:sz="4" w:space="0" w:color="000000"/>
              <w:right w:val="single" w:sz="4" w:space="0" w:color="000000"/>
            </w:tcBorders>
          </w:tcPr>
          <w:p>
            <w:pP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233,424.66</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20" w:right="0"/>
              <w:jc w:val="left"/>
              <w:rPr>
                <w:rFonts w:ascii="Times New Roman" w:hAnsi="Times New Roman" w:cs="Times New Roman" w:eastAsia="Times New Roman" w:hint="default"/>
                <w:sz w:val="18"/>
                <w:szCs w:val="18"/>
              </w:rPr>
            </w:pPr>
            <w:r>
              <w:rPr>
                <w:rFonts w:ascii="Times New Roman"/>
                <w:sz w:val="18"/>
              </w:rPr>
              <w:t>147,470,356.34</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4,825,913.33</w:t>
            </w:r>
          </w:p>
        </w:tc>
      </w:tr>
    </w:tbl>
    <w:p>
      <w:pPr>
        <w:spacing w:line="240" w:lineRule="auto" w:before="4"/>
        <w:rPr>
          <w:rFonts w:ascii="宋体" w:hAnsi="宋体" w:cs="宋体" w:eastAsia="宋体" w:hint="default"/>
          <w:sz w:val="19"/>
          <w:szCs w:val="19"/>
        </w:rPr>
      </w:pPr>
    </w:p>
    <w:p>
      <w:pPr>
        <w:pStyle w:val="Heading3"/>
        <w:spacing w:line="240" w:lineRule="auto" w:before="34"/>
        <w:ind w:right="0"/>
        <w:jc w:val="left"/>
        <w:rPr>
          <w:b w:val="0"/>
          <w:bCs w:val="0"/>
        </w:rPr>
      </w:pPr>
      <w:bookmarkStart w:name="6、其他" w:id="452"/>
      <w:bookmarkEnd w:id="452"/>
      <w:r>
        <w:rPr>
          <w:b w:val="0"/>
          <w:bCs w:val="0"/>
        </w:rPr>
      </w:r>
      <w:r>
        <w:rPr>
          <w:rFonts w:ascii="Times New Roman" w:hAnsi="Times New Roman" w:cs="Times New Roman" w:eastAsia="Times New Roman" w:hint="default"/>
        </w:rPr>
        <w:t>6</w:t>
      </w:r>
      <w:r>
        <w:rPr/>
        <w:t>、其他</w:t>
      </w:r>
      <w:r>
        <w:rPr>
          <w:b w:val="0"/>
          <w:bCs w:val="0"/>
        </w:rPr>
      </w:r>
    </w:p>
    <w:p>
      <w:pPr>
        <w:spacing w:line="240" w:lineRule="auto" w:before="10"/>
        <w:rPr>
          <w:rFonts w:ascii="宋体" w:hAnsi="宋体" w:cs="宋体" w:eastAsia="宋体" w:hint="default"/>
          <w:b/>
          <w:bCs/>
          <w:sz w:val="22"/>
          <w:szCs w:val="22"/>
        </w:rPr>
      </w:pPr>
    </w:p>
    <w:p>
      <w:pPr>
        <w:pStyle w:val="Heading2"/>
        <w:spacing w:line="240" w:lineRule="auto"/>
        <w:ind w:right="0"/>
        <w:jc w:val="left"/>
        <w:rPr>
          <w:b w:val="0"/>
          <w:bCs w:val="0"/>
        </w:rPr>
      </w:pPr>
      <w:bookmarkStart w:name="十七、补充资料" w:id="453"/>
      <w:bookmarkEnd w:id="453"/>
      <w:r>
        <w:rPr>
          <w:b w:val="0"/>
          <w:bCs w:val="0"/>
        </w:rPr>
      </w:r>
      <w:r>
        <w:rPr/>
        <w:t>十七、补充资料</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当期非经常性损益明细表" w:id="454"/>
      <w:bookmarkEnd w:id="454"/>
      <w:r>
        <w:rPr>
          <w:b w:val="0"/>
          <w:bCs w:val="0"/>
        </w:rPr>
      </w:r>
      <w:r>
        <w:rPr>
          <w:rFonts w:ascii="Times New Roman" w:hAnsi="Times New Roman" w:cs="Times New Roman" w:eastAsia="Times New Roman" w:hint="default"/>
        </w:rPr>
        <w:t>1</w:t>
      </w:r>
      <w:r>
        <w:rPr/>
        <w:t>、当期非经常性损益明细表</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t>√ 适用</w:t>
      </w:r>
      <w:r>
        <w:rPr>
          <w:spacing w:val="-1"/>
        </w:rPr>
        <w:t> </w:t>
      </w:r>
      <w:r>
        <w:rPr/>
        <w:t>□不适用</w:t>
      </w:r>
    </w:p>
    <w:p>
      <w:pPr>
        <w:pStyle w:val="BodyText"/>
        <w:spacing w:line="240" w:lineRule="auto" w:before="117"/>
        <w:ind w:left="0" w:right="1132"/>
        <w:jc w:val="right"/>
      </w:pPr>
      <w:r>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1,106,734.64</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0"/>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 密切相关，按照国家统一标准定额或定 量享受的政府补助除外）</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13,292,713.02</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1,259,059.44</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15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 出</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-519,468.44</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1,785,802.24</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62"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285,117.34</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2"/>
                <w:sz w:val="18"/>
              </w:rPr>
              <w:t>13,068,119.08</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0"/>
        <w:ind w:right="0"/>
        <w:jc w:val="left"/>
      </w:pPr>
      <w:r>
        <w:rPr>
          <w:spacing w:val="-3"/>
        </w:rPr>
        <w:t>对公司根据《公开发行证券的公司信息披露解释性公告第</w:t>
      </w:r>
      <w:r>
        <w:rPr>
          <w:spacing w:val="-38"/>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spacing w:val="-7"/>
        </w:rPr>
        <w:t>号——非经常性损益》定义界定的非经常性损益项目，以及把《公</w:t>
      </w:r>
    </w:p>
    <w:p>
      <w:pPr>
        <w:pStyle w:val="BodyText"/>
        <w:spacing w:line="300" w:lineRule="auto" w:before="63"/>
        <w:ind w:right="1120"/>
        <w:jc w:val="left"/>
      </w:pPr>
      <w:r>
        <w:rPr/>
        <w:t>开发行证券的公司信息披露解释性公告第</w:t>
      </w:r>
      <w:r>
        <w:rPr>
          <w:spacing w:val="-35"/>
        </w:rPr>
        <w:t> </w:t>
      </w:r>
      <w:r>
        <w:rPr>
          <w:rFonts w:ascii="Times New Roman" w:hAnsi="Times New Roman" w:cs="Times New Roman" w:eastAsia="Times New Roman" w:hint="default"/>
        </w:rPr>
        <w:t>1</w:t>
      </w:r>
      <w:r>
        <w:rPr>
          <w:rFonts w:ascii="Times New Roman" w:hAnsi="Times New Roman" w:cs="Times New Roman" w:eastAsia="Times New Roman" w:hint="default"/>
          <w:spacing w:val="9"/>
        </w:rPr>
        <w:t> </w:t>
      </w:r>
      <w:r>
        <w:rPr>
          <w:spacing w:val="-3"/>
        </w:rPr>
        <w:t>号——非经常性损益》中列举的非经常性损益项目界定为经常性损益的项目，应</w:t>
      </w:r>
      <w:r>
        <w:rPr>
          <w:spacing w:val="-88"/>
        </w:rPr>
        <w:t> </w:t>
      </w:r>
      <w:r>
        <w:rPr>
          <w:spacing w:val="-88"/>
        </w:rPr>
      </w:r>
      <w:r>
        <w:rPr/>
        <w:t>说明原因。</w:t>
      </w:r>
    </w:p>
    <w:p>
      <w:pPr>
        <w:pStyle w:val="BodyText"/>
        <w:spacing w:line="240" w:lineRule="auto" w:before="72"/>
        <w:ind w:left="204" w:right="0"/>
        <w:jc w:val="left"/>
      </w:pPr>
      <w:r>
        <w:rPr/>
        <w:t>□ 适用√</w:t>
      </w:r>
      <w:r>
        <w:rPr>
          <w:spacing w:val="-1"/>
        </w:rPr>
        <w:t> </w:t>
      </w:r>
      <w:r>
        <w:rPr/>
        <w:t>不适用</w:t>
      </w:r>
    </w:p>
    <w:p>
      <w:pPr>
        <w:spacing w:line="240" w:lineRule="auto" w:before="11"/>
        <w:rPr>
          <w:rFonts w:ascii="宋体" w:hAnsi="宋体" w:cs="宋体" w:eastAsia="宋体" w:hint="default"/>
          <w:sz w:val="26"/>
          <w:szCs w:val="26"/>
        </w:rPr>
      </w:pPr>
    </w:p>
    <w:p>
      <w:pPr>
        <w:pStyle w:val="Heading3"/>
        <w:spacing w:line="240" w:lineRule="auto"/>
        <w:ind w:right="0"/>
        <w:jc w:val="left"/>
        <w:rPr>
          <w:b w:val="0"/>
          <w:bCs w:val="0"/>
        </w:rPr>
      </w:pPr>
      <w:bookmarkStart w:name="2、净资产收益率及每股收益" w:id="455"/>
      <w:bookmarkEnd w:id="455"/>
      <w:r>
        <w:rPr>
          <w:b w:val="0"/>
          <w:bCs w:val="0"/>
        </w:rPr>
      </w:r>
      <w:r>
        <w:rPr>
          <w:rFonts w:ascii="Times New Roman" w:hAnsi="Times New Roman" w:cs="Times New Roman" w:eastAsia="Times New Roman" w:hint="default"/>
        </w:rPr>
        <w:t>2</w:t>
      </w:r>
      <w:r>
        <w:rPr/>
        <w:t>、净资产收益率及每股收益</w:t>
      </w:r>
      <w:r>
        <w:rPr>
          <w:b w:val="0"/>
          <w:bCs w:val="0"/>
        </w:rPr>
      </w:r>
    </w:p>
    <w:p>
      <w:pPr>
        <w:spacing w:line="240" w:lineRule="auto" w:before="10"/>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2662"/>
        <w:gridCol w:w="3080"/>
        <w:gridCol w:w="1913"/>
        <w:gridCol w:w="1913"/>
      </w:tblGrid>
      <w:tr>
        <w:trPr>
          <w:trHeight w:val="402" w:hRule="exact"/>
        </w:trPr>
        <w:tc>
          <w:tcPr>
            <w:tcW w:w="26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877"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308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634"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8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402" w:hRule="exact"/>
        </w:trPr>
        <w:tc>
          <w:tcPr>
            <w:tcW w:w="2662" w:type="dxa"/>
            <w:vMerge/>
            <w:tcBorders>
              <w:left w:val="single" w:sz="4" w:space="0" w:color="000000"/>
              <w:bottom w:val="single" w:sz="4" w:space="0" w:color="000000"/>
              <w:right w:val="single" w:sz="4" w:space="0" w:color="000000"/>
            </w:tcBorders>
            <w:shd w:val="clear" w:color="auto" w:fill="D2D2D2"/>
          </w:tcPr>
          <w:p>
            <w:pPr/>
          </w:p>
        </w:tc>
        <w:tc>
          <w:tcPr>
            <w:tcW w:w="3080" w:type="dxa"/>
            <w:vMerge/>
            <w:tcBorders>
              <w:left w:val="single" w:sz="4" w:space="0" w:color="000000"/>
              <w:bottom w:val="single" w:sz="4" w:space="0" w:color="000000"/>
              <w:right w:val="single" w:sz="4" w:space="0" w:color="000000"/>
            </w:tcBorders>
            <w:shd w:val="clear" w:color="auto" w:fill="D2D2D2"/>
          </w:tcPr>
          <w:p>
            <w:pP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
              <w:jc w:val="right"/>
              <w:rPr>
                <w:rFonts w:ascii="宋体" w:hAnsi="宋体" w:cs="宋体" w:eastAsia="宋体" w:hint="default"/>
                <w:sz w:val="18"/>
                <w:szCs w:val="18"/>
              </w:rPr>
            </w:pPr>
            <w:r>
              <w:rPr>
                <w:rFonts w:ascii="宋体" w:hAnsi="宋体" w:cs="宋体" w:eastAsia="宋体" w:hint="default"/>
                <w:spacing w:val="-6"/>
                <w:sz w:val="18"/>
                <w:szCs w:val="18"/>
              </w:rPr>
              <w:t>基本每股收益（元</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股）</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pacing w:val="-6"/>
                <w:sz w:val="18"/>
                <w:szCs w:val="18"/>
              </w:rPr>
              <w:t>稀释每股收益（元</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股）</w:t>
            </w:r>
          </w:p>
        </w:tc>
      </w:tr>
      <w:tr>
        <w:trPr>
          <w:trHeight w:val="714"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101" w:right="208"/>
              <w:jc w:val="left"/>
              <w:rPr>
                <w:rFonts w:ascii="宋体" w:hAnsi="宋体" w:cs="宋体" w:eastAsia="宋体" w:hint="default"/>
                <w:sz w:val="18"/>
                <w:szCs w:val="18"/>
              </w:rPr>
            </w:pPr>
            <w:r>
              <w:rPr>
                <w:rFonts w:ascii="宋体" w:hAnsi="宋体" w:cs="宋体" w:eastAsia="宋体" w:hint="default"/>
                <w:sz w:val="18"/>
                <w:szCs w:val="18"/>
              </w:rPr>
              <w:t>归属于公司普通股股东的净利 润</w:t>
            </w:r>
          </w:p>
        </w:tc>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9.78%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0.45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0.44</w:t>
            </w:r>
          </w:p>
        </w:tc>
      </w:tr>
      <w:tr>
        <w:trPr>
          <w:trHeight w:val="714"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 w:right="208"/>
              <w:jc w:val="left"/>
              <w:rPr>
                <w:rFonts w:ascii="宋体" w:hAnsi="宋体" w:cs="宋体" w:eastAsia="宋体" w:hint="default"/>
                <w:sz w:val="18"/>
                <w:szCs w:val="18"/>
              </w:rPr>
            </w:pPr>
            <w:r>
              <w:rPr>
                <w:rFonts w:ascii="宋体" w:hAnsi="宋体" w:cs="宋体" w:eastAsia="宋体" w:hint="default"/>
                <w:sz w:val="18"/>
                <w:szCs w:val="18"/>
              </w:rPr>
              <w:t>扣除非经常性损益后归属于公 司普通股股东的净利润</w:t>
            </w:r>
          </w:p>
        </w:tc>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9.18%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0.42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0.42</w:t>
            </w:r>
          </w:p>
        </w:tc>
      </w:tr>
    </w:tbl>
    <w:p>
      <w:pPr>
        <w:spacing w:after="0" w:line="240" w:lineRule="auto"/>
        <w:jc w:val="right"/>
        <w:rPr>
          <w:rFonts w:ascii="Times New Roman" w:hAnsi="Times New Roman" w:cs="Times New Roman" w:eastAsia="Times New Roman" w:hint="default"/>
          <w:sz w:val="18"/>
          <w:szCs w:val="18"/>
        </w:rPr>
        <w:sectPr>
          <w:pgSz w:w="11910" w:h="16840"/>
          <w:pgMar w:header="907" w:footer="1016" w:top="1100" w:bottom="1200" w:left="1020" w:right="0"/>
        </w:sectPr>
      </w:pPr>
    </w:p>
    <w:p>
      <w:pPr>
        <w:spacing w:line="240" w:lineRule="auto" w:before="10"/>
        <w:rPr>
          <w:rFonts w:ascii="宋体" w:hAnsi="宋体" w:cs="宋体" w:eastAsia="宋体" w:hint="default"/>
          <w:b/>
          <w:bCs/>
          <w:sz w:val="21"/>
          <w:szCs w:val="21"/>
        </w:rPr>
      </w:pPr>
    </w:p>
    <w:p>
      <w:pPr>
        <w:pStyle w:val="Heading3"/>
        <w:spacing w:line="240" w:lineRule="auto" w:before="34"/>
        <w:ind w:right="0"/>
        <w:jc w:val="left"/>
        <w:rPr>
          <w:b w:val="0"/>
          <w:bCs w:val="0"/>
        </w:rPr>
      </w:pPr>
      <w:bookmarkStart w:name="3、境内外会计准则下会计数据差异" w:id="456"/>
      <w:bookmarkEnd w:id="456"/>
      <w:r>
        <w:rPr>
          <w:b w:val="0"/>
          <w:bCs w:val="0"/>
        </w:rPr>
      </w:r>
      <w:r>
        <w:rPr>
          <w:rFonts w:ascii="Times New Roman" w:hAnsi="Times New Roman" w:cs="Times New Roman" w:eastAsia="Times New Roman" w:hint="default"/>
        </w:rPr>
        <w:t>3</w:t>
      </w:r>
      <w:r>
        <w:rPr/>
        <w:t>、境内外会计准则下会计数据差异</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同时按照国际会计准则与按中国会计准则披露的财务报告中净利润和净资产差异情况" w:id="457"/>
      <w:bookmarkEnd w:id="457"/>
      <w:r>
        <w:rPr>
          <w:b w:val="0"/>
          <w:bCs w:val="0"/>
        </w:rPr>
      </w:r>
      <w:r>
        <w:rPr/>
        <w:t>（</w:t>
      </w:r>
      <w:r>
        <w:rPr>
          <w:rFonts w:ascii="Times New Roman" w:hAnsi="Times New Roman" w:cs="Times New Roman" w:eastAsia="Times New Roman" w:hint="default"/>
        </w:rPr>
        <w:t>1</w:t>
      </w:r>
      <w:r>
        <w:rPr/>
        <w:t>）同时按照国际会计准则与按中国会计准则披露的财务报告中净利润和净资产差异情况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204" w:right="0"/>
        <w:jc w:val="left"/>
      </w:pPr>
      <w:r>
        <w:rPr/>
        <w:t>□ 适用√</w:t>
      </w:r>
      <w:r>
        <w:rPr>
          <w:spacing w:val="-1"/>
        </w:rPr>
        <w:t> </w:t>
      </w:r>
      <w:r>
        <w:rPr/>
        <w:t>不适用</w:t>
      </w:r>
    </w:p>
    <w:p>
      <w:pPr>
        <w:spacing w:line="240" w:lineRule="auto" w:before="0"/>
        <w:rPr>
          <w:rFonts w:ascii="宋体" w:hAnsi="宋体" w:cs="宋体" w:eastAsia="宋体" w:hint="default"/>
          <w:sz w:val="18"/>
          <w:szCs w:val="18"/>
        </w:rPr>
      </w:pPr>
    </w:p>
    <w:p>
      <w:pPr>
        <w:pStyle w:val="Heading3"/>
        <w:spacing w:line="240" w:lineRule="auto" w:before="118"/>
        <w:ind w:right="0"/>
        <w:jc w:val="left"/>
        <w:rPr>
          <w:b w:val="0"/>
          <w:bCs w:val="0"/>
        </w:rPr>
      </w:pPr>
      <w:bookmarkStart w:name="（2）同时按照境外会计准则与按中国会计准则披露的财务报告中净利润和净资产差异情况" w:id="458"/>
      <w:bookmarkEnd w:id="458"/>
      <w:r>
        <w:rPr>
          <w:b w:val="0"/>
          <w:bCs w:val="0"/>
        </w:rPr>
      </w:r>
      <w:r>
        <w:rPr/>
        <w:t>（</w:t>
      </w:r>
      <w:r>
        <w:rPr>
          <w:rFonts w:ascii="Times New Roman" w:hAnsi="Times New Roman" w:cs="Times New Roman" w:eastAsia="Times New Roman" w:hint="default"/>
        </w:rPr>
        <w:t>2</w:t>
      </w:r>
      <w:r>
        <w:rPr/>
        <w:t>）同时按照境外会计准则与按中国会计准则披露的财务报告中净利润和净资产差异情况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204" w:right="0"/>
        <w:jc w:val="left"/>
      </w:pPr>
      <w:r>
        <w:rPr/>
        <w:t>□ 适用√</w:t>
      </w:r>
      <w:r>
        <w:rPr>
          <w:spacing w:val="-1"/>
        </w:rPr>
        <w:t> </w:t>
      </w:r>
      <w:r>
        <w:rPr/>
        <w:t>不适用</w:t>
      </w:r>
    </w:p>
    <w:p>
      <w:pPr>
        <w:spacing w:line="240" w:lineRule="auto" w:before="11"/>
        <w:rPr>
          <w:rFonts w:ascii="宋体" w:hAnsi="宋体" w:cs="宋体" w:eastAsia="宋体" w:hint="default"/>
          <w:sz w:val="26"/>
          <w:szCs w:val="26"/>
        </w:rPr>
      </w:pPr>
    </w:p>
    <w:p>
      <w:pPr>
        <w:pStyle w:val="Heading3"/>
        <w:spacing w:line="259" w:lineRule="auto"/>
        <w:ind w:right="0"/>
        <w:jc w:val="left"/>
        <w:rPr>
          <w:b w:val="0"/>
          <w:bCs w:val="0"/>
        </w:rPr>
      </w:pPr>
      <w:bookmarkStart w:name="（3）境内外会计准则下会计数据差异原因说明，对已经境外审计机构审计的数据进行差异" w:id="459"/>
      <w:bookmarkEnd w:id="459"/>
      <w:r>
        <w:rPr>
          <w:b w:val="0"/>
          <w:bCs w:val="0"/>
        </w:rPr>
      </w:r>
      <w:r>
        <w:rPr>
          <w:spacing w:val="3"/>
          <w:w w:val="95"/>
        </w:rPr>
        <w:t>（</w:t>
      </w:r>
      <w:r>
        <w:rPr>
          <w:rFonts w:ascii="Times New Roman" w:hAnsi="Times New Roman" w:cs="Times New Roman" w:eastAsia="Times New Roman" w:hint="default"/>
          <w:spacing w:val="3"/>
          <w:w w:val="95"/>
        </w:rPr>
        <w:t>3</w:t>
      </w:r>
      <w:r>
        <w:rPr>
          <w:spacing w:val="3"/>
          <w:w w:val="95"/>
        </w:rPr>
        <w:t>）境内外会计准则下会计数据差异原因说明，对已经境外审计机构审计的数据进行差异调节的，应注</w:t>
      </w:r>
      <w:r>
        <w:rPr>
          <w:spacing w:val="93"/>
          <w:w w:val="95"/>
        </w:rPr>
        <w:t> </w:t>
      </w:r>
      <w:r>
        <w:rPr>
          <w:spacing w:val="93"/>
          <w:w w:val="95"/>
        </w:rPr>
      </w:r>
      <w:r>
        <w:rPr/>
        <w:t>明该境外机构的名称</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4、其他" w:id="460"/>
      <w:bookmarkEnd w:id="460"/>
      <w:r>
        <w:rPr>
          <w:b w:val="0"/>
          <w:bCs w:val="0"/>
        </w:rPr>
      </w:r>
      <w:r>
        <w:rPr>
          <w:rFonts w:ascii="Times New Roman" w:hAnsi="Times New Roman" w:cs="Times New Roman" w:eastAsia="Times New Roman" w:hint="default"/>
        </w:rPr>
        <w:t>4</w:t>
      </w:r>
      <w:r>
        <w:rPr/>
        <w:t>、其他</w:t>
      </w:r>
      <w:r>
        <w:rPr>
          <w:b w:val="0"/>
          <w:bCs w:val="0"/>
        </w:rPr>
      </w:r>
    </w:p>
    <w:p>
      <w:pPr>
        <w:spacing w:after="0" w:line="240" w:lineRule="auto"/>
        <w:jc w:val="left"/>
        <w:sectPr>
          <w:pgSz w:w="11910" w:h="16840"/>
          <w:pgMar w:header="907" w:footer="1016" w:top="1100" w:bottom="1200" w:left="102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7"/>
          <w:szCs w:val="17"/>
        </w:rPr>
      </w:pPr>
    </w:p>
    <w:p>
      <w:pPr>
        <w:pStyle w:val="Heading1"/>
        <w:spacing w:line="240" w:lineRule="auto"/>
        <w:ind w:left="3328" w:right="0"/>
        <w:jc w:val="left"/>
        <w:rPr>
          <w:b w:val="0"/>
          <w:bCs w:val="0"/>
        </w:rPr>
      </w:pPr>
      <w:bookmarkStart w:name="第十二节备查文件目录" w:id="461"/>
      <w:bookmarkEnd w:id="461"/>
      <w:r>
        <w:rPr>
          <w:b w:val="0"/>
          <w:bCs w:val="0"/>
        </w:rPr>
      </w:r>
      <w:bookmarkStart w:name="_bookmark10" w:id="462"/>
      <w:bookmarkEnd w:id="462"/>
      <w:r>
        <w:rPr>
          <w:b w:val="0"/>
          <w:bCs w:val="0"/>
        </w:rPr>
      </w:r>
      <w:r>
        <w:rPr/>
        <w:t>第十二节备查文件目录</w:t>
      </w:r>
      <w:r>
        <w:rPr>
          <w:b w:val="0"/>
          <w:bCs w:val="0"/>
        </w:rPr>
      </w:r>
    </w:p>
    <w:p>
      <w:pPr>
        <w:spacing w:line="240" w:lineRule="auto" w:before="6"/>
        <w:rPr>
          <w:rFonts w:ascii="宋体" w:hAnsi="宋体" w:cs="宋体" w:eastAsia="宋体" w:hint="default"/>
          <w:b/>
          <w:bCs/>
          <w:sz w:val="42"/>
          <w:szCs w:val="42"/>
        </w:rPr>
      </w:pPr>
    </w:p>
    <w:p>
      <w:pPr>
        <w:pStyle w:val="BodyText"/>
        <w:spacing w:line="240" w:lineRule="auto"/>
        <w:ind w:left="832" w:right="0"/>
        <w:jc w:val="left"/>
      </w:pPr>
      <w:r>
        <w:rPr/>
        <w:t>公司</w:t>
      </w:r>
      <w:r>
        <w:rPr>
          <w:rFonts w:ascii="Times New Roman" w:hAnsi="Times New Roman" w:cs="Times New Roman" w:eastAsia="Times New Roman" w:hint="default"/>
        </w:rPr>
        <w:t>2018</w:t>
      </w:r>
      <w:r>
        <w:rPr/>
        <w:t>年度报告的备查文件包括：</w:t>
      </w:r>
    </w:p>
    <w:p>
      <w:pPr>
        <w:pStyle w:val="BodyText"/>
        <w:spacing w:line="240" w:lineRule="auto" w:before="63"/>
        <w:ind w:left="832" w:right="0"/>
        <w:jc w:val="left"/>
      </w:pPr>
      <w:r>
        <w:rPr>
          <w:rFonts w:ascii="Times New Roman" w:hAnsi="Times New Roman" w:cs="Times New Roman" w:eastAsia="Times New Roman" w:hint="default"/>
        </w:rPr>
        <w:t>1</w:t>
      </w:r>
      <w:r>
        <w:rPr/>
        <w:t>、载有公司法定代表人签名的</w:t>
      </w:r>
      <w:r>
        <w:rPr>
          <w:rFonts w:ascii="Times New Roman" w:hAnsi="Times New Roman" w:cs="Times New Roman" w:eastAsia="Times New Roman" w:hint="default"/>
        </w:rPr>
        <w:t>2018</w:t>
      </w:r>
      <w:r>
        <w:rPr/>
        <w:t>年度报告全文的原件；</w:t>
      </w:r>
    </w:p>
    <w:p>
      <w:pPr>
        <w:pStyle w:val="BodyText"/>
        <w:spacing w:line="240" w:lineRule="auto" w:before="63"/>
        <w:ind w:left="832" w:right="0"/>
        <w:jc w:val="left"/>
      </w:pPr>
      <w:r>
        <w:rPr>
          <w:rFonts w:ascii="Times New Roman" w:hAnsi="Times New Roman" w:cs="Times New Roman" w:eastAsia="Times New Roman" w:hint="default"/>
        </w:rPr>
        <w:t>2</w:t>
      </w:r>
      <w:r>
        <w:rPr/>
        <w:t>、载有公司负责人、主管会计工作负责人、会计机构负责人签名并盖章的财务报表；</w:t>
      </w:r>
    </w:p>
    <w:p>
      <w:pPr>
        <w:pStyle w:val="BodyText"/>
        <w:spacing w:line="240" w:lineRule="auto" w:before="63"/>
        <w:ind w:left="832" w:right="0"/>
        <w:jc w:val="left"/>
      </w:pPr>
      <w:r>
        <w:rPr>
          <w:rFonts w:ascii="Times New Roman" w:hAnsi="Times New Roman" w:cs="Times New Roman" w:eastAsia="Times New Roman" w:hint="default"/>
        </w:rPr>
        <w:t>3</w:t>
      </w:r>
      <w:r>
        <w:rPr/>
        <w:t>、报告期内在中国证监会指定网站上公开披露过的所有文件的正本及公告原稿；</w:t>
      </w:r>
    </w:p>
    <w:p>
      <w:pPr>
        <w:pStyle w:val="BodyText"/>
        <w:spacing w:line="240" w:lineRule="auto" w:before="63"/>
        <w:ind w:left="832" w:right="0"/>
        <w:jc w:val="left"/>
      </w:pPr>
      <w:r>
        <w:rPr>
          <w:rFonts w:ascii="Times New Roman" w:hAnsi="Times New Roman" w:cs="Times New Roman" w:eastAsia="Times New Roman" w:hint="default"/>
        </w:rPr>
        <w:t>4</w:t>
      </w:r>
      <w:r>
        <w:rPr/>
        <w:t>、其他备查文件。</w:t>
      </w:r>
    </w:p>
    <w:sectPr>
      <w:pgSz w:w="11910" w:h="16840"/>
      <w:pgMar w:header="907" w:footer="1016" w:top="1100" w:bottom="1200" w:left="102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094152" type="#_x0000_t75" stroked="false">
          <v:imagedata r:id="rId1" o:title=""/>
        </v:shape>
      </w:pict>
    </w:r>
    <w:r>
      <w:rPr/>
      <w:pict>
        <v:shape style="position:absolute;margin-left:55.639999pt;margin-top:793.647949pt;width:6.5pt;height:11pt;mso-position-horizontal-relative:page;mso-position-vertical-relative:page;z-index:-1094128"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1</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093624" type="#_x0000_t75" stroked="false">
          <v:imagedata r:id="rId1" o:title=""/>
        </v:shape>
      </w:pict>
    </w:r>
    <w:r>
      <w:rPr/>
      <w:pict>
        <v:shape style="position:absolute;margin-left:54.639999pt;margin-top:780.087952pt;width:13.1pt;height:11pt;mso-position-horizontal-relative:page;mso-position-vertical-relative:page;z-index:-109360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80</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093576" type="#_x0000_t75" stroked="false">
          <v:imagedata r:id="rId1" o:title=""/>
        </v:shape>
      </w:pict>
    </w:r>
    <w:r>
      <w:rPr/>
      <w:pict>
        <v:shape style="position:absolute;margin-left:54.639999pt;margin-top:780.087952pt;width:13.1pt;height:11pt;mso-position-horizontal-relative:page;mso-position-vertical-relative:page;z-index:-1093552"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90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093528" type="#_x0000_t75" stroked="false">
          <v:imagedata r:id="rId1" o:title=""/>
        </v:shape>
      </w:pict>
    </w:r>
    <w:r>
      <w:rPr/>
      <w:pict>
        <v:shape style="position:absolute;margin-left:54.639999pt;margin-top:780.087952pt;width:17.5pt;height:11pt;mso-position-horizontal-relative:page;mso-position-vertical-relative:page;z-index:-1093504"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100</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093480" type="#_x0000_t75" stroked="false">
          <v:imagedata r:id="rId1" o:title=""/>
        </v:shape>
      </w:pict>
    </w:r>
    <w:r>
      <w:rPr/>
      <w:pict>
        <v:shape style="position:absolute;margin-left:54.639999pt;margin-top:780.087952pt;width:17.3pt;height:11pt;mso-position-horizontal-relative:page;mso-position-vertical-relative:page;z-index:-1093456"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110</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093432" type="#_x0000_t75" stroked="false">
          <v:imagedata r:id="rId1" o:title=""/>
        </v:shape>
      </w:pict>
    </w:r>
    <w:r>
      <w:rPr/>
      <w:pict>
        <v:shape style="position:absolute;margin-left:54.639999pt;margin-top:780.087952pt;width:17.5pt;height:11pt;mso-position-horizontal-relative:page;mso-position-vertical-relative:page;z-index:-1093408"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120</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093384" type="#_x0000_t75" stroked="false">
          <v:imagedata r:id="rId1" o:title=""/>
        </v:shape>
      </w:pict>
    </w:r>
    <w:r>
      <w:rPr/>
      <w:pict>
        <v:shape style="position:absolute;margin-left:54.639999pt;margin-top:780.087952pt;width:17.5pt;height:11pt;mso-position-horizontal-relative:page;mso-position-vertical-relative:page;z-index:-109336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130</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093336" type="#_x0000_t75" stroked="false">
          <v:imagedata r:id="rId1" o:title=""/>
        </v:shape>
      </w:pict>
    </w:r>
    <w:r>
      <w:rPr/>
      <w:pict>
        <v:shape style="position:absolute;margin-left:54.639999pt;margin-top:780.087952pt;width:17.5pt;height:11pt;mso-position-horizontal-relative:page;mso-position-vertical-relative:page;z-index:-1093312"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140</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093288" type="#_x0000_t75" stroked="false">
          <v:imagedata r:id="rId1" o:title=""/>
        </v:shape>
      </w:pict>
    </w:r>
    <w:r>
      <w:rPr/>
      <w:pict>
        <v:shape style="position:absolute;margin-left:54.639999pt;margin-top:780.087952pt;width:17.5pt;height:11pt;mso-position-horizontal-relative:page;mso-position-vertical-relative:page;z-index:-1093264"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149</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093240" type="#_x0000_t75" stroked="false">
          <v:imagedata r:id="rId1" o:title=""/>
        </v:shape>
      </w:pict>
    </w:r>
    <w:r>
      <w:rPr/>
      <w:pict>
        <v:shape style="position:absolute;margin-left:54.639999pt;margin-top:780.087952pt;width:17.5pt;height:11pt;mso-position-horizontal-relative:page;mso-position-vertical-relative:page;z-index:-1093216"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150</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093192" type="#_x0000_t75" stroked="false">
          <v:imagedata r:id="rId1" o:title=""/>
        </v:shape>
      </w:pict>
    </w:r>
    <w:r>
      <w:rPr/>
      <w:pict>
        <v:shape style="position:absolute;margin-left:54.639999pt;margin-top:780.087952pt;width:17.5pt;height:11pt;mso-position-horizontal-relative:page;mso-position-vertical-relative:page;z-index:-1093168"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160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094104" type="#_x0000_t75" stroked="false">
          <v:imagedata r:id="rId1" o:title=""/>
        </v:shape>
      </w:pict>
    </w:r>
    <w:r>
      <w:rPr/>
      <w:pict>
        <v:shape style="position:absolute;margin-left:54.639999pt;margin-top:780.087952pt;width:8.5pt;height:11pt;mso-position-horizontal-relative:page;mso-position-vertical-relative:page;z-index:-109408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2</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093144" type="#_x0000_t75" stroked="false">
          <v:imagedata r:id="rId1" o:title=""/>
        </v:shape>
      </w:pict>
    </w:r>
    <w:r>
      <w:rPr/>
      <w:pict>
        <v:shape style="position:absolute;margin-left:54.639999pt;margin-top:780.087952pt;width:17.5pt;height:11pt;mso-position-horizontal-relative:page;mso-position-vertical-relative:page;z-index:-109312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170</w:t>
                </w:r>
                <w:r>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093096" type="#_x0000_t75" stroked="false">
          <v:imagedata r:id="rId1" o:title=""/>
        </v:shape>
      </w:pict>
    </w:r>
    <w:r>
      <w:rPr/>
      <w:pict>
        <v:shape style="position:absolute;margin-left:54.639999pt;margin-top:780.087952pt;width:17.5pt;height:11pt;mso-position-horizontal-relative:page;mso-position-vertical-relative:page;z-index:-1093072"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180</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093048" type="#_x0000_t75" stroked="false">
          <v:imagedata r:id="rId1" o:title=""/>
        </v:shape>
      </w:pict>
    </w:r>
    <w:r>
      <w:rPr/>
      <w:pict>
        <v:shape style="position:absolute;margin-left:54.639999pt;margin-top:780.087952pt;width:17.5pt;height:11pt;mso-position-horizontal-relative:page;mso-position-vertical-relative:page;z-index:-1093024"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187</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093000" type="#_x0000_t75" stroked="false">
          <v:imagedata r:id="rId1" o:title=""/>
        </v:shape>
      </w:pict>
    </w:r>
    <w:r>
      <w:rPr/>
      <w:pict>
        <v:shape style="position:absolute;margin-left:54.639999pt;margin-top:780.087952pt;width:17.5pt;height:11pt;mso-position-horizontal-relative:page;mso-position-vertical-relative:page;z-index:-1092976"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190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094032" type="#_x0000_t75" stroked="false">
          <v:imagedata r:id="rId1" o:title=""/>
        </v:shape>
      </w:pict>
    </w:r>
    <w:r>
      <w:rPr/>
      <w:pict>
        <v:shape style="position:absolute;margin-left:54.639999pt;margin-top:780.087952pt;width:13.1pt;height:11pt;mso-position-horizontal-relative:page;mso-position-vertical-relative:page;z-index:-1094008"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093984" type="#_x0000_t75" stroked="false">
          <v:imagedata r:id="rId1" o:title=""/>
        </v:shape>
      </w:pict>
    </w:r>
    <w:r>
      <w:rPr/>
      <w:pict>
        <v:shape style="position:absolute;margin-left:54.639999pt;margin-top:780.087952pt;width:13.1pt;height:11pt;mso-position-horizontal-relative:page;mso-position-vertical-relative:page;z-index:-109396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20</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093936" type="#_x0000_t75" stroked="false">
          <v:imagedata r:id="rId1" o:title=""/>
        </v:shape>
      </w:pict>
    </w:r>
    <w:r>
      <w:rPr/>
      <w:pict>
        <v:shape style="position:absolute;margin-left:54.639999pt;margin-top:780.087952pt;width:13.1pt;height:11pt;mso-position-horizontal-relative:page;mso-position-vertical-relative:page;z-index:-1093912"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30</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093864" type="#_x0000_t75" stroked="false">
          <v:imagedata r:id="rId1" o:title=""/>
        </v:shape>
      </w:pict>
    </w:r>
    <w:r>
      <w:rPr/>
      <w:pict>
        <v:shape style="position:absolute;margin-left:54.639999pt;margin-top:780.087952pt;width:13.1pt;height:11pt;mso-position-horizontal-relative:page;mso-position-vertical-relative:page;z-index:-109384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40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093816" type="#_x0000_t75" stroked="false">
          <v:imagedata r:id="rId1" o:title=""/>
        </v:shape>
      </w:pict>
    </w:r>
    <w:r>
      <w:rPr/>
      <w:pict>
        <v:shape style="position:absolute;margin-left:54.639999pt;margin-top:780.087952pt;width:13.1pt;height:11pt;mso-position-horizontal-relative:page;mso-position-vertical-relative:page;z-index:-1093792"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50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093744" type="#_x0000_t75" stroked="false">
          <v:imagedata r:id="rId1" o:title=""/>
        </v:shape>
      </w:pict>
    </w:r>
    <w:r>
      <w:rPr/>
      <w:pict>
        <v:shape style="position:absolute;margin-left:54.639999pt;margin-top:780.087952pt;width:13.1pt;height:11pt;mso-position-horizontal-relative:page;mso-position-vertical-relative:page;z-index:-109372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60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21033pt;margin-top:806.701233pt;width:59.492154pt;height:26.794177pt;mso-position-horizontal-relative:page;mso-position-vertical-relative:page;z-index:-1093672" type="#_x0000_t75" stroked="false">
          <v:imagedata r:id="rId1" o:title=""/>
        </v:shape>
      </w:pict>
    </w:r>
    <w:r>
      <w:rPr/>
      <w:pict>
        <v:shape style="position:absolute;margin-left:54.639999pt;margin-top:780.087952pt;width:13.1pt;height:11pt;mso-position-horizontal-relative:page;mso-position-vertical-relative:page;z-index:-1093648"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70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55.639999pt;margin-top:38.355648pt;width:195.6pt;height:11.5pt;mso-position-horizontal-relative:page;mso-position-vertical-relative:page;z-index:-1094176" type="#_x0000_t202" filled="false" stroked="false">
          <v:textbox inset="0,0,0,0">
            <w:txbxContent>
              <w:p>
                <w:pPr>
                  <w:pStyle w:val="BodyText"/>
                  <w:spacing w:line="214" w:lineRule="exact"/>
                  <w:ind w:left="20" w:right="0"/>
                  <w:jc w:val="left"/>
                </w:pPr>
                <w:r>
                  <w:rPr/>
                  <w:t>创业慧康科技股份有限公司</w:t>
                </w:r>
                <w:r>
                  <w:rPr>
                    <w:spacing w:val="-45"/>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年年度报告全文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44.95565pt;width:195.6pt;height:11.4pt;mso-position-horizontal-relative:page;mso-position-vertical-relative:page;z-index:-1094056" type="#_x0000_t202" filled="false" stroked="false">
          <v:textbox inset="0,0,0,0">
            <w:txbxContent>
              <w:p>
                <w:pPr>
                  <w:pStyle w:val="BodyText"/>
                  <w:spacing w:line="214" w:lineRule="exact"/>
                  <w:ind w:left="20" w:right="0"/>
                  <w:jc w:val="left"/>
                </w:pPr>
                <w:r>
                  <w:rPr/>
                  <w:t>创业慧康科技股份有限公司</w:t>
                </w:r>
                <w:r>
                  <w:rPr>
                    <w:spacing w:val="-45"/>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年年度报告全文</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44.95565pt;width:195.6pt;height:11.4pt;mso-position-horizontal-relative:page;mso-position-vertical-relative:page;z-index:-1093888" type="#_x0000_t202" filled="false" stroked="false">
          <v:textbox inset="0,0,0,0">
            <w:txbxContent>
              <w:p>
                <w:pPr>
                  <w:pStyle w:val="BodyText"/>
                  <w:spacing w:line="214" w:lineRule="exact"/>
                  <w:ind w:left="20" w:right="0"/>
                  <w:jc w:val="left"/>
                </w:pPr>
                <w:r>
                  <w:rPr/>
                  <w:t>创业慧康科技股份有限公司</w:t>
                </w:r>
                <w:r>
                  <w:rPr>
                    <w:spacing w:val="-45"/>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年年度报告全文</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44.95565pt;width:195.6pt;height:11.4pt;mso-position-horizontal-relative:page;mso-position-vertical-relative:page;z-index:-1093768" type="#_x0000_t202" filled="false" stroked="false">
          <v:textbox inset="0,0,0,0">
            <w:txbxContent>
              <w:p>
                <w:pPr>
                  <w:pStyle w:val="BodyText"/>
                  <w:spacing w:line="214" w:lineRule="exact"/>
                  <w:ind w:left="20" w:right="0"/>
                  <w:jc w:val="left"/>
                </w:pPr>
                <w:r>
                  <w:rPr/>
                  <w:t>创业慧康科技股份有限公司</w:t>
                </w:r>
                <w:r>
                  <w:rPr>
                    <w:spacing w:val="-45"/>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年年度报告全文</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639999pt;margin-top:44.95565pt;width:195.6pt;height:11.4pt;mso-position-horizontal-relative:page;mso-position-vertical-relative:page;z-index:-1093696" type="#_x0000_t202" filled="false" stroked="false">
          <v:textbox inset="0,0,0,0">
            <w:txbxContent>
              <w:p>
                <w:pPr>
                  <w:pStyle w:val="BodyText"/>
                  <w:spacing w:line="214" w:lineRule="exact"/>
                  <w:ind w:left="20" w:right="0"/>
                  <w:jc w:val="left"/>
                </w:pPr>
                <w:r>
                  <w:rPr/>
                  <w:t>创业慧康科技股份有限公司</w:t>
                </w:r>
                <w:r>
                  <w:rPr>
                    <w:spacing w:val="-45"/>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59"/>
      <w:ind w:left="112"/>
    </w:pPr>
    <w:rPr>
      <w:rFonts w:ascii="宋体" w:hAnsi="宋体" w:eastAsia="宋体"/>
      <w:b/>
      <w:bCs/>
      <w:sz w:val="24"/>
      <w:szCs w:val="24"/>
    </w:rPr>
  </w:style>
  <w:style w:styleId="BodyText" w:type="paragraph">
    <w:name w:val="Body Text"/>
    <w:basedOn w:val="Normal"/>
    <w:uiPriority w:val="1"/>
    <w:qFormat/>
    <w:pPr>
      <w:ind w:left="112"/>
    </w:pPr>
    <w:rPr>
      <w:rFonts w:ascii="宋体" w:hAnsi="宋体" w:eastAsia="宋体"/>
      <w:sz w:val="18"/>
      <w:szCs w:val="18"/>
    </w:rPr>
  </w:style>
  <w:style w:styleId="Heading1" w:type="paragraph">
    <w:name w:val="Heading 1"/>
    <w:basedOn w:val="Normal"/>
    <w:uiPriority w:val="1"/>
    <w:qFormat/>
    <w:pPr>
      <w:ind w:left="2277"/>
      <w:outlineLvl w:val="1"/>
    </w:pPr>
    <w:rPr>
      <w:rFonts w:ascii="宋体" w:hAnsi="宋体" w:eastAsia="宋体"/>
      <w:b/>
      <w:bCs/>
      <w:sz w:val="32"/>
      <w:szCs w:val="32"/>
    </w:rPr>
  </w:style>
  <w:style w:styleId="Heading2" w:type="paragraph">
    <w:name w:val="Heading 2"/>
    <w:basedOn w:val="Normal"/>
    <w:uiPriority w:val="1"/>
    <w:qFormat/>
    <w:pPr>
      <w:ind w:left="112"/>
      <w:outlineLvl w:val="2"/>
    </w:pPr>
    <w:rPr>
      <w:rFonts w:ascii="宋体" w:hAnsi="宋体" w:eastAsia="宋体"/>
      <w:b/>
      <w:bCs/>
      <w:sz w:val="24"/>
      <w:szCs w:val="24"/>
    </w:rPr>
  </w:style>
  <w:style w:styleId="Heading3" w:type="paragraph">
    <w:name w:val="Heading 3"/>
    <w:basedOn w:val="Normal"/>
    <w:uiPriority w:val="1"/>
    <w:qFormat/>
    <w:pPr>
      <w:ind w:left="112"/>
      <w:outlineLvl w:val="3"/>
    </w:pPr>
    <w:rPr>
      <w:rFonts w:ascii="宋体" w:hAnsi="宋体" w:eastAsia="宋体"/>
      <w:b/>
      <w:bCs/>
      <w:sz w:val="21"/>
      <w:szCs w:val="21"/>
    </w:rPr>
  </w:style>
  <w:style w:styleId="Heading4" w:type="paragraph">
    <w:name w:val="Heading 4"/>
    <w:basedOn w:val="Normal"/>
    <w:uiPriority w:val="1"/>
    <w:qFormat/>
    <w:pPr>
      <w:ind w:left="532"/>
      <w:outlineLvl w:val="4"/>
    </w:pPr>
    <w:rPr>
      <w:rFonts w:ascii="宋体" w:hAnsi="宋体" w:eastAsia="宋体"/>
      <w:sz w:val="21"/>
      <w:szCs w:val="21"/>
    </w:rPr>
  </w:style>
  <w:style w:styleId="Heading5" w:type="paragraph">
    <w:name w:val="Heading 5"/>
    <w:basedOn w:val="Normal"/>
    <w:uiPriority w:val="1"/>
    <w:qFormat/>
    <w:pPr>
      <w:ind w:left="475"/>
      <w:outlineLvl w:val="5"/>
    </w:pPr>
    <w:rPr>
      <w:rFonts w:ascii="宋体" w:hAnsi="宋体" w:eastAsia="宋体"/>
      <w:b/>
      <w:bCs/>
      <w:sz w:val="18"/>
      <w:szCs w:val="18"/>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footer" Target="footer2.xml"/><Relationship Id="rId9" Type="http://schemas.openxmlformats.org/officeDocument/2006/relationships/header" Target="header2.xml"/><Relationship Id="rId10" Type="http://schemas.openxmlformats.org/officeDocument/2006/relationships/footer" Target="footer3.xml"/><Relationship Id="rId11" Type="http://schemas.openxmlformats.org/officeDocument/2006/relationships/hyperlink" Target="http://www.bsoft.com.cn/" TargetMode="External"/><Relationship Id="rId12" Type="http://schemas.openxmlformats.org/officeDocument/2006/relationships/hyperlink" Target="mailto:bsoft@bsoft.com.cn" TargetMode="External"/><Relationship Id="rId13" Type="http://schemas.openxmlformats.org/officeDocument/2006/relationships/hyperlink" Target="mailto:huy@bsoft.com.cn" TargetMode="External"/><Relationship Id="rId14" Type="http://schemas.openxmlformats.org/officeDocument/2006/relationships/hyperlink" Target="mailto:xus@bsoft.com.cn" TargetMode="External"/><Relationship Id="rId15" Type="http://schemas.openxmlformats.org/officeDocument/2006/relationships/hyperlink" Target="http://www.cninfo.com.cn/" TargetMode="External"/><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footer" Target="footer4.xml"/><Relationship Id="rId21" Type="http://schemas.openxmlformats.org/officeDocument/2006/relationships/image" Target="media/image7.jpeg"/><Relationship Id="rId22" Type="http://schemas.openxmlformats.org/officeDocument/2006/relationships/image" Target="media/image8.jpeg"/><Relationship Id="rId23" Type="http://schemas.openxmlformats.org/officeDocument/2006/relationships/image" Target="media/image9.jpe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footer" Target="footer5.xml"/><Relationship Id="rId29" Type="http://schemas.openxmlformats.org/officeDocument/2006/relationships/header" Target="header3.xml"/><Relationship Id="rId30" Type="http://schemas.openxmlformats.org/officeDocument/2006/relationships/footer" Target="footer6.xml"/><Relationship Id="rId31" Type="http://schemas.openxmlformats.org/officeDocument/2006/relationships/footer" Target="footer7.xml"/><Relationship Id="rId32" Type="http://schemas.openxmlformats.org/officeDocument/2006/relationships/header" Target="header4.xml"/><Relationship Id="rId33" Type="http://schemas.openxmlformats.org/officeDocument/2006/relationships/footer" Target="footer8.xml"/><Relationship Id="rId34" Type="http://schemas.openxmlformats.org/officeDocument/2006/relationships/header" Target="header5.xml"/><Relationship Id="rId35" Type="http://schemas.openxmlformats.org/officeDocument/2006/relationships/footer" Target="footer9.xml"/><Relationship Id="rId36" Type="http://schemas.openxmlformats.org/officeDocument/2006/relationships/image" Target="media/image14.jpeg"/><Relationship Id="rId37" Type="http://schemas.openxmlformats.org/officeDocument/2006/relationships/footer" Target="footer10.xml"/><Relationship Id="rId38" Type="http://schemas.openxmlformats.org/officeDocument/2006/relationships/footer" Target="footer11.xml"/><Relationship Id="rId39" Type="http://schemas.openxmlformats.org/officeDocument/2006/relationships/footer" Target="footer12.xml"/><Relationship Id="rId40" Type="http://schemas.openxmlformats.org/officeDocument/2006/relationships/footer" Target="footer13.xml"/><Relationship Id="rId41" Type="http://schemas.openxmlformats.org/officeDocument/2006/relationships/footer" Target="footer14.xml"/><Relationship Id="rId42" Type="http://schemas.openxmlformats.org/officeDocument/2006/relationships/footer" Target="footer15.xml"/><Relationship Id="rId43" Type="http://schemas.openxmlformats.org/officeDocument/2006/relationships/footer" Target="footer16.xml"/><Relationship Id="rId44" Type="http://schemas.openxmlformats.org/officeDocument/2006/relationships/footer" Target="footer17.xml"/><Relationship Id="rId45" Type="http://schemas.openxmlformats.org/officeDocument/2006/relationships/footer" Target="footer18.xml"/><Relationship Id="rId46" Type="http://schemas.openxmlformats.org/officeDocument/2006/relationships/footer" Target="footer19.xml"/><Relationship Id="rId47" Type="http://schemas.openxmlformats.org/officeDocument/2006/relationships/footer" Target="footer20.xml"/><Relationship Id="rId48" Type="http://schemas.openxmlformats.org/officeDocument/2006/relationships/footer" Target="footer21.xml"/><Relationship Id="rId49" Type="http://schemas.openxmlformats.org/officeDocument/2006/relationships/footer" Target="footer22.xml"/><Relationship Id="rId50" Type="http://schemas.openxmlformats.org/officeDocument/2006/relationships/footer" Target="footer23.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10.xml.rels><?xml version="1.0" encoding="UTF-8" standalone="yes"?>
<Relationships xmlns="http://schemas.openxmlformats.org/package/2006/relationships"><Relationship Id="rId1" Type="http://schemas.openxmlformats.org/officeDocument/2006/relationships/image" Target="media/image1.jpeg"/></Relationships>

</file>

<file path=word/_rels/footer11.xml.rels><?xml version="1.0" encoding="UTF-8" standalone="yes"?>
<Relationships xmlns="http://schemas.openxmlformats.org/package/2006/relationships"><Relationship Id="rId1" Type="http://schemas.openxmlformats.org/officeDocument/2006/relationships/image" Target="media/image1.jpeg"/></Relationships>

</file>

<file path=word/_rels/footer12.xml.rels><?xml version="1.0" encoding="UTF-8" standalone="yes"?>
<Relationships xmlns="http://schemas.openxmlformats.org/package/2006/relationships"><Relationship Id="rId1" Type="http://schemas.openxmlformats.org/officeDocument/2006/relationships/image" Target="media/image1.jpeg"/></Relationships>

</file>

<file path=word/_rels/footer13.xml.rels><?xml version="1.0" encoding="UTF-8" standalone="yes"?>
<Relationships xmlns="http://schemas.openxmlformats.org/package/2006/relationships"><Relationship Id="rId1" Type="http://schemas.openxmlformats.org/officeDocument/2006/relationships/image" Target="media/image1.jpeg"/></Relationships>

</file>

<file path=word/_rels/footer14.xml.rels><?xml version="1.0" encoding="UTF-8" standalone="yes"?>
<Relationships xmlns="http://schemas.openxmlformats.org/package/2006/relationships"><Relationship Id="rId1" Type="http://schemas.openxmlformats.org/officeDocument/2006/relationships/image" Target="media/image1.jpeg"/></Relationships>

</file>

<file path=word/_rels/footer15.xml.rels><?xml version="1.0" encoding="UTF-8" standalone="yes"?>
<Relationships xmlns="http://schemas.openxmlformats.org/package/2006/relationships"><Relationship Id="rId1" Type="http://schemas.openxmlformats.org/officeDocument/2006/relationships/image" Target="media/image1.jpeg"/></Relationships>

</file>

<file path=word/_rels/footer16.xml.rels><?xml version="1.0" encoding="UTF-8" standalone="yes"?>
<Relationships xmlns="http://schemas.openxmlformats.org/package/2006/relationships"><Relationship Id="rId1" Type="http://schemas.openxmlformats.org/officeDocument/2006/relationships/image" Target="media/image1.jpeg"/></Relationships>

</file>

<file path=word/_rels/footer17.xml.rels><?xml version="1.0" encoding="UTF-8" standalone="yes"?>
<Relationships xmlns="http://schemas.openxmlformats.org/package/2006/relationships"><Relationship Id="rId1" Type="http://schemas.openxmlformats.org/officeDocument/2006/relationships/image" Target="media/image1.jpeg"/></Relationships>

</file>

<file path=word/_rels/footer18.xml.rels><?xml version="1.0" encoding="UTF-8" standalone="yes"?>
<Relationships xmlns="http://schemas.openxmlformats.org/package/2006/relationships"><Relationship Id="rId1" Type="http://schemas.openxmlformats.org/officeDocument/2006/relationships/image" Target="media/image1.jpeg"/></Relationships>

</file>

<file path=word/_rels/footer19.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20.xml.rels><?xml version="1.0" encoding="UTF-8" standalone="yes"?>
<Relationships xmlns="http://schemas.openxmlformats.org/package/2006/relationships"><Relationship Id="rId1" Type="http://schemas.openxmlformats.org/officeDocument/2006/relationships/image" Target="media/image1.jpeg"/></Relationships>

</file>

<file path=word/_rels/footer21.xml.rels><?xml version="1.0" encoding="UTF-8" standalone="yes"?>
<Relationships xmlns="http://schemas.openxmlformats.org/package/2006/relationships"><Relationship Id="rId1" Type="http://schemas.openxmlformats.org/officeDocument/2006/relationships/image" Target="media/image1.jpeg"/></Relationships>

</file>

<file path=word/_rels/footer22.xml.rels><?xml version="1.0" encoding="UTF-8" standalone="yes"?>
<Relationships xmlns="http://schemas.openxmlformats.org/package/2006/relationships"><Relationship Id="rId1" Type="http://schemas.openxmlformats.org/officeDocument/2006/relationships/image" Target="media/image1.jpeg"/></Relationships>

</file>

<file path=word/_rels/footer23.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_rels/footer7.xml.rels><?xml version="1.0" encoding="UTF-8" standalone="yes"?>
<Relationships xmlns="http://schemas.openxmlformats.org/package/2006/relationships"><Relationship Id="rId1" Type="http://schemas.openxmlformats.org/officeDocument/2006/relationships/image" Target="media/image1.jpeg"/></Relationships>

</file>

<file path=word/_rels/footer8.xml.rels><?xml version="1.0" encoding="UTF-8" standalone="yes"?>
<Relationships xmlns="http://schemas.openxmlformats.org/package/2006/relationships"><Relationship Id="rId1" Type="http://schemas.openxmlformats.org/officeDocument/2006/relationships/image" Target="media/image1.jpeg"/></Relationships>

</file>

<file path=word/_rels/foot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erms:created xsi:type="dcterms:W3CDTF">2020-05-05T03:03:43Z</dcterms:created>
  <dcterms:modified xsi:type="dcterms:W3CDTF">2020-05-05T03:03:43Z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2019-04-25T00:00:00Z</vt:filetime>
  </property>
  <property fmtid="{D5CDD505-2E9C-101B-9397-08002B2CF9AE}" pid="3" name="Creator">
    <vt:lpwstr>WPS 文字</vt:lpwstr>
  </property>
  <property fmtid="{D5CDD505-2E9C-101B-9397-08002B2CF9AE}" pid="4" name="LastSaved">
    <vt:filetime>2020-05-04T00:00:00Z</vt:filetime>
  </property>
</Properties>
</file>