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4"/>
          <w:szCs w:val="24"/>
        </w:rPr>
      </w:pPr>
    </w:p>
    <w:p>
      <w:pPr>
        <w:spacing w:line="444" w:lineRule="auto" w:before="0"/>
        <w:ind w:left="2767" w:right="3782" w:firstLine="0"/>
        <w:jc w:val="center"/>
        <w:rPr>
          <w:rFonts w:ascii="Times New Roman" w:hAnsi="Times New Roman" w:cs="Times New Roman" w:eastAsia="Times New Roman" w:hint="default"/>
          <w:sz w:val="32"/>
          <w:szCs w:val="32"/>
        </w:rPr>
      </w:pPr>
      <w:r>
        <w:rPr>
          <w:rFonts w:ascii="宋体" w:hAnsi="宋体" w:cs="宋体" w:eastAsia="宋体" w:hint="default"/>
          <w:b/>
          <w:bCs/>
          <w:w w:val="95"/>
          <w:sz w:val="36"/>
          <w:szCs w:val="36"/>
        </w:rPr>
        <w:t>创业慧康科技股份有限公司</w:t>
      </w:r>
      <w:r>
        <w:rPr>
          <w:rFonts w:ascii="宋体" w:hAnsi="宋体" w:cs="宋体" w:eastAsia="宋体" w:hint="default"/>
          <w:b/>
          <w:bCs/>
          <w:spacing w:val="35"/>
          <w:w w:val="95"/>
          <w:sz w:val="36"/>
          <w:szCs w:val="36"/>
        </w:rPr>
        <w:t> </w:t>
      </w:r>
      <w:r>
        <w:rPr>
          <w:rFonts w:ascii="宋体" w:hAnsi="宋体" w:cs="宋体" w:eastAsia="宋体" w:hint="default"/>
          <w:b/>
          <w:bCs/>
          <w:spacing w:val="35"/>
          <w:w w:val="95"/>
          <w:sz w:val="36"/>
          <w:szCs w:val="36"/>
        </w:rPr>
      </w: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年年度报告</w:t>
      </w:r>
      <w:r>
        <w:rPr>
          <w:rFonts w:ascii="宋体" w:hAnsi="宋体" w:cs="宋体" w:eastAsia="宋体" w:hint="default"/>
          <w:b/>
          <w:bCs/>
          <w:w w:val="99"/>
          <w:sz w:val="32"/>
          <w:szCs w:val="32"/>
        </w:rPr>
        <w:t> </w:t>
      </w:r>
      <w:r>
        <w:rPr>
          <w:rFonts w:ascii="宋体" w:hAnsi="宋体" w:cs="宋体" w:eastAsia="宋体" w:hint="default"/>
          <w:b/>
          <w:bCs/>
          <w:sz w:val="32"/>
          <w:szCs w:val="32"/>
        </w:rPr>
        <w:t>公告编号：</w:t>
      </w:r>
      <w:r>
        <w:rPr>
          <w:rFonts w:ascii="Times New Roman" w:hAnsi="Times New Roman" w:cs="Times New Roman" w:eastAsia="Times New Roman" w:hint="default"/>
          <w:b/>
          <w:bCs/>
          <w:sz w:val="32"/>
          <w:szCs w:val="32"/>
        </w:rPr>
        <w:t>2020-029</w:t>
      </w:r>
      <w:r>
        <w:rPr>
          <w:rFonts w:ascii="Times New Roman" w:hAnsi="Times New Roman" w:cs="Times New Roman" w:eastAsia="Times New Roman" w:hint="default"/>
          <w:sz w:val="32"/>
          <w:szCs w:val="32"/>
        </w:rPr>
      </w:r>
    </w:p>
    <w:p>
      <w:pPr>
        <w:spacing w:line="240" w:lineRule="auto" w:before="6"/>
        <w:rPr>
          <w:rFonts w:ascii="Times New Roman" w:hAnsi="Times New Roman" w:cs="Times New Roman" w:eastAsia="Times New Roman" w:hint="default"/>
          <w:b/>
          <w:bCs/>
          <w:sz w:val="10"/>
          <w:szCs w:val="10"/>
        </w:rPr>
      </w:pPr>
    </w:p>
    <w:p>
      <w:pPr>
        <w:spacing w:line="3352" w:lineRule="exact"/>
        <w:ind w:left="199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6"/>
          <w:sz w:val="20"/>
          <w:szCs w:val="20"/>
        </w:rPr>
        <w:drawing>
          <wp:inline distT="0" distB="0" distL="0" distR="0">
            <wp:extent cx="3751144" cy="2129028"/>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3751144" cy="2129028"/>
                    </a:xfrm>
                    <a:prstGeom prst="rect">
                      <a:avLst/>
                    </a:prstGeom>
                  </pic:spPr>
                </pic:pic>
              </a:graphicData>
            </a:graphic>
          </wp:inline>
        </w:drawing>
      </w:r>
      <w:r>
        <w:rPr>
          <w:rFonts w:ascii="Times New Roman" w:hAnsi="Times New Roman" w:cs="Times New Roman" w:eastAsia="Times New Roman" w:hint="default"/>
          <w:position w:val="-66"/>
          <w:sz w:val="20"/>
          <w:szCs w:val="20"/>
        </w:rPr>
      </w: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5"/>
        <w:rPr>
          <w:rFonts w:ascii="Times New Roman" w:hAnsi="Times New Roman" w:cs="Times New Roman" w:eastAsia="Times New Roman" w:hint="default"/>
          <w:b/>
          <w:bCs/>
          <w:sz w:val="22"/>
          <w:szCs w:val="22"/>
        </w:rPr>
      </w:pPr>
    </w:p>
    <w:p>
      <w:pPr>
        <w:spacing w:before="0"/>
        <w:ind w:left="2762" w:right="3782"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2020</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年</w:t>
      </w:r>
      <w:r>
        <w:rPr>
          <w:rFonts w:ascii="宋体" w:hAnsi="宋体" w:cs="宋体" w:eastAsia="宋体" w:hint="default"/>
          <w:b/>
          <w:bCs/>
          <w:spacing w:val="-83"/>
          <w:sz w:val="32"/>
          <w:szCs w:val="32"/>
        </w:rPr>
        <w:t> </w:t>
      </w:r>
      <w:r>
        <w:rPr>
          <w:rFonts w:ascii="Times New Roman" w:hAnsi="Times New Roman" w:cs="Times New Roman" w:eastAsia="Times New Roman" w:hint="default"/>
          <w:b/>
          <w:bCs/>
          <w:sz w:val="32"/>
          <w:szCs w:val="32"/>
        </w:rPr>
        <w:t>03</w:t>
      </w:r>
      <w:r>
        <w:rPr>
          <w:rFonts w:ascii="Times New Roman" w:hAnsi="Times New Roman" w:cs="Times New Roman" w:eastAsia="Times New Roman" w:hint="default"/>
          <w:b/>
          <w:bCs/>
          <w:spacing w:val="-5"/>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87" w:footer="1016" w:top="1100" w:bottom="1200" w:left="102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0"/>
          <w:szCs w:val="20"/>
        </w:rPr>
      </w:pPr>
    </w:p>
    <w:p>
      <w:pPr>
        <w:pStyle w:val="Heading1"/>
        <w:spacing w:line="240" w:lineRule="auto"/>
        <w:ind w:left="2846" w:right="882"/>
        <w:jc w:val="left"/>
        <w:rPr>
          <w:b w:val="0"/>
          <w:bCs w:val="0"/>
        </w:rPr>
      </w:pPr>
      <w:bookmarkStart w:name="第一节重要提示、目录和释义" w:id="1"/>
      <w:bookmarkEnd w:id="1"/>
      <w:r>
        <w:rPr>
          <w:b w:val="0"/>
          <w:bCs w:val="0"/>
        </w:rPr>
      </w:r>
      <w:r>
        <w:rPr/>
        <w:t>第一节重要提示、目录和释义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2"/>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实、准确、完整，不存在虚假记载、误导性陈述或重大遗漏，并承担个别和连</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408" w:lineRule="auto" w:before="61"/>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公司负责人葛航、主管会计工作负责人郁燕萍及会计机构负责人（会计主</w:t>
      </w:r>
      <w:r>
        <w:rPr>
          <w:rFonts w:ascii="宋体" w:hAnsi="宋体" w:cs="宋体" w:eastAsia="宋体" w:hint="default"/>
          <w:b/>
          <w:bCs/>
          <w:w w:val="99"/>
          <w:sz w:val="28"/>
          <w:szCs w:val="28"/>
        </w:rPr>
        <w:t> </w:t>
      </w:r>
      <w:r>
        <w:rPr>
          <w:rFonts w:ascii="宋体" w:hAnsi="宋体" w:cs="宋体" w:eastAsia="宋体" w:hint="default"/>
          <w:b/>
          <w:bCs/>
          <w:sz w:val="28"/>
          <w:szCs w:val="28"/>
        </w:rPr>
        <w:t>管人员）陈锦剑声明：保证年度报告中财务报告的真实、准确、完整。</w:t>
      </w:r>
      <w:r>
        <w:rPr>
          <w:rFonts w:ascii="宋体" w:hAnsi="宋体" w:cs="宋体" w:eastAsia="宋体" w:hint="default"/>
          <w:sz w:val="28"/>
          <w:szCs w:val="28"/>
        </w:rPr>
      </w:r>
    </w:p>
    <w:p>
      <w:pPr>
        <w:spacing w:line="408" w:lineRule="auto" w:before="61"/>
        <w:ind w:left="674" w:right="882"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sz w:val="28"/>
          <w:szCs w:val="28"/>
        </w:rPr>
        <w:t>本报告所包含的前瞻性分析系基于各种假设，不同假设可能导致分析结果</w:t>
      </w:r>
      <w:r>
        <w:rPr>
          <w:rFonts w:ascii="宋体" w:hAnsi="宋体" w:cs="宋体" w:eastAsia="宋体" w:hint="default"/>
          <w:spacing w:val="2"/>
          <w:sz w:val="28"/>
          <w:szCs w:val="28"/>
        </w:rPr>
      </w:r>
    </w:p>
    <w:p>
      <w:pPr>
        <w:spacing w:line="408" w:lineRule="auto" w:before="61"/>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出现重大不同。报告中的内容和意见仅供参考，并不构成对本公司股票买卖的</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建议，在任何情况下，本报告中的前瞻性描述和分析信息或所表述的意见并不</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构成对任何人的投资建议。除法律或规则规定必须承担的责任外，本公司不对</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使用本报告及其内容所引发的任何直接或间接损失负任何责任。</w:t>
      </w:r>
      <w:r>
        <w:rPr>
          <w:rFonts w:ascii="宋体" w:hAnsi="宋体" w:cs="宋体" w:eastAsia="宋体" w:hint="default"/>
          <w:sz w:val="28"/>
          <w:szCs w:val="28"/>
        </w:rPr>
      </w:r>
    </w:p>
    <w:p>
      <w:pPr>
        <w:spacing w:line="386" w:lineRule="auto" w:before="61"/>
        <w:ind w:left="674" w:right="882" w:firstLine="139"/>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1</w:t>
      </w:r>
      <w:r>
        <w:rPr>
          <w:rFonts w:ascii="宋体" w:hAnsi="宋体" w:cs="宋体" w:eastAsia="宋体" w:hint="default"/>
          <w:b/>
          <w:bCs/>
          <w:sz w:val="28"/>
          <w:szCs w:val="28"/>
        </w:rPr>
        <w:t>、技术与产品开发风险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软件产品和技术不断加速的更新换代决定了产品和技术的开发创新是一个</w:t>
      </w:r>
      <w:r>
        <w:rPr>
          <w:rFonts w:ascii="宋体" w:hAnsi="宋体" w:cs="宋体" w:eastAsia="宋体" w:hint="default"/>
          <w:spacing w:val="2"/>
          <w:sz w:val="28"/>
          <w:szCs w:val="28"/>
        </w:rPr>
      </w:r>
    </w:p>
    <w:p>
      <w:pPr>
        <w:spacing w:line="408" w:lineRule="auto" w:before="86"/>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持续、繁杂的系统性工程，其间涉及的不确定因素较多，如不能准确把握技术</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发展趋势和市场需求变化情况，从而导致技术和产品开发推广决策出现失误，</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将可能导致公司丧失技术和市场优势，使公司面临技术与产品开发的风险。</w:t>
      </w:r>
      <w:r>
        <w:rPr>
          <w:rFonts w:ascii="宋体" w:hAnsi="宋体" w:cs="宋体" w:eastAsia="宋体" w:hint="default"/>
          <w:sz w:val="28"/>
          <w:szCs w:val="28"/>
        </w:rPr>
      </w:r>
    </w:p>
    <w:p>
      <w:pPr>
        <w:spacing w:line="408" w:lineRule="auto" w:before="61"/>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应对措施：拟从研发人力、资金投入和市场调研、开发等方面加大力度，</w:t>
      </w:r>
      <w:r>
        <w:rPr>
          <w:rFonts w:ascii="宋体" w:hAnsi="宋体" w:cs="宋体" w:eastAsia="宋体" w:hint="default"/>
          <w:b/>
          <w:bCs/>
          <w:w w:val="99"/>
          <w:sz w:val="28"/>
          <w:szCs w:val="28"/>
        </w:rPr>
        <w:t> </w:t>
      </w:r>
      <w:r>
        <w:rPr>
          <w:rFonts w:ascii="宋体" w:hAnsi="宋体" w:cs="宋体" w:eastAsia="宋体" w:hint="default"/>
          <w:b/>
          <w:bCs/>
          <w:spacing w:val="2"/>
          <w:sz w:val="28"/>
          <w:szCs w:val="28"/>
        </w:rPr>
        <w:t>同时加强与国内外著名高校和科研机构的合作，共同研制开发新产品，从而保</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证了强大的技术后盾。对于已形成产业化的产品进行深度开发，加快其升级换</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代</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保持技术优势。</w:t>
      </w:r>
      <w:r>
        <w:rPr>
          <w:rFonts w:ascii="宋体" w:hAnsi="宋体" w:cs="宋体" w:eastAsia="宋体" w:hint="default"/>
          <w:sz w:val="28"/>
          <w:szCs w:val="28"/>
        </w:rPr>
      </w:r>
    </w:p>
    <w:p>
      <w:pPr>
        <w:spacing w:after="0" w:line="408" w:lineRule="auto"/>
        <w:jc w:val="both"/>
        <w:rPr>
          <w:rFonts w:ascii="宋体" w:hAnsi="宋体" w:cs="宋体" w:eastAsia="宋体" w:hint="default"/>
          <w:sz w:val="28"/>
          <w:szCs w:val="28"/>
        </w:rPr>
        <w:sectPr>
          <w:footerReference w:type="default" r:id="rId8"/>
          <w:pgSz w:w="11910" w:h="16840"/>
          <w:pgMar w:footer="1016" w:header="787" w:top="1100" w:bottom="1200" w:left="1020" w:right="0"/>
          <w:pgNumType w:start="2"/>
        </w:sectPr>
      </w:pPr>
    </w:p>
    <w:p>
      <w:pPr>
        <w:spacing w:line="240" w:lineRule="auto" w:before="0"/>
        <w:rPr>
          <w:rFonts w:ascii="宋体" w:hAnsi="宋体" w:cs="宋体" w:eastAsia="宋体" w:hint="default"/>
          <w:b/>
          <w:bCs/>
          <w:sz w:val="20"/>
          <w:szCs w:val="20"/>
        </w:rPr>
      </w:pPr>
    </w:p>
    <w:p>
      <w:pPr>
        <w:spacing w:line="386" w:lineRule="auto" w:before="158"/>
        <w:ind w:left="674" w:right="882" w:firstLine="139"/>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2</w:t>
      </w:r>
      <w:r>
        <w:rPr>
          <w:rFonts w:ascii="宋体" w:hAnsi="宋体" w:cs="宋体" w:eastAsia="宋体" w:hint="default"/>
          <w:b/>
          <w:bCs/>
          <w:sz w:val="28"/>
          <w:szCs w:val="28"/>
        </w:rPr>
        <w:t>、创新业务拓展不确定的风险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为适应国内医疗健康服务市场需求的不断变化，满足国内医疗健康服务快</w:t>
      </w:r>
      <w:r>
        <w:rPr>
          <w:rFonts w:ascii="宋体" w:hAnsi="宋体" w:cs="宋体" w:eastAsia="宋体" w:hint="default"/>
          <w:spacing w:val="2"/>
          <w:sz w:val="28"/>
          <w:szCs w:val="28"/>
        </w:rPr>
      </w:r>
    </w:p>
    <w:p>
      <w:pPr>
        <w:spacing w:line="408" w:lineRule="auto" w:before="86"/>
        <w:ind w:left="112" w:right="1127" w:firstLine="0"/>
        <w:jc w:val="both"/>
        <w:rPr>
          <w:rFonts w:ascii="宋体" w:hAnsi="宋体" w:cs="宋体" w:eastAsia="宋体" w:hint="default"/>
          <w:sz w:val="28"/>
          <w:szCs w:val="28"/>
        </w:rPr>
      </w:pPr>
      <w:r>
        <w:rPr>
          <w:rFonts w:ascii="宋体" w:hAnsi="宋体" w:cs="宋体" w:eastAsia="宋体" w:hint="default"/>
          <w:b/>
          <w:bCs/>
          <w:spacing w:val="2"/>
          <w:sz w:val="28"/>
          <w:szCs w:val="28"/>
        </w:rPr>
        <w:t>速发展的市场需求，公司主营业务已从以产品开发销售为主逐渐向系统建设、</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服务与运营多领域拓展，主要包括：智慧医卫、互联网医疗、医疗物联网、医</w:t>
      </w:r>
      <w:r>
        <w:rPr>
          <w:rFonts w:ascii="宋体" w:hAnsi="宋体" w:cs="宋体" w:eastAsia="宋体" w:hint="default"/>
          <w:b/>
          <w:bCs/>
          <w:spacing w:val="-133"/>
          <w:sz w:val="28"/>
          <w:szCs w:val="28"/>
        </w:rPr>
        <w:t> </w:t>
      </w:r>
      <w:r>
        <w:rPr>
          <w:rFonts w:ascii="宋体" w:hAnsi="宋体" w:cs="宋体" w:eastAsia="宋体" w:hint="default"/>
          <w:b/>
          <w:bCs/>
          <w:spacing w:val="-133"/>
          <w:sz w:val="28"/>
          <w:szCs w:val="28"/>
        </w:rPr>
      </w:r>
      <w:r>
        <w:rPr>
          <w:rFonts w:ascii="宋体" w:hAnsi="宋体" w:cs="宋体" w:eastAsia="宋体" w:hint="default"/>
          <w:b/>
          <w:bCs/>
          <w:spacing w:val="2"/>
          <w:sz w:val="28"/>
          <w:szCs w:val="28"/>
        </w:rPr>
        <w:t>疗健康大数据、健康城市、智慧医保等整体解决方案、系统承建及运维、运营</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服务等创新业务。但公司上述业务扩展计划能否顺利实施，这需要公司从经营</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思路、营运模式、人员结构、产品开发及财务等资源能否提供有力支持息息相</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关，因此，公司可能存在因资源不足导致市场拓展不确定的风险。</w:t>
      </w:r>
      <w:r>
        <w:rPr>
          <w:rFonts w:ascii="宋体" w:hAnsi="宋体" w:cs="宋体" w:eastAsia="宋体" w:hint="default"/>
          <w:sz w:val="28"/>
          <w:szCs w:val="28"/>
        </w:rPr>
      </w:r>
    </w:p>
    <w:p>
      <w:pPr>
        <w:spacing w:line="408" w:lineRule="auto" w:before="61"/>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应对措施：公司在大力推进新业务拓展的同时，也将根据用户需求情况和</w:t>
      </w:r>
      <w:r>
        <w:rPr>
          <w:rFonts w:ascii="宋体" w:hAnsi="宋体" w:cs="宋体" w:eastAsia="宋体" w:hint="default"/>
          <w:b/>
          <w:bCs/>
          <w:w w:val="99"/>
          <w:sz w:val="28"/>
          <w:szCs w:val="28"/>
        </w:rPr>
        <w:t> </w:t>
      </w:r>
      <w:r>
        <w:rPr>
          <w:rFonts w:ascii="宋体" w:hAnsi="宋体" w:cs="宋体" w:eastAsia="宋体" w:hint="default"/>
          <w:b/>
          <w:bCs/>
          <w:spacing w:val="2"/>
          <w:sz w:val="28"/>
          <w:szCs w:val="28"/>
        </w:rPr>
        <w:t>市场竞争情况不断调整产品研发和市场拓展策略，加强行业间的合作力度，以</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便进行合理的风险控制，同时采取较为稳健的财务控制措施，在经营策略、营</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运模式方面，控制和分散相关风险。</w:t>
      </w:r>
      <w:r>
        <w:rPr>
          <w:rFonts w:ascii="宋体" w:hAnsi="宋体" w:cs="宋体" w:eastAsia="宋体" w:hint="default"/>
          <w:sz w:val="28"/>
          <w:szCs w:val="28"/>
        </w:rPr>
      </w:r>
    </w:p>
    <w:p>
      <w:pPr>
        <w:spacing w:line="386" w:lineRule="auto" w:before="61"/>
        <w:ind w:left="674" w:right="882"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3</w:t>
      </w:r>
      <w:r>
        <w:rPr>
          <w:rFonts w:ascii="宋体" w:hAnsi="宋体" w:cs="宋体" w:eastAsia="宋体" w:hint="default"/>
          <w:b/>
          <w:bCs/>
          <w:sz w:val="28"/>
          <w:szCs w:val="28"/>
        </w:rPr>
        <w:t>、市场竞争加剧的风险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近年来由于医疗卫生体制改革的深入推进，医疗卫生信息化领域市场空间</w:t>
      </w:r>
      <w:r>
        <w:rPr>
          <w:rFonts w:ascii="宋体" w:hAnsi="宋体" w:cs="宋体" w:eastAsia="宋体" w:hint="default"/>
          <w:spacing w:val="2"/>
          <w:sz w:val="28"/>
          <w:szCs w:val="28"/>
        </w:rPr>
      </w:r>
    </w:p>
    <w:p>
      <w:pPr>
        <w:spacing w:line="408" w:lineRule="auto" w:before="86"/>
        <w:ind w:left="112" w:right="882" w:firstLine="0"/>
        <w:jc w:val="left"/>
        <w:rPr>
          <w:rFonts w:ascii="宋体" w:hAnsi="宋体" w:cs="宋体" w:eastAsia="宋体" w:hint="default"/>
          <w:sz w:val="28"/>
          <w:szCs w:val="28"/>
        </w:rPr>
      </w:pPr>
      <w:r>
        <w:rPr>
          <w:rFonts w:ascii="宋体" w:hAnsi="宋体" w:cs="宋体" w:eastAsia="宋体" w:hint="default"/>
          <w:b/>
          <w:bCs/>
          <w:spacing w:val="-3"/>
          <w:sz w:val="28"/>
          <w:szCs w:val="28"/>
        </w:rPr>
        <w:t>不断扩大，一方面吸引了大量新的市场竞争者进入这一领域，加剧了市场竞争；</w:t>
      </w:r>
      <w:r>
        <w:rPr>
          <w:rFonts w:ascii="宋体" w:hAnsi="宋体" w:cs="宋体" w:eastAsia="宋体" w:hint="default"/>
          <w:b/>
          <w:bCs/>
          <w:spacing w:val="-115"/>
          <w:sz w:val="28"/>
          <w:szCs w:val="28"/>
        </w:rPr>
        <w:t> </w:t>
      </w:r>
      <w:r>
        <w:rPr>
          <w:rFonts w:ascii="宋体" w:hAnsi="宋体" w:cs="宋体" w:eastAsia="宋体" w:hint="default"/>
          <w:b/>
          <w:bCs/>
          <w:spacing w:val="-115"/>
          <w:sz w:val="28"/>
          <w:szCs w:val="28"/>
        </w:rPr>
      </w:r>
      <w:r>
        <w:rPr>
          <w:rFonts w:ascii="宋体" w:hAnsi="宋体" w:cs="宋体" w:eastAsia="宋体" w:hint="default"/>
          <w:b/>
          <w:bCs/>
          <w:spacing w:val="2"/>
          <w:sz w:val="28"/>
          <w:szCs w:val="28"/>
        </w:rPr>
        <w:t>另一方面原行业内的企业，特别是上市企业，依托资本市场的优势，通过业务</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重组、企业并购等方式在区域医疗卫生信息化领域展开激烈竞争。</w:t>
      </w:r>
      <w:r>
        <w:rPr>
          <w:rFonts w:ascii="宋体" w:hAnsi="宋体" w:cs="宋体" w:eastAsia="宋体" w:hint="default"/>
          <w:sz w:val="28"/>
          <w:szCs w:val="28"/>
        </w:rPr>
      </w:r>
    </w:p>
    <w:p>
      <w:pPr>
        <w:spacing w:line="408" w:lineRule="auto" w:before="61"/>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应对措施：公司需采取更加积极的经营管理措施，加大研发投入，密切跟</w:t>
      </w:r>
      <w:r>
        <w:rPr>
          <w:rFonts w:ascii="宋体" w:hAnsi="宋体" w:cs="宋体" w:eastAsia="宋体" w:hint="default"/>
          <w:b/>
          <w:bCs/>
          <w:w w:val="99"/>
          <w:sz w:val="28"/>
          <w:szCs w:val="28"/>
        </w:rPr>
        <w:t> </w:t>
      </w:r>
      <w:r>
        <w:rPr>
          <w:rFonts w:ascii="宋体" w:hAnsi="宋体" w:cs="宋体" w:eastAsia="宋体" w:hint="default"/>
          <w:b/>
          <w:bCs/>
          <w:spacing w:val="2"/>
          <w:sz w:val="28"/>
          <w:szCs w:val="28"/>
        </w:rPr>
        <w:t>踪行业发展趋势和前沿创新技术，并积极关注行业竞争所带来的整合机遇，从</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而维持并加强公司在用户数量、用户粘性及技术方面的核心竞争优势，促进公</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司持续健康发展。</w:t>
      </w:r>
      <w:r>
        <w:rPr>
          <w:rFonts w:ascii="宋体" w:hAnsi="宋体" w:cs="宋体" w:eastAsia="宋体" w:hint="default"/>
          <w:sz w:val="28"/>
          <w:szCs w:val="28"/>
        </w:rPr>
      </w:r>
    </w:p>
    <w:p>
      <w:pPr>
        <w:spacing w:after="0" w:line="408" w:lineRule="auto"/>
        <w:jc w:val="both"/>
        <w:rPr>
          <w:rFonts w:ascii="宋体" w:hAnsi="宋体" w:cs="宋体" w:eastAsia="宋体" w:hint="default"/>
          <w:sz w:val="28"/>
          <w:szCs w:val="28"/>
        </w:rPr>
        <w:sectPr>
          <w:pgSz w:w="11910" w:h="16840"/>
          <w:pgMar w:header="787" w:footer="1016" w:top="1100" w:bottom="1200" w:left="1020" w:right="0"/>
        </w:sectPr>
      </w:pPr>
    </w:p>
    <w:p>
      <w:pPr>
        <w:spacing w:line="240" w:lineRule="auto" w:before="0"/>
        <w:rPr>
          <w:rFonts w:ascii="宋体" w:hAnsi="宋体" w:cs="宋体" w:eastAsia="宋体" w:hint="default"/>
          <w:b/>
          <w:bCs/>
          <w:sz w:val="20"/>
          <w:szCs w:val="20"/>
        </w:rPr>
      </w:pPr>
    </w:p>
    <w:p>
      <w:pPr>
        <w:spacing w:line="386" w:lineRule="auto" w:before="158"/>
        <w:ind w:left="674" w:right="882"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4</w:t>
      </w:r>
      <w:r>
        <w:rPr>
          <w:rFonts w:ascii="宋体" w:hAnsi="宋体" w:cs="宋体" w:eastAsia="宋体" w:hint="default"/>
          <w:b/>
          <w:bCs/>
          <w:sz w:val="28"/>
          <w:szCs w:val="28"/>
        </w:rPr>
        <w:t>、公司经营季节性波动的风险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公司的医疗信息化行业客户主要为公立医院、卫生管理部门，这些客户执</w:t>
      </w:r>
      <w:r>
        <w:rPr>
          <w:rFonts w:ascii="宋体" w:hAnsi="宋体" w:cs="宋体" w:eastAsia="宋体" w:hint="default"/>
          <w:spacing w:val="2"/>
          <w:sz w:val="28"/>
          <w:szCs w:val="28"/>
        </w:rPr>
      </w:r>
    </w:p>
    <w:p>
      <w:pPr>
        <w:spacing w:line="408" w:lineRule="auto" w:before="86"/>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行严格的预算管理和集中采购制度。由于政府财政预算体制的原因，客户的信</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息化产品采购需要经过立项、审批、招标等流程。一般项目的验收和回款主要</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集中在每年下半年，尤其在第四季度更为集中。由于公司的人力成本、差旅费</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用和研发投入等费用在年度内较为均衡地发生，造成公司的经营指标呈现明显</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的季节性波动。</w:t>
      </w:r>
      <w:r>
        <w:rPr>
          <w:rFonts w:ascii="宋体" w:hAnsi="宋体" w:cs="宋体" w:eastAsia="宋体" w:hint="default"/>
          <w:sz w:val="28"/>
          <w:szCs w:val="28"/>
        </w:rPr>
      </w:r>
    </w:p>
    <w:p>
      <w:pPr>
        <w:spacing w:line="408" w:lineRule="auto" w:before="61"/>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应对措施：公司将加大市场工作力度，及时了解、掌握和引导客户的投资</w:t>
      </w:r>
      <w:r>
        <w:rPr>
          <w:rFonts w:ascii="宋体" w:hAnsi="宋体" w:cs="宋体" w:eastAsia="宋体" w:hint="default"/>
          <w:b/>
          <w:bCs/>
          <w:w w:val="99"/>
          <w:sz w:val="28"/>
          <w:szCs w:val="28"/>
        </w:rPr>
        <w:t> </w:t>
      </w:r>
      <w:r>
        <w:rPr>
          <w:rFonts w:ascii="宋体" w:hAnsi="宋体" w:cs="宋体" w:eastAsia="宋体" w:hint="default"/>
          <w:b/>
          <w:bCs/>
          <w:spacing w:val="2"/>
          <w:sz w:val="28"/>
          <w:szCs w:val="28"/>
        </w:rPr>
        <w:t>计划，在不违反相关规定的前提下尽早介入项目前期规划工作，同时合理调配</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人力资源，使得项目实施尽量能够均衡开展，减少因自身因素造成的项目实施</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时间集中问题；同时，加大收款考核力度，与客户保持及时有效沟通，减少因</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人为因素造成的收款时间集中问题。</w:t>
      </w:r>
      <w:r>
        <w:rPr>
          <w:rFonts w:ascii="宋体" w:hAnsi="宋体" w:cs="宋体" w:eastAsia="宋体" w:hint="default"/>
          <w:sz w:val="28"/>
          <w:szCs w:val="28"/>
        </w:rPr>
      </w:r>
    </w:p>
    <w:p>
      <w:pPr>
        <w:spacing w:before="61"/>
        <w:ind w:left="674" w:right="882"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5</w:t>
      </w:r>
      <w:r>
        <w:rPr>
          <w:rFonts w:ascii="宋体" w:hAnsi="宋体" w:cs="宋体" w:eastAsia="宋体" w:hint="default"/>
          <w:b/>
          <w:bCs/>
          <w:sz w:val="28"/>
          <w:szCs w:val="28"/>
        </w:rPr>
        <w:t>、人才流失的风险</w:t>
      </w:r>
      <w:r>
        <w:rPr>
          <w:rFonts w:ascii="宋体" w:hAnsi="宋体" w:cs="宋体" w:eastAsia="宋体" w:hint="default"/>
          <w:sz w:val="28"/>
          <w:szCs w:val="28"/>
        </w:rPr>
      </w:r>
    </w:p>
    <w:p>
      <w:pPr>
        <w:spacing w:line="403" w:lineRule="auto" w:before="236"/>
        <w:ind w:left="112" w:right="1127" w:firstLine="561"/>
        <w:jc w:val="both"/>
        <w:rPr>
          <w:rFonts w:ascii="宋体" w:hAnsi="宋体" w:cs="宋体" w:eastAsia="宋体" w:hint="default"/>
          <w:sz w:val="28"/>
          <w:szCs w:val="28"/>
        </w:rPr>
      </w:pPr>
      <w:r>
        <w:rPr>
          <w:rFonts w:ascii="宋体" w:hAnsi="宋体" w:cs="宋体" w:eastAsia="宋体" w:hint="default"/>
          <w:b/>
          <w:bCs/>
          <w:spacing w:val="6"/>
          <w:sz w:val="28"/>
          <w:szCs w:val="28"/>
        </w:rPr>
        <w:t>医疗卫生信息化行业需要大量具有医疗卫生与</w:t>
      </w:r>
      <w:r>
        <w:rPr>
          <w:rFonts w:ascii="宋体" w:hAnsi="宋体" w:cs="宋体" w:eastAsia="宋体" w:hint="default"/>
          <w:b/>
          <w:bCs/>
          <w:spacing w:val="-56"/>
          <w:sz w:val="28"/>
          <w:szCs w:val="28"/>
        </w:rPr>
        <w:t> </w:t>
      </w:r>
      <w:r>
        <w:rPr>
          <w:rFonts w:ascii="Times New Roman" w:hAnsi="Times New Roman" w:cs="Times New Roman" w:eastAsia="Times New Roman" w:hint="default"/>
          <w:b/>
          <w:bCs/>
          <w:sz w:val="28"/>
          <w:szCs w:val="28"/>
        </w:rPr>
        <w:t>IT</w:t>
      </w:r>
      <w:r>
        <w:rPr>
          <w:rFonts w:ascii="Times New Roman" w:hAnsi="Times New Roman" w:cs="Times New Roman" w:eastAsia="Times New Roman" w:hint="default"/>
          <w:b/>
          <w:bCs/>
          <w:spacing w:val="13"/>
          <w:sz w:val="28"/>
          <w:szCs w:val="28"/>
        </w:rPr>
        <w:t> </w:t>
      </w:r>
      <w:r>
        <w:rPr>
          <w:rFonts w:ascii="宋体" w:hAnsi="宋体" w:cs="宋体" w:eastAsia="宋体" w:hint="default"/>
          <w:b/>
          <w:bCs/>
          <w:spacing w:val="6"/>
          <w:sz w:val="28"/>
          <w:szCs w:val="28"/>
        </w:rPr>
        <w:t>双重知识背景的技术人</w:t>
      </w:r>
      <w:r>
        <w:rPr>
          <w:rFonts w:ascii="宋体" w:hAnsi="宋体" w:cs="宋体" w:eastAsia="宋体" w:hint="default"/>
          <w:b/>
          <w:bCs/>
          <w:w w:val="99"/>
          <w:sz w:val="28"/>
          <w:szCs w:val="28"/>
        </w:rPr>
        <w:t> </w:t>
      </w:r>
      <w:r>
        <w:rPr>
          <w:rFonts w:ascii="宋体" w:hAnsi="宋体" w:cs="宋体" w:eastAsia="宋体" w:hint="default"/>
          <w:b/>
          <w:bCs/>
          <w:spacing w:val="2"/>
          <w:sz w:val="28"/>
          <w:szCs w:val="28"/>
        </w:rPr>
        <w:t>才，培养一名优秀的了解医疗卫生知识的软件开发人才是一个较漫长的过程。</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同时，医疗卫生信息化行业的人才竞争非常激烈，人员流动较为频繁。因此，</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若出现核心技术人员、核心营销人员外流情况，将可能在一定程度上影响公司</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的产品研发能力和营销能力。</w:t>
      </w:r>
      <w:r>
        <w:rPr>
          <w:rFonts w:ascii="宋体" w:hAnsi="宋体" w:cs="宋体" w:eastAsia="宋体" w:hint="default"/>
          <w:sz w:val="28"/>
          <w:szCs w:val="28"/>
        </w:rPr>
      </w:r>
    </w:p>
    <w:p>
      <w:pPr>
        <w:spacing w:line="408" w:lineRule="auto" w:before="67"/>
        <w:ind w:left="112" w:right="882" w:firstLine="561"/>
        <w:jc w:val="left"/>
        <w:rPr>
          <w:rFonts w:ascii="宋体" w:hAnsi="宋体" w:cs="宋体" w:eastAsia="宋体" w:hint="default"/>
          <w:sz w:val="28"/>
          <w:szCs w:val="28"/>
        </w:rPr>
      </w:pPr>
      <w:r>
        <w:rPr>
          <w:rFonts w:ascii="宋体" w:hAnsi="宋体" w:cs="宋体" w:eastAsia="宋体" w:hint="default"/>
          <w:b/>
          <w:bCs/>
          <w:spacing w:val="-7"/>
          <w:sz w:val="28"/>
          <w:szCs w:val="28"/>
        </w:rPr>
        <w:t>应对措施：人力资源一直是公司的核心战略资源，未来公司将继续坚持“以</w:t>
      </w:r>
      <w:r>
        <w:rPr>
          <w:rFonts w:ascii="宋体" w:hAnsi="宋体" w:cs="宋体" w:eastAsia="宋体" w:hint="default"/>
          <w:b/>
          <w:bCs/>
          <w:w w:val="99"/>
          <w:sz w:val="28"/>
          <w:szCs w:val="28"/>
        </w:rPr>
        <w:t> </w:t>
      </w:r>
      <w:r>
        <w:rPr>
          <w:rFonts w:ascii="宋体" w:hAnsi="宋体" w:cs="宋体" w:eastAsia="宋体" w:hint="default"/>
          <w:b/>
          <w:bCs/>
          <w:spacing w:val="-3"/>
          <w:sz w:val="28"/>
          <w:szCs w:val="28"/>
        </w:rPr>
        <w:t>人为本”的人才方针，根据发展战略和业务需要，不断完善人力资源建设计划，</w:t>
      </w:r>
      <w:r>
        <w:rPr>
          <w:rFonts w:ascii="宋体" w:hAnsi="宋体" w:cs="宋体" w:eastAsia="宋体" w:hint="default"/>
          <w:b/>
          <w:bCs/>
          <w:spacing w:val="-115"/>
          <w:sz w:val="28"/>
          <w:szCs w:val="28"/>
        </w:rPr>
        <w:t> </w:t>
      </w:r>
      <w:r>
        <w:rPr>
          <w:rFonts w:ascii="宋体" w:hAnsi="宋体" w:cs="宋体" w:eastAsia="宋体" w:hint="default"/>
          <w:b/>
          <w:bCs/>
          <w:spacing w:val="-115"/>
          <w:sz w:val="28"/>
          <w:szCs w:val="28"/>
        </w:rPr>
      </w:r>
      <w:r>
        <w:rPr>
          <w:rFonts w:ascii="宋体" w:hAnsi="宋体" w:cs="宋体" w:eastAsia="宋体" w:hint="default"/>
          <w:b/>
          <w:bCs/>
          <w:spacing w:val="2"/>
          <w:sz w:val="28"/>
          <w:szCs w:val="28"/>
        </w:rPr>
        <w:t>设立浙江省博士后工作站，重点做好高端人才的培养与引进工作，继续开展与</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全国多所高等院校的校企人才合作，进一步优化人员结构，并通过员工持股计</w:t>
      </w:r>
      <w:r>
        <w:rPr>
          <w:rFonts w:ascii="宋体" w:hAnsi="宋体" w:cs="宋体" w:eastAsia="宋体" w:hint="default"/>
          <w:spacing w:val="2"/>
          <w:sz w:val="28"/>
          <w:szCs w:val="28"/>
        </w:rPr>
      </w:r>
    </w:p>
    <w:p>
      <w:pPr>
        <w:spacing w:after="0" w:line="408" w:lineRule="auto"/>
        <w:jc w:val="left"/>
        <w:rPr>
          <w:rFonts w:ascii="宋体" w:hAnsi="宋体" w:cs="宋体" w:eastAsia="宋体" w:hint="default"/>
          <w:sz w:val="28"/>
          <w:szCs w:val="28"/>
        </w:rPr>
        <w:sectPr>
          <w:headerReference w:type="default" r:id="rId9"/>
          <w:pgSz w:w="11910" w:h="16840"/>
          <w:pgMar w:header="907" w:footer="1016" w:top="1100" w:bottom="1200" w:left="1020" w:right="0"/>
        </w:sectPr>
      </w:pPr>
    </w:p>
    <w:p>
      <w:pPr>
        <w:spacing w:line="240" w:lineRule="auto" w:before="0"/>
        <w:rPr>
          <w:rFonts w:ascii="宋体" w:hAnsi="宋体" w:cs="宋体" w:eastAsia="宋体" w:hint="default"/>
          <w:b/>
          <w:bCs/>
          <w:sz w:val="20"/>
          <w:szCs w:val="20"/>
        </w:rPr>
      </w:pPr>
    </w:p>
    <w:p>
      <w:pPr>
        <w:spacing w:line="398" w:lineRule="auto" w:before="158"/>
        <w:ind w:left="674" w:right="882" w:hanging="562"/>
        <w:jc w:val="left"/>
        <w:rPr>
          <w:rFonts w:ascii="宋体" w:hAnsi="宋体" w:cs="宋体" w:eastAsia="宋体" w:hint="default"/>
          <w:sz w:val="28"/>
          <w:szCs w:val="28"/>
        </w:rPr>
      </w:pPr>
      <w:r>
        <w:rPr>
          <w:rFonts w:ascii="宋体" w:hAnsi="宋体" w:cs="宋体" w:eastAsia="宋体" w:hint="default"/>
          <w:b/>
          <w:bCs/>
          <w:sz w:val="28"/>
          <w:szCs w:val="28"/>
        </w:rPr>
        <w:t>划、股权激励等工具避免核心人才流失。</w:t>
      </w:r>
      <w:r>
        <w:rPr>
          <w:rFonts w:ascii="宋体" w:hAnsi="宋体" w:cs="宋体" w:eastAsia="宋体" w:hint="default"/>
          <w:b/>
          <w:bCs/>
          <w:w w:val="99"/>
          <w:sz w:val="28"/>
          <w:szCs w:val="28"/>
        </w:rPr>
        <w:t> </w:t>
      </w:r>
      <w:r>
        <w:rPr>
          <w:rFonts w:ascii="Times New Roman" w:hAnsi="Times New Roman" w:cs="Times New Roman" w:eastAsia="Times New Roman" w:hint="default"/>
          <w:b/>
          <w:bCs/>
          <w:sz w:val="28"/>
          <w:szCs w:val="28"/>
        </w:rPr>
        <w:t>6</w:t>
      </w:r>
      <w:r>
        <w:rPr>
          <w:rFonts w:ascii="宋体" w:hAnsi="宋体" w:cs="宋体" w:eastAsia="宋体" w:hint="default"/>
          <w:b/>
          <w:bCs/>
          <w:sz w:val="28"/>
          <w:szCs w:val="28"/>
        </w:rPr>
        <w:t>、对外并购重组所形成商誉的减值风险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公司上市后进行了收购、并购等外延式拓展，形成了多家非同一控制下的</w:t>
      </w:r>
      <w:r>
        <w:rPr>
          <w:rFonts w:ascii="宋体" w:hAnsi="宋体" w:cs="宋体" w:eastAsia="宋体" w:hint="default"/>
          <w:spacing w:val="2"/>
          <w:sz w:val="28"/>
          <w:szCs w:val="28"/>
        </w:rPr>
      </w:r>
    </w:p>
    <w:p>
      <w:pPr>
        <w:spacing w:line="408" w:lineRule="auto" w:before="72"/>
        <w:ind w:left="112" w:right="882" w:firstLine="0"/>
        <w:jc w:val="left"/>
        <w:rPr>
          <w:rFonts w:ascii="宋体" w:hAnsi="宋体" w:cs="宋体" w:eastAsia="宋体" w:hint="default"/>
          <w:sz w:val="28"/>
          <w:szCs w:val="28"/>
        </w:rPr>
      </w:pPr>
      <w:r>
        <w:rPr>
          <w:rFonts w:ascii="宋体" w:hAnsi="宋体" w:cs="宋体" w:eastAsia="宋体" w:hint="default"/>
          <w:b/>
          <w:bCs/>
          <w:spacing w:val="-3"/>
          <w:sz w:val="28"/>
          <w:szCs w:val="28"/>
        </w:rPr>
        <w:t>企业合并的情况。若未来宏观经济形势变化，或被合并企业经营出现不利变化，</w:t>
      </w:r>
      <w:r>
        <w:rPr>
          <w:rFonts w:ascii="宋体" w:hAnsi="宋体" w:cs="宋体" w:eastAsia="宋体" w:hint="default"/>
          <w:b/>
          <w:bCs/>
          <w:spacing w:val="-115"/>
          <w:sz w:val="28"/>
          <w:szCs w:val="28"/>
        </w:rPr>
        <w:t> </w:t>
      </w:r>
      <w:r>
        <w:rPr>
          <w:rFonts w:ascii="宋体" w:hAnsi="宋体" w:cs="宋体" w:eastAsia="宋体" w:hint="default"/>
          <w:b/>
          <w:bCs/>
          <w:spacing w:val="-115"/>
          <w:sz w:val="28"/>
          <w:szCs w:val="28"/>
        </w:rPr>
      </w:r>
      <w:r>
        <w:rPr>
          <w:rFonts w:ascii="宋体" w:hAnsi="宋体" w:cs="宋体" w:eastAsia="宋体" w:hint="default"/>
          <w:b/>
          <w:bCs/>
          <w:sz w:val="28"/>
          <w:szCs w:val="28"/>
        </w:rPr>
        <w:t>则存在商誉减值的风险，这也将会对上市公司当期的损益造成不利影响。</w:t>
      </w:r>
      <w:r>
        <w:rPr>
          <w:rFonts w:ascii="宋体" w:hAnsi="宋体" w:cs="宋体" w:eastAsia="宋体" w:hint="default"/>
          <w:sz w:val="28"/>
          <w:szCs w:val="28"/>
        </w:rPr>
      </w:r>
    </w:p>
    <w:p>
      <w:pPr>
        <w:spacing w:line="408" w:lineRule="auto" w:before="61"/>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应对措施：公司将对被合并企业施行完善的投后管理，并与被合并企业进</w:t>
      </w:r>
      <w:r>
        <w:rPr>
          <w:rFonts w:ascii="宋体" w:hAnsi="宋体" w:cs="宋体" w:eastAsia="宋体" w:hint="default"/>
          <w:b/>
          <w:bCs/>
          <w:w w:val="99"/>
          <w:sz w:val="28"/>
          <w:szCs w:val="28"/>
        </w:rPr>
        <w:t> </w:t>
      </w:r>
      <w:r>
        <w:rPr>
          <w:rFonts w:ascii="宋体" w:hAnsi="宋体" w:cs="宋体" w:eastAsia="宋体" w:hint="default"/>
          <w:b/>
          <w:bCs/>
          <w:spacing w:val="2"/>
          <w:sz w:val="28"/>
          <w:szCs w:val="28"/>
        </w:rPr>
        <w:t>行资源整合，以发挥公司间的协同增益效果，保证被合并企业的市场竞争力及</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持续稳定发展，以最大限度地降低商誉减值风险。</w:t>
      </w:r>
      <w:r>
        <w:rPr>
          <w:rFonts w:ascii="宋体" w:hAnsi="宋体" w:cs="宋体" w:eastAsia="宋体" w:hint="default"/>
          <w:sz w:val="28"/>
          <w:szCs w:val="28"/>
        </w:rPr>
      </w:r>
    </w:p>
    <w:p>
      <w:pPr>
        <w:spacing w:line="386" w:lineRule="auto" w:before="61"/>
        <w:ind w:left="674" w:right="882"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7</w:t>
      </w:r>
      <w:r>
        <w:rPr>
          <w:rFonts w:ascii="宋体" w:hAnsi="宋体" w:cs="宋体" w:eastAsia="宋体" w:hint="default"/>
          <w:b/>
          <w:bCs/>
          <w:sz w:val="28"/>
          <w:szCs w:val="28"/>
        </w:rPr>
        <w:t>、外延式收购整合导致的上市公司经营管理风险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公司上市后，利用资本市场进行并购重组，与产业链上下游的优势企业进</w:t>
      </w:r>
      <w:r>
        <w:rPr>
          <w:rFonts w:ascii="宋体" w:hAnsi="宋体" w:cs="宋体" w:eastAsia="宋体" w:hint="default"/>
          <w:spacing w:val="2"/>
          <w:sz w:val="28"/>
          <w:szCs w:val="28"/>
        </w:rPr>
      </w:r>
    </w:p>
    <w:p>
      <w:pPr>
        <w:spacing w:line="408" w:lineRule="auto" w:before="86"/>
        <w:ind w:left="112" w:right="882" w:firstLine="0"/>
        <w:jc w:val="left"/>
        <w:rPr>
          <w:rFonts w:ascii="宋体" w:hAnsi="宋体" w:cs="宋体" w:eastAsia="宋体" w:hint="default"/>
          <w:sz w:val="28"/>
          <w:szCs w:val="28"/>
        </w:rPr>
      </w:pPr>
      <w:r>
        <w:rPr>
          <w:rFonts w:ascii="宋体" w:hAnsi="宋体" w:cs="宋体" w:eastAsia="宋体" w:hint="default"/>
          <w:b/>
          <w:bCs/>
          <w:spacing w:val="2"/>
          <w:sz w:val="28"/>
          <w:szCs w:val="28"/>
        </w:rPr>
        <w:t>行整合，公司和被合并企业之间能否通过整合既保证公司对被合并企业的控制</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3"/>
          <w:sz w:val="28"/>
          <w:szCs w:val="28"/>
        </w:rPr>
        <w:t>力又保持被合并企业原有竞争优势并充分发挥交易的协同效应，具有不确定性。</w:t>
      </w:r>
      <w:r>
        <w:rPr>
          <w:rFonts w:ascii="宋体" w:hAnsi="宋体" w:cs="宋体" w:eastAsia="宋体" w:hint="default"/>
          <w:spacing w:val="-3"/>
          <w:sz w:val="28"/>
          <w:szCs w:val="28"/>
        </w:rPr>
      </w:r>
    </w:p>
    <w:p>
      <w:pPr>
        <w:spacing w:line="408" w:lineRule="auto" w:before="61"/>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应对措施：公司将进一步完善管理制度，整合科研、生产、人才、市场、</w:t>
      </w:r>
      <w:r>
        <w:rPr>
          <w:rFonts w:ascii="宋体" w:hAnsi="宋体" w:cs="宋体" w:eastAsia="宋体" w:hint="default"/>
          <w:b/>
          <w:bCs/>
          <w:w w:val="99"/>
          <w:sz w:val="28"/>
          <w:szCs w:val="28"/>
        </w:rPr>
        <w:t> </w:t>
      </w:r>
      <w:r>
        <w:rPr>
          <w:rFonts w:ascii="宋体" w:hAnsi="宋体" w:cs="宋体" w:eastAsia="宋体" w:hint="default"/>
          <w:b/>
          <w:bCs/>
          <w:spacing w:val="2"/>
          <w:sz w:val="28"/>
          <w:szCs w:val="28"/>
        </w:rPr>
        <w:t>技术和财务等各个方面资源，积累经营管理经验，使公司管理水平得到整体提</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升，以保障被合并企业后续经营的平稳发展，通过完善管理来降低经营管理风</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险。</w:t>
      </w:r>
      <w:r>
        <w:rPr>
          <w:rFonts w:ascii="宋体" w:hAnsi="宋体" w:cs="宋体" w:eastAsia="宋体" w:hint="default"/>
          <w:sz w:val="28"/>
          <w:szCs w:val="28"/>
        </w:rPr>
      </w:r>
    </w:p>
    <w:p>
      <w:pPr>
        <w:spacing w:before="61"/>
        <w:ind w:left="674" w:right="882"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8</w:t>
      </w:r>
      <w:r>
        <w:rPr>
          <w:rFonts w:ascii="宋体" w:hAnsi="宋体" w:cs="宋体" w:eastAsia="宋体" w:hint="default"/>
          <w:b/>
          <w:bCs/>
          <w:sz w:val="28"/>
          <w:szCs w:val="28"/>
        </w:rPr>
        <w:t>、国家政策调整和宏观经济环境变化风险</w:t>
      </w:r>
      <w:r>
        <w:rPr>
          <w:rFonts w:ascii="宋体" w:hAnsi="宋体" w:cs="宋体" w:eastAsia="宋体" w:hint="default"/>
          <w:sz w:val="28"/>
          <w:szCs w:val="28"/>
        </w:rPr>
      </w:r>
    </w:p>
    <w:p>
      <w:pPr>
        <w:spacing w:line="400" w:lineRule="auto" w:before="236"/>
        <w:ind w:left="112" w:right="1130" w:firstLine="561"/>
        <w:jc w:val="both"/>
        <w:rPr>
          <w:rFonts w:ascii="宋体" w:hAnsi="宋体" w:cs="宋体" w:eastAsia="宋体" w:hint="default"/>
          <w:sz w:val="28"/>
          <w:szCs w:val="28"/>
        </w:rPr>
      </w:pPr>
      <w:r>
        <w:rPr>
          <w:rFonts w:ascii="宋体" w:hAnsi="宋体" w:cs="宋体" w:eastAsia="宋体" w:hint="default"/>
          <w:b/>
          <w:bCs/>
          <w:sz w:val="28"/>
          <w:szCs w:val="28"/>
        </w:rPr>
        <w:t>《“健康中国</w:t>
      </w:r>
      <w:r>
        <w:rPr>
          <w:rFonts w:ascii="宋体" w:hAnsi="宋体" w:cs="宋体" w:eastAsia="宋体" w:hint="default"/>
          <w:b/>
          <w:bCs/>
          <w:spacing w:val="-73"/>
          <w:sz w:val="28"/>
          <w:szCs w:val="28"/>
        </w:rPr>
        <w:t> </w:t>
      </w:r>
      <w:r>
        <w:rPr>
          <w:rFonts w:ascii="Times New Roman" w:hAnsi="Times New Roman" w:cs="Times New Roman" w:eastAsia="Times New Roman" w:hint="default"/>
          <w:b/>
          <w:bCs/>
          <w:sz w:val="28"/>
          <w:szCs w:val="28"/>
        </w:rPr>
        <w:t>2030</w:t>
      </w:r>
      <w:r>
        <w:rPr>
          <w:rFonts w:ascii="宋体" w:hAnsi="宋体" w:cs="宋体" w:eastAsia="宋体" w:hint="default"/>
          <w:b/>
          <w:bCs/>
          <w:sz w:val="28"/>
          <w:szCs w:val="28"/>
        </w:rPr>
        <w:t>”规划纲要》、《“十三五”全国人口健康信息化发展</w:t>
      </w:r>
      <w:r>
        <w:rPr>
          <w:rFonts w:ascii="宋体" w:hAnsi="宋体" w:cs="宋体" w:eastAsia="宋体" w:hint="default"/>
          <w:b/>
          <w:bCs/>
          <w:w w:val="99"/>
          <w:sz w:val="28"/>
          <w:szCs w:val="28"/>
        </w:rPr>
        <w:t> </w:t>
      </w:r>
      <w:r>
        <w:rPr>
          <w:rFonts w:ascii="宋体" w:hAnsi="宋体" w:cs="宋体" w:eastAsia="宋体" w:hint="default"/>
          <w:b/>
          <w:bCs/>
          <w:spacing w:val="2"/>
          <w:sz w:val="28"/>
          <w:szCs w:val="28"/>
        </w:rPr>
        <w:t>规划》及十九大报告指出的实施健康中国战略等新政策，为医疗卫生信息化发</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展提供了难得的发展机遇。如果未来几年国家政策导向和宏观经济出现重大变</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化，将对公司经营业务产生不确定性。</w:t>
      </w:r>
      <w:r>
        <w:rPr>
          <w:rFonts w:ascii="宋体" w:hAnsi="宋体" w:cs="宋体" w:eastAsia="宋体" w:hint="default"/>
          <w:sz w:val="28"/>
          <w:szCs w:val="28"/>
        </w:rPr>
      </w:r>
    </w:p>
    <w:p>
      <w:pPr>
        <w:spacing w:before="70"/>
        <w:ind w:left="674" w:right="882" w:firstLine="0"/>
        <w:jc w:val="left"/>
        <w:rPr>
          <w:rFonts w:ascii="宋体" w:hAnsi="宋体" w:cs="宋体" w:eastAsia="宋体" w:hint="default"/>
          <w:sz w:val="28"/>
          <w:szCs w:val="28"/>
        </w:rPr>
      </w:pPr>
      <w:r>
        <w:rPr>
          <w:rFonts w:ascii="宋体" w:hAnsi="宋体" w:cs="宋体" w:eastAsia="宋体" w:hint="default"/>
          <w:b/>
          <w:bCs/>
          <w:spacing w:val="2"/>
          <w:sz w:val="28"/>
          <w:szCs w:val="28"/>
        </w:rPr>
        <w:t>应对措施：公司积极应对国家经济和产业环境的新形势，严格按照相关法</w:t>
      </w:r>
      <w:r>
        <w:rPr>
          <w:rFonts w:ascii="宋体" w:hAnsi="宋体" w:cs="宋体" w:eastAsia="宋体" w:hint="default"/>
          <w:spacing w:val="2"/>
          <w:sz w:val="28"/>
          <w:szCs w:val="28"/>
        </w:rPr>
      </w:r>
    </w:p>
    <w:p>
      <w:pPr>
        <w:spacing w:after="0"/>
        <w:jc w:val="left"/>
        <w:rPr>
          <w:rFonts w:ascii="宋体" w:hAnsi="宋体" w:cs="宋体" w:eastAsia="宋体" w:hint="default"/>
          <w:sz w:val="28"/>
          <w:szCs w:val="28"/>
        </w:rPr>
        <w:sectPr>
          <w:pgSz w:w="11910" w:h="16840"/>
          <w:pgMar w:header="907" w:footer="1016" w:top="1100" w:bottom="1200" w:left="1020" w:right="0"/>
        </w:sectPr>
      </w:pPr>
    </w:p>
    <w:p>
      <w:pPr>
        <w:spacing w:line="240" w:lineRule="auto" w:before="0"/>
        <w:rPr>
          <w:rFonts w:ascii="宋体" w:hAnsi="宋体" w:cs="宋体" w:eastAsia="宋体" w:hint="default"/>
          <w:b/>
          <w:bCs/>
          <w:sz w:val="20"/>
          <w:szCs w:val="20"/>
        </w:rPr>
      </w:pPr>
    </w:p>
    <w:p>
      <w:pPr>
        <w:spacing w:line="408" w:lineRule="auto" w:before="158"/>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律法规和政策的规定开展公司业务。以市场为导向，持续推进新产品研发和技</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术创新，同时进一步加强市场开拓力度及全国销售网络建设，巩固公司市场地</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位，强化产业核心竞争力，努力拓宽产品线及健康服务生态圈，提升公司的盈</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利能力。</w:t>
      </w:r>
      <w:r>
        <w:rPr>
          <w:rFonts w:ascii="宋体" w:hAnsi="宋体" w:cs="宋体" w:eastAsia="宋体" w:hint="default"/>
          <w:sz w:val="28"/>
          <w:szCs w:val="28"/>
        </w:rPr>
      </w:r>
    </w:p>
    <w:p>
      <w:pPr>
        <w:spacing w:line="408" w:lineRule="auto" w:before="61"/>
        <w:ind w:left="112" w:right="882" w:firstLine="561"/>
        <w:jc w:val="left"/>
        <w:rPr>
          <w:rFonts w:ascii="宋体" w:hAnsi="宋体" w:cs="宋体" w:eastAsia="宋体" w:hint="default"/>
          <w:sz w:val="28"/>
          <w:szCs w:val="28"/>
        </w:rPr>
      </w:pPr>
      <w:r>
        <w:rPr>
          <w:rFonts w:ascii="宋体" w:hAnsi="宋体" w:cs="宋体" w:eastAsia="宋体" w:hint="default"/>
          <w:b/>
          <w:bCs/>
          <w:spacing w:val="2"/>
          <w:sz w:val="28"/>
          <w:szCs w:val="28"/>
        </w:rPr>
        <w:t>公司经本次董事会审议通过的利润分配预案为：以实施权益分派股权登记</w:t>
      </w:r>
      <w:r>
        <w:rPr>
          <w:rFonts w:ascii="宋体" w:hAnsi="宋体" w:cs="宋体" w:eastAsia="宋体" w:hint="default"/>
          <w:b/>
          <w:bCs/>
          <w:w w:val="99"/>
          <w:sz w:val="28"/>
          <w:szCs w:val="28"/>
        </w:rPr>
        <w:t> </w:t>
      </w:r>
      <w:r>
        <w:rPr>
          <w:rFonts w:ascii="宋体" w:hAnsi="宋体" w:cs="宋体" w:eastAsia="宋体" w:hint="default"/>
          <w:b/>
          <w:bCs/>
          <w:spacing w:val="-3"/>
          <w:sz w:val="28"/>
          <w:szCs w:val="28"/>
        </w:rPr>
        <w:t>日的总股本扣减拟回购注销的限制性股票后的股本为基数，向全体股东每</w:t>
      </w:r>
      <w:r>
        <w:rPr>
          <w:rFonts w:ascii="宋体" w:hAnsi="宋体" w:cs="宋体" w:eastAsia="宋体" w:hint="default"/>
          <w:b/>
          <w:bCs/>
          <w:spacing w:val="-61"/>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8"/>
          <w:sz w:val="28"/>
          <w:szCs w:val="28"/>
        </w:rPr>
        <w:t> </w:t>
      </w:r>
      <w:r>
        <w:rPr>
          <w:rFonts w:ascii="宋体" w:hAnsi="宋体" w:cs="宋体" w:eastAsia="宋体" w:hint="default"/>
          <w:b/>
          <w:bCs/>
          <w:sz w:val="28"/>
          <w:szCs w:val="28"/>
        </w:rPr>
        <w:t>股</w:t>
      </w:r>
      <w:r>
        <w:rPr>
          <w:rFonts w:ascii="宋体" w:hAnsi="宋体" w:cs="宋体" w:eastAsia="宋体" w:hint="default"/>
          <w:sz w:val="28"/>
          <w:szCs w:val="28"/>
        </w:rPr>
      </w:r>
    </w:p>
    <w:p>
      <w:pPr>
        <w:spacing w:before="19"/>
        <w:ind w:left="112" w:right="0" w:firstLine="0"/>
        <w:jc w:val="both"/>
        <w:rPr>
          <w:rFonts w:ascii="宋体" w:hAnsi="宋体" w:cs="宋体" w:eastAsia="宋体" w:hint="default"/>
          <w:sz w:val="28"/>
          <w:szCs w:val="28"/>
        </w:rPr>
      </w:pPr>
      <w:r>
        <w:rPr>
          <w:rFonts w:ascii="宋体" w:hAnsi="宋体" w:cs="宋体" w:eastAsia="宋体" w:hint="default"/>
          <w:b/>
          <w:bCs/>
          <w:sz w:val="28"/>
          <w:szCs w:val="28"/>
        </w:rPr>
        <w:t>派发现金红利</w:t>
      </w:r>
      <w:r>
        <w:rPr>
          <w:rFonts w:ascii="宋体" w:hAnsi="宋体" w:cs="宋体" w:eastAsia="宋体" w:hint="default"/>
          <w:b/>
          <w:bCs/>
          <w:spacing w:val="-73"/>
          <w:sz w:val="28"/>
          <w:szCs w:val="28"/>
        </w:rPr>
        <w:t> </w:t>
      </w:r>
      <w:r>
        <w:rPr>
          <w:rFonts w:ascii="Times New Roman" w:hAnsi="Times New Roman" w:cs="Times New Roman" w:eastAsia="Times New Roman" w:hint="default"/>
          <w:b/>
          <w:bCs/>
          <w:sz w:val="28"/>
          <w:szCs w:val="28"/>
        </w:rPr>
        <w:t>0.45</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元（含税），送红股</w:t>
      </w:r>
      <w:r>
        <w:rPr>
          <w:rFonts w:ascii="宋体" w:hAnsi="宋体" w:cs="宋体" w:eastAsia="宋体" w:hint="default"/>
          <w:b/>
          <w:bCs/>
          <w:spacing w:val="-73"/>
          <w:sz w:val="28"/>
          <w:szCs w:val="28"/>
        </w:rPr>
        <w:t> </w:t>
      </w:r>
      <w:r>
        <w:rPr>
          <w:rFonts w:ascii="Times New Roman" w:hAnsi="Times New Roman" w:cs="Times New Roman" w:eastAsia="Times New Roman" w:hint="default"/>
          <w:b/>
          <w:bCs/>
          <w:sz w:val="28"/>
          <w:szCs w:val="28"/>
        </w:rPr>
        <w:t>0</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股（含税），以资本公积金向全体股</w:t>
      </w:r>
      <w:r>
        <w:rPr>
          <w:rFonts w:ascii="宋体" w:hAnsi="宋体" w:cs="宋体" w:eastAsia="宋体" w:hint="default"/>
          <w:sz w:val="28"/>
          <w:szCs w:val="28"/>
        </w:rPr>
      </w:r>
    </w:p>
    <w:p>
      <w:pPr>
        <w:spacing w:before="236"/>
        <w:ind w:left="112" w:right="0" w:firstLine="0"/>
        <w:jc w:val="both"/>
        <w:rPr>
          <w:rFonts w:ascii="宋体" w:hAnsi="宋体" w:cs="宋体" w:eastAsia="宋体" w:hint="default"/>
          <w:sz w:val="28"/>
          <w:szCs w:val="28"/>
        </w:rPr>
      </w:pPr>
      <w:r>
        <w:rPr>
          <w:rFonts w:ascii="宋体" w:hAnsi="宋体" w:cs="宋体" w:eastAsia="宋体" w:hint="default"/>
          <w:b/>
          <w:bCs/>
          <w:sz w:val="28"/>
          <w:szCs w:val="28"/>
        </w:rPr>
        <w:t>东每</w:t>
      </w:r>
      <w:r>
        <w:rPr>
          <w:rFonts w:ascii="宋体" w:hAnsi="宋体" w:cs="宋体" w:eastAsia="宋体" w:hint="default"/>
          <w:b/>
          <w:bCs/>
          <w:spacing w:val="-71"/>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3"/>
          <w:sz w:val="28"/>
          <w:szCs w:val="28"/>
        </w:rPr>
        <w:t> </w:t>
      </w:r>
      <w:r>
        <w:rPr>
          <w:rFonts w:ascii="宋体" w:hAnsi="宋体" w:cs="宋体" w:eastAsia="宋体" w:hint="default"/>
          <w:b/>
          <w:bCs/>
          <w:sz w:val="28"/>
          <w:szCs w:val="28"/>
        </w:rPr>
        <w:t>股转增</w:t>
      </w:r>
      <w:r>
        <w:rPr>
          <w:rFonts w:ascii="宋体" w:hAnsi="宋体" w:cs="宋体" w:eastAsia="宋体" w:hint="default"/>
          <w:b/>
          <w:bCs/>
          <w:spacing w:val="-73"/>
          <w:sz w:val="28"/>
          <w:szCs w:val="28"/>
        </w:rPr>
        <w:t> </w:t>
      </w:r>
      <w:r>
        <w:rPr>
          <w:rFonts w:ascii="Times New Roman" w:hAnsi="Times New Roman" w:cs="Times New Roman" w:eastAsia="Times New Roman" w:hint="default"/>
          <w:b/>
          <w:bCs/>
          <w:sz w:val="28"/>
          <w:szCs w:val="28"/>
        </w:rPr>
        <w:t>5</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股。</w:t>
      </w:r>
      <w:r>
        <w:rPr>
          <w:rFonts w:ascii="宋体" w:hAnsi="宋体" w:cs="宋体" w:eastAsia="宋体" w:hint="default"/>
          <w:sz w:val="28"/>
          <w:szCs w:val="28"/>
        </w:rPr>
      </w:r>
    </w:p>
    <w:p>
      <w:pPr>
        <w:spacing w:after="0"/>
        <w:jc w:val="both"/>
        <w:rPr>
          <w:rFonts w:ascii="宋体" w:hAnsi="宋体" w:cs="宋体" w:eastAsia="宋体" w:hint="default"/>
          <w:sz w:val="28"/>
          <w:szCs w:val="28"/>
        </w:rPr>
        <w:sectPr>
          <w:pgSz w:w="11910" w:h="16840"/>
          <w:pgMar w:header="907" w:footer="1016" w:top="1100" w:bottom="1200" w:left="102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7"/>
          <w:szCs w:val="27"/>
        </w:rPr>
      </w:pPr>
    </w:p>
    <w:p>
      <w:pPr>
        <w:spacing w:line="460" w:lineRule="exact" w:before="0"/>
        <w:ind w:left="2765" w:right="3782"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4"/>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9741" w:val="right" w:leader="dot"/>
            </w:tabs>
            <w:spacing w:line="240" w:lineRule="auto" w:before="0"/>
            <w:ind w:right="0"/>
            <w:jc w:val="left"/>
            <w:rPr>
              <w:rFonts w:ascii="Times New Roman" w:hAnsi="Times New Roman" w:cs="Times New Roman" w:eastAsia="Times New Roman" w:hint="default"/>
              <w:b w:val="0"/>
              <w:bCs w:val="0"/>
            </w:rPr>
          </w:pPr>
          <w:hyperlink w:history="true" w:anchor="_bookmark0">
            <w:r>
              <w:rPr/>
              <w:t>第一节</w:t>
            </w:r>
            <w:r>
              <w:rPr>
                <w:spacing w:val="-2"/>
              </w:rPr>
              <w:t> </w:t>
            </w:r>
            <w:r>
              <w:rPr/>
              <w:t>重要提示、目录和释义</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9</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w:t>
            </w:r>
            <w:r>
              <w:rPr>
                <w:spacing w:val="-2"/>
              </w:rPr>
              <w:t> </w:t>
            </w:r>
            <w:r>
              <w:rPr/>
              <w:t>公司简介和主要财务指标</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13</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第三节</w:t>
            </w:r>
            <w:r>
              <w:rPr>
                <w:spacing w:val="-2"/>
              </w:rPr>
              <w:t> </w:t>
            </w:r>
            <w:r>
              <w:rPr/>
              <w:t>公司业务概要</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26</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w:t>
            </w:r>
            <w:r>
              <w:rPr>
                <w:spacing w:val="-2"/>
              </w:rPr>
              <w:t> </w:t>
            </w:r>
            <w:r>
              <w:rPr/>
              <w:t>经营情况讨论与分析</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47</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r>
            <w:r>
              <w:rPr>
                <w:spacing w:val="-2"/>
              </w:rPr>
              <w:t> </w:t>
            </w:r>
            <w:r>
              <w:rPr/>
              <w:t>重要事项</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63</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第六节</w:t>
            </w:r>
            <w:r>
              <w:rPr>
                <w:spacing w:val="-2"/>
              </w:rPr>
              <w:t> </w:t>
            </w:r>
            <w:r>
              <w:rPr/>
              <w:t>股份变动及股东情况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74</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第七节</w:t>
            </w:r>
            <w:r>
              <w:rPr>
                <w:spacing w:val="-2"/>
              </w:rPr>
              <w:t> </w:t>
            </w:r>
            <w:r>
              <w:rPr/>
              <w:t>优先股相关情况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74</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第八节</w:t>
            </w:r>
            <w:r>
              <w:rPr>
                <w:spacing w:val="-2"/>
              </w:rPr>
              <w:t> </w:t>
            </w:r>
            <w:r>
              <w:rPr/>
              <w:t>可转换公司债券相关情况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74</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6">
            <w:r>
              <w:rPr/>
              <w:t>第九节</w:t>
            </w:r>
            <w:r>
              <w:rPr>
                <w:spacing w:val="-2"/>
              </w:rPr>
              <w:t> </w:t>
            </w:r>
            <w:r>
              <w:rPr/>
              <w:t>董事、监事、高级管理人员和员工情况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75</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第十节</w:t>
            </w:r>
            <w:r>
              <w:rPr>
                <w:spacing w:val="-2"/>
              </w:rPr>
              <w:t> </w:t>
            </w:r>
            <w:r>
              <w:rPr/>
              <w:t>公司治理</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76</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第十一节 公司债券相关情况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83</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第十二节 财务报告</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89</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第十三节 备查文件目录</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90</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907" w:footer="1016" w:top="1100" w:bottom="1200" w:left="1020" w:right="0"/>
        </w:sectPr>
      </w:pPr>
    </w:p>
    <w:p>
      <w:pPr>
        <w:spacing w:before="908"/>
        <w:ind w:left="2765" w:right="3782"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4"/>
          <w:szCs w:val="24"/>
        </w:rPr>
      </w:pPr>
    </w:p>
    <w:tbl>
      <w:tblPr>
        <w:tblW w:w="0" w:type="auto"/>
        <w:jc w:val="left"/>
        <w:tblInd w:w="109" w:type="dxa"/>
        <w:tblLayout w:type="fixed"/>
        <w:tblCellMar>
          <w:top w:w="0" w:type="dxa"/>
          <w:left w:w="0" w:type="dxa"/>
          <w:bottom w:w="0" w:type="dxa"/>
          <w:right w:w="0" w:type="dxa"/>
        </w:tblCellMar>
        <w:tblLook w:val="01E0"/>
      </w:tblPr>
      <w:tblGrid>
        <w:gridCol w:w="3524"/>
        <w:gridCol w:w="621"/>
        <w:gridCol w:w="5424"/>
      </w:tblGrid>
      <w:tr>
        <w:trPr>
          <w:trHeight w:val="402" w:hRule="exact"/>
        </w:trPr>
        <w:tc>
          <w:tcPr>
            <w:tcW w:w="3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本公司、公司、创业慧康</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创业慧康科技股份有限公司，曾用名创业软件股份有限公司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控股股东、实际控制人</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葛航</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会计师、天健会计师事务所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天健会计师事务所（特殊普通合伙）</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律师、北京天元</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北京市天元律师事务所</w:t>
            </w:r>
          </w:p>
        </w:tc>
      </w:tr>
      <w:tr>
        <w:trPr>
          <w:trHeight w:val="714"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慧康物联</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4" w:right="100"/>
              <w:jc w:val="left"/>
              <w:rPr>
                <w:rFonts w:ascii="宋体" w:hAnsi="宋体" w:cs="宋体" w:eastAsia="宋体" w:hint="default"/>
                <w:sz w:val="18"/>
                <w:szCs w:val="18"/>
              </w:rPr>
            </w:pPr>
            <w:r>
              <w:rPr>
                <w:rFonts w:ascii="宋体" w:hAnsi="宋体" w:cs="宋体" w:eastAsia="宋体" w:hint="default"/>
                <w:spacing w:val="-1"/>
                <w:sz w:val="18"/>
                <w:szCs w:val="18"/>
              </w:rPr>
              <w:t>杭州慧康物联网科技有限公司，曾用名杭州博泰信息技术服务有限</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鑫粟科技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浙江鑫粟科技有限公司，曾用名杭州鑫粟投资管理有限公司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铜粟投资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宁波铜粟投资管理有限公司，曾用名杭州铜粟投资管理有限公司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阜康投资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杭州阜康投资有限公司</w:t>
            </w:r>
          </w:p>
        </w:tc>
      </w:tr>
      <w:tr>
        <w:trPr>
          <w:trHeight w:val="714"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重大资产重组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4" w:right="268"/>
              <w:jc w:val="left"/>
              <w:rPr>
                <w:rFonts w:ascii="宋体" w:hAnsi="宋体" w:cs="宋体" w:eastAsia="宋体" w:hint="default"/>
                <w:sz w:val="18"/>
                <w:szCs w:val="18"/>
              </w:rPr>
            </w:pPr>
            <w:r>
              <w:rPr>
                <w:rFonts w:ascii="宋体" w:hAnsi="宋体" w:cs="宋体" w:eastAsia="宋体" w:hint="default"/>
                <w:sz w:val="18"/>
                <w:szCs w:val="18"/>
              </w:rPr>
              <w:t>创业软件股份有限公司发行股份及支付现金购买杭州博泰信息技 术服务有限公司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创业慧康科技股份有限公司股东大会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创业慧康科技股份有限公司董事会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创业慧康科技股份有限公司监事会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深交所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卫健委</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国家卫生健康委员会，曾用名国家卫生和计划生育委员会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医保局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国家医疗保障局</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《创业慧康科技股份有限公司章程》</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7"/>
          <w:szCs w:val="17"/>
        </w:rPr>
      </w:pPr>
    </w:p>
    <w:p>
      <w:pPr>
        <w:pStyle w:val="Heading1"/>
        <w:spacing w:line="240" w:lineRule="auto"/>
        <w:ind w:left="2685" w:right="882"/>
        <w:jc w:val="left"/>
        <w:rPr>
          <w:b w:val="0"/>
          <w:bCs w:val="0"/>
        </w:rPr>
      </w:pPr>
      <w:bookmarkStart w:name="第二节公司简介和主要财务指标" w:id="2"/>
      <w:bookmarkEnd w:id="2"/>
      <w:r>
        <w:rPr>
          <w:b w:val="0"/>
          <w:bCs w:val="0"/>
        </w:rPr>
      </w:r>
      <w:bookmarkStart w:name="_bookmark0" w:id="3"/>
      <w:bookmarkEnd w:id="3"/>
      <w:r>
        <w:rPr>
          <w:b w:val="0"/>
          <w:bCs w:val="0"/>
        </w:rPr>
      </w:r>
      <w:r>
        <w:rPr/>
        <w:t>第二节公司简介和主要财务指标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882"/>
        <w:jc w:val="left"/>
        <w:rPr>
          <w:b w:val="0"/>
          <w:bCs w:val="0"/>
        </w:rPr>
      </w:pPr>
      <w:bookmarkStart w:name="一、公司信息" w:id="4"/>
      <w:bookmarkEnd w:id="4"/>
      <w:r>
        <w:rPr>
          <w:b w:val="0"/>
          <w:bCs w:val="0"/>
        </w:rPr>
      </w:r>
      <w:r>
        <w:rPr/>
        <w:t>一、公司信息</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284"/>
        <w:gridCol w:w="2953"/>
        <w:gridCol w:w="2156"/>
        <w:gridCol w:w="2176"/>
      </w:tblGrid>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创业慧康</w:t>
            </w:r>
          </w:p>
        </w:tc>
        <w:tc>
          <w:tcPr>
            <w:tcW w:w="21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300451</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创业慧康</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B-SOFT</w:t>
            </w:r>
            <w:r>
              <w:rPr>
                <w:rFonts w:ascii="Times New Roman"/>
                <w:spacing w:val="-8"/>
                <w:sz w:val="18"/>
              </w:rPr>
              <w:t> </w:t>
            </w:r>
            <w:r>
              <w:rPr>
                <w:rFonts w:ascii="Times New Roman"/>
                <w:sz w:val="18"/>
              </w:rPr>
              <w:t>Co.,Ltd.</w:t>
            </w:r>
          </w:p>
        </w:tc>
      </w:tr>
      <w:tr>
        <w:trPr>
          <w:trHeight w:val="714"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90"/>
              <w:jc w:val="left"/>
              <w:rPr>
                <w:rFonts w:ascii="宋体" w:hAnsi="宋体" w:cs="宋体" w:eastAsia="宋体" w:hint="default"/>
                <w:sz w:val="18"/>
                <w:szCs w:val="18"/>
              </w:rPr>
            </w:pPr>
            <w:r>
              <w:rPr>
                <w:rFonts w:ascii="宋体" w:hAnsi="宋体" w:cs="宋体" w:eastAsia="宋体" w:hint="default"/>
                <w:sz w:val="18"/>
                <w:szCs w:val="18"/>
              </w:rPr>
              <w:t>公司的外文名称缩写（如 有）</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B-SOFT</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葛航</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杭州市滨江区长河街道越达巷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号创业智慧大厦五楼</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310052</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杭州市滨江区长河街道越达巷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号创业智慧大厦五楼</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310052</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https://</w:t>
            </w:r>
            <w:hyperlink r:id="rId10">
              <w:r>
                <w:rPr>
                  <w:rFonts w:ascii="Times New Roman"/>
                  <w:sz w:val="18"/>
                </w:rPr>
                <w:t>www.bsoft.com.cn/</w:t>
              </w:r>
            </w:hyperlink>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hyperlink r:id="rId11">
              <w:r>
                <w:rPr>
                  <w:rFonts w:ascii="Times New Roman"/>
                  <w:sz w:val="18"/>
                </w:rPr>
                <w:t>bsoft@bsoft.com.cn</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882"/>
        <w:jc w:val="left"/>
        <w:rPr>
          <w:b w:val="0"/>
          <w:bCs w:val="0"/>
        </w:rPr>
      </w:pPr>
      <w:bookmarkStart w:name="二、联系人和联系方式" w:id="5"/>
      <w:bookmarkEnd w:id="5"/>
      <w:r>
        <w:rPr>
          <w:b w:val="0"/>
          <w:bCs w:val="0"/>
        </w:rPr>
      </w:r>
      <w:r>
        <w:rPr/>
        <w:t>二、联系人和联系方式</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胡燕</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徐胜</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2" w:right="104"/>
              <w:jc w:val="left"/>
              <w:rPr>
                <w:rFonts w:ascii="宋体" w:hAnsi="宋体" w:cs="宋体" w:eastAsia="宋体" w:hint="default"/>
                <w:sz w:val="18"/>
                <w:szCs w:val="18"/>
              </w:rPr>
            </w:pPr>
            <w:r>
              <w:rPr>
                <w:rFonts w:ascii="宋体" w:hAnsi="宋体" w:cs="宋体" w:eastAsia="宋体" w:hint="default"/>
                <w:sz w:val="18"/>
                <w:szCs w:val="18"/>
              </w:rPr>
              <w:t>杭州市滨江区长河街道越达巷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号创 业智慧大厦五楼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2" w:right="105"/>
              <w:jc w:val="left"/>
              <w:rPr>
                <w:rFonts w:ascii="宋体" w:hAnsi="宋体" w:cs="宋体" w:eastAsia="宋体" w:hint="default"/>
                <w:sz w:val="18"/>
                <w:szCs w:val="18"/>
              </w:rPr>
            </w:pPr>
            <w:r>
              <w:rPr>
                <w:rFonts w:ascii="宋体" w:hAnsi="宋体" w:cs="宋体" w:eastAsia="宋体" w:hint="default"/>
                <w:sz w:val="18"/>
                <w:szCs w:val="18"/>
              </w:rPr>
              <w:t>杭州市滨江区长河街道越达巷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号创 业智慧大厦五楼</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0571-88925701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0571-88925701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r>
              <w:rPr>
                <w:rFonts w:ascii="Times New Roman"/>
                <w:sz w:val="18"/>
              </w:rPr>
              <w:t>0571-88217703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r>
              <w:rPr>
                <w:rFonts w:ascii="Times New Roman"/>
                <w:sz w:val="18"/>
              </w:rPr>
              <w:t>0571-88217703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hyperlink r:id="rId12">
              <w:r>
                <w:rPr>
                  <w:rFonts w:ascii="Times New Roman"/>
                  <w:sz w:val="18"/>
                </w:rPr>
                <w:t>huy@bsoft.com.cn</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hyperlink r:id="rId13">
              <w:r>
                <w:rPr>
                  <w:rFonts w:ascii="Times New Roman"/>
                  <w:sz w:val="18"/>
                </w:rPr>
                <w:t>xus@bsoft.com.cn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882"/>
        <w:jc w:val="left"/>
        <w:rPr>
          <w:b w:val="0"/>
          <w:bCs w:val="0"/>
        </w:rPr>
      </w:pPr>
      <w:bookmarkStart w:name="三、信息披露及备置地点" w:id="6"/>
      <w:bookmarkEnd w:id="6"/>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992"/>
        <w:gridCol w:w="5576"/>
      </w:tblGrid>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《中国证券报》、《证券时报》、《证券日报》、《上海证券报》</w:t>
            </w:r>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hyperlink r:id="rId14">
              <w:r>
                <w:rPr>
                  <w:rFonts w:ascii="Times New Roman"/>
                  <w:sz w:val="18"/>
                </w:rPr>
                <w:t>http://www.cninfo.com.cn</w:t>
              </w:r>
            </w:hyperlink>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公司证券部办公室</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9"/>
        <w:rPr>
          <w:rFonts w:ascii="宋体" w:hAnsi="宋体" w:cs="宋体" w:eastAsia="宋体" w:hint="default"/>
          <w:b/>
          <w:bCs/>
          <w:sz w:val="20"/>
          <w:szCs w:val="20"/>
        </w:rPr>
      </w:pPr>
    </w:p>
    <w:p>
      <w:pPr>
        <w:pStyle w:val="Heading2"/>
        <w:spacing w:line="240" w:lineRule="auto" w:before="26"/>
        <w:ind w:right="882"/>
        <w:jc w:val="left"/>
        <w:rPr>
          <w:b w:val="0"/>
          <w:bCs w:val="0"/>
        </w:rPr>
      </w:pPr>
      <w:bookmarkStart w:name="四、其他有关资料" w:id="7"/>
      <w:bookmarkEnd w:id="7"/>
      <w:r>
        <w:rPr>
          <w:b w:val="0"/>
          <w:bCs w:val="0"/>
        </w:rPr>
      </w:r>
      <w:r>
        <w:rPr/>
        <w:t>四、其他有关资料</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公司聘请的会计师事务所</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62"/>
        <w:gridCol w:w="6906"/>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天健会计师事务所（特殊普通合伙）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杭州市江干区钱江路</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1366</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号华润大厦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余建耀、李鸿霞</w:t>
            </w:r>
          </w:p>
        </w:tc>
      </w:tr>
    </w:tbl>
    <w:p>
      <w:pPr>
        <w:pStyle w:val="BodyText"/>
        <w:spacing w:line="240" w:lineRule="auto" w:before="51"/>
        <w:ind w:right="882"/>
        <w:jc w:val="left"/>
      </w:pPr>
      <w:r>
        <w:rPr/>
        <w:t>公司聘请的报告期内履行持续督导职责的保荐机构</w:t>
      </w:r>
    </w:p>
    <w:p>
      <w:pPr>
        <w:pStyle w:val="BodyText"/>
        <w:spacing w:line="357" w:lineRule="auto" w:before="117"/>
        <w:ind w:right="6794"/>
        <w:jc w:val="left"/>
      </w:pPr>
      <w:r>
        <w:rPr/>
        <w:t>□ 适用 √ 不适用 公司聘请的报告期内履行持续督导职责的财务顾问</w:t>
      </w:r>
    </w:p>
    <w:p>
      <w:pPr>
        <w:pStyle w:val="BodyText"/>
        <w:spacing w:line="240" w:lineRule="auto" w:before="29"/>
        <w:ind w:right="882"/>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882"/>
        <w:jc w:val="left"/>
        <w:rPr>
          <w:b w:val="0"/>
          <w:bCs w:val="0"/>
        </w:rPr>
      </w:pPr>
      <w:bookmarkStart w:name="五、主要会计数据和财务指标" w:id="8"/>
      <w:bookmarkEnd w:id="8"/>
      <w:r>
        <w:rPr>
          <w:b w:val="0"/>
          <w:bCs w:val="0"/>
        </w:rPr>
      </w:r>
      <w:r>
        <w:rPr/>
        <w:t>五、主要会计数据和财务指标</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公司是否需追溯调整或重述以前年度会计数据</w:t>
      </w:r>
    </w:p>
    <w:p>
      <w:pPr>
        <w:pStyle w:val="BodyText"/>
        <w:spacing w:line="240" w:lineRule="auto" w:before="117"/>
        <w:ind w:right="882"/>
        <w:jc w:val="left"/>
      </w:pPr>
      <w:r>
        <w:rPr/>
        <w:t>□ 是 √ 否</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21"/>
        <w:gridCol w:w="1738"/>
        <w:gridCol w:w="1737"/>
        <w:gridCol w:w="1737"/>
        <w:gridCol w:w="1736"/>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1,479,824,747.66</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1,290,288,361.43</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14.69%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1,152,952,938.09</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314,070,351.32</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212,681,116.27</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47.67%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163,244,227.81</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67"/>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260,686,956.46</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199,612,997.19</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30.60%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154,230,633.21</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80,158,689.37</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169,697,618.08</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-52.76%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175,466,341.65</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0.43</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0.30</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43.33%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0.23</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0.43</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0.29</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48.28%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0.23</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12.79%</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9.78%</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8.74%</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73" w:right="142" w:hanging="632"/>
              <w:jc w:val="left"/>
              <w:rPr>
                <w:rFonts w:ascii="宋体" w:hAnsi="宋体" w:cs="宋体" w:eastAsia="宋体" w:hint="default"/>
                <w:sz w:val="18"/>
                <w:szCs w:val="18"/>
              </w:rPr>
            </w:pPr>
            <w:r>
              <w:rPr>
                <w:rFonts w:ascii="宋体" w:hAnsi="宋体" w:cs="宋体" w:eastAsia="宋体" w:hint="default"/>
                <w:sz w:val="18"/>
                <w:szCs w:val="18"/>
              </w:rPr>
              <w:t>本年末比上年末增 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Times New Roman" w:hAnsi="Times New Roman" w:cs="Times New Roman" w:eastAsia="Times New Roman" w:hint="default"/>
                <w:sz w:val="18"/>
                <w:szCs w:val="18"/>
              </w:rPr>
            </w:pPr>
            <w:r>
              <w:rPr>
                <w:rFonts w:ascii="Times New Roman"/>
                <w:spacing w:val="-1"/>
                <w:sz w:val="18"/>
              </w:rPr>
              <w:t>3,589,661,923.11</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3,078,548,332.90</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16.60%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2,698,990,624.51</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2,589,733,451.76</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2,321,067,725.25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11.58%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2,037,912,061.46</w:t>
            </w:r>
          </w:p>
        </w:tc>
      </w:tr>
    </w:tbl>
    <w:p>
      <w:pPr>
        <w:spacing w:line="240" w:lineRule="auto" w:before="1"/>
        <w:rPr>
          <w:rFonts w:ascii="宋体" w:hAnsi="宋体" w:cs="宋体" w:eastAsia="宋体" w:hint="default"/>
          <w:sz w:val="18"/>
          <w:szCs w:val="18"/>
        </w:rPr>
      </w:pPr>
    </w:p>
    <w:p>
      <w:pPr>
        <w:pStyle w:val="Heading2"/>
        <w:spacing w:line="240" w:lineRule="auto" w:before="26"/>
        <w:ind w:right="882"/>
        <w:jc w:val="left"/>
        <w:rPr>
          <w:b w:val="0"/>
          <w:bCs w:val="0"/>
        </w:rPr>
      </w:pPr>
      <w:bookmarkStart w:name="六、分季度主要财务指标" w:id="9"/>
      <w:bookmarkEnd w:id="9"/>
      <w:r>
        <w:rPr>
          <w:b w:val="0"/>
          <w:bCs w:val="0"/>
        </w:rPr>
      </w:r>
      <w:r>
        <w:rPr/>
        <w:t>六、分季度主要财务指标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21"/>
        <w:gridCol w:w="1740"/>
        <w:gridCol w:w="1739"/>
        <w:gridCol w:w="1739"/>
        <w:gridCol w:w="1730"/>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5"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320,103,330.07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293,742,521.28</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328,754,546.90</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492" w:right="0"/>
              <w:jc w:val="left"/>
              <w:rPr>
                <w:rFonts w:ascii="Times New Roman" w:hAnsi="Times New Roman" w:cs="Times New Roman" w:eastAsia="Times New Roman" w:hint="default"/>
                <w:sz w:val="18"/>
                <w:szCs w:val="18"/>
              </w:rPr>
            </w:pPr>
            <w:r>
              <w:rPr>
                <w:rFonts w:ascii="Times New Roman"/>
                <w:sz w:val="18"/>
              </w:rPr>
              <w:t>537,224,349.41</w:t>
            </w:r>
          </w:p>
        </w:tc>
      </w:tr>
      <w:tr>
        <w:trPr>
          <w:trHeight w:val="400"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62,115,203.19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63,017,398.73</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59,929,775.60</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2" w:right="0"/>
              <w:jc w:val="left"/>
              <w:rPr>
                <w:rFonts w:ascii="Times New Roman" w:hAnsi="Times New Roman" w:cs="Times New Roman" w:eastAsia="Times New Roman" w:hint="default"/>
                <w:sz w:val="18"/>
                <w:szCs w:val="18"/>
              </w:rPr>
            </w:pPr>
            <w:r>
              <w:rPr>
                <w:rFonts w:ascii="Times New Roman"/>
                <w:sz w:val="18"/>
              </w:rPr>
              <w:t>129,007,973.80</w:t>
            </w:r>
          </w:p>
        </w:tc>
      </w:tr>
    </w:tbl>
    <w:p>
      <w:pPr>
        <w:spacing w:after="0" w:line="240" w:lineRule="auto"/>
        <w:jc w:val="left"/>
        <w:rPr>
          <w:rFonts w:ascii="Times New Roman" w:hAnsi="Times New Roman" w:cs="Times New Roman" w:eastAsia="Times New Roman" w:hint="default"/>
          <w:sz w:val="18"/>
          <w:szCs w:val="18"/>
        </w:rPr>
        <w:sectPr>
          <w:footerReference w:type="default" r:id="rId15"/>
          <w:pgSz w:w="11910" w:h="16840"/>
          <w:pgMar w:footer="1016" w:header="907" w:top="1100" w:bottom="1200" w:left="1020" w:right="0"/>
          <w:pgNumType w:start="1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621"/>
        <w:gridCol w:w="1740"/>
        <w:gridCol w:w="1739"/>
        <w:gridCol w:w="1739"/>
        <w:gridCol w:w="1730"/>
      </w:tblGrid>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67"/>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54,727,537.03</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25,324,645.25</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55,201,141.77</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125,433,632.41</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-179,858,373.07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-33,639,026.45</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-51,041,220.15</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344,697,309.04</w:t>
            </w:r>
          </w:p>
        </w:tc>
      </w:tr>
    </w:tbl>
    <w:p>
      <w:pPr>
        <w:pStyle w:val="BodyText"/>
        <w:spacing w:line="240" w:lineRule="auto" w:before="50"/>
        <w:ind w:right="882"/>
        <w:jc w:val="left"/>
      </w:pPr>
      <w:r>
        <w:rPr/>
        <w:t>上述财务指标或其加总数是否与公司已披露季度报告、半年度报告相关财务指标存在重大差异</w:t>
      </w:r>
    </w:p>
    <w:p>
      <w:pPr>
        <w:pStyle w:val="BodyText"/>
        <w:spacing w:line="240" w:lineRule="auto" w:before="117"/>
        <w:ind w:right="882"/>
        <w:jc w:val="left"/>
      </w:pPr>
      <w:r>
        <w:rPr/>
        <w:t>□ 是 √ 否</w:t>
      </w:r>
    </w:p>
    <w:p>
      <w:pPr>
        <w:spacing w:line="240" w:lineRule="auto" w:before="1"/>
        <w:rPr>
          <w:rFonts w:ascii="宋体" w:hAnsi="宋体" w:cs="宋体" w:eastAsia="宋体" w:hint="default"/>
          <w:sz w:val="25"/>
          <w:szCs w:val="25"/>
        </w:rPr>
      </w:pPr>
    </w:p>
    <w:p>
      <w:pPr>
        <w:pStyle w:val="Heading2"/>
        <w:spacing w:line="240" w:lineRule="auto"/>
        <w:ind w:right="882"/>
        <w:jc w:val="left"/>
        <w:rPr>
          <w:b w:val="0"/>
          <w:bCs w:val="0"/>
        </w:rPr>
      </w:pPr>
      <w:bookmarkStart w:name="七、境内外会计准则下会计数据差异" w:id="10"/>
      <w:bookmarkEnd w:id="10"/>
      <w:r>
        <w:rPr>
          <w:b w:val="0"/>
          <w:bCs w:val="0"/>
        </w:rPr>
      </w: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同时按照国际会计准则与按照中国会计准则披露的财务报告中净利润和净资产差异情况" w:id="11"/>
      <w:bookmarkEnd w:id="11"/>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1389"/>
        <w:jc w:val="left"/>
      </w:pPr>
      <w:r>
        <w:rPr/>
        <w:t>□ 适用 √ 不适用 公司报告期不存在按照国际会计准则与按照中国会计准则披露的财务报告中净利润和净资产差异情况。</w:t>
      </w:r>
    </w:p>
    <w:p>
      <w:pPr>
        <w:spacing w:line="240" w:lineRule="auto" w:before="12"/>
        <w:rPr>
          <w:rFonts w:ascii="宋体" w:hAnsi="宋体" w:cs="宋体" w:eastAsia="宋体" w:hint="default"/>
          <w:sz w:val="19"/>
          <w:szCs w:val="19"/>
        </w:rPr>
      </w:pPr>
    </w:p>
    <w:p>
      <w:pPr>
        <w:pStyle w:val="Heading3"/>
        <w:spacing w:line="240" w:lineRule="auto"/>
        <w:ind w:right="882"/>
        <w:jc w:val="left"/>
        <w:rPr>
          <w:b w:val="0"/>
          <w:bCs w:val="0"/>
        </w:rPr>
      </w:pPr>
      <w:bookmarkStart w:name="2、同时按照境外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2654"/>
        <w:jc w:val="left"/>
      </w:pPr>
      <w:r>
        <w:rPr/>
        <w:t>□ 适用 √ 不适用 公司报告期不存在按照境外会计准则与按照中国会计准则披露的财务报告中净利润和净资产差异情况。</w:t>
      </w:r>
    </w:p>
    <w:p>
      <w:pPr>
        <w:spacing w:line="240" w:lineRule="auto" w:before="2"/>
        <w:rPr>
          <w:rFonts w:ascii="宋体" w:hAnsi="宋体" w:cs="宋体" w:eastAsia="宋体" w:hint="default"/>
          <w:sz w:val="18"/>
          <w:szCs w:val="18"/>
        </w:rPr>
      </w:pPr>
    </w:p>
    <w:p>
      <w:pPr>
        <w:pStyle w:val="Heading2"/>
        <w:spacing w:line="240" w:lineRule="auto"/>
        <w:ind w:right="882"/>
        <w:jc w:val="left"/>
        <w:rPr>
          <w:b w:val="0"/>
          <w:bCs w:val="0"/>
        </w:rPr>
      </w:pPr>
      <w:bookmarkStart w:name="八、非经常性损益项目及金额" w:id="13"/>
      <w:bookmarkEnd w:id="13"/>
      <w:r>
        <w:rPr>
          <w:b w:val="0"/>
          <w:bCs w:val="0"/>
        </w:rPr>
      </w:r>
      <w:r>
        <w:rPr/>
        <w:t>八、非经常性损益项目及金额</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882"/>
        <w:jc w:val="left"/>
      </w:pPr>
      <w:r>
        <w:rPr/>
        <w:t>√ 适用 □ 不适用</w:t>
      </w:r>
    </w:p>
    <w:p>
      <w:pPr>
        <w:pStyle w:val="BodyText"/>
        <w:spacing w:line="240" w:lineRule="auto" w:before="115"/>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296"/>
        <w:gridCol w:w="1520"/>
        <w:gridCol w:w="1520"/>
        <w:gridCol w:w="1522"/>
        <w:gridCol w:w="1710"/>
      </w:tblGrid>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22"/>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 减值准备的冲销部分）</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-68,401.36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1,106,734.64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359,795.05</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302"/>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 还、减免</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183,842.01</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22"/>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 量享受的政府补助除外）</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15,096,280.47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13,292,713.02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9,025,781.87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22"/>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 的投资成本小于取得投资时应享有被投 资单位可辨认净资产公允价值产生的收 益</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2,156,752.15</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1,259,059.44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1,161,069.00</w:t>
            </w: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296"/>
        <w:gridCol w:w="1520"/>
        <w:gridCol w:w="1520"/>
        <w:gridCol w:w="1522"/>
        <w:gridCol w:w="1710"/>
      </w:tblGrid>
      <w:tr>
        <w:trPr>
          <w:trHeight w:val="2274"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22"/>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 保值业务外，持有交易性金融资产、衍 生金融资产、交易性金融负债、衍生金 融负债产生的公允价值变动损益，以及 处置交易性金融资产、衍生金融资产、 交易性金融负债、衍生金融负债和其他 债权投资取得的投资收益</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43,426,623.23</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22"/>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-264,306.63</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-519,468.44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-516,484.79</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6,222,255.83</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1,785,802.24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1,159,239.42</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741,297.17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285,117.34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41,169.12</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53,383,394.86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13,068,119.08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9,013,594.60</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882"/>
        <w:jc w:val="left"/>
      </w:pPr>
      <w:r>
        <w:rPr>
          <w:spacing w:val="-3"/>
        </w:rPr>
        <w:t>对公司根据《公开发行证券的公司信息披露解释性公告第</w:t>
      </w:r>
      <w:r>
        <w:rPr>
          <w:spacing w:val="-38"/>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号——非经常性损益》定义界定的非经常性损益项目，以及把《公</w:t>
      </w:r>
    </w:p>
    <w:p>
      <w:pPr>
        <w:pStyle w:val="BodyText"/>
        <w:spacing w:line="300" w:lineRule="auto" w:before="63"/>
        <w:ind w:right="1120"/>
        <w:jc w:val="left"/>
      </w:pPr>
      <w:r>
        <w:rPr/>
        <w:t>开发行证券的公司信息披露解释性公告第</w:t>
      </w:r>
      <w:r>
        <w:rPr>
          <w:spacing w:val="-35"/>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号——非经常性损益》中列举的非经常性损益项目界定为经常性损益的项目，应</w:t>
      </w:r>
      <w:r>
        <w:rPr>
          <w:spacing w:val="-88"/>
        </w:rPr>
        <w:t> </w:t>
      </w:r>
      <w:r>
        <w:rPr>
          <w:spacing w:val="-88"/>
        </w:rPr>
      </w:r>
      <w:r>
        <w:rPr/>
        <w:t>说明原因</w:t>
      </w:r>
    </w:p>
    <w:p>
      <w:pPr>
        <w:pStyle w:val="BodyText"/>
        <w:spacing w:line="240" w:lineRule="auto" w:before="72"/>
        <w:ind w:right="882"/>
        <w:jc w:val="left"/>
      </w:pPr>
      <w:r>
        <w:rPr/>
        <w:t>□ 适用 √ 不适用</w:t>
      </w:r>
    </w:p>
    <w:p>
      <w:pPr>
        <w:pStyle w:val="BodyText"/>
        <w:spacing w:line="300" w:lineRule="auto" w:before="115"/>
        <w:ind w:right="1117"/>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号——非经常性损益》定义、列举的非经常性损益</w:t>
      </w:r>
      <w:r>
        <w:rPr/>
        <w:t> 项目界定为经常性损益的项目的情形。</w:t>
      </w:r>
    </w:p>
    <w:p>
      <w:pPr>
        <w:spacing w:after="0" w:line="30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right="3782"/>
        <w:jc w:val="center"/>
        <w:rPr>
          <w:b w:val="0"/>
          <w:bCs w:val="0"/>
        </w:rPr>
      </w:pPr>
      <w:bookmarkStart w:name="第三节公司业务概要" w:id="14"/>
      <w:bookmarkEnd w:id="14"/>
      <w:r>
        <w:rPr>
          <w:b w:val="0"/>
          <w:bCs w:val="0"/>
        </w:rPr>
      </w:r>
      <w:bookmarkStart w:name="_bookmark1" w:id="15"/>
      <w:bookmarkEnd w:id="15"/>
      <w:r>
        <w:rPr>
          <w:b w:val="0"/>
          <w:bCs w:val="0"/>
        </w:rPr>
      </w:r>
      <w:r>
        <w:rPr/>
        <w:t>第三节公司业务概要</w:t>
      </w:r>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left="592" w:right="882"/>
        <w:jc w:val="left"/>
        <w:rPr>
          <w:b w:val="0"/>
          <w:bCs w:val="0"/>
        </w:rPr>
      </w:pPr>
      <w:bookmarkStart w:name="一、报告期内公司从事的主要业务" w:id="16"/>
      <w:bookmarkEnd w:id="16"/>
      <w:r>
        <w:rPr>
          <w:b w:val="0"/>
          <w:bCs w:val="0"/>
        </w:rPr>
      </w:r>
      <w:r>
        <w:rPr/>
        <w:t>一、报告期内公司从事的主要业务</w:t>
      </w:r>
      <w:r>
        <w:rPr>
          <w:b w:val="0"/>
          <w:bCs w:val="0"/>
        </w:rPr>
      </w:r>
    </w:p>
    <w:p>
      <w:pPr>
        <w:pStyle w:val="BodyText"/>
        <w:spacing w:line="240" w:lineRule="auto" w:before="46"/>
        <w:ind w:left="472" w:right="882"/>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pStyle w:val="BodyText"/>
        <w:spacing w:line="316" w:lineRule="auto" w:before="63"/>
        <w:ind w:left="477" w:right="882" w:hanging="3"/>
        <w:jc w:val="left"/>
      </w:pPr>
      <w:r>
        <w:rPr>
          <w:rFonts w:ascii="宋体" w:hAnsi="宋体" w:cs="宋体" w:eastAsia="宋体" w:hint="default"/>
          <w:b/>
          <w:bCs/>
        </w:rPr>
        <w:t>（一）主要业务概况</w:t>
      </w:r>
      <w:r>
        <w:rPr>
          <w:rFonts w:ascii="宋体" w:hAnsi="宋体" w:cs="宋体" w:eastAsia="宋体" w:hint="default"/>
          <w:b/>
          <w:bCs/>
          <w:w w:val="99"/>
        </w:rPr>
        <w:t> </w:t>
      </w:r>
      <w:r>
        <w:rPr>
          <w:spacing w:val="-4"/>
        </w:rPr>
        <w:t>公司成立以来始终秉承“创造智慧医卫，服务健康事业”的企业宗旨，专注于医疗卫生信息化的建设、研发及服务创新，</w:t>
      </w:r>
    </w:p>
    <w:p>
      <w:pPr>
        <w:pStyle w:val="BodyText"/>
        <w:spacing w:line="316" w:lineRule="auto" w:before="19"/>
        <w:ind w:left="477" w:right="882" w:hanging="365"/>
        <w:jc w:val="left"/>
      </w:pPr>
      <w:r>
        <w:rPr/>
        <w:t>公司始终坚持以市场为导向，以客户需求为出发点，不断深化拓展医疗卫生信息化行业市场。 </w:t>
      </w:r>
      <w:r>
        <w:rPr>
          <w:spacing w:val="-2"/>
        </w:rPr>
        <w:t>近年，在《“健康中国</w:t>
      </w:r>
      <w:r>
        <w:rPr>
          <w:rFonts w:ascii="Times New Roman" w:hAnsi="Times New Roman" w:cs="Times New Roman" w:eastAsia="Times New Roman" w:hint="default"/>
          <w:spacing w:val="-2"/>
        </w:rPr>
        <w:t>2030</w:t>
      </w:r>
      <w:r>
        <w:rPr>
          <w:spacing w:val="-2"/>
        </w:rPr>
        <w:t>”规划纲要》、《“十三五”全国人口健康信息化发展规划》等新政策导向下，公司紧跟产</w:t>
      </w:r>
    </w:p>
    <w:p>
      <w:pPr>
        <w:pStyle w:val="BodyText"/>
        <w:spacing w:line="316" w:lineRule="auto"/>
        <w:ind w:right="1041"/>
        <w:jc w:val="both"/>
      </w:pPr>
      <w:r>
        <w:rPr/>
        <w:t>业步伐，顺应行业的发展，结合自身市场拓展、业务特点及产品服务优势，组建了医卫信息化事业群、医卫物联网事业群、 </w:t>
      </w:r>
      <w:r>
        <w:rPr>
          <w:spacing w:val="-4"/>
        </w:rPr>
        <w:t>医卫互联网事业群加医保事业部的公司业务新格局，为公司医疗健康大数据运营、健康城市建设运营、互联网医院建设运营、</w:t>
      </w:r>
      <w:r>
        <w:rPr>
          <w:spacing w:val="-42"/>
        </w:rPr>
        <w:t> </w:t>
      </w:r>
      <w:r>
        <w:rPr>
          <w:spacing w:val="-42"/>
        </w:rPr>
      </w:r>
      <w:r>
        <w:rPr/>
        <w:t>智慧医疗物联网服务运维、智慧医保等创新业务进一步发展奠定了坚实的基础。</w:t>
      </w:r>
    </w:p>
    <w:p>
      <w:pPr>
        <w:spacing w:line="240" w:lineRule="auto" w:before="1"/>
        <w:rPr>
          <w:rFonts w:ascii="宋体" w:hAnsi="宋体" w:cs="宋体" w:eastAsia="宋体" w:hint="default"/>
          <w:sz w:val="4"/>
          <w:szCs w:val="4"/>
        </w:rPr>
      </w:pPr>
    </w:p>
    <w:p>
      <w:pPr>
        <w:spacing w:line="3030" w:lineRule="exact"/>
        <w:ind w:left="115" w:right="0" w:firstLine="0"/>
        <w:rPr>
          <w:rFonts w:ascii="宋体" w:hAnsi="宋体" w:cs="宋体" w:eastAsia="宋体" w:hint="default"/>
          <w:sz w:val="20"/>
          <w:szCs w:val="20"/>
        </w:rPr>
      </w:pPr>
      <w:r>
        <w:rPr>
          <w:rFonts w:ascii="宋体" w:hAnsi="宋体" w:cs="宋体" w:eastAsia="宋体" w:hint="default"/>
          <w:position w:val="-60"/>
          <w:sz w:val="20"/>
          <w:szCs w:val="20"/>
        </w:rPr>
        <w:drawing>
          <wp:inline distT="0" distB="0" distL="0" distR="0">
            <wp:extent cx="6037221" cy="1924050"/>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6" cstate="print"/>
                    <a:stretch>
                      <a:fillRect/>
                    </a:stretch>
                  </pic:blipFill>
                  <pic:spPr>
                    <a:xfrm>
                      <a:off x="0" y="0"/>
                      <a:ext cx="6037221" cy="1924050"/>
                    </a:xfrm>
                    <a:prstGeom prst="rect">
                      <a:avLst/>
                    </a:prstGeom>
                  </pic:spPr>
                </pic:pic>
              </a:graphicData>
            </a:graphic>
          </wp:inline>
        </w:drawing>
      </w:r>
      <w:r>
        <w:rPr>
          <w:rFonts w:ascii="宋体" w:hAnsi="宋体" w:cs="宋体" w:eastAsia="宋体" w:hint="default"/>
          <w:position w:val="-60"/>
          <w:sz w:val="20"/>
          <w:szCs w:val="20"/>
        </w:rPr>
      </w:r>
    </w:p>
    <w:p>
      <w:pPr>
        <w:pStyle w:val="BodyText"/>
        <w:spacing w:line="316" w:lineRule="auto" w:before="56"/>
        <w:ind w:left="472" w:right="882" w:firstLine="2"/>
        <w:jc w:val="left"/>
      </w:pPr>
      <w:r>
        <w:rPr>
          <w:rFonts w:ascii="宋体" w:hAnsi="宋体" w:cs="宋体" w:eastAsia="宋体" w:hint="default"/>
          <w:b/>
          <w:bCs/>
        </w:rPr>
        <w:t>（二）公司主要产品及服务</w:t>
      </w:r>
      <w:r>
        <w:rPr>
          <w:rFonts w:ascii="宋体" w:hAnsi="宋体" w:cs="宋体" w:eastAsia="宋体" w:hint="default"/>
          <w:b/>
          <w:bCs/>
          <w:w w:val="99"/>
        </w:rPr>
        <w:t> </w:t>
      </w:r>
      <w:r>
        <w:rPr>
          <w:spacing w:val="-2"/>
        </w:rPr>
        <w:t>公司产品及服务可以划分为“一体两翼”及新设的医保事业部，四大产品服务板块，以针对不同的客户类型和应用场景</w:t>
      </w:r>
    </w:p>
    <w:p>
      <w:pPr>
        <w:pStyle w:val="BodyText"/>
        <w:spacing w:line="240" w:lineRule="auto" w:before="19"/>
        <w:ind w:right="0"/>
        <w:jc w:val="both"/>
      </w:pPr>
      <w:r>
        <w:rPr/>
        <w:t>的需要。</w:t>
      </w:r>
    </w:p>
    <w:p>
      <w:pPr>
        <w:spacing w:line="300" w:lineRule="auto" w:before="76"/>
        <w:ind w:left="472" w:right="1124" w:firstLine="2"/>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、医疗卫生信息化应用软件产品服务板块</w:t>
      </w:r>
      <w:r>
        <w:rPr>
          <w:rFonts w:ascii="宋体" w:hAnsi="宋体" w:cs="宋体" w:eastAsia="宋体" w:hint="default"/>
          <w:b/>
          <w:bCs/>
          <w:w w:val="99"/>
          <w:sz w:val="18"/>
          <w:szCs w:val="18"/>
        </w:rPr>
        <w:t> </w:t>
      </w:r>
      <w:r>
        <w:rPr>
          <w:rFonts w:ascii="宋体" w:hAnsi="宋体" w:cs="宋体" w:eastAsia="宋体" w:hint="default"/>
          <w:sz w:val="18"/>
          <w:szCs w:val="18"/>
        </w:rPr>
        <w:t>经过多年的研发，公司医疗卫生信息化应用软件产品服务板块已建立了较为完整的产品体系，拥有</w:t>
      </w:r>
      <w:r>
        <w:rPr>
          <w:rFonts w:ascii="Times New Roman" w:hAnsi="Times New Roman" w:cs="Times New Roman" w:eastAsia="Times New Roman" w:hint="default"/>
          <w:sz w:val="18"/>
          <w:szCs w:val="18"/>
        </w:rPr>
        <w:t>300</w:t>
      </w:r>
      <w:r>
        <w:rPr>
          <w:rFonts w:ascii="宋体" w:hAnsi="宋体" w:cs="宋体" w:eastAsia="宋体" w:hint="default"/>
          <w:sz w:val="18"/>
          <w:szCs w:val="18"/>
        </w:rPr>
        <w:t>多个自主研发产</w:t>
      </w:r>
    </w:p>
    <w:p>
      <w:pPr>
        <w:pStyle w:val="BodyText"/>
        <w:spacing w:line="240" w:lineRule="auto" w:before="13"/>
        <w:ind w:right="0"/>
        <w:jc w:val="both"/>
      </w:pPr>
      <w:r>
        <w:rPr/>
        <w:t>品，可以满足各大中型医院和县级以上卫生管理机构的信息化需求。</w:t>
      </w:r>
    </w:p>
    <w:p>
      <w:pPr>
        <w:pStyle w:val="BodyText"/>
        <w:spacing w:line="300" w:lineRule="auto" w:before="76"/>
        <w:ind w:left="472" w:right="882"/>
        <w:jc w:val="left"/>
      </w:pPr>
      <w:r>
        <w:rPr/>
        <w:t>（</w:t>
      </w:r>
      <w:r>
        <w:rPr>
          <w:rFonts w:ascii="Times New Roman" w:hAnsi="Times New Roman" w:cs="Times New Roman" w:eastAsia="Times New Roman" w:hint="default"/>
        </w:rPr>
        <w:t>1</w:t>
      </w:r>
      <w:r>
        <w:rPr/>
        <w:t>）医院信息化应用软件系列 </w:t>
      </w:r>
      <w:r>
        <w:rPr>
          <w:spacing w:val="-2"/>
        </w:rPr>
        <w:t>医院信息化应用软件是以病人为中心，以电子病历为核心，以全面集成为手段，采用先进的</w:t>
      </w:r>
      <w:r>
        <w:rPr>
          <w:rFonts w:ascii="Times New Roman" w:hAnsi="Times New Roman" w:cs="Times New Roman" w:eastAsia="Times New Roman" w:hint="default"/>
          <w:spacing w:val="-2"/>
        </w:rPr>
        <w:t>IT</w:t>
      </w:r>
      <w:r>
        <w:rPr>
          <w:spacing w:val="-2"/>
        </w:rPr>
        <w:t>技术框架，遵循国内外通</w:t>
      </w:r>
    </w:p>
    <w:p>
      <w:pPr>
        <w:pStyle w:val="BodyText"/>
        <w:spacing w:line="316" w:lineRule="auto" w:before="13"/>
        <w:ind w:right="1045"/>
        <w:jc w:val="both"/>
      </w:pPr>
      <w:r>
        <w:rPr>
          <w:spacing w:val="-2"/>
        </w:rPr>
        <w:t>用标准和规范，支持医院内部医疗信息和管理信息的数据采集、处理、存储、传输和共享，实现病人信息数字化、医疗过程</w:t>
      </w:r>
      <w:r>
        <w:rPr>
          <w:spacing w:val="-66"/>
        </w:rPr>
        <w:t> </w:t>
      </w:r>
      <w:r>
        <w:rPr>
          <w:spacing w:val="-66"/>
        </w:rPr>
      </w:r>
      <w:r>
        <w:rPr>
          <w:spacing w:val="-2"/>
        </w:rPr>
        <w:t>数字化、管理流程数字化、医疗服务数字化、信息交互数字化，在价值链上实现病人、医院、供应商的信息集成；在管理链</w:t>
      </w:r>
      <w:r>
        <w:rPr>
          <w:spacing w:val="-64"/>
        </w:rPr>
        <w:t> </w:t>
      </w:r>
      <w:r>
        <w:rPr>
          <w:spacing w:val="-64"/>
        </w:rPr>
      </w:r>
      <w:r>
        <w:rPr>
          <w:spacing w:val="-4"/>
        </w:rPr>
        <w:t>上实现人、财、物、药、设备等的管理与战略目标的集成，内容涵盖医院临床、医技、护理、科研、教学、管理等多个方面。</w:t>
      </w:r>
    </w:p>
    <w:p>
      <w:pPr>
        <w:spacing w:after="0" w:line="316" w:lineRule="auto"/>
        <w:jc w:val="both"/>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1"/>
          <w:szCs w:val="11"/>
        </w:rPr>
      </w:pPr>
    </w:p>
    <w:p>
      <w:pPr>
        <w:spacing w:line="4830" w:lineRule="exact"/>
        <w:ind w:left="1288"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4618096" cy="3067050"/>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7" cstate="print"/>
                    <a:stretch>
                      <a:fillRect/>
                    </a:stretch>
                  </pic:blipFill>
                  <pic:spPr>
                    <a:xfrm>
                      <a:off x="0" y="0"/>
                      <a:ext cx="4618096" cy="3067050"/>
                    </a:xfrm>
                    <a:prstGeom prst="rect">
                      <a:avLst/>
                    </a:prstGeom>
                  </pic:spPr>
                </pic:pic>
              </a:graphicData>
            </a:graphic>
          </wp:inline>
        </w:drawing>
      </w:r>
      <w:r>
        <w:rPr>
          <w:rFonts w:ascii="宋体" w:hAnsi="宋体" w:cs="宋体" w:eastAsia="宋体" w:hint="default"/>
          <w:position w:val="-96"/>
          <w:sz w:val="20"/>
          <w:szCs w:val="20"/>
        </w:rPr>
      </w:r>
    </w:p>
    <w:p>
      <w:pPr>
        <w:pStyle w:val="BodyText"/>
        <w:spacing w:line="316" w:lineRule="auto" w:before="92"/>
        <w:ind w:left="472" w:right="882" w:firstLine="91"/>
        <w:jc w:val="left"/>
      </w:pPr>
      <w:r>
        <w:rPr/>
        <w:t>①医院管理信息系统 </w:t>
      </w:r>
      <w:r>
        <w:rPr>
          <w:spacing w:val="-2"/>
        </w:rPr>
        <w:t>医院管理信息系统的主要目的是支持医院的行政管理与事务处理业务，减轻医院事务处理人员劳动强度，辅助医院管理</w:t>
      </w:r>
    </w:p>
    <w:p>
      <w:pPr>
        <w:pStyle w:val="BodyText"/>
        <w:spacing w:line="240" w:lineRule="auto" w:before="19"/>
        <w:ind w:right="882"/>
        <w:jc w:val="left"/>
      </w:pPr>
      <w:r>
        <w:rPr/>
        <w:t>和领导决策，提高医院工作效率。</w:t>
      </w:r>
    </w:p>
    <w:p>
      <w:pPr>
        <w:spacing w:line="240" w:lineRule="auto" w:before="13"/>
        <w:rPr>
          <w:rFonts w:ascii="宋体" w:hAnsi="宋体" w:cs="宋体" w:eastAsia="宋体" w:hint="default"/>
          <w:sz w:val="4"/>
          <w:szCs w:val="4"/>
        </w:rPr>
      </w:pPr>
    </w:p>
    <w:tbl>
      <w:tblPr>
        <w:tblW w:w="0" w:type="auto"/>
        <w:jc w:val="left"/>
        <w:tblInd w:w="661" w:type="dxa"/>
        <w:tblLayout w:type="fixed"/>
        <w:tblCellMar>
          <w:top w:w="0" w:type="dxa"/>
          <w:left w:w="0" w:type="dxa"/>
          <w:bottom w:w="0" w:type="dxa"/>
          <w:right w:w="0" w:type="dxa"/>
        </w:tblCellMar>
        <w:tblLook w:val="01E0"/>
      </w:tblPr>
      <w:tblGrid>
        <w:gridCol w:w="1663"/>
        <w:gridCol w:w="1257"/>
        <w:gridCol w:w="5593"/>
      </w:tblGrid>
      <w:tr>
        <w:trPr>
          <w:trHeight w:val="362" w:hRule="exact"/>
        </w:trPr>
        <w:tc>
          <w:tcPr>
            <w:tcW w:w="166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85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6" w:right="0"/>
              <w:jc w:val="center"/>
              <w:rPr>
                <w:rFonts w:ascii="宋体" w:hAnsi="宋体" w:cs="宋体" w:eastAsia="宋体" w:hint="default"/>
                <w:sz w:val="18"/>
                <w:szCs w:val="18"/>
              </w:rPr>
            </w:pPr>
            <w:r>
              <w:rPr>
                <w:rFonts w:ascii="宋体" w:hAnsi="宋体" w:cs="宋体" w:eastAsia="宋体" w:hint="default"/>
                <w:b/>
                <w:bCs/>
                <w:sz w:val="18"/>
                <w:szCs w:val="18"/>
              </w:rPr>
              <w:t>医院管理信息系统</w:t>
            </w:r>
            <w:r>
              <w:rPr>
                <w:rFonts w:ascii="宋体" w:hAnsi="宋体" w:cs="宋体" w:eastAsia="宋体" w:hint="default"/>
                <w:sz w:val="18"/>
                <w:szCs w:val="18"/>
              </w:rPr>
            </w:r>
          </w:p>
        </w:tc>
      </w:tr>
      <w:tr>
        <w:trPr>
          <w:trHeight w:val="362" w:hRule="exact"/>
        </w:trPr>
        <w:tc>
          <w:tcPr>
            <w:tcW w:w="1663" w:type="dxa"/>
            <w:vMerge w:val="restart"/>
            <w:tcBorders>
              <w:top w:val="single" w:sz="12" w:space="0" w:color="000000"/>
              <w:left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456" w:right="0"/>
              <w:jc w:val="left"/>
              <w:rPr>
                <w:rFonts w:ascii="宋体" w:hAnsi="宋体" w:cs="宋体" w:eastAsia="宋体" w:hint="default"/>
                <w:sz w:val="18"/>
                <w:szCs w:val="18"/>
              </w:rPr>
            </w:pPr>
            <w:r>
              <w:rPr>
                <w:rFonts w:ascii="宋体" w:hAnsi="宋体" w:cs="宋体" w:eastAsia="宋体" w:hint="default"/>
                <w:sz w:val="18"/>
                <w:szCs w:val="18"/>
              </w:rPr>
              <w:t>主要内容</w:t>
            </w:r>
          </w:p>
        </w:tc>
        <w:tc>
          <w:tcPr>
            <w:tcW w:w="125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344" w:right="0"/>
              <w:jc w:val="left"/>
              <w:rPr>
                <w:rFonts w:ascii="宋体" w:hAnsi="宋体" w:cs="宋体" w:eastAsia="宋体" w:hint="default"/>
                <w:sz w:val="18"/>
                <w:szCs w:val="18"/>
              </w:rPr>
            </w:pPr>
            <w:r>
              <w:rPr>
                <w:rFonts w:ascii="宋体" w:hAnsi="宋体" w:cs="宋体" w:eastAsia="宋体" w:hint="default"/>
                <w:sz w:val="18"/>
                <w:szCs w:val="18"/>
              </w:rPr>
              <w:t>子系统</w:t>
            </w:r>
          </w:p>
        </w:tc>
        <w:tc>
          <w:tcPr>
            <w:tcW w:w="559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主要功能模块</w:t>
            </w:r>
          </w:p>
        </w:tc>
      </w:tr>
      <w:tr>
        <w:trPr>
          <w:trHeight w:val="1298" w:hRule="exact"/>
        </w:trPr>
        <w:tc>
          <w:tcPr>
            <w:tcW w:w="1663" w:type="dxa"/>
            <w:vMerge/>
            <w:tcBorders>
              <w:left w:val="single" w:sz="12" w:space="0" w:color="000000"/>
              <w:right w:val="single" w:sz="12" w:space="0" w:color="000000"/>
            </w:tcBorders>
          </w:tcPr>
          <w:p>
            <w:pPr/>
          </w:p>
        </w:tc>
        <w:tc>
          <w:tcPr>
            <w:tcW w:w="125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316" w:lineRule="auto"/>
              <w:ind w:left="433" w:right="253" w:hanging="180"/>
              <w:jc w:val="left"/>
              <w:rPr>
                <w:rFonts w:ascii="宋体" w:hAnsi="宋体" w:cs="宋体" w:eastAsia="宋体" w:hint="default"/>
                <w:sz w:val="18"/>
                <w:szCs w:val="18"/>
              </w:rPr>
            </w:pPr>
            <w:r>
              <w:rPr>
                <w:rFonts w:ascii="宋体" w:hAnsi="宋体" w:cs="宋体" w:eastAsia="宋体" w:hint="default"/>
                <w:sz w:val="18"/>
                <w:szCs w:val="18"/>
              </w:rPr>
              <w:t>门诊管理 系统</w:t>
            </w:r>
          </w:p>
        </w:tc>
        <w:tc>
          <w:tcPr>
            <w:tcW w:w="5593"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left="1" w:right="1"/>
              <w:jc w:val="both"/>
              <w:rPr>
                <w:rFonts w:ascii="宋体" w:hAnsi="宋体" w:cs="宋体" w:eastAsia="宋体" w:hint="default"/>
                <w:sz w:val="18"/>
                <w:szCs w:val="18"/>
              </w:rPr>
            </w:pPr>
            <w:r>
              <w:rPr>
                <w:rFonts w:ascii="宋体" w:hAnsi="宋体" w:cs="宋体" w:eastAsia="宋体" w:hint="default"/>
                <w:sz w:val="18"/>
                <w:szCs w:val="18"/>
              </w:rPr>
              <w:t>多媒体导医服务系统、就诊卡及账户管理系统、预约挂号系统、门急诊 挂号收费系统、门急诊留观系统、分诊排队叫号系统、门诊医生工作站 系统、门诊注射室管理系统、门诊输液系统、门诊医技收费系统、“银 医通”系统</w:t>
            </w:r>
          </w:p>
        </w:tc>
      </w:tr>
      <w:tr>
        <w:trPr>
          <w:trHeight w:val="986" w:hRule="exact"/>
        </w:trPr>
        <w:tc>
          <w:tcPr>
            <w:tcW w:w="1663" w:type="dxa"/>
            <w:vMerge/>
            <w:tcBorders>
              <w:left w:val="single" w:sz="12" w:space="0" w:color="000000"/>
              <w:right w:val="single" w:sz="12" w:space="0" w:color="000000"/>
            </w:tcBorders>
          </w:tcPr>
          <w:p>
            <w:pPr/>
          </w:p>
        </w:tc>
        <w:tc>
          <w:tcPr>
            <w:tcW w:w="125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316" w:lineRule="auto"/>
              <w:ind w:left="433" w:right="253" w:hanging="180"/>
              <w:jc w:val="left"/>
              <w:rPr>
                <w:rFonts w:ascii="宋体" w:hAnsi="宋体" w:cs="宋体" w:eastAsia="宋体" w:hint="default"/>
                <w:sz w:val="18"/>
                <w:szCs w:val="18"/>
              </w:rPr>
            </w:pPr>
            <w:r>
              <w:rPr>
                <w:rFonts w:ascii="宋体" w:hAnsi="宋体" w:cs="宋体" w:eastAsia="宋体" w:hint="default"/>
                <w:sz w:val="18"/>
                <w:szCs w:val="18"/>
              </w:rPr>
              <w:t>住院管理 系统</w:t>
            </w:r>
          </w:p>
        </w:tc>
        <w:tc>
          <w:tcPr>
            <w:tcW w:w="5593"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left="1" w:right="1"/>
              <w:jc w:val="both"/>
              <w:rPr>
                <w:rFonts w:ascii="宋体" w:hAnsi="宋体" w:cs="宋体" w:eastAsia="宋体" w:hint="default"/>
                <w:sz w:val="18"/>
                <w:szCs w:val="18"/>
              </w:rPr>
            </w:pPr>
            <w:r>
              <w:rPr>
                <w:rFonts w:ascii="宋体" w:hAnsi="宋体" w:cs="宋体" w:eastAsia="宋体" w:hint="default"/>
                <w:sz w:val="18"/>
                <w:szCs w:val="18"/>
              </w:rPr>
              <w:t>住院结算管理系统、病区护士工作站系统、住院医生工作站系统、手术 麻醉管理系统、营养膳食管理系统、住院医技收费系统、静脉用药调配 系统、院内感染管理系统、病案管理系统、统计管理系统</w:t>
            </w:r>
          </w:p>
        </w:tc>
      </w:tr>
      <w:tr>
        <w:trPr>
          <w:trHeight w:val="674" w:hRule="exact"/>
        </w:trPr>
        <w:tc>
          <w:tcPr>
            <w:tcW w:w="1663" w:type="dxa"/>
            <w:vMerge/>
            <w:tcBorders>
              <w:left w:val="single" w:sz="12" w:space="0" w:color="000000"/>
              <w:right w:val="single" w:sz="12" w:space="0" w:color="000000"/>
            </w:tcBorders>
          </w:tcPr>
          <w:p>
            <w:pPr/>
          </w:p>
        </w:tc>
        <w:tc>
          <w:tcPr>
            <w:tcW w:w="1257"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left="433" w:right="253" w:hanging="180"/>
              <w:jc w:val="left"/>
              <w:rPr>
                <w:rFonts w:ascii="宋体" w:hAnsi="宋体" w:cs="宋体" w:eastAsia="宋体" w:hint="default"/>
                <w:sz w:val="18"/>
                <w:szCs w:val="18"/>
              </w:rPr>
            </w:pPr>
            <w:r>
              <w:rPr>
                <w:rFonts w:ascii="宋体" w:hAnsi="宋体" w:cs="宋体" w:eastAsia="宋体" w:hint="default"/>
                <w:sz w:val="18"/>
                <w:szCs w:val="18"/>
              </w:rPr>
              <w:t>药品管理 系统</w:t>
            </w:r>
          </w:p>
        </w:tc>
        <w:tc>
          <w:tcPr>
            <w:tcW w:w="5593"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left="1" w:right="1"/>
              <w:jc w:val="left"/>
              <w:rPr>
                <w:rFonts w:ascii="宋体" w:hAnsi="宋体" w:cs="宋体" w:eastAsia="宋体" w:hint="default"/>
                <w:sz w:val="18"/>
                <w:szCs w:val="18"/>
              </w:rPr>
            </w:pPr>
            <w:r>
              <w:rPr>
                <w:rFonts w:ascii="宋体" w:hAnsi="宋体" w:cs="宋体" w:eastAsia="宋体" w:hint="default"/>
                <w:sz w:val="18"/>
                <w:szCs w:val="18"/>
              </w:rPr>
              <w:t>西药库管理系统、中药库管理系统、门急诊中药房管理系统、门急诊西 药房管理系统、病区药房管理系统、制剂室管理系统</w:t>
            </w:r>
          </w:p>
        </w:tc>
      </w:tr>
      <w:tr>
        <w:trPr>
          <w:trHeight w:val="674" w:hRule="exact"/>
        </w:trPr>
        <w:tc>
          <w:tcPr>
            <w:tcW w:w="1663" w:type="dxa"/>
            <w:vMerge/>
            <w:tcBorders>
              <w:left w:val="single" w:sz="12" w:space="0" w:color="000000"/>
              <w:right w:val="single" w:sz="12" w:space="0" w:color="000000"/>
            </w:tcBorders>
          </w:tcPr>
          <w:p>
            <w:pPr/>
          </w:p>
        </w:tc>
        <w:tc>
          <w:tcPr>
            <w:tcW w:w="1257"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0"/>
              <w:ind w:left="433" w:right="253" w:hanging="180"/>
              <w:jc w:val="left"/>
              <w:rPr>
                <w:rFonts w:ascii="宋体" w:hAnsi="宋体" w:cs="宋体" w:eastAsia="宋体" w:hint="default"/>
                <w:sz w:val="18"/>
                <w:szCs w:val="18"/>
              </w:rPr>
            </w:pPr>
            <w:r>
              <w:rPr>
                <w:rFonts w:ascii="宋体" w:hAnsi="宋体" w:cs="宋体" w:eastAsia="宋体" w:hint="default"/>
                <w:sz w:val="18"/>
                <w:szCs w:val="18"/>
              </w:rPr>
              <w:t>后勤管理 系统</w:t>
            </w:r>
          </w:p>
        </w:tc>
        <w:tc>
          <w:tcPr>
            <w:tcW w:w="559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设备管理系统、物资管理系统、固定资产管理系统、供应室管理系统</w:t>
            </w:r>
          </w:p>
        </w:tc>
      </w:tr>
      <w:tr>
        <w:trPr>
          <w:trHeight w:val="1610" w:hRule="exact"/>
        </w:trPr>
        <w:tc>
          <w:tcPr>
            <w:tcW w:w="1663" w:type="dxa"/>
            <w:vMerge/>
            <w:tcBorders>
              <w:left w:val="single" w:sz="12" w:space="0" w:color="000000"/>
              <w:bottom w:val="single" w:sz="12" w:space="0" w:color="000000"/>
              <w:right w:val="single" w:sz="12" w:space="0" w:color="000000"/>
            </w:tcBorders>
          </w:tcPr>
          <w:p>
            <w:pPr/>
          </w:p>
        </w:tc>
        <w:tc>
          <w:tcPr>
            <w:tcW w:w="125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433" w:right="253" w:hanging="180"/>
              <w:jc w:val="left"/>
              <w:rPr>
                <w:rFonts w:ascii="宋体" w:hAnsi="宋体" w:cs="宋体" w:eastAsia="宋体" w:hint="default"/>
                <w:sz w:val="18"/>
                <w:szCs w:val="18"/>
              </w:rPr>
            </w:pPr>
            <w:r>
              <w:rPr>
                <w:rFonts w:ascii="宋体" w:hAnsi="宋体" w:cs="宋体" w:eastAsia="宋体" w:hint="default"/>
                <w:sz w:val="18"/>
                <w:szCs w:val="18"/>
              </w:rPr>
              <w:t>行政管理 系统</w:t>
            </w:r>
          </w:p>
        </w:tc>
        <w:tc>
          <w:tcPr>
            <w:tcW w:w="5593"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1"/>
              <w:ind w:left="1" w:right="1"/>
              <w:jc w:val="left"/>
              <w:rPr>
                <w:rFonts w:ascii="宋体" w:hAnsi="宋体" w:cs="宋体" w:eastAsia="宋体" w:hint="default"/>
                <w:sz w:val="18"/>
                <w:szCs w:val="18"/>
              </w:rPr>
            </w:pPr>
            <w:r>
              <w:rPr>
                <w:rFonts w:ascii="宋体" w:hAnsi="宋体" w:cs="宋体" w:eastAsia="宋体" w:hint="default"/>
                <w:sz w:val="18"/>
                <w:szCs w:val="18"/>
              </w:rPr>
              <w:t>科教管理系统、护理部管理系统、医务管理系统、档案管理系统、医德 医风管理系统、人事工资管理系统、预算管理系统\财务管理系统、成 本核算系统、绩效考核与薪酬分配系统、全面质量管理系统、办公自动 管理系统、医院内部信息网站、图书馆管理系统、食堂管理系统、患者 关系管理系统、院长查询管理系统</w:t>
            </w:r>
          </w:p>
        </w:tc>
      </w:tr>
      <w:tr>
        <w:trPr>
          <w:trHeight w:val="362" w:hRule="exact"/>
        </w:trPr>
        <w:tc>
          <w:tcPr>
            <w:tcW w:w="166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85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1" w:right="0"/>
              <w:jc w:val="left"/>
              <w:rPr>
                <w:rFonts w:ascii="宋体" w:hAnsi="宋体" w:cs="宋体" w:eastAsia="宋体" w:hint="default"/>
                <w:sz w:val="18"/>
                <w:szCs w:val="18"/>
              </w:rPr>
            </w:pPr>
            <w:r>
              <w:rPr>
                <w:rFonts w:ascii="宋体" w:hAnsi="宋体" w:cs="宋体" w:eastAsia="宋体" w:hint="default"/>
                <w:sz w:val="18"/>
                <w:szCs w:val="18"/>
              </w:rPr>
              <w:t>医院行政管理、事务处理</w:t>
            </w:r>
          </w:p>
        </w:tc>
      </w:tr>
      <w:tr>
        <w:trPr>
          <w:trHeight w:val="674" w:hRule="exact"/>
        </w:trPr>
        <w:tc>
          <w:tcPr>
            <w:tcW w:w="166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作用</w:t>
            </w:r>
          </w:p>
        </w:tc>
        <w:tc>
          <w:tcPr>
            <w:tcW w:w="685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left="1" w:right="1"/>
              <w:jc w:val="left"/>
              <w:rPr>
                <w:rFonts w:ascii="宋体" w:hAnsi="宋体" w:cs="宋体" w:eastAsia="宋体" w:hint="default"/>
                <w:sz w:val="18"/>
                <w:szCs w:val="18"/>
              </w:rPr>
            </w:pPr>
            <w:r>
              <w:rPr>
                <w:rFonts w:ascii="宋体" w:hAnsi="宋体" w:cs="宋体" w:eastAsia="宋体" w:hint="default"/>
                <w:spacing w:val="-1"/>
                <w:sz w:val="18"/>
                <w:szCs w:val="18"/>
              </w:rPr>
              <w:t>支持医院的行政管理与事务处理业务，减轻医院事务处理人员劳动强度，辅助医院管理</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和领导决策，提高医院工作效率</w:t>
            </w:r>
          </w:p>
        </w:tc>
      </w:tr>
      <w:tr>
        <w:trPr>
          <w:trHeight w:val="362" w:hRule="exact"/>
        </w:trPr>
        <w:tc>
          <w:tcPr>
            <w:tcW w:w="166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85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left="1" w:right="0"/>
              <w:jc w:val="left"/>
              <w:rPr>
                <w:rFonts w:ascii="宋体" w:hAnsi="宋体" w:cs="宋体" w:eastAsia="宋体" w:hint="default"/>
                <w:sz w:val="18"/>
                <w:szCs w:val="18"/>
              </w:rPr>
            </w:pPr>
            <w:r>
              <w:rPr>
                <w:rFonts w:ascii="宋体" w:hAnsi="宋体" w:cs="宋体" w:eastAsia="宋体" w:hint="default"/>
                <w:sz w:val="18"/>
                <w:szCs w:val="18"/>
              </w:rPr>
              <w:t>大、中、小各类医院及社区医疗机构等</w:t>
            </w:r>
          </w:p>
        </w:tc>
      </w:tr>
    </w:tbl>
    <w:p>
      <w:pPr>
        <w:pStyle w:val="BodyText"/>
        <w:spacing w:line="240" w:lineRule="auto" w:before="51"/>
        <w:ind w:left="472" w:right="882"/>
        <w:jc w:val="left"/>
      </w:pPr>
      <w:r>
        <w:rPr/>
        <w:t>②医院临床信息系统</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882" w:firstLine="364"/>
        <w:jc w:val="left"/>
      </w:pPr>
      <w:r>
        <w:rPr>
          <w:spacing w:val="-2"/>
        </w:rPr>
        <w:t>医院临床信息系统的主要目的是支持医院医护人员的临床活动，收集和处理病人的临床医疗信息，提供临床咨询、辅助</w:t>
      </w:r>
      <w:r>
        <w:rPr/>
        <w:t> 诊疗、辅助临床决策等功能，提高医护人员工作效率和诊疗质量。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pStyle w:val="BodyText"/>
        <w:spacing w:line="240" w:lineRule="auto" w:before="44"/>
        <w:ind w:left="0" w:right="1636"/>
        <w:jc w:val="right"/>
      </w:pPr>
      <w:r>
        <w:rPr/>
        <w:pict>
          <v:shape style="position:absolute;margin-left:85.080002pt;margin-top:-119.578308pt;width:425.85pt;height:343.45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59"/>
                    <w:gridCol w:w="1234"/>
                    <w:gridCol w:w="5580"/>
                  </w:tblGrid>
                  <w:tr>
                    <w:trPr>
                      <w:trHeight w:val="362" w:hRule="exact"/>
                    </w:trPr>
                    <w:tc>
                      <w:tcPr>
                        <w:tcW w:w="165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814"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5" w:right="0"/>
                          <w:jc w:val="center"/>
                          <w:rPr>
                            <w:rFonts w:ascii="宋体" w:hAnsi="宋体" w:cs="宋体" w:eastAsia="宋体" w:hint="default"/>
                            <w:sz w:val="18"/>
                            <w:szCs w:val="18"/>
                          </w:rPr>
                        </w:pPr>
                        <w:r>
                          <w:rPr>
                            <w:rFonts w:ascii="宋体" w:hAnsi="宋体" w:cs="宋体" w:eastAsia="宋体" w:hint="default"/>
                            <w:b/>
                            <w:bCs/>
                            <w:sz w:val="18"/>
                            <w:szCs w:val="18"/>
                          </w:rPr>
                          <w:t>医院临床信息系统</w:t>
                        </w:r>
                        <w:r>
                          <w:rPr>
                            <w:rFonts w:ascii="宋体" w:hAnsi="宋体" w:cs="宋体" w:eastAsia="宋体" w:hint="default"/>
                            <w:sz w:val="18"/>
                            <w:szCs w:val="18"/>
                          </w:rPr>
                        </w:r>
                      </w:p>
                    </w:tc>
                  </w:tr>
                  <w:tr>
                    <w:trPr>
                      <w:trHeight w:val="362" w:hRule="exact"/>
                    </w:trPr>
                    <w:tc>
                      <w:tcPr>
                        <w:tcW w:w="1659" w:type="dxa"/>
                        <w:vMerge w:val="restart"/>
                        <w:tcBorders>
                          <w:top w:val="single" w:sz="12" w:space="0" w:color="000000"/>
                          <w:left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453" w:right="0"/>
                          <w:jc w:val="left"/>
                          <w:rPr>
                            <w:rFonts w:ascii="宋体" w:hAnsi="宋体" w:cs="宋体" w:eastAsia="宋体" w:hint="default"/>
                            <w:sz w:val="18"/>
                            <w:szCs w:val="18"/>
                          </w:rPr>
                        </w:pPr>
                        <w:r>
                          <w:rPr>
                            <w:rFonts w:ascii="宋体" w:hAnsi="宋体" w:cs="宋体" w:eastAsia="宋体" w:hint="default"/>
                            <w:sz w:val="18"/>
                            <w:szCs w:val="18"/>
                          </w:rPr>
                          <w:t>主要内容</w:t>
                        </w:r>
                      </w:p>
                    </w:tc>
                    <w:tc>
                      <w:tcPr>
                        <w:tcW w:w="123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子系统</w:t>
                        </w:r>
                      </w:p>
                    </w:tc>
                    <w:tc>
                      <w:tcPr>
                        <w:tcW w:w="5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主要功能模块</w:t>
                        </w:r>
                      </w:p>
                    </w:tc>
                  </w:tr>
                  <w:tr>
                    <w:trPr>
                      <w:trHeight w:val="674" w:hRule="exact"/>
                    </w:trPr>
                    <w:tc>
                      <w:tcPr>
                        <w:tcW w:w="1659" w:type="dxa"/>
                        <w:vMerge/>
                        <w:tcBorders>
                          <w:left w:val="single" w:sz="12" w:space="0" w:color="000000"/>
                          <w:right w:val="single" w:sz="12" w:space="0" w:color="000000"/>
                        </w:tcBorders>
                      </w:tcPr>
                      <w:p>
                        <w:pPr/>
                      </w:p>
                    </w:tc>
                    <w:tc>
                      <w:tcPr>
                        <w:tcW w:w="123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电子病历系统</w:t>
                        </w:r>
                      </w:p>
                    </w:tc>
                    <w:tc>
                      <w:tcPr>
                        <w:tcW w:w="5580"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left="1" w:right="-2"/>
                          <w:jc w:val="left"/>
                          <w:rPr>
                            <w:rFonts w:ascii="宋体" w:hAnsi="宋体" w:cs="宋体" w:eastAsia="宋体" w:hint="default"/>
                            <w:sz w:val="18"/>
                            <w:szCs w:val="18"/>
                          </w:rPr>
                        </w:pPr>
                        <w:r>
                          <w:rPr>
                            <w:rFonts w:ascii="宋体" w:hAnsi="宋体" w:cs="宋体" w:eastAsia="宋体" w:hint="default"/>
                            <w:spacing w:val="-2"/>
                            <w:sz w:val="18"/>
                            <w:szCs w:val="18"/>
                          </w:rPr>
                          <w:t>门诊电子病历、住院电子病历、护理电子记录、病历质控系统、临床路</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径管理系统、抗菌药物管理系统、处方点评系统</w:t>
                        </w:r>
                      </w:p>
                    </w:tc>
                  </w:tr>
                  <w:tr>
                    <w:trPr>
                      <w:trHeight w:val="986" w:hRule="exact"/>
                    </w:trPr>
                    <w:tc>
                      <w:tcPr>
                        <w:tcW w:w="1659" w:type="dxa"/>
                        <w:vMerge/>
                        <w:tcBorders>
                          <w:left w:val="single" w:sz="12" w:space="0" w:color="000000"/>
                          <w:right w:val="single" w:sz="12" w:space="0" w:color="000000"/>
                        </w:tcBorders>
                      </w:tcPr>
                      <w:p>
                        <w:pPr/>
                      </w:p>
                    </w:tc>
                    <w:tc>
                      <w:tcPr>
                        <w:tcW w:w="123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检验系统</w:t>
                        </w:r>
                      </w:p>
                    </w:tc>
                    <w:tc>
                      <w:tcPr>
                        <w:tcW w:w="5580"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left="1" w:right="-2"/>
                          <w:jc w:val="both"/>
                          <w:rPr>
                            <w:rFonts w:ascii="宋体" w:hAnsi="宋体" w:cs="宋体" w:eastAsia="宋体" w:hint="default"/>
                            <w:sz w:val="18"/>
                            <w:szCs w:val="18"/>
                          </w:rPr>
                        </w:pPr>
                        <w:r>
                          <w:rPr>
                            <w:rFonts w:ascii="宋体" w:hAnsi="宋体" w:cs="宋体" w:eastAsia="宋体" w:hint="default"/>
                            <w:spacing w:val="-2"/>
                            <w:sz w:val="18"/>
                            <w:szCs w:val="18"/>
                          </w:rPr>
                          <w:t>检验业务管理系统、仪器设备接口系统、检验条码管理系统、血库管理</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2"/>
                            <w:sz w:val="18"/>
                            <w:szCs w:val="18"/>
                          </w:rPr>
                          <w:t>系统、试剂管理系统、微生物管理系统、检验报告外网发布系统、实验</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室质控管理系统</w:t>
                        </w:r>
                      </w:p>
                    </w:tc>
                  </w:tr>
                  <w:tr>
                    <w:trPr>
                      <w:trHeight w:val="986" w:hRule="exact"/>
                    </w:trPr>
                    <w:tc>
                      <w:tcPr>
                        <w:tcW w:w="1659" w:type="dxa"/>
                        <w:vMerge/>
                        <w:tcBorders>
                          <w:left w:val="single" w:sz="12" w:space="0" w:color="000000"/>
                          <w:right w:val="single" w:sz="12" w:space="0" w:color="000000"/>
                        </w:tcBorders>
                      </w:tcPr>
                      <w:p>
                        <w:pPr/>
                      </w:p>
                    </w:tc>
                    <w:tc>
                      <w:tcPr>
                        <w:tcW w:w="123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医学影像系统</w:t>
                        </w:r>
                      </w:p>
                    </w:tc>
                    <w:tc>
                      <w:tcPr>
                        <w:tcW w:w="5580" w:type="dxa"/>
                        <w:tcBorders>
                          <w:top w:val="single" w:sz="12" w:space="0" w:color="000000"/>
                          <w:left w:val="single" w:sz="12" w:space="0" w:color="000000"/>
                          <w:bottom w:val="single" w:sz="12" w:space="0" w:color="000000"/>
                          <w:right w:val="single" w:sz="12" w:space="0" w:color="000000"/>
                        </w:tcBorders>
                      </w:tcPr>
                      <w:p>
                        <w:pPr>
                          <w:pStyle w:val="TableParagraph"/>
                          <w:spacing w:line="309" w:lineRule="auto" w:before="22"/>
                          <w:ind w:left="1" w:right="0"/>
                          <w:jc w:val="left"/>
                          <w:rPr>
                            <w:rFonts w:ascii="宋体" w:hAnsi="宋体" w:cs="宋体" w:eastAsia="宋体" w:hint="default"/>
                            <w:sz w:val="18"/>
                            <w:szCs w:val="18"/>
                          </w:rPr>
                        </w:pPr>
                        <w:r>
                          <w:rPr>
                            <w:rFonts w:ascii="宋体" w:hAnsi="宋体" w:cs="宋体" w:eastAsia="宋体" w:hint="default"/>
                            <w:spacing w:val="-14"/>
                            <w:w w:val="99"/>
                            <w:sz w:val="18"/>
                            <w:szCs w:val="18"/>
                          </w:rPr>
                          <w:t>医学影像存储与传输系统（</w:t>
                        </w:r>
                        <w:r>
                          <w:rPr>
                            <w:rFonts w:ascii="Times New Roman" w:hAnsi="Times New Roman" w:cs="Times New Roman" w:eastAsia="Times New Roman" w:hint="default"/>
                            <w:spacing w:val="-14"/>
                            <w:w w:val="99"/>
                            <w:sz w:val="18"/>
                            <w:szCs w:val="18"/>
                          </w:rPr>
                          <w:t>PACS</w:t>
                        </w:r>
                        <w:r>
                          <w:rPr>
                            <w:rFonts w:ascii="宋体" w:hAnsi="宋体" w:cs="宋体" w:eastAsia="宋体" w:hint="default"/>
                            <w:spacing w:val="-14"/>
                            <w:w w:val="99"/>
                            <w:sz w:val="18"/>
                            <w:szCs w:val="18"/>
                          </w:rPr>
                          <w:t>）、影像设备接口、放射信息系统（</w:t>
                        </w:r>
                        <w:r>
                          <w:rPr>
                            <w:rFonts w:ascii="Times New Roman" w:hAnsi="Times New Roman" w:cs="Times New Roman" w:eastAsia="Times New Roman" w:hint="default"/>
                            <w:spacing w:val="-14"/>
                            <w:w w:val="99"/>
                            <w:sz w:val="18"/>
                            <w:szCs w:val="18"/>
                          </w:rPr>
                          <w:t>RIS</w:t>
                        </w:r>
                        <w:r>
                          <w:rPr>
                            <w:rFonts w:ascii="宋体" w:hAnsi="宋体" w:cs="宋体" w:eastAsia="宋体" w:hint="default"/>
                            <w:spacing w:val="-14"/>
                            <w:w w:val="99"/>
                            <w:sz w:val="18"/>
                            <w:szCs w:val="18"/>
                          </w:rPr>
                          <w:t>）</w:t>
                        </w:r>
                        <w:r>
                          <w:rPr>
                            <w:rFonts w:ascii="宋体" w:hAnsi="宋体" w:cs="宋体" w:eastAsia="宋体" w:hint="default"/>
                            <w:spacing w:val="-89"/>
                            <w:w w:val="99"/>
                            <w:sz w:val="18"/>
                            <w:szCs w:val="18"/>
                          </w:rPr>
                          <w:t> </w:t>
                        </w:r>
                        <w:r>
                          <w:rPr>
                            <w:rFonts w:ascii="宋体" w:hAnsi="宋体" w:cs="宋体" w:eastAsia="宋体" w:hint="default"/>
                            <w:spacing w:val="-2"/>
                            <w:sz w:val="18"/>
                            <w:szCs w:val="18"/>
                          </w:rPr>
                          <w:t>超声管理信息系统、内镜管理信息系统、病理管理信息系统、心电管理</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信息系统</w:t>
                        </w:r>
                      </w:p>
                    </w:tc>
                  </w:tr>
                  <w:tr>
                    <w:trPr>
                      <w:trHeight w:val="674" w:hRule="exact"/>
                    </w:trPr>
                    <w:tc>
                      <w:tcPr>
                        <w:tcW w:w="1659" w:type="dxa"/>
                        <w:vMerge/>
                        <w:tcBorders>
                          <w:left w:val="single" w:sz="12" w:space="0" w:color="000000"/>
                          <w:right w:val="single" w:sz="12" w:space="0" w:color="000000"/>
                        </w:tcBorders>
                      </w:tcPr>
                      <w:p>
                        <w:pPr/>
                      </w:p>
                    </w:tc>
                    <w:tc>
                      <w:tcPr>
                        <w:tcW w:w="123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体检管理系统</w:t>
                        </w:r>
                      </w:p>
                    </w:tc>
                    <w:tc>
                      <w:tcPr>
                        <w:tcW w:w="5580"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0"/>
                          <w:ind w:left="1" w:right="37"/>
                          <w:jc w:val="left"/>
                          <w:rPr>
                            <w:rFonts w:ascii="宋体" w:hAnsi="宋体" w:cs="宋体" w:eastAsia="宋体" w:hint="default"/>
                            <w:sz w:val="18"/>
                            <w:szCs w:val="18"/>
                          </w:rPr>
                        </w:pPr>
                        <w:r>
                          <w:rPr>
                            <w:rFonts w:ascii="宋体" w:hAnsi="宋体" w:cs="宋体" w:eastAsia="宋体" w:hint="default"/>
                            <w:spacing w:val="-3"/>
                            <w:sz w:val="18"/>
                            <w:szCs w:val="18"/>
                          </w:rPr>
                          <w:t>体检管理信息系统、健康评估与管理系统、自助体检系统（健康小屋）</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检后异常跟踪系统</w:t>
                        </w:r>
                      </w:p>
                    </w:tc>
                  </w:tr>
                  <w:tr>
                    <w:trPr>
                      <w:trHeight w:val="362" w:hRule="exact"/>
                    </w:trPr>
                    <w:tc>
                      <w:tcPr>
                        <w:tcW w:w="1659" w:type="dxa"/>
                        <w:vMerge/>
                        <w:tcBorders>
                          <w:left w:val="single" w:sz="12" w:space="0" w:color="000000"/>
                          <w:right w:val="single" w:sz="12" w:space="0" w:color="000000"/>
                        </w:tcBorders>
                      </w:tcPr>
                      <w:p>
                        <w:pPr/>
                      </w:p>
                    </w:tc>
                    <w:tc>
                      <w:tcPr>
                        <w:tcW w:w="123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合理用药系统</w:t>
                        </w:r>
                      </w:p>
                    </w:tc>
                    <w:tc>
                      <w:tcPr>
                        <w:tcW w:w="5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1" w:right="0"/>
                          <w:jc w:val="left"/>
                          <w:rPr>
                            <w:rFonts w:ascii="宋体" w:hAnsi="宋体" w:cs="宋体" w:eastAsia="宋体" w:hint="default"/>
                            <w:sz w:val="18"/>
                            <w:szCs w:val="18"/>
                          </w:rPr>
                        </w:pPr>
                        <w:r>
                          <w:rPr>
                            <w:rFonts w:ascii="宋体" w:hAnsi="宋体" w:cs="宋体" w:eastAsia="宋体" w:hint="default"/>
                            <w:sz w:val="18"/>
                            <w:szCs w:val="18"/>
                          </w:rPr>
                          <w:t>合理用药监测系统、抗菌药物管理系统</w:t>
                        </w:r>
                      </w:p>
                    </w:tc>
                  </w:tr>
                  <w:tr>
                    <w:trPr>
                      <w:trHeight w:val="362" w:hRule="exact"/>
                    </w:trPr>
                    <w:tc>
                      <w:tcPr>
                        <w:tcW w:w="1659" w:type="dxa"/>
                        <w:vMerge/>
                        <w:tcBorders>
                          <w:left w:val="single" w:sz="12" w:space="0" w:color="000000"/>
                          <w:right w:val="single" w:sz="12" w:space="0" w:color="000000"/>
                        </w:tcBorders>
                      </w:tcPr>
                      <w:p>
                        <w:pPr/>
                      </w:p>
                    </w:tc>
                    <w:tc>
                      <w:tcPr>
                        <w:tcW w:w="123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移动医疗系统</w:t>
                        </w:r>
                      </w:p>
                    </w:tc>
                    <w:tc>
                      <w:tcPr>
                        <w:tcW w:w="5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1" w:right="0"/>
                          <w:jc w:val="left"/>
                          <w:rPr>
                            <w:rFonts w:ascii="宋体" w:hAnsi="宋体" w:cs="宋体" w:eastAsia="宋体" w:hint="default"/>
                            <w:sz w:val="18"/>
                            <w:szCs w:val="18"/>
                          </w:rPr>
                        </w:pPr>
                        <w:r>
                          <w:rPr>
                            <w:rFonts w:ascii="宋体" w:hAnsi="宋体" w:cs="宋体" w:eastAsia="宋体" w:hint="default"/>
                            <w:spacing w:val="-2"/>
                            <w:sz w:val="18"/>
                            <w:szCs w:val="18"/>
                          </w:rPr>
                          <w:t>移动医生查房系统、移动护理系统、移动输液系统、移动物资管理系统</w:t>
                        </w:r>
                      </w:p>
                    </w:tc>
                  </w:tr>
                  <w:tr>
                    <w:trPr>
                      <w:trHeight w:val="674" w:hRule="exact"/>
                    </w:trPr>
                    <w:tc>
                      <w:tcPr>
                        <w:tcW w:w="1659" w:type="dxa"/>
                        <w:vMerge/>
                        <w:tcBorders>
                          <w:left w:val="single" w:sz="12" w:space="0" w:color="000000"/>
                          <w:bottom w:val="single" w:sz="12" w:space="0" w:color="000000"/>
                          <w:right w:val="single" w:sz="12" w:space="0" w:color="000000"/>
                        </w:tcBorders>
                      </w:tcPr>
                      <w:p>
                        <w:pPr/>
                      </w:p>
                    </w:tc>
                    <w:tc>
                      <w:tcPr>
                        <w:tcW w:w="1234"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left="421" w:right="61" w:hanging="360"/>
                          <w:jc w:val="left"/>
                          <w:rPr>
                            <w:rFonts w:ascii="宋体" w:hAnsi="宋体" w:cs="宋体" w:eastAsia="宋体" w:hint="default"/>
                            <w:sz w:val="18"/>
                            <w:szCs w:val="18"/>
                          </w:rPr>
                        </w:pPr>
                        <w:r>
                          <w:rPr>
                            <w:rFonts w:ascii="宋体" w:hAnsi="宋体" w:cs="宋体" w:eastAsia="宋体" w:hint="default"/>
                            <w:sz w:val="18"/>
                            <w:szCs w:val="18"/>
                          </w:rPr>
                          <w:t>医院信息集成 平台</w:t>
                        </w:r>
                      </w:p>
                    </w:tc>
                    <w:tc>
                      <w:tcPr>
                        <w:tcW w:w="5580" w:type="dxa"/>
                        <w:tcBorders>
                          <w:top w:val="single" w:sz="12" w:space="0" w:color="000000"/>
                          <w:left w:val="single" w:sz="12" w:space="0" w:color="000000"/>
                          <w:bottom w:val="single" w:sz="12" w:space="0" w:color="000000"/>
                          <w:right w:val="single" w:sz="12" w:space="0" w:color="000000"/>
                        </w:tcBorders>
                      </w:tcPr>
                      <w:p>
                        <w:pPr>
                          <w:pStyle w:val="TableParagraph"/>
                          <w:spacing w:line="300" w:lineRule="auto" w:before="22"/>
                          <w:ind w:left="1" w:right="-4"/>
                          <w:jc w:val="left"/>
                          <w:rPr>
                            <w:rFonts w:ascii="宋体" w:hAnsi="宋体" w:cs="宋体" w:eastAsia="宋体" w:hint="default"/>
                            <w:sz w:val="18"/>
                            <w:szCs w:val="18"/>
                          </w:rPr>
                        </w:pPr>
                        <w:r>
                          <w:rPr>
                            <w:rFonts w:ascii="宋体" w:hAnsi="宋体" w:cs="宋体" w:eastAsia="宋体" w:hint="default"/>
                            <w:spacing w:val="-2"/>
                            <w:sz w:val="18"/>
                            <w:szCs w:val="18"/>
                          </w:rPr>
                          <w:t>数据中心</w:t>
                        </w:r>
                        <w:r>
                          <w:rPr>
                            <w:rFonts w:ascii="Times New Roman" w:hAnsi="Times New Roman" w:cs="Times New Roman" w:eastAsia="Times New Roman" w:hint="default"/>
                            <w:spacing w:val="-2"/>
                            <w:sz w:val="18"/>
                            <w:szCs w:val="18"/>
                          </w:rPr>
                          <w:t>CDR</w:t>
                        </w:r>
                        <w:r>
                          <w:rPr>
                            <w:rFonts w:ascii="宋体" w:hAnsi="宋体" w:cs="宋体" w:eastAsia="宋体" w:hint="default"/>
                            <w:spacing w:val="-2"/>
                            <w:sz w:val="18"/>
                            <w:szCs w:val="18"/>
                          </w:rPr>
                          <w:t>、集成平台、电子病历浏览器、电子病历搜索引擎、资源</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分时段预约系统</w:t>
                        </w:r>
                      </w:p>
                    </w:tc>
                  </w:tr>
                  <w:tr>
                    <w:trPr>
                      <w:trHeight w:val="362" w:hRule="exact"/>
                    </w:trPr>
                    <w:tc>
                      <w:tcPr>
                        <w:tcW w:w="165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2"/>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814"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left="-1" w:right="0"/>
                          <w:jc w:val="left"/>
                          <w:rPr>
                            <w:rFonts w:ascii="宋体" w:hAnsi="宋体" w:cs="宋体" w:eastAsia="宋体" w:hint="default"/>
                            <w:sz w:val="18"/>
                            <w:szCs w:val="18"/>
                          </w:rPr>
                        </w:pPr>
                        <w:r>
                          <w:rPr>
                            <w:rFonts w:ascii="宋体" w:hAnsi="宋体" w:cs="宋体" w:eastAsia="宋体" w:hint="default"/>
                            <w:sz w:val="18"/>
                            <w:szCs w:val="18"/>
                          </w:rPr>
                          <w:t>医院诊疗过程管理、病患信息采集、交换与共享</w:t>
                        </w:r>
                      </w:p>
                    </w:tc>
                  </w:tr>
                  <w:tr>
                    <w:trPr>
                      <w:trHeight w:val="674" w:hRule="exact"/>
                    </w:trPr>
                    <w:tc>
                      <w:tcPr>
                        <w:tcW w:w="165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作用</w:t>
                        </w:r>
                      </w:p>
                    </w:tc>
                    <w:tc>
                      <w:tcPr>
                        <w:tcW w:w="6814"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left="-1" w:right="87"/>
                          <w:jc w:val="left"/>
                          <w:rPr>
                            <w:rFonts w:ascii="宋体" w:hAnsi="宋体" w:cs="宋体" w:eastAsia="宋体" w:hint="default"/>
                            <w:sz w:val="18"/>
                            <w:szCs w:val="18"/>
                          </w:rPr>
                        </w:pPr>
                        <w:r>
                          <w:rPr>
                            <w:rFonts w:ascii="宋体" w:hAnsi="宋体" w:cs="宋体" w:eastAsia="宋体" w:hint="default"/>
                            <w:spacing w:val="-4"/>
                            <w:sz w:val="18"/>
                            <w:szCs w:val="18"/>
                          </w:rPr>
                          <w:t>支持医护人员的临床活动，收集和处理病人的临床医疗信息，提供临床咨询、辅助诊疗</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辅助临床决策等功能，提高医护人员工作效率和诊疗质量</w:t>
                        </w:r>
                      </w:p>
                    </w:tc>
                  </w:tr>
                  <w:tr>
                    <w:trPr>
                      <w:trHeight w:val="362" w:hRule="exact"/>
                    </w:trPr>
                    <w:tc>
                      <w:tcPr>
                        <w:tcW w:w="165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814"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宋体" w:hAnsi="宋体" w:cs="宋体" w:eastAsia="宋体" w:hint="default"/>
                            <w:sz w:val="18"/>
                            <w:szCs w:val="18"/>
                          </w:rPr>
                          <w:t>大、中、小各类医院</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pStyle w:val="BodyText"/>
        <w:spacing w:line="240" w:lineRule="auto" w:before="44"/>
        <w:ind w:left="0" w:right="1639"/>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pStyle w:val="BodyText"/>
        <w:spacing w:line="300" w:lineRule="auto" w:before="44"/>
        <w:ind w:left="477" w:right="882"/>
        <w:jc w:val="left"/>
      </w:pPr>
      <w:r>
        <w:rPr/>
        <w:t>（</w:t>
      </w:r>
      <w:r>
        <w:rPr>
          <w:rFonts w:ascii="Times New Roman" w:hAnsi="Times New Roman" w:cs="Times New Roman" w:eastAsia="Times New Roman" w:hint="default"/>
        </w:rPr>
        <w:t>2</w:t>
      </w:r>
      <w:r>
        <w:rPr/>
        <w:t>）公共卫生信息化应用软件系列 </w:t>
      </w:r>
      <w:r>
        <w:rPr>
          <w:spacing w:val="-2"/>
        </w:rPr>
        <w:t>公共卫生信息化应用软件是以居民电子健康档案为核心，以区域医疗资源共享为目标，以社区和农村居民基本医疗卫生</w:t>
      </w:r>
    </w:p>
    <w:p>
      <w:pPr>
        <w:pStyle w:val="BodyText"/>
        <w:spacing w:line="240" w:lineRule="auto" w:before="31"/>
        <w:ind w:right="882"/>
        <w:jc w:val="left"/>
      </w:pPr>
      <w:r>
        <w:rPr/>
        <w:t>服务为重点，运用信息化的手段，为国内公共卫生领域信息化建设提供全面解决方案。</w:t>
      </w:r>
    </w:p>
    <w:p>
      <w:pPr>
        <w:spacing w:line="240" w:lineRule="auto" w:before="13"/>
        <w:rPr>
          <w:rFonts w:ascii="宋体" w:hAnsi="宋体" w:cs="宋体" w:eastAsia="宋体" w:hint="default"/>
          <w:sz w:val="15"/>
          <w:szCs w:val="15"/>
        </w:rPr>
      </w:pPr>
    </w:p>
    <w:p>
      <w:pPr>
        <w:spacing w:line="5085" w:lineRule="exact"/>
        <w:ind w:left="868" w:right="0" w:firstLine="0"/>
        <w:rPr>
          <w:rFonts w:ascii="宋体" w:hAnsi="宋体" w:cs="宋体" w:eastAsia="宋体" w:hint="default"/>
          <w:sz w:val="20"/>
          <w:szCs w:val="20"/>
        </w:rPr>
      </w:pPr>
      <w:r>
        <w:rPr>
          <w:rFonts w:ascii="宋体" w:hAnsi="宋体" w:cs="宋体" w:eastAsia="宋体" w:hint="default"/>
          <w:position w:val="-101"/>
          <w:sz w:val="20"/>
          <w:szCs w:val="20"/>
        </w:rPr>
        <w:drawing>
          <wp:inline distT="0" distB="0" distL="0" distR="0">
            <wp:extent cx="5380609" cy="3228975"/>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8" cstate="print"/>
                    <a:stretch>
                      <a:fillRect/>
                    </a:stretch>
                  </pic:blipFill>
                  <pic:spPr>
                    <a:xfrm>
                      <a:off x="0" y="0"/>
                      <a:ext cx="5380609" cy="3228975"/>
                    </a:xfrm>
                    <a:prstGeom prst="rect">
                      <a:avLst/>
                    </a:prstGeom>
                  </pic:spPr>
                </pic:pic>
              </a:graphicData>
            </a:graphic>
          </wp:inline>
        </w:drawing>
      </w:r>
      <w:r>
        <w:rPr>
          <w:rFonts w:ascii="宋体" w:hAnsi="宋体" w:cs="宋体" w:eastAsia="宋体" w:hint="default"/>
          <w:position w:val="-101"/>
          <w:sz w:val="20"/>
          <w:szCs w:val="20"/>
        </w:rPr>
      </w:r>
    </w:p>
    <w:p>
      <w:pPr>
        <w:spacing w:after="0" w:line="5085" w:lineRule="exact"/>
        <w:rPr>
          <w:rFonts w:ascii="宋体" w:hAnsi="宋体" w:cs="宋体" w:eastAsia="宋体" w:hint="default"/>
          <w:sz w:val="20"/>
          <w:szCs w:val="20"/>
        </w:rPr>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30" w:firstLine="364"/>
        <w:jc w:val="both"/>
      </w:pPr>
      <w:r>
        <w:rPr>
          <w:spacing w:val="-2"/>
        </w:rPr>
        <w:t>公共卫生信息化的建设内容为区域一体化医院信息、人口健康档案、疫情上报与应急指挥、远程医疗等系统，特征是实</w:t>
      </w:r>
      <w:r>
        <w:rPr/>
        <w:t> </w:t>
      </w:r>
      <w:r>
        <w:rPr>
          <w:spacing w:val="-2"/>
        </w:rPr>
        <w:t>现社会医疗保健资源和服务整合。公共卫生信息化应用软件产品按产品线主要分为基层卫生信息系统和区域卫生信息平台两</w:t>
      </w:r>
      <w:r>
        <w:rPr>
          <w:spacing w:val="-64"/>
        </w:rPr>
        <w:t> </w:t>
      </w:r>
      <w:r>
        <w:rPr>
          <w:spacing w:val="-64"/>
        </w:rPr>
      </w:r>
      <w:r>
        <w:rPr/>
        <w:t>类。</w:t>
      </w:r>
    </w:p>
    <w:p>
      <w:pPr>
        <w:pStyle w:val="BodyText"/>
        <w:spacing w:line="316" w:lineRule="auto" w:before="19"/>
        <w:ind w:left="477" w:right="882"/>
        <w:jc w:val="left"/>
      </w:pPr>
      <w:r>
        <w:rPr/>
        <w:t>①基层卫生管理信息系统 </w:t>
      </w:r>
      <w:r>
        <w:rPr>
          <w:spacing w:val="-2"/>
        </w:rPr>
        <w:t>基层卫生管理信息系统是以满足城乡居民的基本卫生服务需求为目的，实现城乡居民健康档案管理、基本医疗服务、基</w:t>
      </w:r>
    </w:p>
    <w:p>
      <w:pPr>
        <w:pStyle w:val="BodyText"/>
        <w:spacing w:line="316" w:lineRule="auto" w:before="19"/>
        <w:ind w:right="882"/>
        <w:jc w:val="left"/>
      </w:pPr>
      <w:r>
        <w:rPr>
          <w:spacing w:val="-2"/>
        </w:rPr>
        <w:t>本公共卫生服务、基层卫生管理、健康信息服务以及医疗卫生服务协同的信息系统，能有效提高基层医疗卫生服务的能力和</w:t>
      </w:r>
      <w:r>
        <w:rPr>
          <w:spacing w:val="-63"/>
        </w:rPr>
        <w:t> </w:t>
      </w:r>
      <w:r>
        <w:rPr>
          <w:spacing w:val="-63"/>
        </w:rPr>
      </w:r>
      <w:r>
        <w:rPr/>
        <w:t>工作质量，提升基层医疗卫生服务管理水平。</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0" w:right="1588"/>
        <w:jc w:val="right"/>
      </w:pPr>
      <w:r>
        <w:rPr/>
        <w:pict>
          <v:shape style="position:absolute;margin-left:82.480003pt;margin-top:-101.13829pt;width:431.05pt;height:219.25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78"/>
                    <w:gridCol w:w="1343"/>
                    <w:gridCol w:w="5656"/>
                  </w:tblGrid>
                  <w:tr>
                    <w:trPr>
                      <w:trHeight w:val="362" w:hRule="exact"/>
                    </w:trPr>
                    <w:tc>
                      <w:tcPr>
                        <w:tcW w:w="157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999"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7" w:right="0"/>
                          <w:jc w:val="center"/>
                          <w:rPr>
                            <w:rFonts w:ascii="宋体" w:hAnsi="宋体" w:cs="宋体" w:eastAsia="宋体" w:hint="default"/>
                            <w:sz w:val="18"/>
                            <w:szCs w:val="18"/>
                          </w:rPr>
                        </w:pPr>
                        <w:r>
                          <w:rPr>
                            <w:rFonts w:ascii="宋体" w:hAnsi="宋体" w:cs="宋体" w:eastAsia="宋体" w:hint="default"/>
                            <w:b/>
                            <w:bCs/>
                            <w:sz w:val="18"/>
                            <w:szCs w:val="18"/>
                          </w:rPr>
                          <w:t>基层卫生管理信息系统</w:t>
                        </w:r>
                        <w:r>
                          <w:rPr>
                            <w:rFonts w:ascii="宋体" w:hAnsi="宋体" w:cs="宋体" w:eastAsia="宋体" w:hint="default"/>
                            <w:sz w:val="18"/>
                            <w:szCs w:val="18"/>
                          </w:rPr>
                        </w:r>
                      </w:p>
                    </w:tc>
                  </w:tr>
                  <w:tr>
                    <w:trPr>
                      <w:trHeight w:val="362" w:hRule="exact"/>
                    </w:trPr>
                    <w:tc>
                      <w:tcPr>
                        <w:tcW w:w="1578" w:type="dxa"/>
                        <w:vMerge w:val="restart"/>
                        <w:tcBorders>
                          <w:top w:val="single" w:sz="12" w:space="0" w:color="000000"/>
                          <w:left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14" w:right="0"/>
                          <w:jc w:val="left"/>
                          <w:rPr>
                            <w:rFonts w:ascii="宋体" w:hAnsi="宋体" w:cs="宋体" w:eastAsia="宋体" w:hint="default"/>
                            <w:sz w:val="18"/>
                            <w:szCs w:val="18"/>
                          </w:rPr>
                        </w:pPr>
                        <w:r>
                          <w:rPr>
                            <w:rFonts w:ascii="宋体" w:hAnsi="宋体" w:cs="宋体" w:eastAsia="宋体" w:hint="default"/>
                            <w:sz w:val="18"/>
                            <w:szCs w:val="18"/>
                          </w:rPr>
                          <w:t>主要内容</w:t>
                        </w:r>
                      </w:p>
                    </w:tc>
                    <w:tc>
                      <w:tcPr>
                        <w:tcW w:w="134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386" w:right="0"/>
                          <w:jc w:val="left"/>
                          <w:rPr>
                            <w:rFonts w:ascii="宋体" w:hAnsi="宋体" w:cs="宋体" w:eastAsia="宋体" w:hint="default"/>
                            <w:sz w:val="18"/>
                            <w:szCs w:val="18"/>
                          </w:rPr>
                        </w:pPr>
                        <w:r>
                          <w:rPr>
                            <w:rFonts w:ascii="宋体" w:hAnsi="宋体" w:cs="宋体" w:eastAsia="宋体" w:hint="default"/>
                            <w:sz w:val="18"/>
                            <w:szCs w:val="18"/>
                          </w:rPr>
                          <w:t>子系统</w:t>
                        </w:r>
                      </w:p>
                    </w:tc>
                    <w:tc>
                      <w:tcPr>
                        <w:tcW w:w="565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主要功能模块</w:t>
                        </w:r>
                      </w:p>
                    </w:tc>
                  </w:tr>
                  <w:tr>
                    <w:trPr>
                      <w:trHeight w:val="338" w:hRule="exact"/>
                    </w:trPr>
                    <w:tc>
                      <w:tcPr>
                        <w:tcW w:w="1578" w:type="dxa"/>
                        <w:vMerge/>
                        <w:tcBorders>
                          <w:left w:val="single" w:sz="12" w:space="0" w:color="000000"/>
                          <w:right w:val="single" w:sz="12" w:space="0" w:color="000000"/>
                        </w:tcBorders>
                      </w:tcPr>
                      <w:p>
                        <w:pPr/>
                      </w:p>
                    </w:tc>
                    <w:tc>
                      <w:tcPr>
                        <w:tcW w:w="1343" w:type="dxa"/>
                        <w:tcBorders>
                          <w:top w:val="single" w:sz="12" w:space="0" w:color="000000"/>
                          <w:left w:val="single" w:sz="12" w:space="0" w:color="000000"/>
                          <w:bottom w:val="nil" w:sz="6" w:space="0" w:color="auto"/>
                          <w:right w:val="single" w:sz="12" w:space="0" w:color="000000"/>
                        </w:tcBorders>
                      </w:tcPr>
                      <w:p>
                        <w:pPr/>
                      </w:p>
                    </w:tc>
                    <w:tc>
                      <w:tcPr>
                        <w:tcW w:w="565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2"/>
                          <w:ind w:left="1" w:right="0"/>
                          <w:jc w:val="left"/>
                          <w:rPr>
                            <w:rFonts w:ascii="宋体" w:hAnsi="宋体" w:cs="宋体" w:eastAsia="宋体" w:hint="default"/>
                            <w:sz w:val="18"/>
                            <w:szCs w:val="18"/>
                          </w:rPr>
                        </w:pPr>
                        <w:r>
                          <w:rPr>
                            <w:rFonts w:ascii="宋体" w:hAnsi="宋体" w:cs="宋体" w:eastAsia="宋体" w:hint="default"/>
                            <w:sz w:val="18"/>
                            <w:szCs w:val="18"/>
                          </w:rPr>
                          <w:t>居民健康档案管理系统、高血压管理系统、糖尿病管理系统、儿童保健</w:t>
                        </w:r>
                      </w:p>
                    </w:tc>
                  </w:tr>
                  <w:tr>
                    <w:trPr>
                      <w:trHeight w:val="312" w:hRule="exact"/>
                    </w:trPr>
                    <w:tc>
                      <w:tcPr>
                        <w:tcW w:w="1578" w:type="dxa"/>
                        <w:vMerge/>
                        <w:tcBorders>
                          <w:left w:val="single" w:sz="12" w:space="0" w:color="000000"/>
                          <w:right w:val="single" w:sz="12" w:space="0" w:color="000000"/>
                        </w:tcBorders>
                      </w:tcPr>
                      <w:p>
                        <w:pPr/>
                      </w:p>
                    </w:tc>
                    <w:tc>
                      <w:tcPr>
                        <w:tcW w:w="1343" w:type="dxa"/>
                        <w:tcBorders>
                          <w:top w:val="nil" w:sz="6" w:space="0" w:color="auto"/>
                          <w:left w:val="single" w:sz="12" w:space="0" w:color="000000"/>
                          <w:bottom w:val="nil" w:sz="6" w:space="0" w:color="auto"/>
                          <w:right w:val="single" w:sz="12" w:space="0" w:color="000000"/>
                        </w:tcBorders>
                      </w:tcPr>
                      <w:p>
                        <w:pPr/>
                      </w:p>
                    </w:tc>
                    <w:tc>
                      <w:tcPr>
                        <w:tcW w:w="56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管理系统、孕产妇健康管理系统、老年人健康管理系统、预防接种管理</w:t>
                        </w:r>
                      </w:p>
                    </w:tc>
                  </w:tr>
                  <w:tr>
                    <w:trPr>
                      <w:trHeight w:val="312" w:hRule="exact"/>
                    </w:trPr>
                    <w:tc>
                      <w:tcPr>
                        <w:tcW w:w="1578" w:type="dxa"/>
                        <w:vMerge/>
                        <w:tcBorders>
                          <w:left w:val="single" w:sz="12" w:space="0" w:color="000000"/>
                          <w:right w:val="single" w:sz="12" w:space="0" w:color="000000"/>
                        </w:tcBorders>
                      </w:tcPr>
                      <w:p>
                        <w:pPr/>
                      </w:p>
                    </w:tc>
                    <w:tc>
                      <w:tcPr>
                        <w:tcW w:w="1343"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pacing w:val="7"/>
                            <w:sz w:val="18"/>
                            <w:szCs w:val="18"/>
                          </w:rPr>
                          <w:t>基层公共卫生管</w:t>
                        </w:r>
                      </w:p>
                    </w:tc>
                    <w:tc>
                      <w:tcPr>
                        <w:tcW w:w="56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系统、精神病防治管理系统、健康教育管理系统、传染病报告和管理系</w:t>
                        </w:r>
                      </w:p>
                    </w:tc>
                  </w:tr>
                  <w:tr>
                    <w:trPr>
                      <w:trHeight w:val="312" w:hRule="exact"/>
                    </w:trPr>
                    <w:tc>
                      <w:tcPr>
                        <w:tcW w:w="1578" w:type="dxa"/>
                        <w:vMerge/>
                        <w:tcBorders>
                          <w:left w:val="single" w:sz="12" w:space="0" w:color="000000"/>
                          <w:right w:val="single" w:sz="12" w:space="0" w:color="000000"/>
                        </w:tcBorders>
                      </w:tcPr>
                      <w:p>
                        <w:pPr/>
                      </w:p>
                    </w:tc>
                    <w:tc>
                      <w:tcPr>
                        <w:tcW w:w="1343"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理系统</w:t>
                        </w:r>
                      </w:p>
                    </w:tc>
                    <w:tc>
                      <w:tcPr>
                        <w:tcW w:w="56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统、肿瘤管理系统、心血管疾病管理系统、伤害监测管理系统、牙病防</w:t>
                        </w:r>
                      </w:p>
                    </w:tc>
                  </w:tr>
                  <w:tr>
                    <w:trPr>
                      <w:trHeight w:val="312" w:hRule="exact"/>
                    </w:trPr>
                    <w:tc>
                      <w:tcPr>
                        <w:tcW w:w="1578" w:type="dxa"/>
                        <w:vMerge/>
                        <w:tcBorders>
                          <w:left w:val="single" w:sz="12" w:space="0" w:color="000000"/>
                          <w:right w:val="single" w:sz="12" w:space="0" w:color="000000"/>
                        </w:tcBorders>
                      </w:tcPr>
                      <w:p>
                        <w:pPr/>
                      </w:p>
                    </w:tc>
                    <w:tc>
                      <w:tcPr>
                        <w:tcW w:w="1343" w:type="dxa"/>
                        <w:tcBorders>
                          <w:top w:val="nil" w:sz="6" w:space="0" w:color="auto"/>
                          <w:left w:val="single" w:sz="12" w:space="0" w:color="000000"/>
                          <w:bottom w:val="nil" w:sz="6" w:space="0" w:color="auto"/>
                          <w:right w:val="single" w:sz="12" w:space="0" w:color="000000"/>
                        </w:tcBorders>
                      </w:tcPr>
                      <w:p>
                        <w:pPr/>
                      </w:p>
                    </w:tc>
                    <w:tc>
                      <w:tcPr>
                        <w:tcW w:w="56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治管理系统、家庭病床管理系统、康复管理系统、职业病防治管理系统</w:t>
                        </w:r>
                      </w:p>
                    </w:tc>
                  </w:tr>
                  <w:tr>
                    <w:trPr>
                      <w:trHeight w:val="336" w:hRule="exact"/>
                    </w:trPr>
                    <w:tc>
                      <w:tcPr>
                        <w:tcW w:w="1578" w:type="dxa"/>
                        <w:vMerge/>
                        <w:tcBorders>
                          <w:left w:val="single" w:sz="12" w:space="0" w:color="000000"/>
                          <w:bottom w:val="single" w:sz="12" w:space="0" w:color="000000"/>
                          <w:right w:val="single" w:sz="12" w:space="0" w:color="000000"/>
                        </w:tcBorders>
                      </w:tcPr>
                      <w:p>
                        <w:pPr/>
                      </w:p>
                    </w:tc>
                    <w:tc>
                      <w:tcPr>
                        <w:tcW w:w="1343" w:type="dxa"/>
                        <w:tcBorders>
                          <w:top w:val="nil" w:sz="6" w:space="0" w:color="auto"/>
                          <w:left w:val="single" w:sz="12" w:space="0" w:color="000000"/>
                          <w:bottom w:val="single" w:sz="12" w:space="0" w:color="000000"/>
                          <w:right w:val="single" w:sz="12" w:space="0" w:color="000000"/>
                        </w:tcBorders>
                      </w:tcPr>
                      <w:p>
                        <w:pPr/>
                      </w:p>
                    </w:tc>
                    <w:tc>
                      <w:tcPr>
                        <w:tcW w:w="565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学生健康档案管理系统、村卫生室管理系统、移动上门随访系统</w:t>
                        </w:r>
                      </w:p>
                    </w:tc>
                  </w:tr>
                  <w:tr>
                    <w:trPr>
                      <w:trHeight w:val="362" w:hRule="exact"/>
                    </w:trPr>
                    <w:tc>
                      <w:tcPr>
                        <w:tcW w:w="157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999"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基层公共卫生管理</w:t>
                        </w:r>
                      </w:p>
                    </w:tc>
                  </w:tr>
                  <w:tr>
                    <w:trPr>
                      <w:trHeight w:val="339" w:hRule="exact"/>
                    </w:trPr>
                    <w:tc>
                      <w:tcPr>
                        <w:tcW w:w="1578" w:type="dxa"/>
                        <w:tcBorders>
                          <w:top w:val="single" w:sz="12" w:space="0" w:color="000000"/>
                          <w:left w:val="single" w:sz="12" w:space="0" w:color="000000"/>
                          <w:bottom w:val="nil" w:sz="6" w:space="0" w:color="auto"/>
                          <w:right w:val="single" w:sz="12" w:space="0" w:color="000000"/>
                        </w:tcBorders>
                      </w:tcPr>
                      <w:p>
                        <w:pPr/>
                      </w:p>
                    </w:tc>
                    <w:tc>
                      <w:tcPr>
                        <w:tcW w:w="6999" w:type="dxa"/>
                        <w:gridSpan w:val="2"/>
                        <w:tcBorders>
                          <w:top w:val="single" w:sz="12" w:space="0" w:color="000000"/>
                          <w:left w:val="single" w:sz="12" w:space="0" w:color="000000"/>
                          <w:bottom w:val="nil" w:sz="6" w:space="0" w:color="auto"/>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pacing w:val="-2"/>
                            <w:sz w:val="18"/>
                            <w:szCs w:val="18"/>
                          </w:rPr>
                          <w:t>满足城乡居民健康档案管理、基本医疗服务、基本公共卫生服务、基层卫生管理、健康信</w:t>
                        </w:r>
                      </w:p>
                    </w:tc>
                  </w:tr>
                  <w:tr>
                    <w:trPr>
                      <w:trHeight w:val="312" w:hRule="exact"/>
                    </w:trPr>
                    <w:tc>
                      <w:tcPr>
                        <w:tcW w:w="1578"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作用</w:t>
                        </w:r>
                      </w:p>
                    </w:tc>
                    <w:tc>
                      <w:tcPr>
                        <w:tcW w:w="6999" w:type="dxa"/>
                        <w:gridSpan w:val="2"/>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pacing w:val="-2"/>
                            <w:sz w:val="18"/>
                            <w:szCs w:val="18"/>
                          </w:rPr>
                          <w:t>息服务以及医疗卫生服务协同的要求的信息系统，能有效提高基层医疗卫生服务的能力和</w:t>
                        </w:r>
                      </w:p>
                    </w:tc>
                  </w:tr>
                  <w:tr>
                    <w:trPr>
                      <w:trHeight w:val="335" w:hRule="exact"/>
                    </w:trPr>
                    <w:tc>
                      <w:tcPr>
                        <w:tcW w:w="1578" w:type="dxa"/>
                        <w:tcBorders>
                          <w:top w:val="nil" w:sz="6" w:space="0" w:color="auto"/>
                          <w:left w:val="single" w:sz="12" w:space="0" w:color="000000"/>
                          <w:bottom w:val="single" w:sz="12" w:space="0" w:color="000000"/>
                          <w:right w:val="single" w:sz="12" w:space="0" w:color="000000"/>
                        </w:tcBorders>
                      </w:tcPr>
                      <w:p>
                        <w:pPr/>
                      </w:p>
                    </w:tc>
                    <w:tc>
                      <w:tcPr>
                        <w:tcW w:w="6999" w:type="dxa"/>
                        <w:gridSpan w:val="2"/>
                        <w:tcBorders>
                          <w:top w:val="nil" w:sz="6" w:space="0" w:color="auto"/>
                          <w:left w:val="single" w:sz="12" w:space="0" w:color="000000"/>
                          <w:bottom w:val="single" w:sz="12" w:space="0" w:color="000000"/>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工作质量，提升基层医疗卫生服务管理水平</w:t>
                        </w:r>
                      </w:p>
                    </w:tc>
                  </w:tr>
                  <w:tr>
                    <w:trPr>
                      <w:trHeight w:val="362" w:hRule="exact"/>
                    </w:trPr>
                    <w:tc>
                      <w:tcPr>
                        <w:tcW w:w="157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999"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0"/>
                          <w:ind w:right="0"/>
                          <w:jc w:val="left"/>
                          <w:rPr>
                            <w:rFonts w:ascii="宋体" w:hAnsi="宋体" w:cs="宋体" w:eastAsia="宋体" w:hint="default"/>
                            <w:sz w:val="18"/>
                            <w:szCs w:val="18"/>
                          </w:rPr>
                        </w:pPr>
                        <w:r>
                          <w:rPr>
                            <w:rFonts w:ascii="宋体" w:hAnsi="宋体" w:cs="宋体" w:eastAsia="宋体" w:hint="default"/>
                            <w:sz w:val="18"/>
                            <w:szCs w:val="18"/>
                          </w:rPr>
                          <w:t>各级卫生管理部门及社区卫生中心</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p>
      <w:pPr>
        <w:pStyle w:val="BodyText"/>
        <w:spacing w:line="316" w:lineRule="auto" w:before="44"/>
        <w:ind w:left="477" w:right="882"/>
        <w:jc w:val="left"/>
      </w:pPr>
      <w:r>
        <w:rPr/>
        <w:t>②区域卫生信息平台 </w:t>
      </w:r>
      <w:r>
        <w:rPr>
          <w:spacing w:val="-2"/>
        </w:rPr>
        <w:t>区域卫生信息平台是连接规划区域内（医疗卫生机构、行政业务管理单位及各相关卫生机构）各机构的基本业务信息系</w:t>
      </w:r>
    </w:p>
    <w:p>
      <w:pPr>
        <w:pStyle w:val="BodyText"/>
        <w:spacing w:line="240" w:lineRule="auto" w:before="19"/>
        <w:ind w:right="882"/>
        <w:jc w:val="left"/>
      </w:pPr>
      <w:r>
        <w:rPr/>
        <w:t>统的数据交换和共享平台，是区域内各医疗卫生信息系统之间进行有效的信息整合的基础和载体。</w:t>
      </w:r>
    </w:p>
    <w:p>
      <w:pPr>
        <w:spacing w:line="240" w:lineRule="auto" w:before="1"/>
        <w:rPr>
          <w:rFonts w:ascii="宋体" w:hAnsi="宋体" w:cs="宋体" w:eastAsia="宋体" w:hint="default"/>
          <w:sz w:val="5"/>
          <w:szCs w:val="5"/>
        </w:rPr>
      </w:pPr>
    </w:p>
    <w:tbl>
      <w:tblPr>
        <w:tblW w:w="0" w:type="auto"/>
        <w:jc w:val="left"/>
        <w:tblInd w:w="654" w:type="dxa"/>
        <w:tblLayout w:type="fixed"/>
        <w:tblCellMar>
          <w:top w:w="0" w:type="dxa"/>
          <w:left w:w="0" w:type="dxa"/>
          <w:bottom w:w="0" w:type="dxa"/>
          <w:right w:w="0" w:type="dxa"/>
        </w:tblCellMar>
        <w:tblLook w:val="01E0"/>
      </w:tblPr>
      <w:tblGrid>
        <w:gridCol w:w="1939"/>
        <w:gridCol w:w="1148"/>
        <w:gridCol w:w="5441"/>
      </w:tblGrid>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宋体" w:hAnsi="宋体" w:cs="宋体" w:eastAsia="宋体" w:hint="default"/>
                <w:b/>
                <w:bCs/>
                <w:sz w:val="18"/>
                <w:szCs w:val="18"/>
              </w:rPr>
              <w:t>区域卫生信息平台</w:t>
            </w:r>
            <w:r>
              <w:rPr>
                <w:rFonts w:ascii="宋体" w:hAnsi="宋体" w:cs="宋体" w:eastAsia="宋体" w:hint="default"/>
                <w:sz w:val="18"/>
                <w:szCs w:val="18"/>
              </w:rPr>
            </w:r>
          </w:p>
        </w:tc>
      </w:tr>
      <w:tr>
        <w:trPr>
          <w:trHeight w:val="362" w:hRule="exact"/>
        </w:trPr>
        <w:tc>
          <w:tcPr>
            <w:tcW w:w="1939" w:type="dxa"/>
            <w:vMerge w:val="restart"/>
            <w:tcBorders>
              <w:top w:val="single" w:sz="12" w:space="0" w:color="000000"/>
              <w:left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593" w:right="0"/>
              <w:jc w:val="left"/>
              <w:rPr>
                <w:rFonts w:ascii="宋体" w:hAnsi="宋体" w:cs="宋体" w:eastAsia="宋体" w:hint="default"/>
                <w:sz w:val="18"/>
                <w:szCs w:val="18"/>
              </w:rPr>
            </w:pPr>
            <w:r>
              <w:rPr>
                <w:rFonts w:ascii="宋体" w:hAnsi="宋体" w:cs="宋体" w:eastAsia="宋体" w:hint="default"/>
                <w:sz w:val="18"/>
                <w:szCs w:val="18"/>
              </w:rPr>
              <w:t>主要内容</w:t>
            </w:r>
          </w:p>
        </w:tc>
        <w:tc>
          <w:tcPr>
            <w:tcW w:w="114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left="288" w:right="0"/>
              <w:jc w:val="left"/>
              <w:rPr>
                <w:rFonts w:ascii="宋体" w:hAnsi="宋体" w:cs="宋体" w:eastAsia="宋体" w:hint="default"/>
                <w:sz w:val="18"/>
                <w:szCs w:val="18"/>
              </w:rPr>
            </w:pPr>
            <w:r>
              <w:rPr>
                <w:rFonts w:ascii="宋体" w:hAnsi="宋体" w:cs="宋体" w:eastAsia="宋体" w:hint="default"/>
                <w:sz w:val="18"/>
                <w:szCs w:val="18"/>
              </w:rPr>
              <w:t>子系统</w:t>
            </w:r>
          </w:p>
        </w:tc>
        <w:tc>
          <w:tcPr>
            <w:tcW w:w="544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主要功能模块</w:t>
            </w:r>
          </w:p>
        </w:tc>
      </w:tr>
      <w:tr>
        <w:trPr>
          <w:trHeight w:val="674" w:hRule="exact"/>
        </w:trPr>
        <w:tc>
          <w:tcPr>
            <w:tcW w:w="1939" w:type="dxa"/>
            <w:vMerge/>
            <w:tcBorders>
              <w:left w:val="single" w:sz="12" w:space="0" w:color="000000"/>
              <w:right w:val="single" w:sz="12" w:space="0" w:color="000000"/>
            </w:tcBorders>
          </w:tcPr>
          <w:p>
            <w:pPr/>
          </w:p>
        </w:tc>
        <w:tc>
          <w:tcPr>
            <w:tcW w:w="1148"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0"/>
              <w:ind w:left="380" w:right="17" w:hanging="360"/>
              <w:jc w:val="left"/>
              <w:rPr>
                <w:rFonts w:ascii="宋体" w:hAnsi="宋体" w:cs="宋体" w:eastAsia="宋体" w:hint="default"/>
                <w:sz w:val="18"/>
                <w:szCs w:val="18"/>
              </w:rPr>
            </w:pPr>
            <w:r>
              <w:rPr>
                <w:rFonts w:ascii="宋体" w:hAnsi="宋体" w:cs="宋体" w:eastAsia="宋体" w:hint="default"/>
                <w:sz w:val="18"/>
                <w:szCs w:val="18"/>
              </w:rPr>
              <w:t>卫生数据交换 平台</w:t>
            </w:r>
          </w:p>
        </w:tc>
        <w:tc>
          <w:tcPr>
            <w:tcW w:w="5441"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0"/>
              <w:ind w:right="0"/>
              <w:jc w:val="left"/>
              <w:rPr>
                <w:rFonts w:ascii="宋体" w:hAnsi="宋体" w:cs="宋体" w:eastAsia="宋体" w:hint="default"/>
                <w:sz w:val="18"/>
                <w:szCs w:val="18"/>
              </w:rPr>
            </w:pPr>
            <w:r>
              <w:rPr>
                <w:rFonts w:ascii="宋体" w:hAnsi="宋体" w:cs="宋体" w:eastAsia="宋体" w:hint="default"/>
                <w:sz w:val="18"/>
                <w:szCs w:val="18"/>
              </w:rPr>
              <w:t>数据共享交换平台、与医院系统的接口、与基层卫生系统的接口、与</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卫生管理机构业务系统的接口、与其他部门系统的接口</w:t>
            </w:r>
          </w:p>
        </w:tc>
      </w:tr>
      <w:tr>
        <w:trPr>
          <w:trHeight w:val="1922" w:hRule="exact"/>
        </w:trPr>
        <w:tc>
          <w:tcPr>
            <w:tcW w:w="1939" w:type="dxa"/>
            <w:vMerge/>
            <w:tcBorders>
              <w:left w:val="single" w:sz="12" w:space="0" w:color="000000"/>
              <w:bottom w:val="single" w:sz="12" w:space="0" w:color="000000"/>
              <w:right w:val="single" w:sz="12" w:space="0" w:color="000000"/>
            </w:tcBorders>
          </w:tcPr>
          <w:p>
            <w:pPr/>
          </w:p>
        </w:tc>
        <w:tc>
          <w:tcPr>
            <w:tcW w:w="114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200" w:right="17" w:hanging="180"/>
              <w:jc w:val="left"/>
              <w:rPr>
                <w:rFonts w:ascii="宋体" w:hAnsi="宋体" w:cs="宋体" w:eastAsia="宋体" w:hint="default"/>
                <w:sz w:val="18"/>
                <w:szCs w:val="18"/>
              </w:rPr>
            </w:pPr>
            <w:r>
              <w:rPr>
                <w:rFonts w:ascii="宋体" w:hAnsi="宋体" w:cs="宋体" w:eastAsia="宋体" w:hint="default"/>
                <w:sz w:val="18"/>
                <w:szCs w:val="18"/>
              </w:rPr>
              <w:t>公共卫生管理 应用系统</w:t>
            </w:r>
          </w:p>
        </w:tc>
        <w:tc>
          <w:tcPr>
            <w:tcW w:w="5441" w:type="dxa"/>
            <w:tcBorders>
              <w:top w:val="single" w:sz="12" w:space="0" w:color="000000"/>
              <w:left w:val="single" w:sz="12" w:space="0" w:color="000000"/>
              <w:bottom w:val="single" w:sz="12" w:space="0" w:color="000000"/>
              <w:right w:val="single" w:sz="12" w:space="0" w:color="000000"/>
            </w:tcBorders>
          </w:tcPr>
          <w:p>
            <w:pPr>
              <w:pStyle w:val="TableParagraph"/>
              <w:spacing w:line="314" w:lineRule="auto" w:before="21"/>
              <w:ind w:right="-8"/>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MPI</w:t>
            </w:r>
            <w:r>
              <w:rPr>
                <w:rFonts w:ascii="宋体" w:hAnsi="宋体" w:cs="宋体" w:eastAsia="宋体" w:hint="default"/>
                <w:spacing w:val="-2"/>
                <w:sz w:val="18"/>
                <w:szCs w:val="18"/>
              </w:rPr>
              <w:t>与健康卡管理系统、健康档案浏览器（</w:t>
            </w:r>
            <w:r>
              <w:rPr>
                <w:rFonts w:ascii="Times New Roman" w:hAnsi="Times New Roman" w:cs="Times New Roman" w:eastAsia="Times New Roman" w:hint="default"/>
                <w:spacing w:val="-2"/>
                <w:sz w:val="18"/>
                <w:szCs w:val="18"/>
              </w:rPr>
              <w:t>EHR</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VIEW</w:t>
            </w:r>
            <w:r>
              <w:rPr>
                <w:rFonts w:ascii="宋体" w:hAnsi="宋体" w:cs="宋体" w:eastAsia="宋体" w:hint="default"/>
                <w:spacing w:val="-2"/>
                <w:sz w:val="18"/>
                <w:szCs w:val="18"/>
              </w:rPr>
              <w:t>）、双向转诊</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系统、检验中心系统、区域影像会诊系统、远程医疗会诊系统、远程</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教育培训系统、、药品物流管理与用药监管系统、居民健康服务网、</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医疗业务监管系统、公共卫生业务监管系统、卫生综合管理系统、区</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域卫生决策支持系统、区域医疗卫生全面预算管理系统、区域医疗卫</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生机构绩效考核系统、区域医疗卫生资金拨付系统</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z w:val="18"/>
                <w:szCs w:val="18"/>
              </w:rPr>
              <w:t>区域公共卫生网络化、动态化、实时性监控和管理决策</w:t>
            </w:r>
          </w:p>
        </w:tc>
      </w:tr>
      <w:tr>
        <w:trPr>
          <w:trHeight w:val="674"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right="0"/>
              <w:jc w:val="left"/>
              <w:rPr>
                <w:rFonts w:ascii="宋体" w:hAnsi="宋体" w:cs="宋体" w:eastAsia="宋体" w:hint="default"/>
                <w:sz w:val="18"/>
                <w:szCs w:val="18"/>
              </w:rPr>
            </w:pPr>
            <w:r>
              <w:rPr>
                <w:rFonts w:ascii="宋体" w:hAnsi="宋体" w:cs="宋体" w:eastAsia="宋体" w:hint="default"/>
                <w:sz w:val="18"/>
                <w:szCs w:val="18"/>
              </w:rPr>
              <w:t>实现区域内各医疗卫生机构之间的医疗信息交换与共享，提高医疗卫生机构的工作</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效率和管理水平</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各级卫生管理部门、疾病控制机构、妇幼保健机构等</w:t>
            </w:r>
          </w:p>
        </w:tc>
      </w:tr>
    </w:tbl>
    <w:p>
      <w:pPr>
        <w:pStyle w:val="BodyText"/>
        <w:spacing w:line="316" w:lineRule="auto" w:before="10"/>
        <w:ind w:left="472" w:right="882"/>
        <w:jc w:val="left"/>
      </w:pPr>
      <w:r>
        <w:rPr/>
        <w:t>（3）医疗大数据和人工智能产品 </w:t>
      </w:r>
      <w:r>
        <w:rPr>
          <w:spacing w:val="-2"/>
        </w:rPr>
        <w:t>公司在医疗卫生大数据领域，公司致力于将大数据技术与区域卫生、互联网医疗、精准医疗等领域深度结合，基于实时</w:t>
      </w:r>
    </w:p>
    <w:p>
      <w:pPr>
        <w:pStyle w:val="BodyText"/>
        <w:spacing w:line="316" w:lineRule="auto" w:before="19"/>
        <w:ind w:right="1132"/>
        <w:jc w:val="both"/>
      </w:pPr>
      <w:r>
        <w:rPr>
          <w:spacing w:val="-2"/>
        </w:rPr>
        <w:t>大数据基础平台构建了面向医疗、公卫和个人的多个大数据和人工智能产品，相关产品在国内已达到领先水平，并已在国家</w:t>
      </w:r>
      <w:r>
        <w:rPr>
          <w:spacing w:val="-65"/>
        </w:rPr>
        <w:t> </w:t>
      </w:r>
      <w:r>
        <w:rPr>
          <w:spacing w:val="-65"/>
        </w:rPr>
      </w:r>
      <w:r>
        <w:rPr>
          <w:spacing w:val="-2"/>
        </w:rPr>
        <w:t>级、省级、市县级多个大型医院和区域卫生信息化项目中得到成功应用，以雄厚的大数据研发团队和技术实力推动医疗大数</w:t>
      </w:r>
      <w:r>
        <w:rPr>
          <w:spacing w:val="-65"/>
        </w:rPr>
        <w:t> </w:t>
      </w:r>
      <w:r>
        <w:rPr>
          <w:spacing w:val="-65"/>
        </w:rPr>
      </w:r>
      <w:r>
        <w:rPr/>
        <w:t>据产业的发展。</w:t>
      </w:r>
    </w:p>
    <w:p>
      <w:pPr>
        <w:spacing w:after="0" w:line="316"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left="472" w:right="882"/>
        <w:jc w:val="left"/>
      </w:pPr>
      <w:r>
        <w:rPr/>
        <w:t>①区域卫生大数据智能决策系统 </w:t>
      </w:r>
      <w:r>
        <w:rPr>
          <w:spacing w:val="-2"/>
        </w:rPr>
        <w:t>以居民个人健康信息及医疗卫生服务活动为主线，以全员人口信息、电子病历、健康档案三大资源库为基础，通过建立</w:t>
      </w:r>
    </w:p>
    <w:p>
      <w:pPr>
        <w:pStyle w:val="BodyText"/>
        <w:spacing w:line="316" w:lineRule="auto" w:before="19"/>
        <w:ind w:right="1132"/>
        <w:jc w:val="both"/>
      </w:pPr>
      <w:r>
        <w:rPr>
          <w:spacing w:val="-2"/>
        </w:rPr>
        <w:t>区域卫生大数据智能决策系统，基于大数据技术，地理信息技术，数据挖掘分析技术，将区域内不同的业务系统的繁杂海量</w:t>
      </w:r>
      <w:r>
        <w:rPr>
          <w:spacing w:val="-66"/>
        </w:rPr>
        <w:t> </w:t>
      </w:r>
      <w:r>
        <w:rPr>
          <w:spacing w:val="-66"/>
        </w:rPr>
      </w:r>
      <w:r>
        <w:rPr>
          <w:spacing w:val="-2"/>
        </w:rPr>
        <w:t>数据和各种外部数据进行同步、转换、储存；利用人工智能数据挖掘分析技术，面向各种深度分析主题，基于原始数据通过</w:t>
      </w:r>
      <w:r>
        <w:rPr>
          <w:spacing w:val="-65"/>
        </w:rPr>
        <w:t> </w:t>
      </w:r>
      <w:r>
        <w:rPr>
          <w:spacing w:val="-65"/>
        </w:rPr>
      </w:r>
      <w:r>
        <w:rPr>
          <w:spacing w:val="-2"/>
        </w:rPr>
        <w:t>大数据挖掘分析平台内置的丰富人工智能算法训练出符合主题分析所需的模型，采用数据驱动的方式将数据提炼为模型和方</w:t>
      </w:r>
      <w:r>
        <w:rPr>
          <w:spacing w:val="-64"/>
        </w:rPr>
        <w:t> </w:t>
      </w:r>
      <w:r>
        <w:rPr>
          <w:spacing w:val="-64"/>
        </w:rPr>
      </w:r>
      <w:r>
        <w:rPr/>
        <w:t>法，从而进一步提升为辅助决策的技术支撑体系与知识库，全面提高各级卫生管理人员的决策能力和服务能效。</w:t>
      </w:r>
    </w:p>
    <w:p>
      <w:pPr>
        <w:pStyle w:val="BodyText"/>
        <w:spacing w:line="316" w:lineRule="auto" w:before="19"/>
        <w:ind w:left="472" w:right="882"/>
        <w:jc w:val="left"/>
      </w:pPr>
      <w:r>
        <w:rPr/>
        <w:t>②医学知识图谱系统 </w:t>
      </w:r>
      <w:r>
        <w:rPr>
          <w:spacing w:val="-2"/>
        </w:rPr>
        <w:t>基于海量的电子病历、健康档案、诊疗指南、书籍资料、互联网信息等结构化或非结构化的医学数据，通过知识图谱引</w:t>
      </w:r>
    </w:p>
    <w:p>
      <w:pPr>
        <w:pStyle w:val="BodyText"/>
        <w:spacing w:line="316" w:lineRule="auto" w:before="19"/>
        <w:ind w:right="882"/>
        <w:jc w:val="left"/>
      </w:pPr>
      <w:r>
        <w:rPr>
          <w:spacing w:val="-2"/>
        </w:rPr>
        <w:t>擎进行医学知识抽取、医学知识融合和医学知识加工构建完整的医学知识图谱，最后基于医学知识图谱实现医学信息检索查</w:t>
      </w:r>
      <w:r>
        <w:rPr>
          <w:spacing w:val="-64"/>
        </w:rPr>
        <w:t> </w:t>
      </w:r>
      <w:r>
        <w:rPr>
          <w:spacing w:val="-64"/>
        </w:rPr>
      </w:r>
      <w:r>
        <w:rPr/>
        <w:t>询、医疗知识问答和临床决策支持等人工智能应用。</w:t>
      </w:r>
    </w:p>
    <w:p>
      <w:pPr>
        <w:pStyle w:val="BodyText"/>
        <w:spacing w:line="316" w:lineRule="auto" w:before="19"/>
        <w:ind w:left="472" w:right="882"/>
        <w:jc w:val="left"/>
      </w:pPr>
      <w:r>
        <w:rPr/>
        <w:t>③智能医疗服务机器人解决方案 </w:t>
      </w:r>
      <w:r>
        <w:rPr>
          <w:spacing w:val="-2"/>
        </w:rPr>
        <w:t>基于领先的人工智能、语音识别、语音合成和自然语言处理技术，通过人机对话方式实现情景式人机交流和互动，满足</w:t>
      </w:r>
    </w:p>
    <w:p>
      <w:pPr>
        <w:pStyle w:val="BodyText"/>
        <w:spacing w:line="240" w:lineRule="auto" w:before="19"/>
        <w:ind w:right="882"/>
        <w:jc w:val="left"/>
      </w:pPr>
      <w:r>
        <w:rPr/>
        <w:t>各类医疗卫生机构和家庭多场景多业务的医疗健康智能化服务需求：</w:t>
      </w:r>
    </w:p>
    <w:p>
      <w:pPr>
        <w:pStyle w:val="BodyText"/>
        <w:spacing w:line="300" w:lineRule="auto" w:before="76"/>
        <w:ind w:right="1132" w:firstLine="360"/>
        <w:jc w:val="both"/>
      </w:pPr>
      <w:r>
        <w:rPr>
          <w:rFonts w:ascii="Times New Roman" w:hAnsi="Times New Roman" w:cs="Times New Roman" w:eastAsia="Times New Roman" w:hint="default"/>
          <w:spacing w:val="-1"/>
        </w:rPr>
        <w:t>a.</w:t>
      </w:r>
      <w:r>
        <w:rPr>
          <w:spacing w:val="-1"/>
        </w:rPr>
        <w:t>为门诊提供智能导诊分诊、预约挂号、门诊缴费、报告查询、院内导航、常识宣教、问卷调查等多种服务，支持语音</w:t>
      </w:r>
      <w:r>
        <w:rPr/>
        <w:t> 问答及触屏触控等多种交互方式，帮助改善患者就医体验，提高医院服务质量；</w:t>
      </w:r>
    </w:p>
    <w:p>
      <w:pPr>
        <w:pStyle w:val="BodyText"/>
        <w:spacing w:line="300" w:lineRule="auto" w:before="31"/>
        <w:ind w:right="1132" w:firstLine="360"/>
        <w:jc w:val="both"/>
      </w:pPr>
      <w:r>
        <w:rPr>
          <w:rFonts w:ascii="Times New Roman" w:hAnsi="Times New Roman" w:cs="Times New Roman" w:eastAsia="Times New Roman" w:hint="default"/>
          <w:spacing w:val="-1"/>
        </w:rPr>
        <w:t>b.</w:t>
      </w:r>
      <w:r>
        <w:rPr>
          <w:spacing w:val="-1"/>
        </w:rPr>
        <w:t>为住院病房提供病房宣教、用药提醒、语音呼叫、视频监护、报告查询、费用查询等功能，并可进行住院结算，可替</w:t>
      </w:r>
      <w:r>
        <w:rPr/>
        <w:t> 代部分护士职能；</w:t>
      </w:r>
    </w:p>
    <w:p>
      <w:pPr>
        <w:pStyle w:val="BodyText"/>
        <w:spacing w:line="309" w:lineRule="auto" w:before="31"/>
        <w:ind w:right="1132" w:firstLine="360"/>
        <w:jc w:val="both"/>
      </w:pPr>
      <w:r>
        <w:rPr>
          <w:rFonts w:ascii="Times New Roman" w:hAnsi="Times New Roman" w:cs="Times New Roman" w:eastAsia="Times New Roman" w:hint="default"/>
          <w:spacing w:val="-1"/>
        </w:rPr>
        <w:t>c.</w:t>
      </w:r>
      <w:r>
        <w:rPr>
          <w:spacing w:val="-1"/>
        </w:rPr>
        <w:t>为社区及家庭提供居民健康资讯、中医医疗健康服务、慢性病服务、智慧医疗等四大功能模块，涵盖健康课堂、医疗</w:t>
      </w:r>
      <w:r>
        <w:rPr/>
        <w:t> </w:t>
      </w:r>
      <w:r>
        <w:rPr>
          <w:spacing w:val="-2"/>
        </w:rPr>
        <w:t>资讯、健康生活、智能自诊、中医体质评估、慢病智能签约、体征检测、家庭医生迁移，并能对接挂号及药品服务，及呼叫</w:t>
      </w:r>
      <w:r>
        <w:rPr>
          <w:spacing w:val="-66"/>
        </w:rPr>
        <w:t> </w:t>
      </w:r>
      <w:r>
        <w:rPr>
          <w:spacing w:val="-66"/>
        </w:rPr>
      </w:r>
      <w:r>
        <w:rPr/>
        <w:t>家庭助理等功能。</w:t>
      </w:r>
    </w:p>
    <w:p>
      <w:pPr>
        <w:pStyle w:val="BodyText"/>
        <w:spacing w:line="316" w:lineRule="auto" w:before="24"/>
        <w:ind w:left="472" w:right="882"/>
        <w:jc w:val="left"/>
      </w:pPr>
      <w:r>
        <w:rPr/>
        <w:t>④患者画像系统 </w:t>
      </w:r>
      <w:r>
        <w:rPr>
          <w:spacing w:val="-2"/>
        </w:rPr>
        <w:t>基于患者的基本医疗信息、临床诊疗信息和相关医疗健康大数据信息构造出个性化、标签化的用户模型，再通过对患者</w:t>
      </w:r>
    </w:p>
    <w:p>
      <w:pPr>
        <w:pStyle w:val="BodyText"/>
        <w:spacing w:line="316" w:lineRule="auto" w:before="19"/>
        <w:ind w:right="882"/>
        <w:jc w:val="left"/>
      </w:pPr>
      <w:r>
        <w:rPr>
          <w:spacing w:val="-4"/>
        </w:rPr>
        <w:t>的个性化信息分析、挖掘而得出的高度精炼的特征标识，从而构建患者的精准完整的用户画像。医生通过患者画像可以快速、</w:t>
      </w:r>
      <w:r>
        <w:rPr>
          <w:spacing w:val="-42"/>
        </w:rPr>
        <w:t> </w:t>
      </w:r>
      <w:r>
        <w:rPr>
          <w:spacing w:val="-42"/>
        </w:rPr>
      </w:r>
      <w:r>
        <w:rPr>
          <w:spacing w:val="-2"/>
        </w:rPr>
        <w:t>准确地了解患者情况，从而为患者制定针对性的用药方案和治疗方案，提供优质医疗服务，降低医疗风险。临床决策支持系</w:t>
      </w:r>
      <w:r>
        <w:rPr>
          <w:spacing w:val="-66"/>
        </w:rPr>
        <w:t> </w:t>
      </w:r>
      <w:r>
        <w:rPr>
          <w:spacing w:val="-66"/>
        </w:rPr>
      </w:r>
      <w:r>
        <w:rPr/>
        <w:t>统也可以基于患者画像推送更有针对性，更有价值的决策支持方案。</w:t>
      </w:r>
    </w:p>
    <w:p>
      <w:pPr>
        <w:spacing w:line="316" w:lineRule="auto" w:before="19"/>
        <w:ind w:left="472" w:right="1112" w:firstLine="2"/>
        <w:jc w:val="left"/>
        <w:rPr>
          <w:rFonts w:ascii="宋体" w:hAnsi="宋体" w:cs="宋体" w:eastAsia="宋体" w:hint="default"/>
          <w:sz w:val="18"/>
          <w:szCs w:val="18"/>
        </w:rPr>
      </w:pPr>
      <w:r>
        <w:rPr>
          <w:rFonts w:ascii="宋体" w:hAnsi="宋体" w:cs="宋体" w:eastAsia="宋体" w:hint="default"/>
          <w:b/>
          <w:bCs/>
          <w:sz w:val="18"/>
          <w:szCs w:val="18"/>
        </w:rPr>
        <w:t>2、医疗卫生互联网应用产品及服务板块</w:t>
      </w:r>
      <w:r>
        <w:rPr>
          <w:rFonts w:ascii="宋体" w:hAnsi="宋体" w:cs="宋体" w:eastAsia="宋体" w:hint="default"/>
          <w:b/>
          <w:bCs/>
          <w:w w:val="99"/>
          <w:sz w:val="18"/>
          <w:szCs w:val="18"/>
        </w:rPr>
        <w:t> </w:t>
      </w:r>
      <w:r>
        <w:rPr>
          <w:rFonts w:ascii="宋体" w:hAnsi="宋体" w:cs="宋体" w:eastAsia="宋体" w:hint="default"/>
          <w:sz w:val="18"/>
          <w:szCs w:val="18"/>
        </w:rPr>
        <w:t>公司积极响应国家促进“互联网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医疗健康”发展的意见，紧密围绕健康城市建设和居民端运营业务，借助大数据、人</w:t>
      </w:r>
    </w:p>
    <w:p>
      <w:pPr>
        <w:pStyle w:val="BodyText"/>
        <w:spacing w:line="300" w:lineRule="auto"/>
        <w:ind w:right="882"/>
        <w:jc w:val="left"/>
      </w:pPr>
      <w:r>
        <w:rPr>
          <w:spacing w:val="-2"/>
        </w:rPr>
        <w:t>工智能、生物识别、区块链、移动支付等新型技术，持续创新“互联网</w:t>
      </w:r>
      <w:r>
        <w:rPr>
          <w:rFonts w:ascii="Times New Roman" w:hAnsi="Times New Roman" w:cs="Times New Roman" w:eastAsia="Times New Roman" w:hint="default"/>
          <w:spacing w:val="-2"/>
        </w:rPr>
        <w:t>+</w:t>
      </w:r>
      <w:r>
        <w:rPr>
          <w:spacing w:val="-2"/>
        </w:rPr>
        <w:t>医疗健康”业务，打造“便民、惠民、智慧、智能”</w:t>
      </w:r>
      <w:r>
        <w:rPr>
          <w:spacing w:val="-81"/>
        </w:rPr>
        <w:t> </w:t>
      </w:r>
      <w:r>
        <w:rPr>
          <w:spacing w:val="-81"/>
        </w:rPr>
      </w:r>
      <w:r>
        <w:rPr/>
        <w:t>为核心的“未来医疗”新模式。</w:t>
      </w:r>
    </w:p>
    <w:p>
      <w:pPr>
        <w:spacing w:line="240" w:lineRule="auto" w:before="11"/>
        <w:rPr>
          <w:rFonts w:ascii="宋体" w:hAnsi="宋体" w:cs="宋体" w:eastAsia="宋体" w:hint="default"/>
          <w:sz w:val="4"/>
          <w:szCs w:val="4"/>
        </w:rPr>
      </w:pPr>
    </w:p>
    <w:p>
      <w:pPr>
        <w:spacing w:line="4023" w:lineRule="exact"/>
        <w:ind w:left="1752" w:right="0" w:firstLine="0"/>
        <w:rPr>
          <w:rFonts w:ascii="宋体" w:hAnsi="宋体" w:cs="宋体" w:eastAsia="宋体" w:hint="default"/>
          <w:sz w:val="20"/>
          <w:szCs w:val="20"/>
        </w:rPr>
      </w:pPr>
      <w:r>
        <w:rPr>
          <w:rFonts w:ascii="宋体" w:hAnsi="宋体" w:cs="宋体" w:eastAsia="宋体" w:hint="default"/>
          <w:position w:val="-79"/>
          <w:sz w:val="20"/>
          <w:szCs w:val="20"/>
        </w:rPr>
        <w:drawing>
          <wp:inline distT="0" distB="0" distL="0" distR="0">
            <wp:extent cx="4268288" cy="2555176"/>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9" cstate="print"/>
                    <a:stretch>
                      <a:fillRect/>
                    </a:stretch>
                  </pic:blipFill>
                  <pic:spPr>
                    <a:xfrm>
                      <a:off x="0" y="0"/>
                      <a:ext cx="4268288" cy="2555176"/>
                    </a:xfrm>
                    <a:prstGeom prst="rect">
                      <a:avLst/>
                    </a:prstGeom>
                  </pic:spPr>
                </pic:pic>
              </a:graphicData>
            </a:graphic>
          </wp:inline>
        </w:drawing>
      </w:r>
      <w:r>
        <w:rPr>
          <w:rFonts w:ascii="宋体" w:hAnsi="宋体" w:cs="宋体" w:eastAsia="宋体" w:hint="default"/>
          <w:position w:val="-79"/>
          <w:sz w:val="20"/>
          <w:szCs w:val="20"/>
        </w:rPr>
      </w:r>
    </w:p>
    <w:p>
      <w:pPr>
        <w:pStyle w:val="BodyText"/>
        <w:spacing w:line="300" w:lineRule="auto" w:before="80"/>
        <w:ind w:left="477" w:right="882"/>
        <w:jc w:val="left"/>
      </w:pPr>
      <w:r>
        <w:rPr/>
        <w:t>（</w:t>
      </w:r>
      <w:r>
        <w:rPr>
          <w:rFonts w:ascii="Times New Roman" w:hAnsi="Times New Roman" w:cs="Times New Roman" w:eastAsia="Times New Roman" w:hint="default"/>
        </w:rPr>
        <w:t>1</w:t>
      </w:r>
      <w:r>
        <w:rPr/>
        <w:t>）健康城市云平台 </w:t>
      </w:r>
      <w:r>
        <w:rPr>
          <w:spacing w:val="-2"/>
        </w:rPr>
        <w:t>坚持政府主导，以满足居民健康需求为目标。整合城市医健资源，通过互联网化提升开放能力，优化重构服务流程，构</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882"/>
        <w:jc w:val="left"/>
      </w:pPr>
      <w:r>
        <w:rPr/>
        <w:t>建以城市为单位的医疗健康服务平台，为居民提供精准、便捷、可信的一站式服务。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pStyle w:val="BodyText"/>
        <w:spacing w:line="240" w:lineRule="auto" w:before="44"/>
        <w:ind w:left="0" w:right="1612"/>
        <w:jc w:val="right"/>
      </w:pPr>
      <w:r>
        <w:rPr/>
        <w:pict>
          <v:shape style="position:absolute;margin-left:83.730003pt;margin-top:-65.218285pt;width:428.6pt;height:201.15pt;mso-position-horizontal-relative:page;mso-position-vertical-relative:paragraph;z-index:1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39"/>
                    <w:gridCol w:w="6589"/>
                  </w:tblGrid>
                  <w:tr>
                    <w:trPr>
                      <w:trHeight w:val="986"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b/>
                            <w:bCs/>
                            <w:sz w:val="18"/>
                            <w:szCs w:val="18"/>
                          </w:rPr>
                          <w:t>健康城市云平台</w:t>
                        </w:r>
                        <w:r>
                          <w:rPr>
                            <w:rFonts w:ascii="宋体" w:hAnsi="宋体" w:cs="宋体" w:eastAsia="宋体" w:hint="default"/>
                            <w:sz w:val="18"/>
                            <w:szCs w:val="18"/>
                          </w:rPr>
                        </w:r>
                      </w:p>
                    </w:tc>
                  </w:tr>
                  <w:tr>
                    <w:trPr>
                      <w:trHeight w:val="342" w:hRule="exact"/>
                    </w:trPr>
                    <w:tc>
                      <w:tcPr>
                        <w:tcW w:w="1939" w:type="dxa"/>
                        <w:tcBorders>
                          <w:top w:val="single" w:sz="12" w:space="0" w:color="000000"/>
                          <w:left w:val="single" w:sz="12" w:space="0" w:color="000000"/>
                          <w:bottom w:val="nil" w:sz="6" w:space="0" w:color="auto"/>
                          <w:right w:val="single" w:sz="12" w:space="0" w:color="000000"/>
                        </w:tcBorders>
                      </w:tcPr>
                      <w:p>
                        <w:pPr/>
                      </w:p>
                    </w:tc>
                    <w:tc>
                      <w:tcPr>
                        <w:tcW w:w="6589"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1"/>
                          <w:ind w:right="-5"/>
                          <w:jc w:val="left"/>
                          <w:rPr>
                            <w:rFonts w:ascii="宋体" w:hAnsi="宋体" w:cs="宋体" w:eastAsia="宋体" w:hint="default"/>
                            <w:sz w:val="18"/>
                            <w:szCs w:val="18"/>
                          </w:rPr>
                        </w:pPr>
                        <w:r>
                          <w:rPr>
                            <w:rFonts w:ascii="宋体" w:hAnsi="宋体" w:cs="宋体" w:eastAsia="宋体" w:hint="default"/>
                            <w:spacing w:val="-3"/>
                            <w:sz w:val="18"/>
                            <w:szCs w:val="18"/>
                          </w:rPr>
                          <w:t>就医</w:t>
                        </w:r>
                        <w:r>
                          <w:rPr>
                            <w:rFonts w:ascii="Times New Roman" w:hAnsi="Times New Roman" w:cs="Times New Roman" w:eastAsia="Times New Roman" w:hint="default"/>
                            <w:spacing w:val="-3"/>
                            <w:sz w:val="18"/>
                            <w:szCs w:val="18"/>
                          </w:rPr>
                          <w:t>O2O</w:t>
                        </w:r>
                        <w:r>
                          <w:rPr>
                            <w:rFonts w:ascii="宋体" w:hAnsi="宋体" w:cs="宋体" w:eastAsia="宋体" w:hint="default"/>
                            <w:spacing w:val="-3"/>
                            <w:sz w:val="18"/>
                            <w:szCs w:val="18"/>
                          </w:rPr>
                          <w:t>闭环：门诊就医</w:t>
                        </w:r>
                        <w:r>
                          <w:rPr>
                            <w:rFonts w:ascii="Times New Roman" w:hAnsi="Times New Roman" w:cs="Times New Roman" w:eastAsia="Times New Roman" w:hint="default"/>
                            <w:spacing w:val="-3"/>
                            <w:sz w:val="18"/>
                            <w:szCs w:val="18"/>
                          </w:rPr>
                          <w:t>O2O</w:t>
                        </w:r>
                        <w:r>
                          <w:rPr>
                            <w:rFonts w:ascii="宋体" w:hAnsi="宋体" w:cs="宋体" w:eastAsia="宋体" w:hint="default"/>
                            <w:spacing w:val="-3"/>
                            <w:sz w:val="18"/>
                            <w:szCs w:val="18"/>
                          </w:rPr>
                          <w:t>全流程闭环，从智能导诊、预约挂号到移动医保脱卡支</w:t>
                        </w:r>
                      </w:p>
                    </w:tc>
                  </w:tr>
                  <w:tr>
                    <w:trPr>
                      <w:trHeight w:val="307"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0"/>
                          <w:jc w:val="left"/>
                          <w:rPr>
                            <w:rFonts w:ascii="宋体" w:hAnsi="宋体" w:cs="宋体" w:eastAsia="宋体" w:hint="default"/>
                            <w:sz w:val="18"/>
                            <w:szCs w:val="18"/>
                          </w:rPr>
                        </w:pPr>
                        <w:r>
                          <w:rPr>
                            <w:rFonts w:ascii="宋体" w:hAnsi="宋体" w:cs="宋体" w:eastAsia="宋体" w:hint="default"/>
                            <w:sz w:val="18"/>
                            <w:szCs w:val="18"/>
                          </w:rPr>
                          <w:t>付最后取得详细报告，每个环节配合消息提醒，让患者节省就医时间提升就医体验</w:t>
                        </w:r>
                      </w:p>
                    </w:tc>
                  </w:tr>
                  <w:tr>
                    <w:trPr>
                      <w:trHeight w:val="624" w:hRule="exact"/>
                    </w:trPr>
                    <w:tc>
                      <w:tcPr>
                        <w:tcW w:w="1939" w:type="dxa"/>
                        <w:tcBorders>
                          <w:top w:val="nil" w:sz="6" w:space="0" w:color="auto"/>
                          <w:left w:val="single" w:sz="12" w:space="0" w:color="000000"/>
                          <w:bottom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316" w:lineRule="auto" w:before="10"/>
                          <w:ind w:right="89"/>
                          <w:jc w:val="left"/>
                          <w:rPr>
                            <w:rFonts w:ascii="宋体" w:hAnsi="宋体" w:cs="宋体" w:eastAsia="宋体" w:hint="default"/>
                            <w:sz w:val="18"/>
                            <w:szCs w:val="18"/>
                          </w:rPr>
                        </w:pPr>
                        <w:r>
                          <w:rPr>
                            <w:rFonts w:ascii="宋体" w:hAnsi="宋体" w:cs="宋体" w:eastAsia="宋体" w:hint="default"/>
                            <w:sz w:val="18"/>
                            <w:szCs w:val="18"/>
                          </w:rPr>
                          <w:t>精确健康管理：整合健康服务入口，精准推荐，让用户从看病难的不主动关注健康 逐渐提升健康管理意识，从疾病管理转为健康管理。</w:t>
                        </w:r>
                      </w:p>
                    </w:tc>
                  </w:tr>
                  <w:tr>
                    <w:trPr>
                      <w:trHeight w:val="317"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全程个人健康档案</w:t>
                        </w:r>
                        <w:r>
                          <w:rPr>
                            <w:rFonts w:ascii="Times New Roman" w:hAnsi="Times New Roman" w:cs="Times New Roman" w:eastAsia="Times New Roman" w:hint="default"/>
                            <w:sz w:val="18"/>
                            <w:szCs w:val="18"/>
                          </w:rPr>
                          <w:t>PHR</w:t>
                        </w:r>
                        <w:r>
                          <w:rPr>
                            <w:rFonts w:ascii="宋体" w:hAnsi="宋体" w:cs="宋体" w:eastAsia="宋体" w:hint="default"/>
                            <w:sz w:val="18"/>
                            <w:szCs w:val="18"/>
                          </w:rPr>
                          <w:t>：包括个人医疗、公卫活动记录及个人日常记录的健康信息</w:t>
                        </w:r>
                      </w:p>
                    </w:tc>
                  </w:tr>
                  <w:tr>
                    <w:trPr>
                      <w:trHeight w:val="332" w:hRule="exact"/>
                    </w:trPr>
                    <w:tc>
                      <w:tcPr>
                        <w:tcW w:w="1939" w:type="dxa"/>
                        <w:tcBorders>
                          <w:top w:val="nil" w:sz="6" w:space="0" w:color="auto"/>
                          <w:left w:val="single" w:sz="12" w:space="0" w:color="000000"/>
                          <w:bottom w:val="single" w:sz="12" w:space="0" w:color="000000"/>
                          <w:right w:val="single" w:sz="12" w:space="0" w:color="000000"/>
                        </w:tcBorders>
                      </w:tcPr>
                      <w:p>
                        <w:pPr/>
                      </w:p>
                    </w:tc>
                    <w:tc>
                      <w:tcPr>
                        <w:tcW w:w="6589"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5"/>
                          <w:ind w:right="0"/>
                          <w:jc w:val="left"/>
                          <w:rPr>
                            <w:rFonts w:ascii="宋体" w:hAnsi="宋体" w:cs="宋体" w:eastAsia="宋体" w:hint="default"/>
                            <w:sz w:val="18"/>
                            <w:szCs w:val="18"/>
                          </w:rPr>
                        </w:pPr>
                        <w:r>
                          <w:rPr>
                            <w:rFonts w:ascii="宋体" w:hAnsi="宋体" w:cs="宋体" w:eastAsia="宋体" w:hint="default"/>
                            <w:sz w:val="18"/>
                            <w:szCs w:val="18"/>
                          </w:rPr>
                          <w:t>形成一份个人完整的健康档案及个人画像。</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公卫健康服务、医疗</w:t>
                        </w:r>
                        <w:r>
                          <w:rPr>
                            <w:rFonts w:ascii="Times New Roman" w:hAnsi="Times New Roman" w:cs="Times New Roman" w:eastAsia="Times New Roman" w:hint="default"/>
                            <w:sz w:val="18"/>
                            <w:szCs w:val="18"/>
                          </w:rPr>
                          <w:t>O2O</w:t>
                        </w:r>
                        <w:r>
                          <w:rPr>
                            <w:rFonts w:ascii="宋体" w:hAnsi="宋体" w:cs="宋体" w:eastAsia="宋体" w:hint="default"/>
                            <w:sz w:val="18"/>
                            <w:szCs w:val="18"/>
                          </w:rPr>
                          <w:t>服务、互联网创新服务</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整合城市医健资源，通过互联网化提升开放能力，优化重构服务流程</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居民、卫健委、家庭医生</w:t>
                        </w:r>
                      </w:p>
                    </w:tc>
                  </w:tr>
                </w:tbl>
                <w:p>
                  <w:pPr/>
                </w:p>
              </w:txbxContent>
            </v:textbox>
            <w10:wrap type="none"/>
          </v:shape>
        </w:pict>
      </w:r>
      <w:r>
        <w:rPr/>
        <w:t>。</w:t>
      </w:r>
    </w:p>
    <w:p>
      <w:pPr>
        <w:pStyle w:val="BodyText"/>
        <w:spacing w:line="240" w:lineRule="auto" w:before="76"/>
        <w:ind w:left="0" w:right="1612"/>
        <w:jc w:val="right"/>
      </w:pPr>
      <w:r>
        <w:rPr/>
        <w:t>，</w:t>
      </w:r>
    </w:p>
    <w:p>
      <w:pPr>
        <w:spacing w:line="240" w:lineRule="auto" w:before="4"/>
        <w:rPr>
          <w:rFonts w:ascii="宋体" w:hAnsi="宋体" w:cs="宋体" w:eastAsia="宋体" w:hint="default"/>
          <w:sz w:val="26"/>
          <w:szCs w:val="26"/>
        </w:rPr>
      </w:pPr>
    </w:p>
    <w:p>
      <w:pPr>
        <w:pStyle w:val="BodyText"/>
        <w:spacing w:line="240" w:lineRule="auto" w:before="44"/>
        <w:ind w:left="0" w:right="1610"/>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BodyText"/>
        <w:spacing w:line="316" w:lineRule="auto"/>
        <w:ind w:left="472" w:right="1034" w:hanging="89"/>
        <w:jc w:val="left"/>
      </w:pPr>
      <w:r>
        <w:rPr/>
        <w:t>（2）互联网医院云平台 互联网医院云平台以优质的医疗资源为核心，借助互联网、音视频、线上支付、身份识别、物联网等现代化技术手段，</w:t>
      </w:r>
    </w:p>
    <w:p>
      <w:pPr>
        <w:pStyle w:val="BodyText"/>
        <w:spacing w:line="316" w:lineRule="auto" w:before="19"/>
        <w:ind w:right="1132"/>
        <w:jc w:val="both"/>
      </w:pPr>
      <w:r>
        <w:rPr>
          <w:spacing w:val="-2"/>
        </w:rPr>
        <w:t>向患者提供便捷就医、健康咨询、在线诊疗、复诊配方、慢病配药等一系列全新就医服务。同时，互联网医院实现协同医疗</w:t>
      </w:r>
      <w:r>
        <w:rPr>
          <w:spacing w:val="-66"/>
        </w:rPr>
        <w:t> </w:t>
      </w:r>
      <w:r>
        <w:rPr>
          <w:spacing w:val="-66"/>
        </w:rPr>
      </w:r>
      <w:r>
        <w:rPr>
          <w:spacing w:val="-2"/>
        </w:rPr>
        <w:t>机构之间互动，通过云端双向转诊、远程会诊等方式，加强与医联体内协作单位的合作，促之形成紧密型医疗服务，扩大医</w:t>
      </w:r>
      <w:r>
        <w:rPr>
          <w:spacing w:val="-65"/>
        </w:rPr>
        <w:t> </w:t>
      </w:r>
      <w:r>
        <w:rPr>
          <w:spacing w:val="-65"/>
        </w:rPr>
      </w:r>
      <w:r>
        <w:rPr/>
        <w:t>疗机构影响力。</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BodyText"/>
        <w:spacing w:line="240" w:lineRule="auto" w:before="44"/>
        <w:ind w:left="0" w:right="1612"/>
        <w:jc w:val="right"/>
      </w:pPr>
      <w:r>
        <w:rPr/>
        <w:pict>
          <v:shape style="position:absolute;margin-left:83.730003pt;margin-top:-49.657295pt;width:428.6pt;height:216.75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39"/>
                    <w:gridCol w:w="6589"/>
                  </w:tblGrid>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宋体" w:hAnsi="宋体" w:cs="宋体" w:eastAsia="宋体" w:hint="default"/>
                            <w:b/>
                            <w:bCs/>
                            <w:sz w:val="18"/>
                            <w:szCs w:val="18"/>
                          </w:rPr>
                          <w:t>互联网医院云平台</w:t>
                        </w:r>
                        <w:r>
                          <w:rPr>
                            <w:rFonts w:ascii="宋体" w:hAnsi="宋体" w:cs="宋体" w:eastAsia="宋体" w:hint="default"/>
                            <w:sz w:val="18"/>
                            <w:szCs w:val="18"/>
                          </w:rPr>
                        </w:r>
                      </w:p>
                    </w:tc>
                  </w:tr>
                  <w:tr>
                    <w:trPr>
                      <w:trHeight w:val="2234"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right="0"/>
                          <w:jc w:val="left"/>
                          <w:rPr>
                            <w:rFonts w:ascii="宋体" w:hAnsi="宋体" w:cs="宋体" w:eastAsia="宋体" w:hint="default"/>
                            <w:sz w:val="18"/>
                            <w:szCs w:val="18"/>
                          </w:rPr>
                        </w:pPr>
                        <w:r>
                          <w:rPr>
                            <w:rFonts w:ascii="宋体" w:hAnsi="宋体" w:cs="宋体" w:eastAsia="宋体" w:hint="default"/>
                            <w:sz w:val="18"/>
                            <w:szCs w:val="18"/>
                          </w:rPr>
                          <w:t>在线问诊：多渠道在线问诊服务，实现医生与患者实时沟通，借助音视频通道让患</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者享受足不出户就诊。 复诊配方：引入第三方合作机构，实现药品配送、物流查询，构建医疗健康生态圈</w:t>
                        </w:r>
                        <w:r>
                          <w:rPr>
                            <w:rFonts w:ascii="宋体" w:hAnsi="宋体" w:cs="宋体" w:eastAsia="宋体" w:hint="default"/>
                            <w:sz w:val="18"/>
                            <w:szCs w:val="18"/>
                          </w:rPr>
                          <w:t> 院外健康管理：构建医患连通的桥梁，建立服务闭环，实现患者全诊疗过程跟踪管</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理、持续对接。 远程协作：优化医疗服务流程，提高资源利用效率，辅助医院临床科研，增强医疗</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协作能力。</w:t>
                        </w:r>
                      </w:p>
                    </w:tc>
                  </w:tr>
                  <w:tr>
                    <w:trPr>
                      <w:trHeight w:val="674"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right="89"/>
                          <w:jc w:val="left"/>
                          <w:rPr>
                            <w:rFonts w:ascii="宋体" w:hAnsi="宋体" w:cs="宋体" w:eastAsia="宋体" w:hint="default"/>
                            <w:sz w:val="18"/>
                            <w:szCs w:val="18"/>
                          </w:rPr>
                        </w:pPr>
                        <w:r>
                          <w:rPr>
                            <w:rFonts w:ascii="宋体" w:hAnsi="宋体" w:cs="宋体" w:eastAsia="宋体" w:hint="default"/>
                            <w:sz w:val="18"/>
                            <w:szCs w:val="18"/>
                          </w:rPr>
                          <w:t>实体医疗机构的互联网诊疗服务、支持独立于线下实体医疗机构的互联网医院模式 支持依托于实体医院以第二名称存在的互联网医院模式</w:t>
                        </w:r>
                      </w:p>
                    </w:tc>
                  </w:tr>
                  <w:tr>
                    <w:trPr>
                      <w:trHeight w:val="674"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0"/>
                          <w:ind w:right="0"/>
                          <w:jc w:val="left"/>
                          <w:rPr>
                            <w:rFonts w:ascii="宋体" w:hAnsi="宋体" w:cs="宋体" w:eastAsia="宋体" w:hint="default"/>
                            <w:sz w:val="18"/>
                            <w:szCs w:val="18"/>
                          </w:rPr>
                        </w:pPr>
                        <w:r>
                          <w:rPr>
                            <w:rFonts w:ascii="宋体" w:hAnsi="宋体" w:cs="宋体" w:eastAsia="宋体" w:hint="default"/>
                            <w:sz w:val="18"/>
                            <w:szCs w:val="18"/>
                          </w:rPr>
                          <w:t>向患者提供便捷就医、健康咨询、在线诊疗、复诊配方、慢病配药等一系列全新就</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医服务，加强与医联体内协作单位的合作，促之形成紧密型医疗服务</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z w:val="18"/>
                            <w:szCs w:val="18"/>
                          </w:rPr>
                          <w:t>患者、医疗机构、药厂、健康管理机构</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BodyText"/>
        <w:spacing w:line="240" w:lineRule="auto" w:before="44"/>
        <w:ind w:left="0" w:right="1612"/>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pStyle w:val="BodyText"/>
        <w:spacing w:line="316" w:lineRule="auto" w:before="44"/>
        <w:ind w:left="472" w:right="1112" w:hanging="89"/>
        <w:jc w:val="left"/>
      </w:pPr>
      <w:r>
        <w:rPr/>
        <w:t>（3）创业慧康妇幼智慧云平台 妇幼智慧云平台旨在通过“互联网</w:t>
      </w:r>
      <w:r>
        <w:rPr>
          <w:rFonts w:ascii="Times New Roman" w:hAnsi="Times New Roman" w:cs="Times New Roman" w:eastAsia="Times New Roman" w:hint="default"/>
        </w:rPr>
        <w:t>+</w:t>
      </w:r>
      <w:r>
        <w:rPr/>
        <w:t>妇幼健康”全程管理服务模式，搭载智能化互联网服务平台，通过妇幼医联体、大</w:t>
      </w:r>
    </w:p>
    <w:p>
      <w:pPr>
        <w:pStyle w:val="BodyText"/>
        <w:spacing w:line="235" w:lineRule="exact"/>
        <w:ind w:right="882"/>
        <w:jc w:val="left"/>
      </w:pPr>
      <w:r>
        <w:rPr/>
        <w:t>数据和物联网技术，提供备孕、孕期、分娩、产后、育儿等线上线下一体化医疗健康解决方案。</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pStyle w:val="BodyText"/>
        <w:spacing w:line="240" w:lineRule="auto" w:before="44"/>
        <w:ind w:left="0" w:right="1609"/>
        <w:jc w:val="right"/>
      </w:pPr>
      <w:r>
        <w:rPr/>
        <w:pict>
          <v:shape style="position:absolute;margin-left:83.730003pt;margin-top:-65.178284pt;width:428.6pt;height:133.65pt;mso-position-horizontal-relative:page;mso-position-vertical-relative:paragraph;z-index:1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39"/>
                    <w:gridCol w:w="6589"/>
                  </w:tblGrid>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592"/>
                          <w:jc w:val="right"/>
                          <w:rPr>
                            <w:rFonts w:ascii="宋体" w:hAnsi="宋体" w:cs="宋体" w:eastAsia="宋体" w:hint="default"/>
                            <w:sz w:val="18"/>
                            <w:szCs w:val="18"/>
                          </w:rPr>
                        </w:pPr>
                        <w:r>
                          <w:rPr>
                            <w:rFonts w:ascii="宋体" w:hAnsi="宋体" w:cs="宋体" w:eastAsia="宋体" w:hint="default"/>
                            <w:b/>
                            <w:bCs/>
                            <w:w w:val="95"/>
                            <w:sz w:val="18"/>
                            <w:szCs w:val="18"/>
                          </w:rPr>
                          <w:t>产品类别</w:t>
                        </w:r>
                        <w:r>
                          <w:rPr>
                            <w:rFonts w:ascii="宋体" w:hAnsi="宋体" w:cs="宋体" w:eastAsia="宋体" w:hint="default"/>
                            <w:sz w:val="18"/>
                            <w:szCs w:val="18"/>
                          </w:rPr>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left="7" w:right="0"/>
                          <w:jc w:val="center"/>
                          <w:rPr>
                            <w:rFonts w:ascii="宋体" w:hAnsi="宋体" w:cs="宋体" w:eastAsia="宋体" w:hint="default"/>
                            <w:sz w:val="18"/>
                            <w:szCs w:val="18"/>
                          </w:rPr>
                        </w:pPr>
                        <w:r>
                          <w:rPr>
                            <w:rFonts w:ascii="宋体" w:hAnsi="宋体" w:cs="宋体" w:eastAsia="宋体" w:hint="default"/>
                            <w:b/>
                            <w:bCs/>
                            <w:sz w:val="18"/>
                            <w:szCs w:val="18"/>
                          </w:rPr>
                          <w:t>创业慧康妇幼智慧云平台</w:t>
                        </w:r>
                        <w:r>
                          <w:rPr>
                            <w:rFonts w:ascii="宋体" w:hAnsi="宋体" w:cs="宋体" w:eastAsia="宋体" w:hint="default"/>
                            <w:sz w:val="18"/>
                            <w:szCs w:val="18"/>
                          </w:rPr>
                        </w:r>
                      </w:p>
                    </w:tc>
                  </w:tr>
                  <w:tr>
                    <w:trPr>
                      <w:trHeight w:val="337" w:hRule="exact"/>
                    </w:trPr>
                    <w:tc>
                      <w:tcPr>
                        <w:tcW w:w="1939" w:type="dxa"/>
                        <w:tcBorders>
                          <w:top w:val="single" w:sz="12" w:space="0" w:color="000000"/>
                          <w:left w:val="single" w:sz="12" w:space="0" w:color="000000"/>
                          <w:bottom w:val="nil" w:sz="6" w:space="0" w:color="auto"/>
                          <w:right w:val="single" w:sz="12" w:space="0" w:color="000000"/>
                        </w:tcBorders>
                      </w:tcPr>
                      <w:p>
                        <w:pPr/>
                      </w:p>
                    </w:tc>
                    <w:tc>
                      <w:tcPr>
                        <w:tcW w:w="6589"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0"/>
                          <w:ind w:right="0"/>
                          <w:jc w:val="left"/>
                          <w:rPr>
                            <w:rFonts w:ascii="宋体" w:hAnsi="宋体" w:cs="宋体" w:eastAsia="宋体" w:hint="default"/>
                            <w:sz w:val="18"/>
                            <w:szCs w:val="18"/>
                          </w:rPr>
                        </w:pPr>
                        <w:r>
                          <w:rPr>
                            <w:rFonts w:ascii="宋体" w:hAnsi="宋体" w:cs="宋体" w:eastAsia="宋体" w:hint="default"/>
                            <w:sz w:val="18"/>
                            <w:szCs w:val="18"/>
                          </w:rPr>
                          <w:t>母子健康手册：整合各级医疗机构资源完成妇女保健、儿童保健等管理，运用“互</w:t>
                        </w:r>
                      </w:p>
                    </w:tc>
                  </w:tr>
                  <w:tr>
                    <w:trPr>
                      <w:trHeight w:val="317"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联网</w:t>
                        </w:r>
                        <w:r>
                          <w:rPr>
                            <w:rFonts w:ascii="Times New Roman" w:hAnsi="Times New Roman" w:cs="Times New Roman" w:eastAsia="Times New Roman" w:hint="default"/>
                            <w:sz w:val="18"/>
                            <w:szCs w:val="18"/>
                          </w:rPr>
                          <w:t>+</w:t>
                        </w:r>
                        <w:r>
                          <w:rPr>
                            <w:rFonts w:ascii="宋体" w:hAnsi="宋体" w:cs="宋体" w:eastAsia="宋体" w:hint="default"/>
                            <w:sz w:val="18"/>
                            <w:szCs w:val="18"/>
                          </w:rPr>
                          <w:t>”模式，为妇幼人群提供系统、实时、规范、优质</w:t>
                        </w:r>
                      </w:p>
                    </w:tc>
                  </w:tr>
                  <w:tr>
                    <w:trPr>
                      <w:trHeight w:val="624" w:hRule="exact"/>
                    </w:trPr>
                    <w:tc>
                      <w:tcPr>
                        <w:tcW w:w="193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1"/>
                          <w:ind w:right="594"/>
                          <w:jc w:val="right"/>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316" w:lineRule="auto" w:before="5"/>
                          <w:ind w:right="84"/>
                          <w:jc w:val="left"/>
                          <w:rPr>
                            <w:rFonts w:ascii="宋体" w:hAnsi="宋体" w:cs="宋体" w:eastAsia="宋体" w:hint="default"/>
                            <w:sz w:val="18"/>
                            <w:szCs w:val="18"/>
                          </w:rPr>
                        </w:pPr>
                        <w:r>
                          <w:rPr>
                            <w:rFonts w:ascii="宋体" w:hAnsi="宋体" w:cs="宋体" w:eastAsia="宋体" w:hint="default"/>
                            <w:sz w:val="18"/>
                            <w:szCs w:val="18"/>
                          </w:rPr>
                          <w:t>的生育全程健康服务。 </w:t>
                        </w:r>
                        <w:r>
                          <w:rPr>
                            <w:rFonts w:ascii="宋体" w:hAnsi="宋体" w:cs="宋体" w:eastAsia="宋体" w:hint="default"/>
                            <w:spacing w:val="-4"/>
                            <w:sz w:val="18"/>
                            <w:szCs w:val="18"/>
                          </w:rPr>
                          <w:t>慧康孕宝</w:t>
                        </w:r>
                        <w:r>
                          <w:rPr>
                            <w:rFonts w:ascii="Times New Roman" w:hAnsi="Times New Roman" w:cs="Times New Roman" w:eastAsia="Times New Roman" w:hint="default"/>
                            <w:spacing w:val="-4"/>
                            <w:sz w:val="18"/>
                            <w:szCs w:val="18"/>
                          </w:rPr>
                          <w:t>APP/</w:t>
                        </w:r>
                        <w:r>
                          <w:rPr>
                            <w:rFonts w:ascii="宋体" w:hAnsi="宋体" w:cs="宋体" w:eastAsia="宋体" w:hint="default"/>
                            <w:spacing w:val="-4"/>
                            <w:sz w:val="18"/>
                            <w:szCs w:val="18"/>
                          </w:rPr>
                          <w:t>微信公众号</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小程序：慧康孕宝旨在打造“政府</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医院</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医疗</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健康</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消费</w:t>
                        </w:r>
                      </w:p>
                    </w:tc>
                  </w:tr>
                  <w:tr>
                    <w:trPr>
                      <w:trHeight w:val="307"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0"/>
                          <w:jc w:val="left"/>
                          <w:rPr>
                            <w:rFonts w:ascii="宋体" w:hAnsi="宋体" w:cs="宋体" w:eastAsia="宋体" w:hint="default"/>
                            <w:sz w:val="18"/>
                            <w:szCs w:val="18"/>
                          </w:rPr>
                        </w:pPr>
                        <w:r>
                          <w:rPr>
                            <w:rFonts w:ascii="宋体" w:hAnsi="宋体" w:cs="宋体" w:eastAsia="宋体" w:hint="default"/>
                            <w:sz w:val="18"/>
                            <w:szCs w:val="18"/>
                          </w:rPr>
                          <w:t>的母婴健康服务运营平台。赋能医疗机构、母婴服务机构、第三方商家，共同为妇</w:t>
                        </w:r>
                      </w:p>
                    </w:tc>
                  </w:tr>
                  <w:tr>
                    <w:trPr>
                      <w:trHeight w:val="337" w:hRule="exact"/>
                    </w:trPr>
                    <w:tc>
                      <w:tcPr>
                        <w:tcW w:w="1939" w:type="dxa"/>
                        <w:tcBorders>
                          <w:top w:val="nil" w:sz="6" w:space="0" w:color="auto"/>
                          <w:left w:val="single" w:sz="12" w:space="0" w:color="000000"/>
                          <w:bottom w:val="single" w:sz="12" w:space="0" w:color="000000"/>
                          <w:right w:val="single" w:sz="12" w:space="0" w:color="000000"/>
                        </w:tcBorders>
                      </w:tcPr>
                      <w:p>
                        <w:pPr/>
                      </w:p>
                    </w:tc>
                    <w:tc>
                      <w:tcPr>
                        <w:tcW w:w="6589"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幼人群提供优质便捷的互联网健康服务。</w:t>
                        </w:r>
                      </w:p>
                    </w:tc>
                  </w:tr>
                  <w:tr>
                    <w:trPr>
                      <w:trHeight w:val="360"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594"/>
                          <w:jc w:val="right"/>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z w:val="18"/>
                            <w:szCs w:val="18"/>
                          </w:rPr>
                          <w:t>妇女保健、儿童保健</w:t>
                        </w:r>
                      </w:p>
                    </w:tc>
                  </w:tr>
                </w:tbl>
                <w:p>
                  <w:pPr/>
                </w:p>
              </w:txbxContent>
            </v:textbox>
            <w10:wrap type="none"/>
          </v:shape>
        </w:pict>
      </w:r>
      <w:r>
        <w:rPr/>
        <w:t>”</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986"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1"/>
              <w:ind w:right="0"/>
              <w:jc w:val="both"/>
              <w:rPr>
                <w:rFonts w:ascii="宋体" w:hAnsi="宋体" w:cs="宋体" w:eastAsia="宋体" w:hint="default"/>
                <w:sz w:val="18"/>
                <w:szCs w:val="18"/>
              </w:rPr>
            </w:pPr>
            <w:r>
              <w:rPr>
                <w:rFonts w:ascii="宋体" w:hAnsi="宋体" w:cs="宋体" w:eastAsia="宋体" w:hint="default"/>
                <w:sz w:val="18"/>
                <w:szCs w:val="18"/>
              </w:rPr>
              <w:t>以母子健康手册等为入口，整合线下妇幼医疗信息化系统建立数据中心，提供线上</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医疗健康服务，打造妇幼智慧云平台，为妇幼人群提供政府基本医疗服务和第三方</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健康增值服务。</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z w:val="18"/>
                <w:szCs w:val="18"/>
              </w:rPr>
              <w:t>母婴市场、妇幼人群、保险公司、健康管理机构</w:t>
            </w:r>
          </w:p>
        </w:tc>
      </w:tr>
    </w:tbl>
    <w:p>
      <w:pPr>
        <w:pStyle w:val="BodyText"/>
        <w:spacing w:line="316" w:lineRule="auto" w:before="12"/>
        <w:ind w:left="477" w:right="882"/>
        <w:jc w:val="left"/>
      </w:pPr>
      <w:r>
        <w:rPr/>
        <w:t>（4）创业慧康电商云平台 </w:t>
      </w:r>
      <w:r>
        <w:rPr>
          <w:spacing w:val="-1"/>
        </w:rPr>
        <w:t>创业慧康电商云平台以互联网</w:t>
      </w:r>
      <w:r>
        <w:rPr>
          <w:rFonts w:ascii="Times New Roman" w:hAnsi="Times New Roman" w:cs="Times New Roman" w:eastAsia="Times New Roman" w:hint="default"/>
          <w:spacing w:val="-1"/>
        </w:rPr>
        <w:t>+</w:t>
      </w:r>
      <w:r>
        <w:rPr>
          <w:spacing w:val="-1"/>
        </w:rPr>
        <w:t>医疗健康服务为核心内容，为大健康大医疗领域的线下店铺、供应链商家、医院等主体</w:t>
      </w:r>
    </w:p>
    <w:p>
      <w:pPr>
        <w:pStyle w:val="BodyText"/>
        <w:spacing w:line="248" w:lineRule="exact"/>
        <w:ind w:right="882"/>
        <w:jc w:val="left"/>
      </w:pPr>
      <w:r>
        <w:rPr/>
        <w:t>提供</w:t>
      </w:r>
      <w:r>
        <w:rPr>
          <w:rFonts w:ascii="Times New Roman" w:hAnsi="Times New Roman" w:cs="Times New Roman" w:eastAsia="Times New Roman" w:hint="default"/>
        </w:rPr>
        <w:t>B2B2C</w:t>
      </w:r>
      <w:r>
        <w:rPr/>
        <w:t>批发零售</w:t>
      </w:r>
      <w:r>
        <w:rPr>
          <w:rFonts w:ascii="Times New Roman" w:hAnsi="Times New Roman" w:cs="Times New Roman" w:eastAsia="Times New Roman" w:hint="default"/>
        </w:rPr>
        <w:t>+</w:t>
      </w:r>
      <w:r>
        <w:rPr/>
        <w:t>多租户多商户</w:t>
      </w:r>
      <w:r>
        <w:rPr>
          <w:rFonts w:ascii="Times New Roman" w:hAnsi="Times New Roman" w:cs="Times New Roman" w:eastAsia="Times New Roman" w:hint="default"/>
        </w:rPr>
        <w:t>+</w:t>
      </w:r>
      <w:r>
        <w:rPr/>
        <w:t>多门店</w:t>
      </w:r>
      <w:r>
        <w:rPr>
          <w:rFonts w:ascii="Times New Roman" w:hAnsi="Times New Roman" w:cs="Times New Roman" w:eastAsia="Times New Roman" w:hint="default"/>
        </w:rPr>
        <w:t>O2O</w:t>
      </w:r>
      <w:r>
        <w:rPr/>
        <w:t>模式，可以快速实现线上线下资源整合，扩大营收渠道。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ind w:left="0" w:right="1636"/>
        <w:jc w:val="right"/>
      </w:pPr>
      <w:r>
        <w:rPr/>
        <w:pict>
          <v:shape style="position:absolute;margin-left:83.730003pt;margin-top:-126.19725pt;width:428.6pt;height:242.75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39"/>
                    <w:gridCol w:w="6589"/>
                  </w:tblGrid>
                  <w:tr>
                    <w:trPr>
                      <w:trHeight w:val="44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1"/>
                          <w:ind w:left="5" w:right="0"/>
                          <w:jc w:val="center"/>
                          <w:rPr>
                            <w:rFonts w:ascii="宋体" w:hAnsi="宋体" w:cs="宋体" w:eastAsia="宋体" w:hint="default"/>
                            <w:sz w:val="18"/>
                            <w:szCs w:val="18"/>
                          </w:rPr>
                        </w:pPr>
                        <w:r>
                          <w:rPr>
                            <w:rFonts w:ascii="宋体" w:hAnsi="宋体" w:cs="宋体" w:eastAsia="宋体" w:hint="default"/>
                            <w:b/>
                            <w:bCs/>
                            <w:sz w:val="18"/>
                            <w:szCs w:val="18"/>
                          </w:rPr>
                          <w:t>创业慧康电商云平台</w:t>
                        </w:r>
                        <w:r>
                          <w:rPr>
                            <w:rFonts w:ascii="宋体" w:hAnsi="宋体" w:cs="宋体" w:eastAsia="宋体" w:hint="default"/>
                            <w:sz w:val="18"/>
                            <w:szCs w:val="18"/>
                          </w:rPr>
                        </w:r>
                      </w:p>
                    </w:tc>
                  </w:tr>
                  <w:tr>
                    <w:trPr>
                      <w:trHeight w:val="382" w:hRule="exact"/>
                    </w:trPr>
                    <w:tc>
                      <w:tcPr>
                        <w:tcW w:w="1939" w:type="dxa"/>
                        <w:tcBorders>
                          <w:top w:val="single" w:sz="12" w:space="0" w:color="000000"/>
                          <w:left w:val="single" w:sz="12" w:space="0" w:color="000000"/>
                          <w:bottom w:val="nil" w:sz="6" w:space="0" w:color="auto"/>
                          <w:right w:val="single" w:sz="12" w:space="0" w:color="000000"/>
                        </w:tcBorders>
                      </w:tcPr>
                      <w:p>
                        <w:pPr/>
                      </w:p>
                    </w:tc>
                    <w:tc>
                      <w:tcPr>
                        <w:tcW w:w="6589"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1"/>
                          <w:ind w:right="0"/>
                          <w:jc w:val="left"/>
                          <w:rPr>
                            <w:rFonts w:ascii="宋体" w:hAnsi="宋体" w:cs="宋体" w:eastAsia="宋体" w:hint="default"/>
                            <w:sz w:val="18"/>
                            <w:szCs w:val="18"/>
                          </w:rPr>
                        </w:pPr>
                        <w:r>
                          <w:rPr>
                            <w:rFonts w:ascii="宋体" w:hAnsi="宋体" w:cs="宋体" w:eastAsia="宋体" w:hint="default"/>
                            <w:sz w:val="18"/>
                            <w:szCs w:val="18"/>
                          </w:rPr>
                          <w:t>多租户</w:t>
                        </w:r>
                        <w:r>
                          <w:rPr>
                            <w:rFonts w:ascii="Times New Roman" w:hAnsi="Times New Roman" w:cs="Times New Roman" w:eastAsia="Times New Roman" w:hint="default"/>
                            <w:sz w:val="18"/>
                            <w:szCs w:val="18"/>
                          </w:rPr>
                          <w:t>+B2C</w:t>
                        </w:r>
                        <w:r>
                          <w:rPr>
                            <w:rFonts w:ascii="宋体" w:hAnsi="宋体" w:cs="宋体" w:eastAsia="宋体" w:hint="default"/>
                            <w:sz w:val="18"/>
                            <w:szCs w:val="18"/>
                          </w:rPr>
                          <w:t>自主运营模式：根据客户实际要求，可采用多租户模式完成快速开户，</w:t>
                        </w:r>
                      </w:p>
                    </w:tc>
                  </w:tr>
                  <w:tr>
                    <w:trPr>
                      <w:trHeight w:val="327"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0"/>
                          <w:jc w:val="left"/>
                          <w:rPr>
                            <w:rFonts w:ascii="宋体" w:hAnsi="宋体" w:cs="宋体" w:eastAsia="宋体" w:hint="default"/>
                            <w:sz w:val="18"/>
                            <w:szCs w:val="18"/>
                          </w:rPr>
                        </w:pPr>
                        <w:r>
                          <w:rPr>
                            <w:rFonts w:ascii="宋体" w:hAnsi="宋体" w:cs="宋体" w:eastAsia="宋体" w:hint="default"/>
                            <w:sz w:val="18"/>
                            <w:szCs w:val="18"/>
                          </w:rPr>
                          <w:t>在云端独立部署，也可关闭商家入驻入口，独立运营自有产品和服务。</w:t>
                        </w:r>
                      </w:p>
                    </w:tc>
                  </w:tr>
                  <w:tr>
                    <w:trPr>
                      <w:trHeight w:val="337"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31"/>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B2B</w:t>
                        </w:r>
                        <w:r>
                          <w:rPr>
                            <w:rFonts w:ascii="宋体" w:hAnsi="宋体" w:cs="宋体" w:eastAsia="宋体" w:hint="default"/>
                            <w:sz w:val="18"/>
                            <w:szCs w:val="18"/>
                          </w:rPr>
                          <w:t>分销批发模式：供货商</w:t>
                        </w:r>
                        <w:r>
                          <w:rPr>
                            <w:rFonts w:ascii="Times New Roman" w:hAnsi="Times New Roman" w:cs="Times New Roman" w:eastAsia="Times New Roman" w:hint="default"/>
                            <w:sz w:val="18"/>
                            <w:szCs w:val="18"/>
                          </w:rPr>
                          <w:t>+</w:t>
                        </w:r>
                        <w:r>
                          <w:rPr>
                            <w:rFonts w:ascii="宋体" w:hAnsi="宋体" w:cs="宋体" w:eastAsia="宋体" w:hint="default"/>
                            <w:sz w:val="18"/>
                            <w:szCs w:val="18"/>
                          </w:rPr>
                          <w:t>零售商同时入驻平台，可开启批发及供求模式，解决大</w:t>
                        </w:r>
                      </w:p>
                    </w:tc>
                  </w:tr>
                  <w:tr>
                    <w:trPr>
                      <w:trHeight w:val="415" w:hRule="exact"/>
                    </w:trPr>
                    <w:tc>
                      <w:tcPr>
                        <w:tcW w:w="193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0"/>
                          <w:jc w:val="left"/>
                          <w:rPr>
                            <w:rFonts w:ascii="宋体" w:hAnsi="宋体" w:cs="宋体" w:eastAsia="宋体" w:hint="default"/>
                            <w:sz w:val="18"/>
                            <w:szCs w:val="18"/>
                          </w:rPr>
                        </w:pPr>
                        <w:r>
                          <w:rPr>
                            <w:rFonts w:ascii="宋体" w:hAnsi="宋体" w:cs="宋体" w:eastAsia="宋体" w:hint="default"/>
                            <w:sz w:val="18"/>
                            <w:szCs w:val="18"/>
                          </w:rPr>
                          <w:t>健康领域同一场景下用户多需求问题，帮助零售店铺更好运营。</w:t>
                        </w:r>
                      </w:p>
                    </w:tc>
                  </w:tr>
                  <w:tr>
                    <w:trPr>
                      <w:trHeight w:val="249"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192" w:lineRule="exact"/>
                          <w:ind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B2B2C</w:t>
                        </w:r>
                        <w:r>
                          <w:rPr>
                            <w:rFonts w:ascii="宋体" w:hAnsi="宋体" w:cs="宋体" w:eastAsia="宋体" w:hint="default"/>
                            <w:spacing w:val="-1"/>
                            <w:sz w:val="18"/>
                            <w:szCs w:val="18"/>
                          </w:rPr>
                          <w:t>自营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多商户模式：类似京东或天猫，整合多商家多渠道供应商入驻到平台开</w:t>
                        </w:r>
                      </w:p>
                    </w:tc>
                  </w:tr>
                  <w:tr>
                    <w:trPr>
                      <w:trHeight w:val="327"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8"/>
                            <w:szCs w:val="18"/>
                          </w:rPr>
                        </w:pPr>
                        <w:r>
                          <w:rPr>
                            <w:rFonts w:ascii="宋体" w:hAnsi="宋体" w:cs="宋体" w:eastAsia="宋体" w:hint="default"/>
                            <w:sz w:val="18"/>
                            <w:szCs w:val="18"/>
                          </w:rPr>
                          <w:t>店，每个商家拥有自己独立域名及店铺，可嵌入微信、支付宝等大平台。</w:t>
                        </w:r>
                      </w:p>
                    </w:tc>
                  </w:tr>
                  <w:tr>
                    <w:trPr>
                      <w:trHeight w:val="336"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29"/>
                          <w:ind w:right="0"/>
                          <w:jc w:val="left"/>
                          <w:rPr>
                            <w:rFonts w:ascii="宋体" w:hAnsi="宋体" w:cs="宋体" w:eastAsia="宋体" w:hint="default"/>
                            <w:sz w:val="18"/>
                            <w:szCs w:val="18"/>
                          </w:rPr>
                        </w:pPr>
                        <w:r>
                          <w:rPr>
                            <w:rFonts w:ascii="宋体" w:hAnsi="宋体" w:cs="宋体" w:eastAsia="宋体" w:hint="default"/>
                            <w:sz w:val="18"/>
                            <w:szCs w:val="18"/>
                          </w:rPr>
                          <w:t>支持</w:t>
                        </w:r>
                        <w:r>
                          <w:rPr>
                            <w:rFonts w:ascii="Times New Roman" w:hAnsi="Times New Roman" w:cs="Times New Roman" w:eastAsia="Times New Roman" w:hint="default"/>
                            <w:sz w:val="18"/>
                            <w:szCs w:val="18"/>
                          </w:rPr>
                          <w:t>O2O</w:t>
                        </w:r>
                        <w:r>
                          <w:rPr>
                            <w:rFonts w:ascii="宋体" w:hAnsi="宋体" w:cs="宋体" w:eastAsia="宋体" w:hint="default"/>
                            <w:sz w:val="18"/>
                            <w:szCs w:val="18"/>
                          </w:rPr>
                          <w:t>模式：用户通过</w:t>
                        </w:r>
                        <w:r>
                          <w:rPr>
                            <w:rFonts w:ascii="Times New Roman" w:hAnsi="Times New Roman" w:cs="Times New Roman" w:eastAsia="Times New Roman" w:hint="default"/>
                            <w:sz w:val="18"/>
                            <w:szCs w:val="18"/>
                          </w:rPr>
                          <w:t>LBS</w:t>
                        </w:r>
                        <w:r>
                          <w:rPr>
                            <w:rFonts w:ascii="宋体" w:hAnsi="宋体" w:cs="宋体" w:eastAsia="宋体" w:hint="default"/>
                            <w:sz w:val="18"/>
                            <w:szCs w:val="18"/>
                          </w:rPr>
                          <w:t>定位，获取周边商家信息进行服务选择，可选择线下</w:t>
                        </w:r>
                      </w:p>
                    </w:tc>
                  </w:tr>
                  <w:tr>
                    <w:trPr>
                      <w:trHeight w:val="372" w:hRule="exact"/>
                    </w:trPr>
                    <w:tc>
                      <w:tcPr>
                        <w:tcW w:w="1939" w:type="dxa"/>
                        <w:tcBorders>
                          <w:top w:val="nil" w:sz="6" w:space="0" w:color="auto"/>
                          <w:left w:val="single" w:sz="12" w:space="0" w:color="000000"/>
                          <w:bottom w:val="single" w:sz="12" w:space="0" w:color="000000"/>
                          <w:right w:val="single" w:sz="12" w:space="0" w:color="000000"/>
                        </w:tcBorders>
                      </w:tcPr>
                      <w:p>
                        <w:pPr/>
                      </w:p>
                    </w:tc>
                    <w:tc>
                      <w:tcPr>
                        <w:tcW w:w="6589"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5"/>
                          <w:ind w:right="0"/>
                          <w:jc w:val="left"/>
                          <w:rPr>
                            <w:rFonts w:ascii="宋体" w:hAnsi="宋体" w:cs="宋体" w:eastAsia="宋体" w:hint="default"/>
                            <w:sz w:val="18"/>
                            <w:szCs w:val="18"/>
                          </w:rPr>
                        </w:pPr>
                        <w:r>
                          <w:rPr>
                            <w:rFonts w:ascii="宋体" w:hAnsi="宋体" w:cs="宋体" w:eastAsia="宋体" w:hint="default"/>
                            <w:sz w:val="18"/>
                            <w:szCs w:val="18"/>
                          </w:rPr>
                          <w:t>远程、送货等服务形态，同时为商家提供强大的会员系统。</w:t>
                        </w:r>
                      </w:p>
                    </w:tc>
                  </w:tr>
                  <w:tr>
                    <w:trPr>
                      <w:trHeight w:val="44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0"/>
                          <w:ind w:right="1"/>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0"/>
                          <w:ind w:right="0"/>
                          <w:jc w:val="left"/>
                          <w:rPr>
                            <w:rFonts w:ascii="宋体" w:hAnsi="宋体" w:cs="宋体" w:eastAsia="宋体" w:hint="default"/>
                            <w:sz w:val="18"/>
                            <w:szCs w:val="18"/>
                          </w:rPr>
                        </w:pPr>
                        <w:r>
                          <w:rPr>
                            <w:rFonts w:ascii="宋体" w:hAnsi="宋体" w:cs="宋体" w:eastAsia="宋体" w:hint="default"/>
                            <w:sz w:val="18"/>
                            <w:szCs w:val="18"/>
                          </w:rPr>
                          <w:t>大健康电商领域</w:t>
                        </w:r>
                      </w:p>
                    </w:tc>
                  </w:tr>
                  <w:tr>
                    <w:trPr>
                      <w:trHeight w:val="754"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62"/>
                          <w:ind w:right="0"/>
                          <w:jc w:val="left"/>
                          <w:rPr>
                            <w:rFonts w:ascii="宋体" w:hAnsi="宋体" w:cs="宋体" w:eastAsia="宋体" w:hint="default"/>
                            <w:sz w:val="18"/>
                            <w:szCs w:val="18"/>
                          </w:rPr>
                        </w:pPr>
                        <w:r>
                          <w:rPr>
                            <w:rFonts w:ascii="宋体" w:hAnsi="宋体" w:cs="宋体" w:eastAsia="宋体" w:hint="default"/>
                            <w:sz w:val="18"/>
                            <w:szCs w:val="18"/>
                          </w:rPr>
                          <w:t>迎合用户使用习惯，建立更多的获客渠道，多客服系统覆盖，让用户享受便捷的服</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务，通过良好的口碑促使用户参与传播推广、参与销售。</w:t>
                        </w:r>
                      </w:p>
                    </w:tc>
                  </w:tr>
                  <w:tr>
                    <w:trPr>
                      <w:trHeight w:val="44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2"/>
                          <w:ind w:right="0"/>
                          <w:jc w:val="left"/>
                          <w:rPr>
                            <w:rFonts w:ascii="宋体" w:hAnsi="宋体" w:cs="宋体" w:eastAsia="宋体" w:hint="default"/>
                            <w:sz w:val="18"/>
                            <w:szCs w:val="18"/>
                          </w:rPr>
                        </w:pPr>
                        <w:r>
                          <w:rPr>
                            <w:rFonts w:ascii="宋体" w:hAnsi="宋体" w:cs="宋体" w:eastAsia="宋体" w:hint="default"/>
                            <w:sz w:val="18"/>
                            <w:szCs w:val="18"/>
                          </w:rPr>
                          <w:t>为大健康大医疗领域的线下店铺、供应链商家、医院等</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pStyle w:val="BodyText"/>
        <w:spacing w:line="300" w:lineRule="auto" w:before="44"/>
        <w:ind w:left="472" w:right="1112"/>
        <w:jc w:val="left"/>
      </w:pPr>
      <w:r>
        <w:rPr/>
        <w:t>（</w:t>
      </w:r>
      <w:r>
        <w:rPr>
          <w:rFonts w:ascii="Times New Roman" w:hAnsi="Times New Roman" w:cs="Times New Roman" w:eastAsia="Times New Roman" w:hint="default"/>
        </w:rPr>
        <w:t>5</w:t>
      </w:r>
      <w:r>
        <w:rPr/>
        <w:t>）创业慧康护理云平台 创业慧康护理云平台通过互联网信息技术，整合第三方金融机构、平台供应链，实现了从线下到线上“互联网</w:t>
      </w:r>
      <w:r>
        <w:rPr>
          <w:rFonts w:ascii="Times New Roman" w:hAnsi="Times New Roman" w:cs="Times New Roman" w:eastAsia="Times New Roman" w:hint="default"/>
        </w:rPr>
        <w:t>+</w:t>
      </w:r>
      <w:r>
        <w:rPr/>
        <w:t>护理服</w:t>
      </w:r>
    </w:p>
    <w:p>
      <w:pPr>
        <w:pStyle w:val="BodyText"/>
        <w:spacing w:line="316" w:lineRule="auto" w:before="13"/>
        <w:ind w:right="882"/>
        <w:jc w:val="left"/>
      </w:pPr>
      <w:r>
        <w:rPr>
          <w:spacing w:val="-2"/>
        </w:rPr>
        <w:t>务”的转变，创新护理模式，扩大服务供给，提高服务效率，规范服务行为，保障质量安全，精准对接人民群众多样化、多</w:t>
      </w:r>
      <w:r>
        <w:rPr>
          <w:spacing w:val="-66"/>
        </w:rPr>
        <w:t> </w:t>
      </w:r>
      <w:r>
        <w:rPr>
          <w:spacing w:val="-66"/>
        </w:rPr>
      </w:r>
      <w:r>
        <w:rPr/>
        <w:t>层次的健康需求。</w:t>
      </w: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left="5" w:right="0"/>
              <w:jc w:val="center"/>
              <w:rPr>
                <w:rFonts w:ascii="宋体" w:hAnsi="宋体" w:cs="宋体" w:eastAsia="宋体" w:hint="default"/>
                <w:sz w:val="18"/>
                <w:szCs w:val="18"/>
              </w:rPr>
            </w:pPr>
            <w:r>
              <w:rPr>
                <w:rFonts w:ascii="宋体" w:hAnsi="宋体" w:cs="宋体" w:eastAsia="宋体" w:hint="default"/>
                <w:b/>
                <w:bCs/>
                <w:sz w:val="18"/>
                <w:szCs w:val="18"/>
              </w:rPr>
              <w:t>创业慧康护理云平台</w:t>
            </w:r>
            <w:r>
              <w:rPr>
                <w:rFonts w:ascii="宋体" w:hAnsi="宋体" w:cs="宋体" w:eastAsia="宋体" w:hint="default"/>
                <w:sz w:val="18"/>
                <w:szCs w:val="18"/>
              </w:rPr>
            </w:r>
          </w:p>
        </w:tc>
      </w:tr>
      <w:tr>
        <w:trPr>
          <w:trHeight w:val="3794"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3720" w:lineRule="exact"/>
              <w:ind w:right="0"/>
              <w:jc w:val="left"/>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3937444" cy="2362771"/>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20" cstate="print"/>
                          <a:stretch>
                            <a:fillRect/>
                          </a:stretch>
                        </pic:blipFill>
                        <pic:spPr>
                          <a:xfrm>
                            <a:off x="0" y="0"/>
                            <a:ext cx="3937444" cy="2362771"/>
                          </a:xfrm>
                          <a:prstGeom prst="rect">
                            <a:avLst/>
                          </a:prstGeom>
                        </pic:spPr>
                      </pic:pic>
                    </a:graphicData>
                  </a:graphic>
                </wp:inline>
              </w:drawing>
            </w:r>
            <w:r>
              <w:rPr>
                <w:rFonts w:ascii="宋体" w:hAnsi="宋体" w:cs="宋体" w:eastAsia="宋体" w:hint="default"/>
                <w:position w:val="-73"/>
                <w:sz w:val="20"/>
                <w:szCs w:val="20"/>
              </w:rPr>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0"/>
              <w:ind w:right="0"/>
              <w:jc w:val="left"/>
              <w:rPr>
                <w:rFonts w:ascii="宋体" w:hAnsi="宋体" w:cs="宋体" w:eastAsia="宋体" w:hint="default"/>
                <w:sz w:val="18"/>
                <w:szCs w:val="18"/>
              </w:rPr>
            </w:pPr>
            <w:r>
              <w:rPr>
                <w:rFonts w:ascii="宋体" w:hAnsi="宋体" w:cs="宋体" w:eastAsia="宋体" w:hint="default"/>
                <w:sz w:val="18"/>
                <w:szCs w:val="18"/>
              </w:rPr>
              <w:t>护理服务领域</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z w:val="18"/>
                <w:szCs w:val="18"/>
              </w:rPr>
              <w:t>实现了从线下到线上“互联网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护理服务”的转变</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z w:val="18"/>
                <w:szCs w:val="18"/>
              </w:rPr>
              <w:t>用户、护理员</w:t>
            </w:r>
            <w:r>
              <w:rPr>
                <w:rFonts w:ascii="Times New Roman" w:hAnsi="Times New Roman" w:cs="Times New Roman" w:eastAsia="Times New Roman" w:hint="default"/>
                <w:sz w:val="18"/>
                <w:szCs w:val="18"/>
              </w:rPr>
              <w:t>/</w:t>
            </w:r>
            <w:r>
              <w:rPr>
                <w:rFonts w:ascii="宋体" w:hAnsi="宋体" w:cs="宋体" w:eastAsia="宋体" w:hint="default"/>
                <w:sz w:val="18"/>
                <w:szCs w:val="18"/>
              </w:rPr>
              <w:t>护理主管、微信</w:t>
            </w:r>
            <w:r>
              <w:rPr>
                <w:rFonts w:ascii="Times New Roman" w:hAnsi="Times New Roman" w:cs="Times New Roman" w:eastAsia="Times New Roman" w:hint="default"/>
                <w:sz w:val="18"/>
                <w:szCs w:val="18"/>
              </w:rPr>
              <w:t>/</w:t>
            </w:r>
            <w:r>
              <w:rPr>
                <w:rFonts w:ascii="宋体" w:hAnsi="宋体" w:cs="宋体" w:eastAsia="宋体" w:hint="default"/>
                <w:sz w:val="18"/>
                <w:szCs w:val="18"/>
              </w:rPr>
              <w:t>支付宝第三方支付平台</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left="472" w:right="1034"/>
        <w:jc w:val="left"/>
      </w:pPr>
      <w:r>
        <w:rPr/>
        <w:t>（</w:t>
      </w:r>
      <w:r>
        <w:rPr>
          <w:rFonts w:ascii="Times New Roman" w:hAnsi="Times New Roman" w:cs="Times New Roman" w:eastAsia="Times New Roman" w:hint="default"/>
        </w:rPr>
        <w:t>6</w:t>
      </w:r>
      <w:r>
        <w:rPr/>
        <w:t>）创业聚合支付云平台 </w:t>
      </w:r>
      <w:r>
        <w:rPr>
          <w:spacing w:val="-6"/>
          <w:w w:val="99"/>
        </w:rPr>
        <w:t>创业聚合支付云平台提供线上、线下丰富的支付入口（收费窗口、自助设备、手机</w:t>
      </w:r>
      <w:r>
        <w:rPr>
          <w:rFonts w:ascii="Times New Roman" w:hAnsi="Times New Roman" w:cs="Times New Roman" w:eastAsia="Times New Roman" w:hint="default"/>
          <w:spacing w:val="-6"/>
          <w:w w:val="99"/>
        </w:rPr>
        <w:t>APP</w:t>
      </w:r>
      <w:r>
        <w:rPr>
          <w:spacing w:val="-6"/>
          <w:w w:val="99"/>
        </w:rPr>
        <w:t>、支付宝生活号、微信公众号等），</w:t>
      </w:r>
    </w:p>
    <w:p>
      <w:pPr>
        <w:pStyle w:val="BodyText"/>
        <w:spacing w:line="240" w:lineRule="auto" w:before="13"/>
        <w:ind w:right="882"/>
        <w:jc w:val="left"/>
      </w:pPr>
      <w:r>
        <w:rPr/>
        <w:t>以全新的聚合支付理念集成多种支付渠道应用于就医全流程。</w:t>
      </w:r>
    </w:p>
    <w:p>
      <w:pPr>
        <w:spacing w:line="240" w:lineRule="auto" w:before="13"/>
        <w:rPr>
          <w:rFonts w:ascii="宋体" w:hAnsi="宋体" w:cs="宋体" w:eastAsia="宋体" w:hint="default"/>
          <w:sz w:val="4"/>
          <w:szCs w:val="4"/>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5" w:right="0"/>
              <w:jc w:val="center"/>
              <w:rPr>
                <w:rFonts w:ascii="宋体" w:hAnsi="宋体" w:cs="宋体" w:eastAsia="宋体" w:hint="default"/>
                <w:sz w:val="18"/>
                <w:szCs w:val="18"/>
              </w:rPr>
            </w:pPr>
            <w:r>
              <w:rPr>
                <w:rFonts w:ascii="宋体" w:hAnsi="宋体" w:cs="宋体" w:eastAsia="宋体" w:hint="default"/>
                <w:b/>
                <w:bCs/>
                <w:sz w:val="18"/>
                <w:szCs w:val="18"/>
              </w:rPr>
              <w:t>创业聚合支付云平台</w:t>
            </w:r>
            <w:r>
              <w:rPr>
                <w:rFonts w:ascii="宋体" w:hAnsi="宋体" w:cs="宋体" w:eastAsia="宋体" w:hint="default"/>
                <w:sz w:val="18"/>
                <w:szCs w:val="18"/>
              </w:rPr>
            </w:r>
          </w:p>
        </w:tc>
      </w:tr>
      <w:tr>
        <w:trPr>
          <w:trHeight w:val="504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4780" w:lineRule="exact"/>
              <w:ind w:right="0"/>
              <w:jc w:val="left"/>
              <w:rPr>
                <w:rFonts w:ascii="宋体" w:hAnsi="宋体" w:cs="宋体" w:eastAsia="宋体" w:hint="default"/>
                <w:sz w:val="20"/>
                <w:szCs w:val="20"/>
              </w:rPr>
            </w:pPr>
            <w:r>
              <w:rPr>
                <w:rFonts w:ascii="宋体" w:hAnsi="宋体" w:cs="宋体" w:eastAsia="宋体" w:hint="default"/>
                <w:position w:val="-95"/>
                <w:sz w:val="20"/>
                <w:szCs w:val="20"/>
              </w:rPr>
              <w:drawing>
                <wp:inline distT="0" distB="0" distL="0" distR="0">
                  <wp:extent cx="4030474" cy="3035427"/>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22" cstate="print"/>
                          <a:stretch>
                            <a:fillRect/>
                          </a:stretch>
                        </pic:blipFill>
                        <pic:spPr>
                          <a:xfrm>
                            <a:off x="0" y="0"/>
                            <a:ext cx="4030474" cy="3035427"/>
                          </a:xfrm>
                          <a:prstGeom prst="rect">
                            <a:avLst/>
                          </a:prstGeom>
                        </pic:spPr>
                      </pic:pic>
                    </a:graphicData>
                  </a:graphic>
                </wp:inline>
              </w:drawing>
            </w:r>
            <w:r>
              <w:rPr>
                <w:rFonts w:ascii="宋体" w:hAnsi="宋体" w:cs="宋体" w:eastAsia="宋体" w:hint="default"/>
                <w:position w:val="-95"/>
                <w:sz w:val="20"/>
                <w:szCs w:val="20"/>
              </w:rPr>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医疗卫生领域的支付结算</w:t>
            </w:r>
          </w:p>
        </w:tc>
      </w:tr>
      <w:tr>
        <w:trPr>
          <w:trHeight w:val="674"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300" w:lineRule="auto" w:before="22"/>
              <w:ind w:right="0"/>
              <w:jc w:val="left"/>
              <w:rPr>
                <w:rFonts w:ascii="宋体" w:hAnsi="宋体" w:cs="宋体" w:eastAsia="宋体" w:hint="default"/>
                <w:sz w:val="18"/>
                <w:szCs w:val="18"/>
              </w:rPr>
            </w:pPr>
            <w:r>
              <w:rPr>
                <w:rFonts w:ascii="宋体" w:hAnsi="宋体" w:cs="宋体" w:eastAsia="宋体" w:hint="default"/>
                <w:sz w:val="18"/>
                <w:szCs w:val="18"/>
              </w:rPr>
              <w:t>为患者、医疗机构、保险机构提供“医保</w:t>
            </w:r>
            <w:r>
              <w:rPr>
                <w:rFonts w:ascii="Times New Roman" w:hAnsi="Times New Roman" w:cs="Times New Roman" w:eastAsia="Times New Roman" w:hint="default"/>
                <w:sz w:val="18"/>
                <w:szCs w:val="18"/>
              </w:rPr>
              <w:t>+</w:t>
            </w:r>
            <w:r>
              <w:rPr>
                <w:rFonts w:ascii="宋体" w:hAnsi="宋体" w:cs="宋体" w:eastAsia="宋体" w:hint="default"/>
                <w:sz w:val="18"/>
                <w:szCs w:val="18"/>
              </w:rPr>
              <w:t>商保</w:t>
            </w:r>
            <w:r>
              <w:rPr>
                <w:rFonts w:ascii="Times New Roman" w:hAnsi="Times New Roman" w:cs="Times New Roman" w:eastAsia="Times New Roman" w:hint="default"/>
                <w:sz w:val="18"/>
                <w:szCs w:val="18"/>
              </w:rPr>
              <w:t>+</w:t>
            </w:r>
            <w:r>
              <w:rPr>
                <w:rFonts w:ascii="宋体" w:hAnsi="宋体" w:cs="宋体" w:eastAsia="宋体" w:hint="default"/>
                <w:sz w:val="18"/>
                <w:szCs w:val="18"/>
              </w:rPr>
              <w:t>自费”一站式医疗支付结算解决方</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案</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患者、医疗机构、保险机构</w:t>
            </w:r>
          </w:p>
        </w:tc>
      </w:tr>
    </w:tbl>
    <w:p>
      <w:pPr>
        <w:pStyle w:val="BodyText"/>
        <w:spacing w:line="300" w:lineRule="auto" w:before="11"/>
        <w:ind w:left="477" w:right="1389"/>
        <w:jc w:val="left"/>
      </w:pPr>
      <w:r>
        <w:rPr/>
        <w:t>（</w:t>
      </w:r>
      <w:r>
        <w:rPr>
          <w:rFonts w:ascii="Times New Roman" w:hAnsi="Times New Roman" w:cs="Times New Roman" w:eastAsia="Times New Roman" w:hint="default"/>
        </w:rPr>
        <w:t>7</w:t>
      </w:r>
      <w:r>
        <w:rPr/>
        <w:t>）智能一站式终端服务平台 创业智能一站式终端服务平台以互联网软件为核心、自助终端为载体，通过整合优化医院原有就医流程，对接院内</w:t>
      </w:r>
    </w:p>
    <w:p>
      <w:pPr>
        <w:pStyle w:val="BodyText"/>
        <w:spacing w:line="300" w:lineRule="auto" w:before="31"/>
        <w:ind w:right="882"/>
        <w:jc w:val="left"/>
      </w:pPr>
      <w:r>
        <w:rPr>
          <w:rFonts w:ascii="Times New Roman" w:hAnsi="Times New Roman" w:cs="Times New Roman" w:eastAsia="Times New Roman" w:hint="default"/>
          <w:spacing w:val="-1"/>
        </w:rPr>
        <w:t>HIS/LIS/PACS/EMR</w:t>
      </w:r>
      <w:r>
        <w:rPr>
          <w:spacing w:val="-1"/>
        </w:rPr>
        <w:t>、医保、微信支付宝等第三方支付、银行、</w:t>
      </w:r>
      <w:r>
        <w:rPr>
          <w:rFonts w:ascii="Times New Roman" w:hAnsi="Times New Roman" w:cs="Times New Roman" w:eastAsia="Times New Roman" w:hint="default"/>
          <w:spacing w:val="-1"/>
        </w:rPr>
        <w:t>APP</w:t>
      </w:r>
      <w:r>
        <w:rPr>
          <w:spacing w:val="-1"/>
        </w:rPr>
        <w:t>、微信公众号等系统，为患者提供诊前、诊中、诊后全</w:t>
      </w:r>
      <w:r>
        <w:rPr>
          <w:spacing w:val="-54"/>
        </w:rPr>
        <w:t> </w:t>
      </w:r>
      <w:r>
        <w:rPr/>
        <w:t>流程医疗自助服务。</w:t>
      </w: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left="2110" w:right="0"/>
              <w:jc w:val="left"/>
              <w:rPr>
                <w:rFonts w:ascii="宋体" w:hAnsi="宋体" w:cs="宋体" w:eastAsia="宋体" w:hint="default"/>
                <w:sz w:val="18"/>
                <w:szCs w:val="18"/>
              </w:rPr>
            </w:pPr>
            <w:r>
              <w:rPr>
                <w:rFonts w:ascii="宋体" w:hAnsi="宋体" w:cs="宋体" w:eastAsia="宋体" w:hint="default"/>
                <w:b/>
                <w:bCs/>
                <w:sz w:val="18"/>
                <w:szCs w:val="18"/>
              </w:rPr>
              <w:t>创业智能一站式终端服务平台</w:t>
            </w:r>
            <w:r>
              <w:rPr>
                <w:rFonts w:ascii="宋体" w:hAnsi="宋体" w:cs="宋体" w:eastAsia="宋体" w:hint="default"/>
                <w:sz w:val="18"/>
                <w:szCs w:val="18"/>
              </w:rPr>
            </w:r>
          </w:p>
        </w:tc>
      </w:tr>
      <w:tr>
        <w:trPr>
          <w:trHeight w:val="338" w:hRule="exact"/>
        </w:trPr>
        <w:tc>
          <w:tcPr>
            <w:tcW w:w="1939" w:type="dxa"/>
            <w:tcBorders>
              <w:top w:val="single" w:sz="12" w:space="0" w:color="000000"/>
              <w:left w:val="single" w:sz="12" w:space="0" w:color="000000"/>
              <w:bottom w:val="nil" w:sz="6" w:space="0" w:color="auto"/>
              <w:right w:val="single" w:sz="12" w:space="0" w:color="000000"/>
            </w:tcBorders>
          </w:tcPr>
          <w:p>
            <w:pPr/>
          </w:p>
        </w:tc>
        <w:tc>
          <w:tcPr>
            <w:tcW w:w="6589"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门诊自助服务：对整个门诊就诊流程进行全程优化，为患者就医带</w:t>
            </w:r>
          </w:p>
        </w:tc>
      </w:tr>
      <w:tr>
        <w:trPr>
          <w:trHeight w:val="312"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来极大的便利，充分提高门诊就诊效率和患者就医感受。</w:t>
            </w:r>
          </w:p>
        </w:tc>
      </w:tr>
      <w:tr>
        <w:trPr>
          <w:trHeight w:val="312" w:hRule="exact"/>
        </w:trPr>
        <w:tc>
          <w:tcPr>
            <w:tcW w:w="193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住院自助服务：优化住院患者就诊流程，为患者提供“一站式”住</w:t>
            </w:r>
          </w:p>
        </w:tc>
      </w:tr>
      <w:tr>
        <w:trPr>
          <w:trHeight w:val="312" w:hRule="exact"/>
        </w:trPr>
        <w:tc>
          <w:tcPr>
            <w:tcW w:w="1939" w:type="dxa"/>
            <w:tcBorders>
              <w:top w:val="nil" w:sz="6" w:space="0" w:color="auto"/>
              <w:left w:val="single" w:sz="12" w:space="0" w:color="000000"/>
              <w:bottom w:val="nil" w:sz="6" w:space="0" w:color="auto"/>
              <w:right w:val="single" w:sz="12" w:space="0" w:color="000000"/>
            </w:tcBorders>
          </w:tcPr>
          <w:p>
            <w:pP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院自助服务，有效减少住院患者在各个部门的来回奔波和排队，提高住院患者的服</w:t>
            </w:r>
          </w:p>
        </w:tc>
      </w:tr>
      <w:tr>
        <w:trPr>
          <w:trHeight w:val="336" w:hRule="exact"/>
        </w:trPr>
        <w:tc>
          <w:tcPr>
            <w:tcW w:w="1939" w:type="dxa"/>
            <w:tcBorders>
              <w:top w:val="nil" w:sz="6" w:space="0" w:color="auto"/>
              <w:left w:val="single" w:sz="12" w:space="0" w:color="000000"/>
              <w:bottom w:val="single" w:sz="12" w:space="0" w:color="000000"/>
              <w:right w:val="single" w:sz="12" w:space="0" w:color="000000"/>
            </w:tcBorders>
          </w:tcPr>
          <w:p>
            <w:pPr/>
          </w:p>
        </w:tc>
        <w:tc>
          <w:tcPr>
            <w:tcW w:w="6589"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务感受度。</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诊前、诊中、诊后全流程医疗自助服务</w:t>
            </w:r>
          </w:p>
        </w:tc>
      </w:tr>
      <w:tr>
        <w:trPr>
          <w:trHeight w:val="337" w:hRule="exact"/>
        </w:trPr>
        <w:tc>
          <w:tcPr>
            <w:tcW w:w="1939" w:type="dxa"/>
            <w:tcBorders>
              <w:top w:val="single" w:sz="12" w:space="0" w:color="000000"/>
              <w:left w:val="single" w:sz="12" w:space="0" w:color="000000"/>
              <w:bottom w:val="nil" w:sz="6" w:space="0" w:color="auto"/>
              <w:right w:val="single" w:sz="12" w:space="0" w:color="000000"/>
            </w:tcBorders>
          </w:tcPr>
          <w:p>
            <w:pPr/>
          </w:p>
        </w:tc>
        <w:tc>
          <w:tcPr>
            <w:tcW w:w="6589"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0"/>
              <w:ind w:right="0"/>
              <w:jc w:val="left"/>
              <w:rPr>
                <w:rFonts w:ascii="宋体" w:hAnsi="宋体" w:cs="宋体" w:eastAsia="宋体" w:hint="default"/>
                <w:sz w:val="18"/>
                <w:szCs w:val="18"/>
              </w:rPr>
            </w:pPr>
            <w:r>
              <w:rPr>
                <w:rFonts w:ascii="宋体" w:hAnsi="宋体" w:cs="宋体" w:eastAsia="宋体" w:hint="default"/>
                <w:sz w:val="18"/>
                <w:szCs w:val="18"/>
              </w:rPr>
              <w:t>医院通过平台自助终端的部署，实现自助发卡、自助挂号、自助支付、自助预约、</w:t>
            </w:r>
          </w:p>
        </w:tc>
      </w:tr>
      <w:tr>
        <w:trPr>
          <w:trHeight w:val="312" w:hRule="exact"/>
        </w:trPr>
        <w:tc>
          <w:tcPr>
            <w:tcW w:w="193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自助打印、自助查询，有效缓解病人长时间排队等候问题，延伸服务窗口，降低人</w:t>
            </w:r>
          </w:p>
        </w:tc>
      </w:tr>
      <w:tr>
        <w:trPr>
          <w:trHeight w:val="337" w:hRule="exact"/>
        </w:trPr>
        <w:tc>
          <w:tcPr>
            <w:tcW w:w="1939" w:type="dxa"/>
            <w:tcBorders>
              <w:top w:val="nil" w:sz="6" w:space="0" w:color="auto"/>
              <w:left w:val="single" w:sz="12" w:space="0" w:color="000000"/>
              <w:bottom w:val="single" w:sz="12" w:space="0" w:color="000000"/>
              <w:right w:val="single" w:sz="12" w:space="0" w:color="000000"/>
            </w:tcBorders>
          </w:tcPr>
          <w:p>
            <w:pPr/>
          </w:p>
        </w:tc>
        <w:tc>
          <w:tcPr>
            <w:tcW w:w="6589"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0"/>
              <w:ind w:right="0"/>
              <w:jc w:val="left"/>
              <w:rPr>
                <w:rFonts w:ascii="宋体" w:hAnsi="宋体" w:cs="宋体" w:eastAsia="宋体" w:hint="default"/>
                <w:sz w:val="18"/>
                <w:szCs w:val="18"/>
              </w:rPr>
            </w:pPr>
            <w:r>
              <w:rPr>
                <w:rFonts w:ascii="宋体" w:hAnsi="宋体" w:cs="宋体" w:eastAsia="宋体" w:hint="default"/>
                <w:sz w:val="18"/>
                <w:szCs w:val="18"/>
              </w:rPr>
              <w:t>工成本，提高就诊效率。</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z w:val="18"/>
                <w:szCs w:val="18"/>
              </w:rPr>
              <w:t>患者</w:t>
            </w:r>
          </w:p>
        </w:tc>
      </w:tr>
    </w:tbl>
    <w:p>
      <w:pPr>
        <w:pStyle w:val="BodyText"/>
        <w:spacing w:line="300" w:lineRule="auto" w:before="33"/>
        <w:ind w:left="477" w:right="882"/>
        <w:jc w:val="left"/>
      </w:pPr>
      <w:r>
        <w:rPr/>
        <w:t>（</w:t>
      </w:r>
      <w:r>
        <w:rPr>
          <w:rFonts w:ascii="Times New Roman" w:hAnsi="Times New Roman" w:cs="Times New Roman" w:eastAsia="Times New Roman" w:hint="default"/>
        </w:rPr>
        <w:t>8</w:t>
      </w:r>
      <w:r>
        <w:rPr/>
        <w:t>）商业保险综合服务一体化解决方案 </w:t>
      </w:r>
      <w:r>
        <w:rPr>
          <w:spacing w:val="-2"/>
        </w:rPr>
        <w:t>创业慧康商业保险综合服务平台，为医院引入高净值的人群，优化医疗和理赔流程，为居民提供方便、快捷、舒适、人</w:t>
      </w:r>
    </w:p>
    <w:p>
      <w:pPr>
        <w:pStyle w:val="BodyText"/>
        <w:spacing w:line="240" w:lineRule="auto" w:before="31"/>
        <w:ind w:right="882"/>
        <w:jc w:val="left"/>
      </w:pPr>
      <w:r>
        <w:rPr/>
        <w:t>性化的感受。进一步提高医患双方满意度，构建和谐医患关系。</w:t>
      </w:r>
    </w:p>
    <w:p>
      <w:pPr>
        <w:spacing w:after="0" w:line="240" w:lineRule="auto"/>
        <w:jc w:val="left"/>
        <w:sectPr>
          <w:footerReference w:type="default" r:id="rId21"/>
          <w:pgSz w:w="11910" w:h="16840"/>
          <w:pgMar w:footer="1016" w:header="907" w:top="1100" w:bottom="1200" w:left="1020" w:right="0"/>
          <w:pgNumType w:start="2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9"/>
          <w:szCs w:val="29"/>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b/>
                <w:bCs/>
                <w:sz w:val="18"/>
                <w:szCs w:val="18"/>
              </w:rPr>
              <w:t>创业慧康商业保险综合服务平台</w:t>
            </w:r>
            <w:r>
              <w:rPr>
                <w:rFonts w:ascii="宋体" w:hAnsi="宋体" w:cs="宋体" w:eastAsia="宋体" w:hint="default"/>
                <w:sz w:val="18"/>
                <w:szCs w:val="18"/>
              </w:rPr>
            </w:r>
          </w:p>
        </w:tc>
      </w:tr>
      <w:tr>
        <w:trPr>
          <w:trHeight w:val="3170"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
              <w:ind w:right="0"/>
              <w:jc w:val="left"/>
              <w:rPr>
                <w:rFonts w:ascii="宋体" w:hAnsi="宋体" w:cs="宋体" w:eastAsia="宋体" w:hint="default"/>
                <w:sz w:val="6"/>
                <w:szCs w:val="6"/>
              </w:rPr>
            </w:pPr>
          </w:p>
          <w:p>
            <w:pPr>
              <w:pStyle w:val="TableParagraph"/>
              <w:spacing w:line="2664" w:lineRule="exact"/>
              <w:ind w:right="0"/>
              <w:jc w:val="left"/>
              <w:rPr>
                <w:rFonts w:ascii="宋体" w:hAnsi="宋体" w:cs="宋体" w:eastAsia="宋体" w:hint="default"/>
                <w:sz w:val="20"/>
                <w:szCs w:val="20"/>
              </w:rPr>
            </w:pPr>
            <w:r>
              <w:rPr>
                <w:rFonts w:ascii="宋体" w:hAnsi="宋体" w:cs="宋体" w:eastAsia="宋体" w:hint="default"/>
                <w:position w:val="-52"/>
                <w:sz w:val="20"/>
                <w:szCs w:val="20"/>
              </w:rPr>
              <w:drawing>
                <wp:inline distT="0" distB="0" distL="0" distR="0">
                  <wp:extent cx="3716439" cy="1691925"/>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23" cstate="print"/>
                          <a:stretch>
                            <a:fillRect/>
                          </a:stretch>
                        </pic:blipFill>
                        <pic:spPr>
                          <a:xfrm>
                            <a:off x="0" y="0"/>
                            <a:ext cx="3716439" cy="1691925"/>
                          </a:xfrm>
                          <a:prstGeom prst="rect">
                            <a:avLst/>
                          </a:prstGeom>
                        </pic:spPr>
                      </pic:pic>
                    </a:graphicData>
                  </a:graphic>
                </wp:inline>
              </w:drawing>
            </w:r>
            <w:r>
              <w:rPr>
                <w:rFonts w:ascii="宋体" w:hAnsi="宋体" w:cs="宋体" w:eastAsia="宋体" w:hint="default"/>
                <w:position w:val="-52"/>
                <w:sz w:val="20"/>
                <w:szCs w:val="20"/>
              </w:rPr>
            </w:r>
          </w:p>
          <w:p>
            <w:pPr>
              <w:pStyle w:val="TableParagraph"/>
              <w:spacing w:line="240" w:lineRule="auto" w:before="86"/>
              <w:ind w:right="0"/>
              <w:jc w:val="left"/>
              <w:rPr>
                <w:rFonts w:ascii="宋体" w:hAnsi="宋体" w:cs="宋体" w:eastAsia="宋体" w:hint="default"/>
                <w:sz w:val="18"/>
                <w:szCs w:val="18"/>
              </w:rPr>
            </w:pPr>
            <w:r>
              <w:rPr>
                <w:rFonts w:ascii="宋体" w:hAnsi="宋体" w:cs="宋体" w:eastAsia="宋体" w:hint="default"/>
                <w:sz w:val="18"/>
                <w:szCs w:val="18"/>
              </w:rPr>
              <w:t>创业慧康商业保险综合服务平台作为连接医院、保险公司的信息服务平台。</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商业保险综合服务</w:t>
            </w:r>
          </w:p>
        </w:tc>
      </w:tr>
      <w:tr>
        <w:trPr>
          <w:trHeight w:val="674"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22"/>
              <w:ind w:right="0"/>
              <w:jc w:val="left"/>
              <w:rPr>
                <w:rFonts w:ascii="宋体" w:hAnsi="宋体" w:cs="宋体" w:eastAsia="宋体" w:hint="default"/>
                <w:sz w:val="18"/>
                <w:szCs w:val="18"/>
              </w:rPr>
            </w:pPr>
            <w:r>
              <w:rPr>
                <w:rFonts w:ascii="宋体" w:hAnsi="宋体" w:cs="宋体" w:eastAsia="宋体" w:hint="default"/>
                <w:sz w:val="18"/>
                <w:szCs w:val="18"/>
              </w:rPr>
              <w:t>通过专属医疗信息通道，助力于保险产品设计（含健康管理），保险理赔的全周期</w:t>
            </w:r>
            <w:r>
              <w:rPr>
                <w:rFonts w:ascii="宋体" w:hAnsi="宋体" w:cs="宋体" w:eastAsia="宋体" w:hint="default"/>
                <w:spacing w:val="-25"/>
                <w:sz w:val="18"/>
                <w:szCs w:val="18"/>
              </w:rPr>
              <w:t> </w:t>
            </w:r>
            <w:r>
              <w:rPr>
                <w:rFonts w:ascii="宋体" w:hAnsi="宋体" w:cs="宋体" w:eastAsia="宋体" w:hint="default"/>
                <w:spacing w:val="-25"/>
                <w:sz w:val="18"/>
                <w:szCs w:val="18"/>
              </w:rPr>
            </w:r>
            <w:r>
              <w:rPr>
                <w:rFonts w:ascii="宋体" w:hAnsi="宋体" w:cs="宋体" w:eastAsia="宋体" w:hint="default"/>
                <w:sz w:val="18"/>
                <w:szCs w:val="18"/>
              </w:rPr>
              <w:t>闭环服务。</w:t>
            </w:r>
          </w:p>
        </w:tc>
      </w:tr>
      <w:tr>
        <w:trPr>
          <w:trHeight w:val="362" w:hRule="exact"/>
        </w:trPr>
        <w:tc>
          <w:tcPr>
            <w:tcW w:w="193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2"/>
              <w:ind w:right="0"/>
              <w:jc w:val="left"/>
              <w:rPr>
                <w:rFonts w:ascii="宋体" w:hAnsi="宋体" w:cs="宋体" w:eastAsia="宋体" w:hint="default"/>
                <w:sz w:val="18"/>
                <w:szCs w:val="18"/>
              </w:rPr>
            </w:pPr>
            <w:r>
              <w:rPr>
                <w:rFonts w:ascii="宋体" w:hAnsi="宋体" w:cs="宋体" w:eastAsia="宋体" w:hint="default"/>
                <w:sz w:val="18"/>
                <w:szCs w:val="18"/>
              </w:rPr>
              <w:t>医疗机构、商业保险机构</w:t>
            </w:r>
          </w:p>
        </w:tc>
      </w:tr>
    </w:tbl>
    <w:p>
      <w:pPr>
        <w:spacing w:line="340" w:lineRule="auto" w:before="11"/>
        <w:ind w:left="472" w:right="882" w:firstLine="2"/>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、医疗卫生智慧物联网应用产品及服务板块</w:t>
      </w:r>
      <w:r>
        <w:rPr>
          <w:rFonts w:ascii="宋体" w:hAnsi="宋体" w:cs="宋体" w:eastAsia="宋体" w:hint="default"/>
          <w:b/>
          <w:bCs/>
          <w:w w:val="99"/>
          <w:sz w:val="18"/>
          <w:szCs w:val="18"/>
        </w:rPr>
        <w:t> </w:t>
      </w:r>
      <w:r>
        <w:rPr>
          <w:rFonts w:ascii="宋体" w:hAnsi="宋体" w:cs="宋体" w:eastAsia="宋体" w:hint="default"/>
          <w:spacing w:val="-2"/>
          <w:sz w:val="18"/>
          <w:szCs w:val="18"/>
        </w:rPr>
        <w:t>公司依托大数据应用技术和健康城市运营业务，进行整体市场布局，以“未来医疗”新模式为基础构建医疗健康产业的</w:t>
      </w:r>
    </w:p>
    <w:p>
      <w:pPr>
        <w:pStyle w:val="BodyText"/>
        <w:spacing w:line="316" w:lineRule="auto" w:before="1"/>
        <w:ind w:right="1041"/>
        <w:jc w:val="both"/>
      </w:pPr>
      <w:r>
        <w:rPr>
          <w:spacing w:val="-4"/>
        </w:rPr>
        <w:t>物联网生态体系。目前，基于自主开发的智能物联支撑平台，已逐步形成了以物联网技术为核心的便民服务、临床应用服务、</w:t>
      </w:r>
      <w:r>
        <w:rPr>
          <w:spacing w:val="-43"/>
        </w:rPr>
        <w:t> </w:t>
      </w:r>
      <w:r>
        <w:rPr>
          <w:spacing w:val="-43"/>
        </w:rPr>
      </w:r>
      <w:r>
        <w:rPr/>
        <w:t>运营管理服务、健康服务等医疗应用服务体系和战略部署，同时，公司将不断根据院内场景需求定向打造物联网模块产品， 力求达到院内就医场景基本覆盖。</w:t>
      </w:r>
    </w:p>
    <w:p>
      <w:pPr>
        <w:pStyle w:val="BodyText"/>
        <w:spacing w:line="240" w:lineRule="auto" w:before="59"/>
        <w:ind w:left="472" w:right="882"/>
        <w:jc w:val="left"/>
      </w:pPr>
      <w:r>
        <w:rPr/>
        <w:t>（</w:t>
      </w:r>
      <w:r>
        <w:rPr>
          <w:rFonts w:ascii="Times New Roman" w:hAnsi="Times New Roman" w:cs="Times New Roman" w:eastAsia="Times New Roman" w:hint="default"/>
        </w:rPr>
        <w:t>1</w:t>
      </w:r>
      <w:r>
        <w:rPr/>
        <w:t>）智慧物联支撑平台</w:t>
      </w:r>
    </w:p>
    <w:p>
      <w:pPr>
        <w:pStyle w:val="BodyText"/>
        <w:spacing w:line="360" w:lineRule="auto" w:before="101"/>
        <w:ind w:left="472" w:right="882"/>
        <w:jc w:val="left"/>
      </w:pPr>
      <w:r>
        <w:rPr/>
        <w:t>①医疗物联网接入基础平台 </w:t>
      </w:r>
      <w:r>
        <w:rPr>
          <w:spacing w:val="-2"/>
        </w:rPr>
        <w:t>为医疗机构物联网应用解决方案提供私有化高安全性的统一支撑，通过在各种医疗物联网设备和医疗业务应用层之间建</w:t>
      </w:r>
    </w:p>
    <w:p>
      <w:pPr>
        <w:pStyle w:val="BodyText"/>
        <w:spacing w:line="222" w:lineRule="exact"/>
        <w:ind w:right="0"/>
        <w:jc w:val="both"/>
      </w:pPr>
      <w:r>
        <w:rPr/>
        <w:t>立可靠双向通讯的设备互联与安全管理平台，实现网络协议兼容适配和标准化消息统一出入口管理，满足物联网设备数据收</w:t>
      </w:r>
    </w:p>
    <w:p>
      <w:pPr>
        <w:pStyle w:val="BodyText"/>
        <w:spacing w:line="240" w:lineRule="auto" w:before="76"/>
        <w:ind w:right="0"/>
        <w:jc w:val="both"/>
      </w:pPr>
      <w:r>
        <w:rPr/>
        <w:t>集、监控、故障预测安全等需求。</w:t>
      </w:r>
    </w:p>
    <w:p>
      <w:pPr>
        <w:pStyle w:val="BodyText"/>
        <w:spacing w:line="357" w:lineRule="auto" w:before="117"/>
        <w:ind w:left="472" w:right="882"/>
        <w:jc w:val="left"/>
      </w:pPr>
      <w:r>
        <w:rPr/>
        <w:t>②医疗物联网人工智能平台 </w:t>
      </w:r>
      <w:r>
        <w:rPr>
          <w:spacing w:val="-2"/>
        </w:rPr>
        <w:t>将接入的医疗物联网设备数据和其他院内数据一起运用多种大数据算法进行数据分析与挖掘，为患者健康安全管理、临</w:t>
      </w:r>
    </w:p>
    <w:p>
      <w:pPr>
        <w:pStyle w:val="BodyText"/>
        <w:spacing w:line="224" w:lineRule="exact"/>
        <w:ind w:right="0"/>
        <w:jc w:val="both"/>
      </w:pPr>
      <w:r>
        <w:rPr/>
        <w:t>床辅助、设备管理构建人工智能服务。</w:t>
      </w:r>
    </w:p>
    <w:p>
      <w:pPr>
        <w:pStyle w:val="BodyText"/>
        <w:spacing w:line="360" w:lineRule="auto" w:before="117"/>
        <w:ind w:left="472" w:right="1103"/>
        <w:jc w:val="left"/>
      </w:pPr>
      <w:r>
        <w:rPr/>
        <w:t>③医院智能综合运维管理平台 采用物联网、射频识别、</w:t>
      </w:r>
      <w:r>
        <w:rPr>
          <w:rFonts w:ascii="Times New Roman" w:hAnsi="Times New Roman" w:cs="Times New Roman" w:eastAsia="Times New Roman" w:hint="default"/>
        </w:rPr>
        <w:t>GIS</w:t>
      </w:r>
      <w:r>
        <w:rPr/>
        <w:t>地理信息系统、传感器采集等技术，将设备采购、电子档案、监控、巡检、维修、保养、</w:t>
      </w:r>
    </w:p>
    <w:p>
      <w:pPr>
        <w:pStyle w:val="BodyText"/>
        <w:spacing w:line="199" w:lineRule="exact"/>
        <w:ind w:right="0"/>
        <w:jc w:val="both"/>
      </w:pPr>
      <w:r>
        <w:rPr/>
        <w:t>报废、绩效等各个环节嵌入流程化、标准化、规范化的信息流转，以实现后勤管理、医疗信息管理、医疗设备管理、信息设</w:t>
      </w:r>
    </w:p>
    <w:p>
      <w:pPr>
        <w:pStyle w:val="BodyText"/>
        <w:spacing w:line="240" w:lineRule="auto" w:before="76"/>
        <w:ind w:right="0"/>
        <w:jc w:val="both"/>
      </w:pPr>
      <w:r>
        <w:rPr/>
        <w:t>备管理的闭环。</w:t>
      </w:r>
    </w:p>
    <w:p>
      <w:pPr>
        <w:pStyle w:val="BodyText"/>
        <w:spacing w:line="240" w:lineRule="auto" w:before="115"/>
        <w:ind w:left="472" w:right="882"/>
        <w:jc w:val="left"/>
      </w:pPr>
      <w:r>
        <w:rPr/>
        <w:t>（</w:t>
      </w:r>
      <w:r>
        <w:rPr>
          <w:rFonts w:ascii="Times New Roman" w:hAnsi="Times New Roman" w:cs="Times New Roman" w:eastAsia="Times New Roman" w:hint="default"/>
        </w:rPr>
        <w:t>2</w:t>
      </w:r>
      <w:r>
        <w:rPr/>
        <w:t>）智慧物联—便民服务</w:t>
      </w:r>
    </w:p>
    <w:p>
      <w:pPr>
        <w:pStyle w:val="BodyText"/>
        <w:spacing w:line="316" w:lineRule="auto" w:before="103"/>
        <w:ind w:right="882" w:firstLine="360"/>
        <w:jc w:val="left"/>
      </w:pPr>
      <w:r>
        <w:rPr>
          <w:spacing w:val="-2"/>
        </w:rPr>
        <w:t>①智能医疗机器人：基于领先的人工智能、语音识别、语音合成和自然语言处理技术，通过人机对话方式实现情景式人</w:t>
      </w:r>
      <w:r>
        <w:rPr/>
        <w:t> 机互动、满足各类医疗卫生机构和家庭多场景多业务的医疗健康智能化服务需求。</w:t>
      </w:r>
    </w:p>
    <w:p>
      <w:pPr>
        <w:pStyle w:val="BodyText"/>
        <w:spacing w:line="316" w:lineRule="auto" w:before="59"/>
        <w:ind w:right="882" w:firstLine="360"/>
        <w:jc w:val="left"/>
      </w:pPr>
      <w:r>
        <w:rPr>
          <w:spacing w:val="-2"/>
        </w:rPr>
        <w:t>②婴儿防盗系统解决方案：通过对医院监控区域安装信号接收装置和出口监视器，在婴儿身上配戴可发送无线射频信号</w:t>
      </w:r>
      <w:r>
        <w:rPr/>
        <w:t> 且对人体无害的健康智能环，实现安全监护功能。</w:t>
      </w:r>
    </w:p>
    <w:p>
      <w:pPr>
        <w:pStyle w:val="BodyText"/>
        <w:spacing w:line="340" w:lineRule="auto" w:before="57"/>
        <w:ind w:left="472" w:right="1034"/>
        <w:jc w:val="left"/>
      </w:pPr>
      <w:r>
        <w:rPr/>
        <w:t>（</w:t>
      </w:r>
      <w:r>
        <w:rPr>
          <w:rFonts w:ascii="Times New Roman" w:hAnsi="Times New Roman" w:cs="Times New Roman" w:eastAsia="Times New Roman" w:hint="default"/>
        </w:rPr>
        <w:t>3</w:t>
      </w:r>
      <w:r>
        <w:rPr/>
        <w:t>）智慧物联—临床应用 数字化病房解决方案：基于医院信息系统、数字化医疗设备、网络平台、显示终端所组成的四位一体的综合信息系统，</w:t>
      </w:r>
    </w:p>
    <w:p>
      <w:pPr>
        <w:pStyle w:val="BodyText"/>
        <w:spacing w:line="316" w:lineRule="auto" w:before="1"/>
        <w:ind w:right="1132"/>
        <w:jc w:val="both"/>
      </w:pPr>
      <w:r>
        <w:rPr>
          <w:spacing w:val="-2"/>
        </w:rPr>
        <w:t>利用物联网技术，融合智能信息交互显示终端，实现患者与护士、护工、医生之间的信息互动，以提高患者就医体验，提升</w:t>
      </w:r>
      <w:r>
        <w:rPr>
          <w:spacing w:val="-66"/>
        </w:rPr>
        <w:t> </w:t>
      </w:r>
      <w:r>
        <w:rPr>
          <w:spacing w:val="-66"/>
        </w:rPr>
      </w:r>
      <w:r>
        <w:rPr/>
        <w:t>诊疗效率，促进医院效能升级。</w:t>
      </w:r>
    </w:p>
    <w:p>
      <w:pPr>
        <w:spacing w:after="0" w:line="316"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472" w:right="882"/>
        <w:jc w:val="left"/>
      </w:pPr>
      <w:r>
        <w:rPr/>
        <w:t>①数字化家庭化产房方案：将待产、分娩、恢复和产后过程综合到一个房间内，以家庭为中心的母婴保健系统。</w:t>
      </w:r>
    </w:p>
    <w:p>
      <w:pPr>
        <w:pStyle w:val="BodyText"/>
        <w:spacing w:line="316" w:lineRule="auto" w:before="115"/>
        <w:ind w:right="882" w:firstLine="360"/>
        <w:jc w:val="left"/>
      </w:pPr>
      <w:r>
        <w:rPr>
          <w:spacing w:val="-2"/>
        </w:rPr>
        <w:t>②数字化手术室解决方案：基于高清影像实时直播，同步录制等功能，实现手术室内手术过程视频、医疗仪器视频、医</w:t>
      </w:r>
      <w:r>
        <w:rPr/>
        <w:t> 师讲解音频、移动手术示教推车等多内容多形式的视音频同步编码并传输的解决方案。</w:t>
      </w:r>
    </w:p>
    <w:p>
      <w:pPr>
        <w:pStyle w:val="BodyText"/>
        <w:spacing w:line="240" w:lineRule="auto" w:before="59"/>
        <w:ind w:left="472" w:right="882"/>
        <w:jc w:val="left"/>
      </w:pPr>
      <w:r>
        <w:rPr/>
        <w:t>（</w:t>
      </w:r>
      <w:r>
        <w:rPr>
          <w:rFonts w:ascii="Times New Roman" w:hAnsi="Times New Roman" w:cs="Times New Roman" w:eastAsia="Times New Roman" w:hint="default"/>
        </w:rPr>
        <w:t>4</w:t>
      </w:r>
      <w:r>
        <w:rPr/>
        <w:t>）智慧物联—运营管理</w:t>
      </w:r>
    </w:p>
    <w:p>
      <w:pPr>
        <w:pStyle w:val="BodyText"/>
        <w:spacing w:line="300" w:lineRule="auto" w:before="103"/>
        <w:ind w:right="1103" w:firstLine="360"/>
        <w:jc w:val="left"/>
      </w:pPr>
      <w:r>
        <w:rPr/>
        <w:t>①智能药柜应用：通过与</w:t>
      </w:r>
      <w:r>
        <w:rPr>
          <w:rFonts w:ascii="Times New Roman" w:hAnsi="Times New Roman" w:cs="Times New Roman" w:eastAsia="Times New Roman" w:hint="default"/>
        </w:rPr>
        <w:t>HIS</w:t>
      </w:r>
      <w:r>
        <w:rPr/>
        <w:t>系统集成，采用电子医嘱、传感技术，使药品取用的准确性大大提高，并释放人员力量， 促进临床用药的安全水平。</w:t>
      </w:r>
    </w:p>
    <w:p>
      <w:pPr>
        <w:pStyle w:val="BodyText"/>
        <w:spacing w:line="300" w:lineRule="auto" w:before="70"/>
        <w:ind w:right="1164" w:firstLine="360"/>
        <w:jc w:val="left"/>
      </w:pPr>
      <w:r>
        <w:rPr/>
        <w:t>②人员</w:t>
      </w:r>
      <w:r>
        <w:rPr>
          <w:rFonts w:ascii="Times New Roman" w:hAnsi="Times New Roman" w:cs="Times New Roman" w:eastAsia="Times New Roman" w:hint="default"/>
        </w:rPr>
        <w:t>/</w:t>
      </w:r>
      <w:r>
        <w:rPr/>
        <w:t>资产定位：通过多种主流近场通讯技术，改变以往人员监护和资产管理方式，为患者、医护人员和医疗资产提 供实时定位服务。</w:t>
      </w:r>
    </w:p>
    <w:p>
      <w:pPr>
        <w:pStyle w:val="BodyText"/>
        <w:spacing w:line="300" w:lineRule="auto" w:before="72"/>
        <w:ind w:right="1163" w:firstLine="360"/>
        <w:jc w:val="left"/>
      </w:pPr>
      <w:r>
        <w:rPr/>
        <w:t>③医疗废物管理解决方案：结合物联网</w:t>
      </w:r>
      <w:r>
        <w:rPr>
          <w:rFonts w:ascii="Times New Roman" w:hAnsi="Times New Roman" w:cs="Times New Roman" w:eastAsia="Times New Roman" w:hint="default"/>
        </w:rPr>
        <w:t>RFID</w:t>
      </w:r>
      <w:r>
        <w:rPr/>
        <w:t>技术应用，为医疗机构构建全方位、可追溯化、智能化的医废流转管理体 系，实现对医废前端收集、中端转运、末端贮存的全流程管理服务。</w:t>
      </w:r>
    </w:p>
    <w:p>
      <w:pPr>
        <w:pStyle w:val="BodyText"/>
        <w:spacing w:line="338" w:lineRule="auto" w:before="72"/>
        <w:ind w:left="472" w:right="882"/>
        <w:jc w:val="left"/>
      </w:pPr>
      <w:r>
        <w:rPr/>
        <w:t>（</w:t>
      </w:r>
      <w:r>
        <w:rPr>
          <w:rFonts w:ascii="Times New Roman" w:hAnsi="Times New Roman" w:cs="Times New Roman" w:eastAsia="Times New Roman" w:hint="default"/>
        </w:rPr>
        <w:t>5</w:t>
      </w:r>
      <w:r>
        <w:rPr/>
        <w:t>）智慧物联—健康服务 </w:t>
      </w:r>
      <w:r>
        <w:rPr>
          <w:spacing w:val="-2"/>
        </w:rPr>
        <w:t>健康小屋：将多个独立医疗设备集成为一体化的智能自助健康体检平台，实现包括血压、血氧、体温、心电、血糖等指</w:t>
      </w:r>
    </w:p>
    <w:p>
      <w:pPr>
        <w:pStyle w:val="BodyText"/>
        <w:spacing w:line="240" w:lineRule="auto" w:before="2"/>
        <w:ind w:right="882"/>
        <w:jc w:val="left"/>
      </w:pPr>
      <w:r>
        <w:rPr/>
        <w:t>标的自助体检。</w:t>
      </w:r>
    </w:p>
    <w:p>
      <w:pPr>
        <w:spacing w:line="300" w:lineRule="auto" w:before="117"/>
        <w:ind w:left="532" w:right="882" w:hanging="89"/>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、医疗保障应用产品模块</w:t>
      </w:r>
      <w:r>
        <w:rPr>
          <w:rFonts w:ascii="宋体" w:hAnsi="宋体" w:cs="宋体" w:eastAsia="宋体" w:hint="default"/>
          <w:b/>
          <w:bCs/>
          <w:w w:val="99"/>
          <w:sz w:val="18"/>
          <w:szCs w:val="18"/>
        </w:rPr>
        <w:t> </w:t>
      </w:r>
      <w:r>
        <w:rPr>
          <w:rFonts w:ascii="宋体" w:hAnsi="宋体" w:cs="宋体" w:eastAsia="宋体" w:hint="default"/>
          <w:sz w:val="18"/>
          <w:szCs w:val="18"/>
        </w:rPr>
        <w:t>公司依托正在承建的国家医保局医疗保障信息平台核心包项目，布局省、地市级医疗信息平台市场，打造智慧医保解</w:t>
      </w:r>
    </w:p>
    <w:p>
      <w:pPr>
        <w:pStyle w:val="BodyText"/>
        <w:spacing w:line="307" w:lineRule="auto" w:before="31"/>
        <w:ind w:right="882"/>
        <w:jc w:val="left"/>
      </w:pPr>
      <w:r>
        <w:rPr/>
        <w:t>决方案。同时，为应对</w:t>
      </w:r>
      <w:r>
        <w:rPr>
          <w:rFonts w:ascii="Times New Roman" w:hAnsi="Times New Roman" w:cs="Times New Roman" w:eastAsia="Times New Roman" w:hint="default"/>
        </w:rPr>
        <w:t>DRGs</w:t>
      </w:r>
      <w:r>
        <w:rPr/>
        <w:t>支付改革进程，将基于公司现有自主识识产权的</w:t>
      </w:r>
      <w:r>
        <w:rPr>
          <w:rFonts w:ascii="Times New Roman" w:hAnsi="Times New Roman" w:cs="Times New Roman" w:eastAsia="Times New Roman" w:hint="default"/>
        </w:rPr>
        <w:t>DRGs</w:t>
      </w:r>
      <w:r>
        <w:rPr/>
        <w:t>分组器等产品，打造</w:t>
      </w:r>
      <w:r>
        <w:rPr>
          <w:rFonts w:ascii="Times New Roman" w:hAnsi="Times New Roman" w:cs="Times New Roman" w:eastAsia="Times New Roman" w:hint="default"/>
        </w:rPr>
        <w:t>DRGs</w:t>
      </w:r>
      <w:r>
        <w:rPr/>
        <w:t>统一分组和服</w:t>
      </w:r>
      <w:r>
        <w:rPr>
          <w:spacing w:val="-82"/>
        </w:rPr>
        <w:t> </w:t>
      </w:r>
      <w:r>
        <w:rPr>
          <w:spacing w:val="-82"/>
        </w:rPr>
      </w:r>
      <w:r>
        <w:rPr>
          <w:spacing w:val="-2"/>
        </w:rPr>
        <w:t>务平台，其不仅能满足医保局端的应用，还能同时支撑公司现有面向医疗机构（医院）和卫健委（局）的生产和管理系统对</w:t>
      </w:r>
      <w:r>
        <w:rPr>
          <w:spacing w:val="-63"/>
        </w:rPr>
        <w:t> </w:t>
      </w:r>
      <w:r>
        <w:rPr>
          <w:spacing w:val="-63"/>
        </w:rPr>
      </w:r>
      <w:r>
        <w:rPr>
          <w:spacing w:val="-2"/>
        </w:rPr>
        <w:t>于</w:t>
      </w:r>
      <w:r>
        <w:rPr>
          <w:rFonts w:ascii="Times New Roman" w:hAnsi="Times New Roman" w:cs="Times New Roman" w:eastAsia="Times New Roman" w:hint="default"/>
          <w:spacing w:val="-2"/>
        </w:rPr>
        <w:t>DRGs</w:t>
      </w:r>
      <w:r>
        <w:rPr>
          <w:spacing w:val="-2"/>
        </w:rPr>
        <w:t>需求的功能升级。此外，公司关注商业医疗保险行业发展，提供以商业医疗保险信息化服务平台为核心的解决方案。</w:t>
      </w:r>
      <w:r>
        <w:rPr>
          <w:spacing w:val="-61"/>
        </w:rPr>
        <w:t> </w:t>
      </w:r>
      <w:r>
        <w:rPr>
          <w:spacing w:val="-61"/>
        </w:rPr>
      </w:r>
      <w:r>
        <w:rPr/>
        <w:t>具体说明如下：</w:t>
      </w:r>
    </w:p>
    <w:p>
      <w:pPr>
        <w:pStyle w:val="Heading5"/>
        <w:spacing w:line="240" w:lineRule="auto" w:before="26"/>
        <w:ind w:left="384" w:right="882"/>
        <w:jc w:val="left"/>
        <w:rPr>
          <w:b w:val="0"/>
          <w:bCs w:val="0"/>
        </w:rPr>
      </w:pPr>
      <w:r>
        <w:rPr/>
        <w:t>（</w:t>
      </w:r>
      <w:r>
        <w:rPr>
          <w:rFonts w:ascii="Times New Roman" w:hAnsi="Times New Roman" w:cs="Times New Roman" w:eastAsia="Times New Roman" w:hint="default"/>
        </w:rPr>
        <w:t>1</w:t>
      </w:r>
      <w:r>
        <w:rPr/>
        <w:t>）省级智慧医疗保障信息平台</w:t>
      </w:r>
      <w:r>
        <w:rPr>
          <w:b w:val="0"/>
          <w:bCs w:val="0"/>
        </w:rPr>
      </w:r>
    </w:p>
    <w:p>
      <w:pPr>
        <w:pStyle w:val="BodyText"/>
        <w:spacing w:line="316" w:lineRule="auto" w:before="63"/>
        <w:ind w:left="532" w:right="882"/>
        <w:jc w:val="left"/>
      </w:pPr>
      <w:r>
        <w:rPr/>
        <w:t>①基础信息管理系统 实现医疗保障业务标准数据统一汇聚和更新管理，主要提供疾病诊断、药品、医疗服务项目、耗材、人员、单位、机</w:t>
      </w:r>
    </w:p>
    <w:p>
      <w:pPr>
        <w:pStyle w:val="BodyText"/>
        <w:spacing w:line="240" w:lineRule="auto" w:before="19"/>
        <w:ind w:right="882"/>
        <w:jc w:val="left"/>
      </w:pPr>
      <w:r>
        <w:rPr/>
        <w:t>构等基础信息的管理功能和服务功能，为跨地区、跨业务、跨部门的信息共享和业务协同提供支持。</w:t>
      </w:r>
    </w:p>
    <w:p>
      <w:pPr>
        <w:pStyle w:val="BodyText"/>
        <w:spacing w:line="240" w:lineRule="auto" w:before="76"/>
        <w:ind w:left="532" w:right="882"/>
        <w:jc w:val="left"/>
      </w:pPr>
      <w:r>
        <w:rPr/>
        <w:t>②医保业务基础系统</w:t>
      </w:r>
    </w:p>
    <w:p>
      <w:pPr>
        <w:pStyle w:val="BodyText"/>
        <w:spacing w:line="316" w:lineRule="auto" w:before="76"/>
        <w:ind w:right="1063" w:firstLine="420"/>
        <w:jc w:val="left"/>
      </w:pPr>
      <w:r>
        <w:rPr/>
        <w:t>作为支撑医保业务日常经办的核心系统，</w:t>
      </w:r>
      <w:r>
        <w:rPr>
          <w:spacing w:val="1"/>
        </w:rPr>
        <w:t> </w:t>
      </w:r>
      <w:r>
        <w:rPr/>
        <w:t>功能包括参保管理、医保目录和标准管理、定点协议管理、个人待遇管理、</w:t>
      </w:r>
      <w:r>
        <w:rPr/>
        <w:t> 定点医疗机构结算管理、审核监管处罚、基金财务支付管理、政策参数维护以及综合查询功能。</w:t>
      </w:r>
    </w:p>
    <w:p>
      <w:pPr>
        <w:pStyle w:val="BodyText"/>
        <w:spacing w:line="316" w:lineRule="auto" w:before="19"/>
        <w:ind w:left="532" w:right="882"/>
        <w:jc w:val="left"/>
      </w:pPr>
      <w:r>
        <w:rPr/>
        <w:t>③跨省异地就医管理系统 为参保人员就医身份识别提供认定，为跨地区就医人群和异地医疗机构提供便捷高效的备案管理、即时结算和资金清</w:t>
      </w:r>
    </w:p>
    <w:p>
      <w:pPr>
        <w:pStyle w:val="BodyText"/>
        <w:spacing w:line="240" w:lineRule="auto" w:before="19"/>
        <w:ind w:right="882"/>
        <w:jc w:val="left"/>
      </w:pPr>
      <w:r>
        <w:rPr/>
        <w:t>分服务。</w:t>
      </w:r>
    </w:p>
    <w:p>
      <w:pPr>
        <w:pStyle w:val="BodyText"/>
        <w:spacing w:line="316" w:lineRule="auto" w:before="76"/>
        <w:ind w:left="532" w:right="1118"/>
        <w:jc w:val="left"/>
      </w:pPr>
      <w:r>
        <w:rPr/>
        <w:t>④医疗保障智能监控系统 主要提供知识库管理、规则库管理、规则引擎管理、智能审核管理、药品进销存管理、统计分析、</w:t>
      </w:r>
      <w:r>
        <w:rPr>
          <w:rFonts w:ascii="Times New Roman" w:hAnsi="Times New Roman" w:cs="Times New Roman" w:eastAsia="Times New Roman" w:hint="default"/>
        </w:rPr>
        <w:t>API </w:t>
      </w:r>
      <w:r>
        <w:rPr>
          <w:rFonts w:ascii="Times New Roman" w:hAnsi="Times New Roman" w:cs="Times New Roman" w:eastAsia="Times New Roman" w:hint="default"/>
          <w:spacing w:val="15"/>
        </w:rPr>
        <w:t> </w:t>
      </w:r>
      <w:r>
        <w:rPr/>
        <w:t>服务等功能，</w:t>
      </w:r>
    </w:p>
    <w:p>
      <w:pPr>
        <w:pStyle w:val="BodyText"/>
        <w:spacing w:line="235" w:lineRule="exact"/>
        <w:ind w:right="882"/>
        <w:jc w:val="left"/>
      </w:pPr>
      <w:r>
        <w:rPr/>
        <w:t>为医保提供全方位业务监控信息化支撑。</w:t>
      </w:r>
    </w:p>
    <w:p>
      <w:pPr>
        <w:pStyle w:val="BodyText"/>
        <w:spacing w:line="316" w:lineRule="auto" w:before="76"/>
        <w:ind w:left="532" w:right="882"/>
        <w:jc w:val="left"/>
      </w:pPr>
      <w:r>
        <w:rPr/>
        <w:t>⑤基金运行及审计监管系统 通过对管理基金的预决算填报及基金运行数据采集，实现对基金运行状况总体管理，并通过审计模型配合审计规则实</w:t>
      </w:r>
    </w:p>
    <w:p>
      <w:pPr>
        <w:pStyle w:val="BodyText"/>
        <w:spacing w:line="316" w:lineRule="auto" w:before="19"/>
        <w:ind w:right="1034"/>
        <w:jc w:val="left"/>
      </w:pPr>
      <w:r>
        <w:rPr/>
        <w:t>现对基金审计监管，最终达到绩效考核的目的，包括基金运行监管、基金审计监管、分析引擎、基金绩效管理、统计报表、 地方业务财务一体化等功能。</w:t>
      </w:r>
    </w:p>
    <w:p>
      <w:pPr>
        <w:pStyle w:val="BodyText"/>
        <w:spacing w:line="316" w:lineRule="auto" w:before="19"/>
        <w:ind w:left="532" w:right="882" w:firstLine="60"/>
        <w:jc w:val="left"/>
      </w:pPr>
      <w:r>
        <w:rPr/>
        <w:t>⑥医保公共服务平台 主要功能包括实名身份认证、渠道服务（移动</w:t>
      </w:r>
      <w:r>
        <w:rPr>
          <w:rFonts w:ascii="Times New Roman" w:hAnsi="Times New Roman" w:cs="Times New Roman" w:eastAsia="Times New Roman" w:hint="default"/>
        </w:rPr>
        <w:t>APP</w:t>
      </w:r>
      <w:r>
        <w:rPr/>
        <w:t>、网厅、短信、微信</w:t>
      </w:r>
      <w:r>
        <w:rPr>
          <w:rFonts w:ascii="Times New Roman" w:hAnsi="Times New Roman" w:cs="Times New Roman" w:eastAsia="Times New Roman" w:hint="default"/>
        </w:rPr>
        <w:t>/</w:t>
      </w:r>
      <w:r>
        <w:rPr/>
        <w:t>小程序、自助终端）、移动支付、电子凭证码</w:t>
      </w:r>
    </w:p>
    <w:p>
      <w:pPr>
        <w:pStyle w:val="BodyText"/>
        <w:spacing w:line="316" w:lineRule="auto"/>
        <w:ind w:right="1118"/>
        <w:jc w:val="left"/>
      </w:pPr>
      <w:r>
        <w:rPr/>
        <w:t>管理、单位网厅、个人网厅、电子票据打印管理、基层服务、动态维护</w:t>
      </w:r>
      <w:r>
        <w:rPr>
          <w:spacing w:val="6"/>
        </w:rPr>
        <w:t> </w:t>
      </w:r>
      <w:r>
        <w:rPr/>
        <w:t>、医疗保障处方外购服务、专家库个人申请入口、</w:t>
      </w:r>
      <w:r>
        <w:rPr/>
        <w:t> 信息发布、</w:t>
      </w:r>
      <w:r>
        <w:rPr>
          <w:rFonts w:ascii="Times New Roman" w:hAnsi="Times New Roman" w:cs="Times New Roman" w:eastAsia="Times New Roman" w:hint="default"/>
        </w:rPr>
        <w:t>CMS</w:t>
      </w:r>
      <w:r>
        <w:rPr>
          <w:rFonts w:ascii="Times New Roman" w:hAnsi="Times New Roman" w:cs="Times New Roman" w:eastAsia="Times New Roman" w:hint="default"/>
          <w:spacing w:val="43"/>
        </w:rPr>
        <w:t> </w:t>
      </w:r>
      <w:r>
        <w:rPr/>
        <w:t>内容管理、法规政策查询、社会监督、信访管理、法律事务服务、本省特色信息查询等功能。</w:t>
      </w:r>
    </w:p>
    <w:p>
      <w:pPr>
        <w:pStyle w:val="BodyText"/>
        <w:spacing w:line="316" w:lineRule="auto"/>
        <w:ind w:left="532" w:right="882"/>
        <w:jc w:val="left"/>
      </w:pPr>
      <w:r>
        <w:rPr/>
        <w:t>⑦药品和医用耗材招采管理平台 实现统一的药品和医用耗材的招采监督和管理，符合国家医疗保障局规范，支撑各地医保部门的药品和医用耗材招标</w:t>
      </w:r>
    </w:p>
    <w:p>
      <w:pPr>
        <w:pStyle w:val="BodyText"/>
        <w:spacing w:line="240" w:lineRule="auto" w:before="19"/>
        <w:ind w:right="882"/>
        <w:jc w:val="left"/>
      </w:pPr>
      <w:r>
        <w:rPr/>
        <w:t>采购工作。</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spacing w:line="300" w:lineRule="auto" w:before="44"/>
        <w:ind w:left="537" w:right="1192" w:hanging="154"/>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DRGs</w:t>
      </w:r>
      <w:r>
        <w:rPr>
          <w:rFonts w:ascii="宋体" w:hAnsi="宋体" w:cs="宋体" w:eastAsia="宋体" w:hint="default"/>
          <w:b/>
          <w:bCs/>
          <w:sz w:val="18"/>
          <w:szCs w:val="18"/>
        </w:rPr>
        <w:t>统一分组和服务平台</w:t>
      </w:r>
      <w:r>
        <w:rPr>
          <w:rFonts w:ascii="宋体" w:hAnsi="宋体" w:cs="宋体" w:eastAsia="宋体" w:hint="default"/>
          <w:b/>
          <w:bCs/>
          <w:w w:val="99"/>
          <w:sz w:val="18"/>
          <w:szCs w:val="18"/>
        </w:rPr>
        <w:t> </w:t>
      </w:r>
      <w:r>
        <w:rPr>
          <w:rFonts w:ascii="宋体" w:hAnsi="宋体" w:cs="宋体" w:eastAsia="宋体" w:hint="default"/>
          <w:spacing w:val="-2"/>
          <w:sz w:val="18"/>
          <w:szCs w:val="18"/>
        </w:rPr>
        <w:t>本平台可自主定义分组方法和配置入组规则，能支持主流的各种</w:t>
      </w:r>
      <w:r>
        <w:rPr>
          <w:rFonts w:ascii="Times New Roman" w:hAnsi="Times New Roman" w:cs="Times New Roman" w:eastAsia="Times New Roman" w:hint="default"/>
          <w:spacing w:val="-2"/>
          <w:sz w:val="18"/>
          <w:szCs w:val="18"/>
        </w:rPr>
        <w:t>DRGs</w:t>
      </w:r>
      <w:r>
        <w:rPr>
          <w:rFonts w:ascii="宋体" w:hAnsi="宋体" w:cs="宋体" w:eastAsia="宋体" w:hint="default"/>
          <w:spacing w:val="-2"/>
          <w:sz w:val="18"/>
          <w:szCs w:val="18"/>
        </w:rPr>
        <w:t>分组方法，包括国家新发布的</w:t>
      </w:r>
      <w:r>
        <w:rPr>
          <w:rFonts w:ascii="Times New Roman" w:hAnsi="Times New Roman" w:cs="Times New Roman" w:eastAsia="Times New Roman" w:hint="default"/>
          <w:spacing w:val="-2"/>
          <w:sz w:val="18"/>
          <w:szCs w:val="18"/>
        </w:rPr>
        <w:t>CHS-DRGs</w:t>
      </w:r>
      <w:r>
        <w:rPr>
          <w:rFonts w:ascii="宋体" w:hAnsi="宋体" w:cs="宋体" w:eastAsia="宋体" w:hint="default"/>
          <w:spacing w:val="-2"/>
          <w:sz w:val="18"/>
          <w:szCs w:val="18"/>
        </w:rPr>
        <w:t>。平台</w:t>
      </w:r>
    </w:p>
    <w:p>
      <w:pPr>
        <w:pStyle w:val="BodyText"/>
        <w:spacing w:line="300" w:lineRule="auto" w:before="13"/>
        <w:ind w:right="1195"/>
        <w:jc w:val="both"/>
      </w:pPr>
      <w:r>
        <w:rPr/>
        <w:t>支持多种病案采集方式，能自动完成对病案数据的</w:t>
      </w:r>
      <w:r>
        <w:rPr>
          <w:rFonts w:ascii="Times New Roman" w:hAnsi="Times New Roman" w:cs="Times New Roman" w:eastAsia="Times New Roman" w:hint="default"/>
        </w:rPr>
        <w:t>DRGs</w:t>
      </w:r>
      <w:r>
        <w:rPr/>
        <w:t>入组处理。平台基于历史数据的</w:t>
      </w:r>
      <w:r>
        <w:rPr>
          <w:rFonts w:ascii="Times New Roman" w:hAnsi="Times New Roman" w:cs="Times New Roman" w:eastAsia="Times New Roman" w:hint="default"/>
        </w:rPr>
        <w:t>DRGs</w:t>
      </w:r>
      <w:r>
        <w:rPr/>
        <w:t>分组结果能形成度量衡，并</w:t>
      </w:r>
      <w:r>
        <w:rPr>
          <w:spacing w:val="-63"/>
        </w:rPr>
        <w:t> </w:t>
      </w:r>
      <w:r>
        <w:rPr>
          <w:spacing w:val="-63"/>
        </w:rPr>
      </w:r>
      <w:r>
        <w:rPr>
          <w:spacing w:val="-2"/>
        </w:rPr>
        <w:t>使用度量衡可广泛开展基于</w:t>
      </w:r>
      <w:r>
        <w:rPr>
          <w:rFonts w:ascii="Times New Roman" w:hAnsi="Times New Roman" w:cs="Times New Roman" w:eastAsia="Times New Roman" w:hint="default"/>
          <w:spacing w:val="-2"/>
        </w:rPr>
        <w:t>DRGs</w:t>
      </w:r>
      <w:r>
        <w:rPr>
          <w:spacing w:val="-2"/>
        </w:rPr>
        <w:t>的绩效管理、数据治理、付费改革、成本控制、学科研究、学科评价、医疗服务评价、分</w:t>
      </w:r>
      <w:r>
        <w:rPr>
          <w:spacing w:val="-42"/>
        </w:rPr>
        <w:t> </w:t>
      </w:r>
      <w:r>
        <w:rPr>
          <w:spacing w:val="-42"/>
        </w:rPr>
      </w:r>
      <w:r>
        <w:rPr/>
        <w:t>级诊疗决策、机构定位等业务应用。</w:t>
      </w:r>
    </w:p>
    <w:p>
      <w:pPr>
        <w:pStyle w:val="BodyText"/>
        <w:spacing w:line="300" w:lineRule="auto" w:before="31"/>
        <w:ind w:right="882" w:firstLine="424"/>
        <w:jc w:val="left"/>
      </w:pPr>
      <w:r>
        <w:rPr/>
        <w:t>基于本</w:t>
      </w:r>
      <w:r>
        <w:rPr>
          <w:rFonts w:ascii="Times New Roman" w:hAnsi="Times New Roman" w:cs="Times New Roman" w:eastAsia="Times New Roman" w:hint="default"/>
        </w:rPr>
        <w:t>DRGs</w:t>
      </w:r>
      <w:r>
        <w:rPr/>
        <w:t>平台能全方面为医保局、卫健委（局）和医疗机构（医院）在医疗质量、医保支付、成本管理、决策分 析等垂直领域提供基于</w:t>
      </w:r>
      <w:r>
        <w:rPr>
          <w:rFonts w:ascii="Times New Roman" w:hAnsi="Times New Roman" w:cs="Times New Roman" w:eastAsia="Times New Roman" w:hint="default"/>
        </w:rPr>
        <w:t>DRGs</w:t>
      </w:r>
      <w:r>
        <w:rPr/>
        <w:t>体系相关的支撑服务。</w:t>
      </w:r>
    </w:p>
    <w:p>
      <w:pPr>
        <w:spacing w:line="300" w:lineRule="auto" w:before="13"/>
        <w:ind w:left="532" w:right="882" w:hanging="149"/>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）商业医保服务和支付平台</w:t>
      </w:r>
      <w:r>
        <w:rPr>
          <w:rFonts w:ascii="宋体" w:hAnsi="宋体" w:cs="宋体" w:eastAsia="宋体" w:hint="default"/>
          <w:b/>
          <w:bCs/>
          <w:w w:val="99"/>
          <w:sz w:val="18"/>
          <w:szCs w:val="18"/>
        </w:rPr>
        <w:t> </w:t>
      </w:r>
      <w:r>
        <w:rPr>
          <w:rFonts w:ascii="宋体" w:hAnsi="宋体" w:cs="宋体" w:eastAsia="宋体" w:hint="default"/>
          <w:sz w:val="18"/>
          <w:szCs w:val="18"/>
        </w:rPr>
        <w:t>商业医保服务和支付平台通过线上理赔功能，为商保患者提供商业保险快速结算“一站式”服务，解决商保理赔慢、</w:t>
      </w:r>
    </w:p>
    <w:p>
      <w:pPr>
        <w:pStyle w:val="BodyText"/>
        <w:spacing w:line="316" w:lineRule="auto" w:before="31"/>
        <w:ind w:right="1125"/>
        <w:jc w:val="both"/>
      </w:pPr>
      <w:r>
        <w:rPr>
          <w:spacing w:val="-6"/>
        </w:rPr>
        <w:t>报销慢、手续繁的痛点，节省时间，提高效率，减轻就医经济负担，提高商保患者满意度。改善商保患者理赔体验，提升</w:t>
      </w:r>
      <w:r>
        <w:rPr>
          <w:spacing w:val="-30"/>
        </w:rPr>
        <w:t> </w:t>
      </w:r>
      <w:r>
        <w:rPr/>
        <w:t>“互</w:t>
      </w:r>
      <w:r>
        <w:rPr/>
        <w:t> 联网＋”服务能力。</w:t>
      </w:r>
    </w:p>
    <w:p>
      <w:pPr>
        <w:pStyle w:val="BodyText"/>
        <w:spacing w:line="300" w:lineRule="auto" w:before="19"/>
        <w:ind w:right="882" w:firstLine="420"/>
        <w:jc w:val="left"/>
      </w:pPr>
      <w:r>
        <w:rPr/>
        <w:t>平台还提供线上、线下丰富的支付入口（收费窗口、自助设备、手机</w:t>
      </w:r>
      <w:r>
        <w:rPr>
          <w:rFonts w:ascii="Times New Roman" w:hAnsi="Times New Roman" w:cs="Times New Roman" w:eastAsia="Times New Roman" w:hint="default"/>
        </w:rPr>
        <w:t>APP</w:t>
      </w:r>
      <w:r>
        <w:rPr/>
        <w:t>、支付宝生活号、微信公众号等），可为患 者、医疗机构、保险机构提供 “医保</w:t>
      </w:r>
      <w:r>
        <w:rPr>
          <w:rFonts w:ascii="Times New Roman" w:hAnsi="Times New Roman" w:cs="Times New Roman" w:eastAsia="Times New Roman" w:hint="default"/>
        </w:rPr>
        <w:t>+</w:t>
      </w:r>
      <w:r>
        <w:rPr/>
        <w:t>商保</w:t>
      </w:r>
      <w:r>
        <w:rPr>
          <w:rFonts w:ascii="Times New Roman" w:hAnsi="Times New Roman" w:cs="Times New Roman" w:eastAsia="Times New Roman" w:hint="default"/>
        </w:rPr>
        <w:t>+</w:t>
      </w:r>
      <w:r>
        <w:rPr/>
        <w:t>自费”一站式医疗支付结算解决方案，优化医疗机构和患者就诊结算体验。</w:t>
      </w:r>
    </w:p>
    <w:p>
      <w:pPr>
        <w:pStyle w:val="Heading5"/>
        <w:spacing w:line="240" w:lineRule="auto" w:before="51"/>
        <w:ind w:left="475" w:right="882"/>
        <w:jc w:val="left"/>
        <w:rPr>
          <w:b w:val="0"/>
          <w:bCs w:val="0"/>
        </w:rPr>
      </w:pPr>
      <w:r>
        <w:rPr/>
        <w:t>（二）经营模式介绍</w:t>
      </w:r>
      <w:r>
        <w:rPr>
          <w:b w:val="0"/>
          <w:bCs w:val="0"/>
        </w:rPr>
      </w:r>
    </w:p>
    <w:p>
      <w:pPr>
        <w:pStyle w:val="BodyText"/>
        <w:spacing w:line="340" w:lineRule="auto" w:before="117"/>
        <w:ind w:left="472" w:right="882"/>
        <w:jc w:val="left"/>
      </w:pPr>
      <w:r>
        <w:rPr>
          <w:rFonts w:ascii="Times New Roman" w:hAnsi="Times New Roman" w:cs="Times New Roman" w:eastAsia="Times New Roman" w:hint="default"/>
        </w:rPr>
        <w:t>1</w:t>
      </w:r>
      <w:r>
        <w:rPr/>
        <w:t>、营销模式 </w:t>
      </w:r>
      <w:r>
        <w:rPr>
          <w:spacing w:val="-2"/>
        </w:rPr>
        <w:t>公司基于各产品事业部销售、各区域营销中心销售两个层次的业务销售体系。各事业部根据发展战略，结合自身所具有</w:t>
      </w:r>
    </w:p>
    <w:p>
      <w:pPr>
        <w:pStyle w:val="BodyText"/>
        <w:spacing w:line="316" w:lineRule="auto" w:before="1"/>
        <w:ind w:right="1132"/>
        <w:jc w:val="both"/>
      </w:pPr>
      <w:r>
        <w:rPr>
          <w:spacing w:val="-2"/>
        </w:rPr>
        <w:t>核心技术，确定产品和服务，提出业务方向。区域营销中心根据各事业部提出的产品和服务，在各区域进行相关产品的推广</w:t>
      </w:r>
      <w:r>
        <w:rPr>
          <w:spacing w:val="-66"/>
        </w:rPr>
        <w:t> </w:t>
      </w:r>
      <w:r>
        <w:rPr>
          <w:spacing w:val="-66"/>
        </w:rPr>
      </w:r>
      <w:r>
        <w:rPr/>
        <w:t>和营销。</w:t>
      </w:r>
    </w:p>
    <w:p>
      <w:pPr>
        <w:pStyle w:val="BodyText"/>
        <w:spacing w:line="316" w:lineRule="auto" w:before="57"/>
        <w:ind w:right="882" w:firstLine="360"/>
        <w:jc w:val="left"/>
      </w:pPr>
      <w:r>
        <w:rPr>
          <w:spacing w:val="-2"/>
        </w:rPr>
        <w:t>公司销售模式采用直销模式销售，销售的主要内容为医疗卫生信息化应用软件销售、运营维护服务（包括软件定制开发</w:t>
      </w:r>
      <w:r>
        <w:rPr/>
        <w:t> 技术服务、软硬件运维服务等）、基于信息技术的系统集成业务。</w:t>
      </w:r>
    </w:p>
    <w:p>
      <w:pPr>
        <w:pStyle w:val="BodyText"/>
        <w:spacing w:line="348" w:lineRule="auto" w:before="59"/>
        <w:ind w:left="472" w:right="1034"/>
        <w:jc w:val="left"/>
      </w:pPr>
      <w:r>
        <w:rPr>
          <w:rFonts w:ascii="Times New Roman" w:hAnsi="Times New Roman" w:cs="Times New Roman" w:eastAsia="Times New Roman" w:hint="default"/>
        </w:rPr>
        <w:t>2</w:t>
      </w:r>
      <w:r>
        <w:rPr/>
        <w:t>、采购模式 公司主要采用定量采购模式，即按照项目实施进度进行采购；采购内容主要包括计算机硬件、外购软件以及外购劳务。 </w:t>
      </w:r>
      <w:r>
        <w:rPr>
          <w:rFonts w:ascii="Times New Roman" w:hAnsi="Times New Roman" w:cs="Times New Roman" w:eastAsia="Times New Roman" w:hint="default"/>
        </w:rPr>
        <w:t>3</w:t>
      </w:r>
      <w:r>
        <w:rPr/>
        <w:t>、生产模式</w:t>
      </w:r>
    </w:p>
    <w:p>
      <w:pPr>
        <w:pStyle w:val="BodyText"/>
        <w:spacing w:line="357" w:lineRule="auto" w:before="14"/>
        <w:ind w:left="472" w:right="882"/>
        <w:jc w:val="left"/>
      </w:pPr>
      <w:r>
        <w:rPr/>
        <w:t>软件产品销售：以公司研发软件产品为基础，依据客户合同，提供相应软件并进行现场配置。 技术服务：按客户需求提供相应服务内容包括软件定制开发服务、软件运维服务、运营服务等。 </w:t>
      </w:r>
      <w:r>
        <w:rPr>
          <w:spacing w:val="-2"/>
        </w:rPr>
        <w:t>系统集成：硬件采购、集成服务、以与客户确认的需求确认书、招投标文件及合同为基础，进行调研、框架设计、组织</w:t>
      </w:r>
    </w:p>
    <w:p>
      <w:pPr>
        <w:pStyle w:val="BodyText"/>
        <w:spacing w:line="224" w:lineRule="exact"/>
        <w:ind w:right="0"/>
        <w:jc w:val="both"/>
      </w:pPr>
      <w:r>
        <w:rPr/>
        <w:t>实施和工程交付。</w:t>
      </w:r>
    </w:p>
    <w:p>
      <w:pPr>
        <w:pStyle w:val="BodyText"/>
        <w:spacing w:line="340" w:lineRule="auto" w:before="117"/>
        <w:ind w:left="472" w:right="1163"/>
        <w:jc w:val="left"/>
      </w:pPr>
      <w:r>
        <w:rPr>
          <w:rFonts w:ascii="Times New Roman" w:hAnsi="Times New Roman" w:cs="Times New Roman" w:eastAsia="Times New Roman" w:hint="default"/>
        </w:rPr>
        <w:t>4</w:t>
      </w:r>
      <w:r>
        <w:rPr/>
        <w:t>、研发模式 公司研发部门组织研发人员按照</w:t>
      </w:r>
      <w:r>
        <w:rPr>
          <w:rFonts w:ascii="Times New Roman" w:hAnsi="Times New Roman" w:cs="Times New Roman" w:eastAsia="Times New Roman" w:hint="default"/>
        </w:rPr>
        <w:t>CMMI5</w:t>
      </w:r>
      <w:r>
        <w:rPr/>
        <w:t>软件成熟度开发流程执行研发任务；开发过程中，同时由质量保证部门按照质</w:t>
      </w:r>
    </w:p>
    <w:p>
      <w:pPr>
        <w:pStyle w:val="BodyText"/>
        <w:spacing w:line="215" w:lineRule="exact"/>
        <w:ind w:right="882"/>
        <w:jc w:val="left"/>
      </w:pPr>
      <w:r>
        <w:rPr/>
        <w:t>量</w:t>
      </w:r>
    </w:p>
    <w:p>
      <w:pPr>
        <w:pStyle w:val="BodyText"/>
        <w:spacing w:line="240" w:lineRule="auto" w:before="115"/>
        <w:ind w:left="472" w:right="882"/>
        <w:jc w:val="left"/>
      </w:pPr>
      <w:r>
        <w:rPr/>
        <w:t>管理体系对研发流程进行质量控制和产品测试。公司坚持“自主研发为主，产学研合作为辅”的原则，通过原始创新、</w:t>
      </w:r>
    </w:p>
    <w:p>
      <w:pPr>
        <w:pStyle w:val="BodyText"/>
        <w:spacing w:line="240" w:lineRule="auto" w:before="76"/>
        <w:ind w:right="0"/>
        <w:jc w:val="both"/>
      </w:pPr>
      <w:r>
        <w:rPr/>
        <w:t>集成创新、应用创新等多种途径，掌握了一批具有行业竞争力的核心技术，其先进性和成熟度均居国内前列。</w:t>
      </w:r>
    </w:p>
    <w:p>
      <w:pPr>
        <w:pStyle w:val="Heading5"/>
        <w:spacing w:line="240" w:lineRule="auto" w:before="117"/>
        <w:ind w:left="475" w:right="882"/>
        <w:jc w:val="left"/>
        <w:rPr>
          <w:b w:val="0"/>
          <w:bCs w:val="0"/>
        </w:rPr>
      </w:pPr>
      <w:r>
        <w:rPr/>
        <w:t>（三）所处行业基本情况</w:t>
      </w:r>
      <w:r>
        <w:rPr>
          <w:b w:val="0"/>
          <w:bCs w:val="0"/>
        </w:rPr>
      </w:r>
    </w:p>
    <w:p>
      <w:pPr>
        <w:pStyle w:val="BodyText"/>
        <w:spacing w:line="300" w:lineRule="auto" w:before="76"/>
        <w:ind w:left="472" w:right="882"/>
        <w:jc w:val="left"/>
      </w:pPr>
      <w:r>
        <w:rPr>
          <w:rFonts w:ascii="Times New Roman" w:hAnsi="Times New Roman" w:cs="Times New Roman" w:eastAsia="Times New Roman" w:hint="default"/>
          <w:b/>
          <w:bCs/>
        </w:rPr>
        <w:t>1</w:t>
      </w:r>
      <w:r>
        <w:rPr>
          <w:rFonts w:ascii="宋体" w:hAnsi="宋体" w:cs="宋体" w:eastAsia="宋体" w:hint="default"/>
          <w:b/>
          <w:bCs/>
        </w:rPr>
        <w:t>、所处行业的发展情况</w:t>
      </w:r>
      <w:r>
        <w:rPr>
          <w:rFonts w:ascii="宋体" w:hAnsi="宋体" w:cs="宋体" w:eastAsia="宋体" w:hint="default"/>
          <w:b/>
          <w:bCs/>
          <w:w w:val="99"/>
        </w:rPr>
        <w:t> </w:t>
      </w:r>
      <w:r>
        <w:rPr>
          <w:spacing w:val="-2"/>
        </w:rPr>
        <w:t>软件产业属于国家鼓励发展的战略性、基础性和先导性支柱产业，国务院及有关部门颁布了鼓励软件产业发展的一系列</w:t>
      </w:r>
    </w:p>
    <w:p>
      <w:pPr>
        <w:pStyle w:val="BodyText"/>
        <w:spacing w:line="316" w:lineRule="auto" w:before="31"/>
        <w:ind w:right="1132"/>
        <w:jc w:val="both"/>
      </w:pPr>
      <w:r>
        <w:rPr>
          <w:spacing w:val="-2"/>
        </w:rPr>
        <w:t>优惠政策，为行业发展建立了良好的政策环境。同时，随着中国人口的老龄化问题正在逐渐加剧，老龄人口的持续增长叠加</w:t>
      </w:r>
      <w:r>
        <w:rPr>
          <w:spacing w:val="-66"/>
        </w:rPr>
        <w:t> </w:t>
      </w:r>
      <w:r>
        <w:rPr>
          <w:spacing w:val="-66"/>
        </w:rPr>
      </w:r>
      <w:r>
        <w:rPr>
          <w:spacing w:val="-2"/>
        </w:rPr>
        <w:t>上其他诸如慢性病发病率走高，城镇医保基金的缺口正呈现逐步扩大等因素，使得国家越来越重视软件行业的细分行业医疗</w:t>
      </w:r>
      <w:r>
        <w:rPr>
          <w:spacing w:val="-64"/>
        </w:rPr>
        <w:t> </w:t>
      </w:r>
      <w:r>
        <w:rPr>
          <w:spacing w:val="-64"/>
        </w:rPr>
      </w:r>
      <w:r>
        <w:rPr/>
        <w:t>信息化行业。</w:t>
      </w:r>
    </w:p>
    <w:p>
      <w:pPr>
        <w:pStyle w:val="BodyText"/>
        <w:spacing w:line="309" w:lineRule="auto" w:before="19"/>
        <w:ind w:right="882" w:firstLine="360"/>
        <w:jc w:val="left"/>
      </w:pPr>
      <w:r>
        <w:rPr/>
        <w:t>十九大以来，党中央、国务院高度重视“互联网</w:t>
      </w:r>
      <w:r>
        <w:rPr>
          <w:rFonts w:ascii="Times New Roman" w:hAnsi="Times New Roman" w:cs="Times New Roman" w:eastAsia="Times New Roman" w:hint="default"/>
        </w:rPr>
        <w:t>+</w:t>
      </w:r>
      <w:r>
        <w:rPr/>
        <w:t>医疗健康”工作。习近平总书记指出，要推进“互联网</w:t>
      </w:r>
      <w:r>
        <w:rPr>
          <w:rFonts w:ascii="Times New Roman" w:hAnsi="Times New Roman" w:cs="Times New Roman" w:eastAsia="Times New Roman" w:hint="default"/>
        </w:rPr>
        <w:t>+</w:t>
      </w:r>
      <w:r>
        <w:rPr/>
        <w:t>医疗”，要 </w:t>
      </w:r>
      <w:r>
        <w:rPr>
          <w:spacing w:val="-2"/>
        </w:rPr>
        <w:t>求不断提升公共服务均等化、普惠化、便捷化水平。近年来，医疗信息化领域的政策密集出台，医疗信息化成为政策推进的</w:t>
      </w:r>
      <w:r>
        <w:rPr>
          <w:spacing w:val="-65"/>
        </w:rPr>
        <w:t> </w:t>
      </w:r>
      <w:r>
        <w:rPr>
          <w:spacing w:val="-65"/>
        </w:rPr>
      </w:r>
      <w:r>
        <w:rPr/>
        <w:t>重点，行业的景气度逐年提高。</w:t>
      </w:r>
    </w:p>
    <w:p>
      <w:pPr>
        <w:pStyle w:val="BodyText"/>
        <w:spacing w:line="300" w:lineRule="auto" w:before="24"/>
        <w:ind w:right="882" w:firstLine="360"/>
        <w:jc w:val="left"/>
      </w:pPr>
      <w:r>
        <w:rPr/>
        <w:t>根据</w:t>
      </w:r>
      <w:r>
        <w:rPr>
          <w:rFonts w:ascii="Times New Roman" w:hAnsi="Times New Roman" w:cs="Times New Roman" w:eastAsia="Times New Roman" w:hint="default"/>
        </w:rPr>
        <w:t>IDC</w:t>
      </w:r>
      <w:r>
        <w:rPr/>
        <w:t>发布的《中国医疗行业</w:t>
      </w:r>
      <w:r>
        <w:rPr>
          <w:rFonts w:ascii="Times New Roman" w:hAnsi="Times New Roman" w:cs="Times New Roman" w:eastAsia="Times New Roman" w:hint="default"/>
        </w:rPr>
        <w:t>IT</w:t>
      </w:r>
      <w:r>
        <w:rPr/>
        <w:t>市场预测，</w:t>
      </w:r>
      <w:r>
        <w:rPr>
          <w:rFonts w:ascii="Times New Roman" w:hAnsi="Times New Roman" w:cs="Times New Roman" w:eastAsia="Times New Roman" w:hint="default"/>
        </w:rPr>
        <w:t>2019-2023</w:t>
      </w:r>
      <w:r>
        <w:rPr/>
        <w:t>》，我国</w:t>
      </w:r>
      <w:r>
        <w:rPr>
          <w:rFonts w:ascii="Times New Roman" w:hAnsi="Times New Roman" w:cs="Times New Roman" w:eastAsia="Times New Roman" w:hint="default"/>
        </w:rPr>
        <w:t>2018</w:t>
      </w:r>
      <w:r>
        <w:rPr/>
        <w:t>年医疗卫生信息化市场规模达</w:t>
      </w:r>
      <w:r>
        <w:rPr>
          <w:rFonts w:ascii="Times New Roman" w:hAnsi="Times New Roman" w:cs="Times New Roman" w:eastAsia="Times New Roman" w:hint="default"/>
        </w:rPr>
        <w:t>491.8</w:t>
      </w:r>
      <w:r>
        <w:rPr/>
        <w:t>亿元，较</w:t>
      </w:r>
      <w:r>
        <w:rPr>
          <w:rFonts w:ascii="Times New Roman" w:hAnsi="Times New Roman" w:cs="Times New Roman" w:eastAsia="Times New Roman" w:hint="default"/>
        </w:rPr>
        <w:t>2017 </w:t>
      </w:r>
      <w:r>
        <w:rPr/>
        <w:t>年度同比增长</w:t>
      </w:r>
      <w:r>
        <w:rPr>
          <w:rFonts w:ascii="Times New Roman" w:hAnsi="Times New Roman" w:cs="Times New Roman" w:eastAsia="Times New Roman" w:hint="default"/>
        </w:rPr>
        <w:t>15.04%</w:t>
      </w:r>
      <w:r>
        <w:rPr/>
        <w:t>。同时</w:t>
      </w:r>
      <w:r>
        <w:rPr>
          <w:rFonts w:ascii="Times New Roman" w:hAnsi="Times New Roman" w:cs="Times New Roman" w:eastAsia="Times New Roman" w:hint="default"/>
        </w:rPr>
        <w:t>IDC</w:t>
      </w:r>
      <w:r>
        <w:rPr/>
        <w:t>还预测到</w:t>
      </w:r>
      <w:r>
        <w:rPr>
          <w:rFonts w:ascii="Times New Roman" w:hAnsi="Times New Roman" w:cs="Times New Roman" w:eastAsia="Times New Roman" w:hint="default"/>
        </w:rPr>
        <w:t>2023</w:t>
      </w:r>
      <w:r>
        <w:rPr/>
        <w:t>年预计将达到</w:t>
      </w:r>
      <w:r>
        <w:rPr>
          <w:rFonts w:ascii="Times New Roman" w:hAnsi="Times New Roman" w:cs="Times New Roman" w:eastAsia="Times New Roman" w:hint="default"/>
        </w:rPr>
        <w:t>792.0</w:t>
      </w:r>
      <w:r>
        <w:rPr/>
        <w:t>亿元，行业前景广阔。</w:t>
      </w:r>
    </w:p>
    <w:p>
      <w:pPr>
        <w:spacing w:after="0" w:line="30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left="2904" w:right="882"/>
        <w:jc w:val="left"/>
        <w:rPr>
          <w:b w:val="0"/>
          <w:bCs w:val="0"/>
        </w:rPr>
      </w:pPr>
      <w:r>
        <w:rPr>
          <w:rFonts w:ascii="Times New Roman" w:hAnsi="Times New Roman" w:cs="Times New Roman" w:eastAsia="Times New Roman" w:hint="default"/>
        </w:rPr>
        <w:t>2014-2023</w:t>
      </w:r>
      <w:r>
        <w:rPr/>
        <w:t>年中国医疗信息化投入情况及预测</w:t>
      </w:r>
      <w:r>
        <w:rPr>
          <w:b w:val="0"/>
          <w:bCs w:val="0"/>
        </w:rPr>
      </w:r>
    </w:p>
    <w:p>
      <w:pPr>
        <w:spacing w:line="240" w:lineRule="auto" w:before="8"/>
        <w:rPr>
          <w:rFonts w:ascii="宋体" w:hAnsi="宋体" w:cs="宋体" w:eastAsia="宋体" w:hint="default"/>
          <w:b/>
          <w:bCs/>
          <w:sz w:val="12"/>
          <w:szCs w:val="12"/>
        </w:rPr>
      </w:pPr>
    </w:p>
    <w:p>
      <w:pPr>
        <w:spacing w:line="4339" w:lineRule="exact"/>
        <w:ind w:left="1317" w:right="0" w:firstLine="0"/>
        <w:rPr>
          <w:rFonts w:ascii="宋体" w:hAnsi="宋体" w:cs="宋体" w:eastAsia="宋体" w:hint="default"/>
          <w:sz w:val="20"/>
          <w:szCs w:val="20"/>
        </w:rPr>
      </w:pPr>
      <w:r>
        <w:rPr>
          <w:rFonts w:ascii="宋体" w:hAnsi="宋体" w:cs="宋体" w:eastAsia="宋体" w:hint="default"/>
          <w:position w:val="-86"/>
          <w:sz w:val="20"/>
          <w:szCs w:val="20"/>
        </w:rPr>
        <w:drawing>
          <wp:inline distT="0" distB="0" distL="0" distR="0">
            <wp:extent cx="4584191" cy="2755392"/>
            <wp:effectExtent l="0" t="0" r="0" b="0"/>
            <wp:docPr id="17" name="image10.png" descr=""/>
            <wp:cNvGraphicFramePr>
              <a:graphicFrameLocks noChangeAspect="1"/>
            </wp:cNvGraphicFramePr>
            <a:graphic>
              <a:graphicData uri="http://schemas.openxmlformats.org/drawingml/2006/picture">
                <pic:pic>
                  <pic:nvPicPr>
                    <pic:cNvPr id="18" name="image10.png"/>
                    <pic:cNvPicPr/>
                  </pic:nvPicPr>
                  <pic:blipFill>
                    <a:blip r:embed="rId24" cstate="print"/>
                    <a:stretch>
                      <a:fillRect/>
                    </a:stretch>
                  </pic:blipFill>
                  <pic:spPr>
                    <a:xfrm>
                      <a:off x="0" y="0"/>
                      <a:ext cx="4584191" cy="2755392"/>
                    </a:xfrm>
                    <a:prstGeom prst="rect">
                      <a:avLst/>
                    </a:prstGeom>
                  </pic:spPr>
                </pic:pic>
              </a:graphicData>
            </a:graphic>
          </wp:inline>
        </w:drawing>
      </w:r>
      <w:r>
        <w:rPr>
          <w:rFonts w:ascii="宋体" w:hAnsi="宋体" w:cs="宋体" w:eastAsia="宋体" w:hint="default"/>
          <w:position w:val="-86"/>
          <w:sz w:val="20"/>
          <w:szCs w:val="20"/>
        </w:rPr>
      </w:r>
    </w:p>
    <w:p>
      <w:pPr>
        <w:pStyle w:val="Heading4"/>
        <w:spacing w:line="240" w:lineRule="auto" w:before="125"/>
        <w:ind w:left="7063" w:right="882"/>
        <w:jc w:val="left"/>
        <w:rPr>
          <w:rFonts w:ascii="Times New Roman" w:hAnsi="Times New Roman" w:cs="Times New Roman" w:eastAsia="Times New Roman" w:hint="default"/>
        </w:rPr>
      </w:pPr>
      <w:r>
        <w:rPr/>
        <w:t>资料来源：</w:t>
      </w:r>
      <w:r>
        <w:rPr>
          <w:rFonts w:ascii="Times New Roman" w:hAnsi="Times New Roman" w:cs="Times New Roman" w:eastAsia="Times New Roman" w:hint="default"/>
        </w:rPr>
        <w:t>IDC</w:t>
      </w:r>
    </w:p>
    <w:p>
      <w:pPr>
        <w:spacing w:line="240" w:lineRule="auto" w:before="7"/>
        <w:rPr>
          <w:rFonts w:ascii="Times New Roman" w:hAnsi="Times New Roman" w:cs="Times New Roman" w:eastAsia="Times New Roman" w:hint="default"/>
          <w:sz w:val="10"/>
          <w:szCs w:val="10"/>
        </w:rPr>
      </w:pPr>
    </w:p>
    <w:p>
      <w:pPr>
        <w:pStyle w:val="BodyText"/>
        <w:spacing w:line="300" w:lineRule="auto" w:before="44"/>
        <w:ind w:left="472" w:right="1124" w:firstLine="60"/>
        <w:jc w:val="left"/>
      </w:pPr>
      <w:r>
        <w:rPr>
          <w:rFonts w:ascii="Times New Roman" w:hAnsi="Times New Roman" w:cs="Times New Roman" w:eastAsia="Times New Roman" w:hint="default"/>
          <w:b/>
          <w:bCs/>
        </w:rPr>
        <w:t>2</w:t>
      </w:r>
      <w:r>
        <w:rPr>
          <w:rFonts w:ascii="宋体" w:hAnsi="宋体" w:cs="宋体" w:eastAsia="宋体" w:hint="default"/>
          <w:b/>
          <w:bCs/>
        </w:rPr>
        <w:t>、公司所处行业地位</w:t>
      </w:r>
      <w:r>
        <w:rPr>
          <w:rFonts w:ascii="宋体" w:hAnsi="宋体" w:cs="宋体" w:eastAsia="宋体" w:hint="default"/>
          <w:b/>
          <w:bCs/>
          <w:w w:val="99"/>
        </w:rPr>
        <w:t> </w:t>
      </w:r>
      <w:r>
        <w:rPr/>
        <w:t>随着公司的不断发展，公司市场地位也在不断的巩固和加强。目前公司拥有八大系列</w:t>
      </w:r>
      <w:r>
        <w:rPr>
          <w:rFonts w:ascii="Times New Roman" w:hAnsi="Times New Roman" w:cs="Times New Roman" w:eastAsia="Times New Roman" w:hint="default"/>
        </w:rPr>
        <w:t>300</w:t>
      </w:r>
      <w:r>
        <w:rPr/>
        <w:t>多个自主研发产品，</w:t>
      </w:r>
      <w:r>
        <w:rPr>
          <w:rFonts w:ascii="Times New Roman" w:hAnsi="Times New Roman" w:cs="Times New Roman" w:eastAsia="Times New Roman" w:hint="default"/>
        </w:rPr>
        <w:t>13</w:t>
      </w:r>
      <w:r>
        <w:rPr/>
        <w:t>项发明</w:t>
      </w:r>
    </w:p>
    <w:p>
      <w:pPr>
        <w:pStyle w:val="BodyText"/>
        <w:spacing w:line="300" w:lineRule="auto" w:before="13"/>
        <w:ind w:right="882"/>
        <w:jc w:val="left"/>
      </w:pPr>
      <w:r>
        <w:rPr/>
        <w:t>专利，营销网络遍及全国</w:t>
      </w:r>
      <w:r>
        <w:rPr>
          <w:rFonts w:ascii="Times New Roman" w:hAnsi="Times New Roman" w:cs="Times New Roman" w:eastAsia="Times New Roman" w:hint="default"/>
        </w:rPr>
        <w:t>30</w:t>
      </w:r>
      <w:r>
        <w:rPr/>
        <w:t>多个省、自治区及直辖市，全国客户数量达</w:t>
      </w:r>
      <w:r>
        <w:rPr>
          <w:rFonts w:ascii="Times New Roman" w:hAnsi="Times New Roman" w:cs="Times New Roman" w:eastAsia="Times New Roman" w:hint="default"/>
        </w:rPr>
        <w:t>6000</w:t>
      </w:r>
      <w:r>
        <w:rPr/>
        <w:t>多家，先后承担了国家电子发展基金项目等</w:t>
      </w:r>
      <w:r>
        <w:rPr>
          <w:rFonts w:ascii="Times New Roman" w:hAnsi="Times New Roman" w:cs="Times New Roman" w:eastAsia="Times New Roman" w:hint="default"/>
        </w:rPr>
        <w:t>40</w:t>
      </w:r>
      <w:r>
        <w:rPr>
          <w:rFonts w:ascii="Times New Roman" w:hAnsi="Times New Roman" w:cs="Times New Roman" w:eastAsia="Times New Roman" w:hint="default"/>
          <w:spacing w:val="36"/>
        </w:rPr>
        <w:t> </w:t>
      </w:r>
      <w:r>
        <w:rPr>
          <w:rFonts w:ascii="Times New Roman" w:hAnsi="Times New Roman" w:cs="Times New Roman" w:eastAsia="Times New Roman" w:hint="default"/>
          <w:spacing w:val="36"/>
        </w:rPr>
      </w:r>
      <w:r>
        <w:rPr>
          <w:spacing w:val="-4"/>
        </w:rPr>
        <w:t>多项国家、省、市级重大技术研发项目，已累计实施近</w:t>
      </w:r>
      <w:r>
        <w:rPr>
          <w:rFonts w:ascii="Times New Roman" w:hAnsi="Times New Roman" w:cs="Times New Roman" w:eastAsia="Times New Roman" w:hint="default"/>
          <w:spacing w:val="-4"/>
        </w:rPr>
        <w:t>2</w:t>
      </w:r>
      <w:r>
        <w:rPr>
          <w:spacing w:val="-4"/>
        </w:rPr>
        <w:t>万个医疗卫生信息化建设项目，公共卫生项目遍及全国</w:t>
      </w:r>
      <w:r>
        <w:rPr>
          <w:rFonts w:ascii="Times New Roman" w:hAnsi="Times New Roman" w:cs="Times New Roman" w:eastAsia="Times New Roman" w:hint="default"/>
          <w:spacing w:val="-4"/>
        </w:rPr>
        <w:t>340</w:t>
      </w:r>
      <w:r>
        <w:rPr>
          <w:spacing w:val="-4"/>
        </w:rPr>
        <w:t>多个区县，</w:t>
      </w:r>
      <w:r>
        <w:rPr>
          <w:spacing w:val="-37"/>
        </w:rPr>
        <w:t> </w:t>
      </w:r>
      <w:r>
        <w:rPr/>
        <w:t>为</w:t>
      </w:r>
      <w:r>
        <w:rPr>
          <w:rFonts w:ascii="Times New Roman" w:hAnsi="Times New Roman" w:cs="Times New Roman" w:eastAsia="Times New Roman" w:hint="default"/>
        </w:rPr>
        <w:t>30</w:t>
      </w:r>
      <w:r>
        <w:rPr/>
        <w:t>万基层医生提供工作平台，积累超过</w:t>
      </w:r>
      <w:r>
        <w:rPr>
          <w:rFonts w:ascii="Times New Roman" w:hAnsi="Times New Roman" w:cs="Times New Roman" w:eastAsia="Times New Roman" w:hint="default"/>
        </w:rPr>
        <w:t>2.5</w:t>
      </w:r>
      <w:r>
        <w:rPr/>
        <w:t>亿份居民健康档案，处于医疗卫生信息化行业第一梯队。</w:t>
      </w:r>
    </w:p>
    <w:p>
      <w:pPr>
        <w:spacing w:line="240" w:lineRule="auto" w:before="3"/>
        <w:rPr>
          <w:rFonts w:ascii="宋体" w:hAnsi="宋体" w:cs="宋体" w:eastAsia="宋体" w:hint="default"/>
          <w:sz w:val="20"/>
          <w:szCs w:val="20"/>
        </w:rPr>
      </w:pPr>
    </w:p>
    <w:p>
      <w:pPr>
        <w:pStyle w:val="Heading2"/>
        <w:spacing w:line="240" w:lineRule="auto"/>
        <w:ind w:right="882"/>
        <w:jc w:val="left"/>
        <w:rPr>
          <w:b w:val="0"/>
          <w:bCs w:val="0"/>
        </w:rPr>
      </w:pPr>
      <w:bookmarkStart w:name="二、主要资产重大变化情况" w:id="17"/>
      <w:bookmarkEnd w:id="17"/>
      <w:r>
        <w:rPr>
          <w:b w:val="0"/>
          <w:bCs w:val="0"/>
        </w:rPr>
      </w:r>
      <w:r>
        <w:rPr/>
        <w:t>二、主要资产重大变化情况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主要资产重大变化情况" w:id="18"/>
      <w:bookmarkEnd w:id="18"/>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051"/>
        <w:gridCol w:w="6517"/>
      </w:tblGrid>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3" w:right="101"/>
              <w:jc w:val="left"/>
              <w:rPr>
                <w:rFonts w:ascii="宋体" w:hAnsi="宋体" w:cs="宋体" w:eastAsia="宋体" w:hint="default"/>
                <w:sz w:val="18"/>
                <w:szCs w:val="18"/>
              </w:rPr>
            </w:pPr>
            <w:r>
              <w:rPr>
                <w:rFonts w:ascii="宋体" w:hAnsi="宋体" w:cs="宋体" w:eastAsia="宋体" w:hint="default"/>
                <w:sz w:val="18"/>
                <w:szCs w:val="18"/>
              </w:rPr>
              <w:t>无形资产期末数较上年同期增加</w:t>
            </w:r>
            <w:r>
              <w:rPr>
                <w:rFonts w:ascii="宋体" w:hAnsi="宋体" w:cs="宋体" w:eastAsia="宋体" w:hint="default"/>
                <w:spacing w:val="-43"/>
                <w:sz w:val="18"/>
                <w:szCs w:val="18"/>
              </w:rPr>
              <w:t> </w:t>
            </w:r>
            <w:r>
              <w:rPr>
                <w:rFonts w:ascii="Times New Roman" w:hAnsi="Times New Roman" w:cs="Times New Roman" w:eastAsia="Times New Roman" w:hint="default"/>
                <w:spacing w:val="-2"/>
                <w:sz w:val="18"/>
                <w:szCs w:val="18"/>
              </w:rPr>
              <w:t>11,560.25</w:t>
            </w:r>
            <w:r>
              <w:rPr>
                <w:rFonts w:ascii="Times New Roman" w:hAnsi="Times New Roman" w:cs="Times New Roman" w:eastAsia="Times New Roman" w:hint="default"/>
                <w:spacing w:val="3"/>
                <w:sz w:val="18"/>
                <w:szCs w:val="18"/>
              </w:rPr>
              <w:t> </w:t>
            </w:r>
            <w:r>
              <w:rPr>
                <w:rFonts w:ascii="宋体" w:hAnsi="宋体" w:cs="宋体" w:eastAsia="宋体" w:hint="default"/>
                <w:spacing w:val="-5"/>
                <w:sz w:val="18"/>
                <w:szCs w:val="18"/>
              </w:rPr>
              <w:t>万元，主要系中山市区域卫生信息平台</w:t>
            </w:r>
            <w:r>
              <w:rPr>
                <w:rFonts w:ascii="宋体" w:hAnsi="宋体" w:cs="宋体" w:eastAsia="宋体" w:hint="default"/>
                <w:sz w:val="18"/>
                <w:szCs w:val="18"/>
              </w:rPr>
              <w:t> 运营权结转无形资产及本期自研项目开发完成结转无形资产所致。</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在建工程期末数较上年同期减少</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5,694.64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万元，主要系本期中山市区域卫生信息 平台运营权结转无形资产所致。</w:t>
            </w:r>
          </w:p>
        </w:tc>
      </w:tr>
    </w:tbl>
    <w:p>
      <w:pPr>
        <w:spacing w:line="240" w:lineRule="auto" w:before="4"/>
        <w:rPr>
          <w:rFonts w:ascii="宋体" w:hAnsi="宋体" w:cs="宋体" w:eastAsia="宋体" w:hint="default"/>
          <w:b/>
          <w:bCs/>
          <w:sz w:val="19"/>
          <w:szCs w:val="19"/>
        </w:rPr>
      </w:pPr>
    </w:p>
    <w:p>
      <w:pPr>
        <w:pStyle w:val="Heading3"/>
        <w:spacing w:line="240" w:lineRule="auto" w:before="34"/>
        <w:ind w:right="882"/>
        <w:jc w:val="left"/>
        <w:rPr>
          <w:b w:val="0"/>
          <w:bCs w:val="0"/>
        </w:rPr>
      </w:pPr>
      <w:bookmarkStart w:name="2、主要境外资产情况" w:id="19"/>
      <w:bookmarkEnd w:id="19"/>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882"/>
        <w:jc w:val="left"/>
        <w:rPr>
          <w:b w:val="0"/>
          <w:bCs w:val="0"/>
        </w:rPr>
      </w:pPr>
      <w:bookmarkStart w:name="三、核心竞争力分析" w:id="20"/>
      <w:bookmarkEnd w:id="20"/>
      <w:r>
        <w:rPr>
          <w:b w:val="0"/>
          <w:bCs w:val="0"/>
        </w:rPr>
      </w:r>
      <w:r>
        <w:rPr/>
        <w:t>三、核心竞争力分析</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left="472" w:right="882"/>
        <w:jc w:val="left"/>
      </w:pPr>
      <w:r>
        <w:rPr>
          <w:rFonts w:ascii="Times New Roman" w:hAnsi="Times New Roman" w:cs="Times New Roman" w:eastAsia="Times New Roman" w:hint="default"/>
        </w:rPr>
        <w:t>1</w:t>
      </w:r>
      <w:r>
        <w:rPr/>
        <w:t>、领先的行业地位和丰富的行业经验 </w:t>
      </w:r>
      <w:r>
        <w:rPr>
          <w:spacing w:val="-2"/>
        </w:rPr>
        <w:t>公司成立于</w:t>
      </w:r>
      <w:r>
        <w:rPr>
          <w:rFonts w:ascii="Times New Roman" w:hAnsi="Times New Roman" w:cs="Times New Roman" w:eastAsia="Times New Roman" w:hint="default"/>
          <w:spacing w:val="-2"/>
        </w:rPr>
        <w:t>1997</w:t>
      </w:r>
      <w:r>
        <w:rPr>
          <w:spacing w:val="-2"/>
        </w:rPr>
        <w:t>年是国内较早进入医疗卫生信息化的软件供应商之一，成立至今一直专注于医疗卫生信息化领域，以智</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882"/>
        <w:jc w:val="left"/>
      </w:pPr>
      <w:r>
        <w:rPr>
          <w:spacing w:val="-2"/>
        </w:rPr>
        <w:t>慧医疗、区域卫生、健康城市为主要发展方向。目前累计实施了近</w:t>
      </w:r>
      <w:r>
        <w:rPr>
          <w:rFonts w:ascii="Times New Roman" w:hAnsi="Times New Roman" w:cs="Times New Roman" w:eastAsia="Times New Roman" w:hint="default"/>
          <w:spacing w:val="-2"/>
        </w:rPr>
        <w:t>2</w:t>
      </w:r>
      <w:r>
        <w:rPr>
          <w:spacing w:val="-2"/>
        </w:rPr>
        <w:t>万个医疗卫生信息化建设项目，行业用户数量</w:t>
      </w:r>
      <w:r>
        <w:rPr>
          <w:rFonts w:ascii="Times New Roman" w:hAnsi="Times New Roman" w:cs="Times New Roman" w:eastAsia="Times New Roman" w:hint="default"/>
          <w:spacing w:val="-2"/>
        </w:rPr>
        <w:t>6000</w:t>
      </w:r>
      <w:r>
        <w:rPr>
          <w:spacing w:val="-2"/>
        </w:rPr>
        <w:t>多家，</w:t>
      </w:r>
      <w:r>
        <w:rPr>
          <w:spacing w:val="-62"/>
        </w:rPr>
        <w:t> </w:t>
      </w:r>
      <w:r>
        <w:rPr/>
        <w:t>公共卫生项目遍及全国</w:t>
      </w:r>
      <w:r>
        <w:rPr>
          <w:rFonts w:ascii="Times New Roman" w:hAnsi="Times New Roman" w:cs="Times New Roman" w:eastAsia="Times New Roman" w:hint="default"/>
        </w:rPr>
        <w:t>340</w:t>
      </w:r>
      <w:r>
        <w:rPr/>
        <w:t>多个区县，积累超过</w:t>
      </w:r>
      <w:r>
        <w:rPr>
          <w:rFonts w:ascii="Times New Roman" w:hAnsi="Times New Roman" w:cs="Times New Roman" w:eastAsia="Times New Roman" w:hint="default"/>
        </w:rPr>
        <w:t>2.5</w:t>
      </w:r>
      <w:r>
        <w:rPr/>
        <w:t>亿份居民健康档案，处于医疗卫生信息化行业第一梯队。</w:t>
      </w:r>
    </w:p>
    <w:p>
      <w:pPr>
        <w:pStyle w:val="BodyText"/>
        <w:spacing w:line="300" w:lineRule="auto" w:before="13"/>
        <w:ind w:left="472" w:right="1124"/>
        <w:jc w:val="left"/>
      </w:pPr>
      <w:r>
        <w:rPr>
          <w:rFonts w:ascii="Times New Roman" w:hAnsi="Times New Roman" w:cs="Times New Roman" w:eastAsia="Times New Roman" w:hint="default"/>
        </w:rPr>
        <w:t>2</w:t>
      </w:r>
      <w:r>
        <w:rPr/>
        <w:t>、先进的技术水平和持续的创新能力 公司拥有成熟的技术体系、较强的自主研发能力，拥有八大系列</w:t>
      </w:r>
      <w:r>
        <w:rPr>
          <w:rFonts w:ascii="Times New Roman" w:hAnsi="Times New Roman" w:cs="Times New Roman" w:eastAsia="Times New Roman" w:hint="default"/>
        </w:rPr>
        <w:t>300</w:t>
      </w:r>
      <w:r>
        <w:rPr/>
        <w:t>多个自主研发产品，全面覆盖智慧医院和区域卫生</w:t>
      </w:r>
    </w:p>
    <w:p>
      <w:pPr>
        <w:pStyle w:val="BodyText"/>
        <w:spacing w:line="309" w:lineRule="auto" w:before="13"/>
        <w:ind w:right="1132"/>
        <w:jc w:val="both"/>
      </w:pPr>
      <w:r>
        <w:rPr>
          <w:spacing w:val="-2"/>
        </w:rPr>
        <w:t>领域，能够满足不同客户的个性化需求。同时，公司结合“健康</w:t>
      </w:r>
      <w:r>
        <w:rPr>
          <w:rFonts w:ascii="Times New Roman" w:hAnsi="Times New Roman" w:cs="Times New Roman" w:eastAsia="Times New Roman" w:hint="default"/>
          <w:spacing w:val="-2"/>
        </w:rPr>
        <w:t>2030</w:t>
      </w:r>
      <w:r>
        <w:rPr>
          <w:spacing w:val="-2"/>
        </w:rPr>
        <w:t>”的新形势，在医疗卫生大数据、大健康服务领域积极</w:t>
      </w:r>
      <w:r>
        <w:rPr>
          <w:spacing w:val="-62"/>
        </w:rPr>
        <w:t> </w:t>
      </w:r>
      <w:r>
        <w:rPr>
          <w:spacing w:val="-62"/>
        </w:rPr>
      </w:r>
      <w:r>
        <w:rPr>
          <w:spacing w:val="-2"/>
        </w:rPr>
        <w:t>布局，利用大数据、人工智能、移动互联、物联网、云计算、区块链等先进技术的支撑，在大数据和人工智能关键技术领域</w:t>
      </w:r>
      <w:r>
        <w:rPr>
          <w:spacing w:val="-64"/>
        </w:rPr>
        <w:t> </w:t>
      </w:r>
      <w:r>
        <w:rPr>
          <w:spacing w:val="-64"/>
        </w:rPr>
      </w:r>
      <w:r>
        <w:rPr/>
        <w:t>持续拓宽产品及服务生态圈，增强企业核心竞争力，拓宽盈利方式。</w:t>
      </w:r>
    </w:p>
    <w:p>
      <w:pPr>
        <w:pStyle w:val="BodyText"/>
        <w:spacing w:line="300" w:lineRule="auto" w:before="24"/>
        <w:ind w:left="472" w:right="882"/>
        <w:jc w:val="left"/>
      </w:pPr>
      <w:r>
        <w:rPr>
          <w:rFonts w:ascii="Times New Roman" w:hAnsi="Times New Roman" w:cs="Times New Roman" w:eastAsia="Times New Roman" w:hint="default"/>
        </w:rPr>
        <w:t>3</w:t>
      </w:r>
      <w:r>
        <w:rPr/>
        <w:t>、具有完善的营销服务网络和稳固的客户资源 </w:t>
      </w:r>
      <w:r>
        <w:rPr>
          <w:spacing w:val="-2"/>
        </w:rPr>
        <w:t>目前，公司服务的行业用户数量</w:t>
      </w:r>
      <w:r>
        <w:rPr>
          <w:rFonts w:ascii="Times New Roman" w:hAnsi="Times New Roman" w:cs="Times New Roman" w:eastAsia="Times New Roman" w:hint="default"/>
          <w:spacing w:val="-2"/>
        </w:rPr>
        <w:t>6000</w:t>
      </w:r>
      <w:r>
        <w:rPr>
          <w:spacing w:val="-2"/>
        </w:rPr>
        <w:t>多家，市场占有率居于行业领先地位。公司一直秉承“服务用户、共同进步”的经</w:t>
      </w:r>
    </w:p>
    <w:p>
      <w:pPr>
        <w:pStyle w:val="BodyText"/>
        <w:spacing w:line="300" w:lineRule="auto" w:before="13"/>
        <w:ind w:right="1132"/>
        <w:jc w:val="both"/>
      </w:pPr>
      <w:r>
        <w:rPr/>
        <w:t>营理念，致力于产品和服务的市场品牌建设和推广，注重营销团队的建设和营销网络的建设。目前在全国设有</w:t>
      </w:r>
      <w:r>
        <w:rPr>
          <w:rFonts w:ascii="Times New Roman" w:hAnsi="Times New Roman" w:cs="Times New Roman" w:eastAsia="Times New Roman" w:hint="default"/>
        </w:rPr>
        <w:t>7</w:t>
      </w:r>
      <w:r>
        <w:rPr/>
        <w:t>个大区市场 </w:t>
      </w:r>
      <w:r>
        <w:rPr>
          <w:spacing w:val="-2"/>
        </w:rPr>
        <w:t>营销服务中心及</w:t>
      </w:r>
      <w:r>
        <w:rPr>
          <w:rFonts w:ascii="Times New Roman" w:hAnsi="Times New Roman" w:cs="Times New Roman" w:eastAsia="Times New Roman" w:hint="default"/>
          <w:spacing w:val="-2"/>
        </w:rPr>
        <w:t>15</w:t>
      </w:r>
      <w:r>
        <w:rPr>
          <w:spacing w:val="-2"/>
        </w:rPr>
        <w:t>个省级营销服务中心，覆盖全国</w:t>
      </w:r>
      <w:r>
        <w:rPr>
          <w:rFonts w:ascii="Times New Roman" w:hAnsi="Times New Roman" w:cs="Times New Roman" w:eastAsia="Times New Roman" w:hint="default"/>
          <w:spacing w:val="-2"/>
        </w:rPr>
        <w:t>30</w:t>
      </w:r>
      <w:r>
        <w:rPr>
          <w:spacing w:val="-2"/>
        </w:rPr>
        <w:t>个省（市）、自治区，并在全国范围内通过信息化手段，实现了与客户</w:t>
      </w:r>
      <w:r>
        <w:rPr>
          <w:spacing w:val="-64"/>
        </w:rPr>
        <w:t> </w:t>
      </w:r>
      <w:r>
        <w:rPr>
          <w:spacing w:val="-64"/>
        </w:rPr>
      </w:r>
      <w:r>
        <w:rPr/>
        <w:t>之间的及时沟通并提供贴心的本地化服务，为公司业务持续快速增长奠定了良好的基础。</w:t>
      </w:r>
    </w:p>
    <w:p>
      <w:pPr>
        <w:pStyle w:val="BodyText"/>
        <w:spacing w:line="300" w:lineRule="auto" w:before="31"/>
        <w:ind w:left="472" w:right="882"/>
        <w:jc w:val="left"/>
      </w:pPr>
      <w:r>
        <w:rPr>
          <w:rFonts w:ascii="Times New Roman" w:hAnsi="Times New Roman" w:cs="Times New Roman" w:eastAsia="Times New Roman" w:hint="default"/>
        </w:rPr>
        <w:t>4</w:t>
      </w:r>
      <w:r>
        <w:rPr/>
        <w:t>、具有创新和谐的企业文化和高素质人才优势 </w:t>
      </w:r>
      <w:r>
        <w:rPr>
          <w:spacing w:val="-2"/>
        </w:rPr>
        <w:t>多年来，公司致力于培育和谐的企业文化，提倡“让员工干自己最愿意干的工作，让员工干自己最具特长的工作，实现</w:t>
      </w:r>
    </w:p>
    <w:p>
      <w:pPr>
        <w:pStyle w:val="BodyText"/>
        <w:spacing w:line="309" w:lineRule="auto" w:before="31"/>
        <w:ind w:right="882"/>
        <w:jc w:val="left"/>
      </w:pPr>
      <w:r>
        <w:rPr>
          <w:spacing w:val="-2"/>
        </w:rPr>
        <w:t>个人价值最大化和公司价值最大化”。围绕建设中国一流软件企业的发展目标，公司积极开展研究院的建设工作，除在总部</w:t>
      </w:r>
      <w:r>
        <w:rPr>
          <w:spacing w:val="-66"/>
        </w:rPr>
        <w:t> </w:t>
      </w:r>
      <w:r>
        <w:rPr>
          <w:spacing w:val="-66"/>
        </w:rPr>
      </w:r>
      <w:r>
        <w:rPr>
          <w:spacing w:val="-2"/>
        </w:rPr>
        <w:t>杭州外，还在上海、北京、深圳、武汉设立了四个研究院，逐渐拥有了一支高素质的管理团队和优秀的技术团队，整体技术</w:t>
      </w:r>
      <w:r>
        <w:rPr>
          <w:spacing w:val="-66"/>
        </w:rPr>
        <w:t> </w:t>
      </w:r>
      <w:r>
        <w:rPr>
          <w:spacing w:val="-66"/>
        </w:rPr>
      </w:r>
      <w:r>
        <w:rPr>
          <w:spacing w:val="-4"/>
        </w:rPr>
        <w:t>水平与创新能力居行业前列。除此之后，公司注重与外部机构的科研合作，</w:t>
      </w:r>
      <w:r>
        <w:rPr>
          <w:rFonts w:ascii="Times New Roman" w:hAnsi="Times New Roman" w:cs="Times New Roman" w:eastAsia="Times New Roman" w:hint="default"/>
          <w:spacing w:val="-4"/>
        </w:rPr>
        <w:t>2015</w:t>
      </w:r>
      <w:r>
        <w:rPr>
          <w:spacing w:val="-4"/>
        </w:rPr>
        <w:t>年成立创业软件浙大智慧医疗大数据研究院；</w:t>
      </w:r>
      <w:r>
        <w:rPr>
          <w:spacing w:val="-36"/>
        </w:rPr>
        <w:t> </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月，公司获批设立“浙江省博士后工作站”，与浙江大学等省内外高校逐步建立和完善联合培养博士后研究人员的</w:t>
      </w:r>
      <w:r>
        <w:rPr>
          <w:spacing w:val="-63"/>
        </w:rPr>
        <w:t> </w:t>
      </w:r>
      <w:r>
        <w:rPr>
          <w:spacing w:val="-63"/>
        </w:rPr>
      </w:r>
      <w:r>
        <w:rPr/>
        <w:t>合作机制。</w:t>
      </w:r>
    </w:p>
    <w:p>
      <w:pPr>
        <w:pStyle w:val="BodyText"/>
        <w:spacing w:line="300" w:lineRule="auto" w:before="24"/>
        <w:ind w:left="472" w:right="1163"/>
        <w:jc w:val="left"/>
      </w:pPr>
      <w:r>
        <w:rPr>
          <w:rFonts w:ascii="Times New Roman" w:hAnsi="Times New Roman" w:cs="Times New Roman" w:eastAsia="Times New Roman" w:hint="default"/>
        </w:rPr>
        <w:t>5</w:t>
      </w:r>
      <w:r>
        <w:rPr/>
        <w:t>、具有良好的品牌形象和高等级的专业资质优势 公司已取得了“软件能力成熟度模型集成五级（</w:t>
      </w:r>
      <w:r>
        <w:rPr>
          <w:rFonts w:ascii="Times New Roman" w:hAnsi="Times New Roman" w:cs="Times New Roman" w:eastAsia="Times New Roman" w:hint="default"/>
        </w:rPr>
        <w:t>CMMI5</w:t>
      </w:r>
      <w:r>
        <w:rPr/>
        <w:t>）”、“国家高新技术企业”、“国家规划布局内重点软件企</w:t>
      </w:r>
    </w:p>
    <w:p>
      <w:pPr>
        <w:pStyle w:val="BodyText"/>
        <w:spacing w:line="309" w:lineRule="auto" w:before="13"/>
        <w:ind w:right="882"/>
        <w:jc w:val="left"/>
      </w:pPr>
      <w:r>
        <w:rPr>
          <w:spacing w:val="-2"/>
        </w:rPr>
        <w:t>业”、“建筑智能化系统设计专项甲级”、“建筑业电子与智能化工程专业承包一级”、“互联网药品信息服务资格证书”、</w:t>
      </w:r>
      <w:r>
        <w:rPr>
          <w:spacing w:val="-72"/>
        </w:rPr>
        <w:t> </w:t>
      </w:r>
      <w:r>
        <w:rPr>
          <w:spacing w:val="-72"/>
        </w:rPr>
      </w:r>
      <w:r>
        <w:rPr/>
        <w:t>“增值电信业务经营许可证”、安全生产许可证、医疗器械产品经营企业许可证、医疗器械生产企业许可证等含金量较高的</w:t>
      </w:r>
      <w:r>
        <w:rPr/>
        <w:t> 行业资质证书，使公司在激烈的市场竞争中占有独特的比较优势。报告期内，公司被评为“</w:t>
      </w:r>
      <w:r>
        <w:rPr>
          <w:rFonts w:ascii="Times New Roman" w:hAnsi="Times New Roman" w:cs="Times New Roman" w:eastAsia="Times New Roman" w:hint="default"/>
        </w:rPr>
        <w:t>2018</w:t>
      </w:r>
      <w:r>
        <w:rPr/>
        <w:t>年度浙江省软件行业成长型 百强企业”、“</w:t>
      </w:r>
      <w:r>
        <w:rPr>
          <w:rFonts w:ascii="Times New Roman" w:hAnsi="Times New Roman" w:cs="Times New Roman" w:eastAsia="Times New Roman" w:hint="default"/>
        </w:rPr>
        <w:t>2018</w:t>
      </w:r>
      <w:r>
        <w:rPr/>
        <w:t>浙江省物联网年度产品及科技创新奖”、“</w:t>
      </w:r>
      <w:r>
        <w:rPr>
          <w:rFonts w:ascii="Times New Roman" w:hAnsi="Times New Roman" w:cs="Times New Roman" w:eastAsia="Times New Roman" w:hint="default"/>
        </w:rPr>
        <w:t>2018</w:t>
      </w:r>
      <w:r>
        <w:rPr/>
        <w:t>年浙江省软件业务收入前</w:t>
      </w:r>
      <w:r>
        <w:rPr>
          <w:rFonts w:ascii="Times New Roman" w:hAnsi="Times New Roman" w:cs="Times New Roman" w:eastAsia="Times New Roman" w:hint="default"/>
        </w:rPr>
        <w:t>20</w:t>
      </w:r>
      <w:r>
        <w:rPr/>
        <w:t>”、“</w:t>
      </w:r>
      <w:r>
        <w:rPr>
          <w:rFonts w:ascii="Times New Roman" w:hAnsi="Times New Roman" w:cs="Times New Roman" w:eastAsia="Times New Roman" w:hint="default"/>
        </w:rPr>
        <w:t>2019</w:t>
      </w:r>
      <w:r>
        <w:rPr/>
        <w:t>年浙江省软件业 务收入前</w:t>
      </w:r>
      <w:r>
        <w:rPr>
          <w:rFonts w:ascii="Times New Roman" w:hAnsi="Times New Roman" w:cs="Times New Roman" w:eastAsia="Times New Roman" w:hint="default"/>
        </w:rPr>
        <w:t>30</w:t>
      </w:r>
      <w:r>
        <w:rPr/>
        <w:t>”“</w:t>
      </w:r>
      <w:r>
        <w:rPr>
          <w:rFonts w:ascii="Times New Roman" w:hAnsi="Times New Roman" w:cs="Times New Roman" w:eastAsia="Times New Roman" w:hint="default"/>
        </w:rPr>
        <w:t>2019</w:t>
      </w:r>
      <w:r>
        <w:rPr/>
        <w:t>中国县级医院最具影响力学科共建奖”、“</w:t>
      </w:r>
      <w:r>
        <w:rPr>
          <w:rFonts w:ascii="Times New Roman" w:hAnsi="Times New Roman" w:cs="Times New Roman" w:eastAsia="Times New Roman" w:hint="default"/>
        </w:rPr>
        <w:t>2019</w:t>
      </w:r>
      <w:r>
        <w:rPr/>
        <w:t>浙商全国</w:t>
      </w:r>
      <w:r>
        <w:rPr>
          <w:rFonts w:ascii="Times New Roman" w:hAnsi="Times New Roman" w:cs="Times New Roman" w:eastAsia="Times New Roman" w:hint="default"/>
        </w:rPr>
        <w:t>500</w:t>
      </w:r>
      <w:r>
        <w:rPr/>
        <w:t>强”、中国上市公司创业板价值50强等。</w:t>
      </w:r>
    </w:p>
    <w:p>
      <w:pPr>
        <w:pStyle w:val="BodyText"/>
        <w:spacing w:line="240" w:lineRule="auto" w:before="5"/>
        <w:ind w:left="472" w:right="882"/>
        <w:jc w:val="left"/>
      </w:pPr>
      <w:r>
        <w:rPr/>
        <w:t>报告期内，公司核心竞争力未发生重大变化。</w:t>
      </w:r>
    </w:p>
    <w:p>
      <w:pPr>
        <w:spacing w:after="0" w:line="24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pStyle w:val="Heading1"/>
        <w:spacing w:line="240" w:lineRule="auto"/>
        <w:ind w:left="3007" w:right="882"/>
        <w:jc w:val="left"/>
        <w:rPr>
          <w:b w:val="0"/>
          <w:bCs w:val="0"/>
        </w:rPr>
      </w:pPr>
      <w:bookmarkStart w:name="第四节经营情况讨论与分析" w:id="21"/>
      <w:bookmarkEnd w:id="21"/>
      <w:r>
        <w:rPr>
          <w:b w:val="0"/>
          <w:bCs w:val="0"/>
        </w:rPr>
      </w:r>
      <w:bookmarkStart w:name="_bookmark2" w:id="22"/>
      <w:bookmarkEnd w:id="22"/>
      <w:r>
        <w:rPr>
          <w:b w:val="0"/>
          <w:bCs w:val="0"/>
        </w:rPr>
      </w:r>
      <w:r>
        <w:rPr/>
        <w:t>第四节经营情况讨论与分析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left="592" w:right="882"/>
        <w:jc w:val="left"/>
        <w:rPr>
          <w:b w:val="0"/>
          <w:bCs w:val="0"/>
        </w:rPr>
      </w:pPr>
      <w:bookmarkStart w:name="一、概述" w:id="23"/>
      <w:bookmarkEnd w:id="23"/>
      <w:r>
        <w:rPr>
          <w:b w:val="0"/>
          <w:bCs w:val="0"/>
        </w:rPr>
      </w:r>
      <w:r>
        <w:rPr/>
        <w:t>一、概述</w:t>
      </w:r>
      <w:r>
        <w:rPr>
          <w:b w:val="0"/>
          <w:bCs w:val="0"/>
        </w:rPr>
      </w:r>
    </w:p>
    <w:p>
      <w:pPr>
        <w:spacing w:line="240" w:lineRule="auto" w:before="6"/>
        <w:rPr>
          <w:rFonts w:ascii="宋体" w:hAnsi="宋体" w:cs="宋体" w:eastAsia="宋体" w:hint="default"/>
          <w:b/>
          <w:bCs/>
          <w:sz w:val="26"/>
          <w:szCs w:val="26"/>
        </w:rPr>
      </w:pPr>
    </w:p>
    <w:p>
      <w:pPr>
        <w:pStyle w:val="BodyText"/>
        <w:spacing w:line="304" w:lineRule="auto"/>
        <w:ind w:right="1131" w:firstLine="360"/>
        <w:jc w:val="both"/>
      </w:pPr>
      <w:r>
        <w:rPr>
          <w:rFonts w:ascii="Times New Roman" w:hAnsi="Times New Roman" w:cs="Times New Roman" w:eastAsia="Times New Roman" w:hint="default"/>
          <w:spacing w:val="-2"/>
        </w:rPr>
        <w:t>2019</w:t>
      </w:r>
      <w:r>
        <w:rPr>
          <w:spacing w:val="-2"/>
        </w:rPr>
        <w:t>年随着新医疗改革政策的深度推进，公司作为国内领先的医疗健康信息化服务提供商和运营商，专注于医疗卫生信</w:t>
      </w:r>
      <w:r>
        <w:rPr/>
        <w:t> </w:t>
      </w:r>
      <w:r>
        <w:rPr>
          <w:spacing w:val="-2"/>
        </w:rPr>
        <w:t>息化领域，围绕“一体两翼”三大事业群基础上，新建医保事业部，以坚定落实公司年初制定的发展计划和目标，内抓结构</w:t>
      </w:r>
      <w:r>
        <w:rPr>
          <w:spacing w:val="-66"/>
        </w:rPr>
        <w:t> </w:t>
      </w:r>
      <w:r>
        <w:rPr>
          <w:spacing w:val="-66"/>
        </w:rPr>
      </w:r>
      <w:r>
        <w:rPr>
          <w:spacing w:val="-1"/>
        </w:rPr>
        <w:t>优化调整，对外加强合作。报告期内，公司营业收入持续增长，实现营业收入</w:t>
      </w:r>
      <w:r>
        <w:rPr>
          <w:rFonts w:ascii="Times New Roman" w:hAnsi="Times New Roman" w:cs="Times New Roman" w:eastAsia="Times New Roman" w:hint="default"/>
          <w:spacing w:val="-1"/>
        </w:rPr>
        <w:t>147,982.47</w:t>
      </w:r>
      <w:r>
        <w:rPr>
          <w:spacing w:val="-1"/>
        </w:rPr>
        <w:t>万元，较上年同期增长</w:t>
      </w:r>
      <w:r>
        <w:rPr>
          <w:rFonts w:ascii="Times New Roman" w:hAnsi="Times New Roman" w:cs="Times New Roman" w:eastAsia="Times New Roman" w:hint="default"/>
          <w:spacing w:val="-1"/>
        </w:rPr>
        <w:t>14.69%</w:t>
      </w:r>
      <w:r>
        <w:rPr>
          <w:spacing w:val="-1"/>
        </w:rPr>
        <w:t>，其</w:t>
      </w:r>
      <w:r>
        <w:rPr>
          <w:spacing w:val="-45"/>
        </w:rPr>
        <w:t> </w:t>
      </w:r>
      <w:r>
        <w:rPr>
          <w:spacing w:val="-45"/>
        </w:rPr>
      </w:r>
      <w:r>
        <w:rPr>
          <w:spacing w:val="-3"/>
        </w:rPr>
        <w:t>中医疗行业继续保持良好增长势头，实现收入</w:t>
      </w:r>
      <w:r>
        <w:rPr>
          <w:rFonts w:ascii="Times New Roman" w:hAnsi="Times New Roman" w:cs="Times New Roman" w:eastAsia="Times New Roman" w:hint="default"/>
          <w:spacing w:val="-3"/>
        </w:rPr>
        <w:t>116,983.60</w:t>
      </w:r>
      <w:r>
        <w:rPr>
          <w:spacing w:val="-3"/>
        </w:rPr>
        <w:t>万元，同比增长</w:t>
      </w:r>
      <w:r>
        <w:rPr>
          <w:rFonts w:ascii="Times New Roman" w:hAnsi="Times New Roman" w:cs="Times New Roman" w:eastAsia="Times New Roman" w:hint="default"/>
          <w:spacing w:val="-3"/>
        </w:rPr>
        <w:t>40.68%</w:t>
      </w:r>
      <w:r>
        <w:rPr>
          <w:spacing w:val="-3"/>
        </w:rPr>
        <w:t>；实现归属于上市公司股东的净利润</w:t>
      </w:r>
      <w:r>
        <w:rPr>
          <w:rFonts w:ascii="Times New Roman" w:hAnsi="Times New Roman" w:cs="Times New Roman" w:eastAsia="Times New Roman" w:hint="default"/>
          <w:spacing w:val="-3"/>
        </w:rPr>
        <w:t>31,407.04</w:t>
      </w:r>
      <w:r>
        <w:rPr>
          <w:rFonts w:ascii="Times New Roman" w:hAnsi="Times New Roman" w:cs="Times New Roman" w:eastAsia="Times New Roman" w:hint="default"/>
          <w:spacing w:val="-38"/>
        </w:rPr>
        <w:t> </w:t>
      </w:r>
      <w:r>
        <w:rPr>
          <w:rFonts w:ascii="Times New Roman" w:hAnsi="Times New Roman" w:cs="Times New Roman" w:eastAsia="Times New Roman" w:hint="default"/>
          <w:spacing w:val="-38"/>
        </w:rPr>
      </w:r>
      <w:r>
        <w:rPr/>
        <w:t>万元，较上年同期增长</w:t>
      </w:r>
      <w:r>
        <w:rPr>
          <w:rFonts w:ascii="Times New Roman" w:hAnsi="Times New Roman" w:cs="Times New Roman" w:eastAsia="Times New Roman" w:hint="default"/>
        </w:rPr>
        <w:t>47.67%</w:t>
      </w:r>
      <w:r>
        <w:rPr/>
        <w:t>。</w:t>
      </w:r>
    </w:p>
    <w:p>
      <w:pPr>
        <w:spacing w:line="240" w:lineRule="auto" w:before="7"/>
        <w:rPr>
          <w:rFonts w:ascii="宋体" w:hAnsi="宋体" w:cs="宋体" w:eastAsia="宋体" w:hint="default"/>
          <w:sz w:val="9"/>
          <w:szCs w:val="9"/>
        </w:rPr>
      </w:pPr>
    </w:p>
    <w:p>
      <w:pPr>
        <w:spacing w:line="4717" w:lineRule="exact"/>
        <w:ind w:left="835" w:right="0" w:firstLine="0"/>
        <w:rPr>
          <w:rFonts w:ascii="宋体" w:hAnsi="宋体" w:cs="宋体" w:eastAsia="宋体" w:hint="default"/>
          <w:sz w:val="20"/>
          <w:szCs w:val="20"/>
        </w:rPr>
      </w:pPr>
      <w:r>
        <w:rPr>
          <w:rFonts w:ascii="宋体" w:hAnsi="宋体" w:cs="宋体" w:eastAsia="宋体" w:hint="default"/>
          <w:position w:val="-93"/>
          <w:sz w:val="20"/>
          <w:szCs w:val="20"/>
        </w:rPr>
        <w:drawing>
          <wp:inline distT="0" distB="0" distL="0" distR="0">
            <wp:extent cx="5219881" cy="2995612"/>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25" cstate="print"/>
                    <a:stretch>
                      <a:fillRect/>
                    </a:stretch>
                  </pic:blipFill>
                  <pic:spPr>
                    <a:xfrm>
                      <a:off x="0" y="0"/>
                      <a:ext cx="5219881" cy="2995612"/>
                    </a:xfrm>
                    <a:prstGeom prst="rect">
                      <a:avLst/>
                    </a:prstGeom>
                  </pic:spPr>
                </pic:pic>
              </a:graphicData>
            </a:graphic>
          </wp:inline>
        </w:drawing>
      </w:r>
      <w:r>
        <w:rPr>
          <w:rFonts w:ascii="宋体" w:hAnsi="宋体" w:cs="宋体" w:eastAsia="宋体" w:hint="default"/>
          <w:position w:val="-93"/>
          <w:sz w:val="20"/>
          <w:szCs w:val="20"/>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line="4750" w:lineRule="exact"/>
        <w:ind w:left="830" w:right="0" w:firstLine="0"/>
        <w:rPr>
          <w:rFonts w:ascii="宋体" w:hAnsi="宋体" w:cs="宋体" w:eastAsia="宋体" w:hint="default"/>
          <w:sz w:val="20"/>
          <w:szCs w:val="20"/>
        </w:rPr>
      </w:pPr>
      <w:r>
        <w:rPr>
          <w:rFonts w:ascii="宋体" w:hAnsi="宋体" w:cs="宋体" w:eastAsia="宋体" w:hint="default"/>
          <w:position w:val="-94"/>
          <w:sz w:val="20"/>
          <w:szCs w:val="20"/>
        </w:rPr>
        <w:drawing>
          <wp:inline distT="0" distB="0" distL="0" distR="0">
            <wp:extent cx="5207058" cy="3016377"/>
            <wp:effectExtent l="0" t="0" r="0" b="0"/>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26" cstate="print"/>
                    <a:stretch>
                      <a:fillRect/>
                    </a:stretch>
                  </pic:blipFill>
                  <pic:spPr>
                    <a:xfrm>
                      <a:off x="0" y="0"/>
                      <a:ext cx="5207058" cy="3016377"/>
                    </a:xfrm>
                    <a:prstGeom prst="rect">
                      <a:avLst/>
                    </a:prstGeom>
                  </pic:spPr>
                </pic:pic>
              </a:graphicData>
            </a:graphic>
          </wp:inline>
        </w:drawing>
      </w:r>
      <w:r>
        <w:rPr>
          <w:rFonts w:ascii="宋体" w:hAnsi="宋体" w:cs="宋体" w:eastAsia="宋体" w:hint="default"/>
          <w:position w:val="-94"/>
          <w:sz w:val="20"/>
          <w:szCs w:val="20"/>
        </w:rPr>
      </w:r>
    </w:p>
    <w:p>
      <w:pPr>
        <w:spacing w:after="0" w:line="4750" w:lineRule="exact"/>
        <w:rPr>
          <w:rFonts w:ascii="宋体" w:hAnsi="宋体" w:cs="宋体" w:eastAsia="宋体" w:hint="default"/>
          <w:sz w:val="20"/>
          <w:szCs w:val="20"/>
        </w:rPr>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472" w:right="882"/>
        <w:jc w:val="left"/>
      </w:pPr>
      <w:r>
        <w:rPr/>
        <w:t>报告期内，公司开展的主要工作回顾如下：</w:t>
      </w:r>
    </w:p>
    <w:p>
      <w:pPr>
        <w:pStyle w:val="Heading5"/>
        <w:spacing w:line="240" w:lineRule="auto" w:before="76"/>
        <w:ind w:left="564" w:right="882"/>
        <w:jc w:val="left"/>
        <w:rPr>
          <w:b w:val="0"/>
          <w:bCs w:val="0"/>
        </w:rPr>
      </w:pPr>
      <w:r>
        <w:rPr/>
        <w:t>（一）医卫信息化事业群业务开展情况</w:t>
      </w:r>
      <w:r>
        <w:rPr>
          <w:b w:val="0"/>
          <w:bCs w:val="0"/>
        </w:rPr>
      </w:r>
    </w:p>
    <w:p>
      <w:pPr>
        <w:pStyle w:val="Heading5"/>
        <w:spacing w:line="240" w:lineRule="auto" w:before="76"/>
        <w:ind w:right="882"/>
        <w:jc w:val="left"/>
        <w:rPr>
          <w:b w:val="0"/>
          <w:bCs w:val="0"/>
        </w:rPr>
      </w:pPr>
      <w:r>
        <w:rPr>
          <w:rFonts w:ascii="Times New Roman" w:hAnsi="Times New Roman" w:cs="Times New Roman" w:eastAsia="Times New Roman" w:hint="default"/>
        </w:rPr>
        <w:t>1</w:t>
      </w:r>
      <w:r>
        <w:rPr/>
        <w:t>、医疗卫生信息化业务保驾护航，保持稳健增长</w:t>
      </w:r>
      <w:r>
        <w:rPr>
          <w:b w:val="0"/>
          <w:bCs w:val="0"/>
        </w:rPr>
      </w:r>
    </w:p>
    <w:p>
      <w:pPr>
        <w:pStyle w:val="BodyText"/>
        <w:spacing w:line="340" w:lineRule="auto" w:before="101"/>
        <w:ind w:left="472" w:right="882"/>
        <w:jc w:val="left"/>
      </w:pPr>
      <w:r>
        <w:rPr/>
        <w:t>（</w:t>
      </w:r>
      <w:r>
        <w:rPr>
          <w:rFonts w:ascii="Times New Roman" w:hAnsi="Times New Roman" w:cs="Times New Roman" w:eastAsia="Times New Roman" w:hint="default"/>
        </w:rPr>
        <w:t>1</w:t>
      </w:r>
      <w:r>
        <w:rPr/>
        <w:t>）订单、收入双增长 </w:t>
      </w:r>
      <w:r>
        <w:rPr>
          <w:spacing w:val="-2"/>
        </w:rPr>
        <w:t>医疗卫生信息化业务作为“一体两翼”的主体业务板块，是发展的基石。自成立以来，公司始终针对市场的新技术、新</w:t>
      </w:r>
    </w:p>
    <w:p>
      <w:pPr>
        <w:pStyle w:val="BodyText"/>
        <w:spacing w:line="300" w:lineRule="auto" w:before="1"/>
        <w:ind w:right="1202"/>
        <w:jc w:val="left"/>
      </w:pPr>
      <w:r>
        <w:rPr/>
        <w:t>动态、新需求，不断加强研发投入和产品创新，确保了公司医疗卫生信息化业务连续三年保持每年</w:t>
      </w:r>
      <w:r>
        <w:rPr>
          <w:spacing w:val="-48"/>
        </w:rPr>
        <w:t> </w:t>
      </w:r>
      <w:r>
        <w:rPr>
          <w:rFonts w:ascii="Times New Roman" w:hAnsi="Times New Roman" w:cs="Times New Roman" w:eastAsia="Times New Roman" w:hint="default"/>
        </w:rPr>
        <w:t>30%</w:t>
      </w:r>
      <w:r>
        <w:rPr/>
        <w:t>以上的增长率，实 现了质和量的同步发展。</w:t>
      </w:r>
    </w:p>
    <w:p>
      <w:pPr>
        <w:pStyle w:val="BodyText"/>
        <w:spacing w:line="309" w:lineRule="auto" w:before="72"/>
        <w:ind w:right="1132" w:firstLine="360"/>
        <w:jc w:val="both"/>
      </w:pPr>
      <w:r>
        <w:rPr>
          <w:spacing w:val="-2"/>
        </w:rPr>
        <w:t>报告期内，得益于医院电子病历、互联互通评级、医联体、医共体等医改新政的推动，公司医疗卫生信息化业务继续保</w:t>
      </w:r>
      <w:r>
        <w:rPr/>
        <w:t> 持传统医疗信息化业务的优势，全年订单递增明显，其中千万级订单频出，累计新增</w:t>
      </w:r>
      <w:r>
        <w:rPr>
          <w:spacing w:val="-45"/>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个，医疗卫生信息化事业群完成了 年初公司既定销售计划，夯实和提高公司产品的市场占有率，巩固医疗卫生信息化行业地位。</w:t>
      </w:r>
    </w:p>
    <w:p>
      <w:pPr>
        <w:pStyle w:val="BodyText"/>
        <w:spacing w:line="300" w:lineRule="auto" w:before="24"/>
        <w:ind w:left="472" w:right="1034"/>
        <w:jc w:val="left"/>
      </w:pPr>
      <w:r>
        <w:rPr/>
        <w:t>（</w:t>
      </w:r>
      <w:r>
        <w:rPr>
          <w:rFonts w:ascii="Times New Roman" w:hAnsi="Times New Roman" w:cs="Times New Roman" w:eastAsia="Times New Roman" w:hint="default"/>
        </w:rPr>
        <w:t>2</w:t>
      </w:r>
      <w:r>
        <w:rPr/>
        <w:t>）以评促建，助力业务增长 报告期内，公司电子病历、区域互联互通等核心产品能够紧跟国家政策，适应行业标准及市场需求，通过“以评促建”</w:t>
      </w:r>
    </w:p>
    <w:p>
      <w:pPr>
        <w:pStyle w:val="BodyText"/>
        <w:spacing w:line="316" w:lineRule="auto" w:before="31"/>
        <w:ind w:right="882"/>
        <w:jc w:val="left"/>
      </w:pPr>
      <w:r>
        <w:rPr>
          <w:spacing w:val="-4"/>
        </w:rPr>
        <w:t>的业务开展模式，树立了多个行业标杆项目，公司通过高等级的电子病历及互联互通承建项目，获得了市场以及客户的认可，</w:t>
      </w:r>
      <w:r>
        <w:rPr>
          <w:spacing w:val="-42"/>
        </w:rPr>
        <w:t> </w:t>
      </w:r>
      <w:r>
        <w:rPr>
          <w:spacing w:val="-42"/>
        </w:rPr>
      </w:r>
      <w:r>
        <w:rPr>
          <w:spacing w:val="-2"/>
        </w:rPr>
        <w:t>起到了良好的行业示范效应，也进一步开拓了公司医疗卫生信息化业务的新市场、新模式。报告期内，公司承建的五级以上</w:t>
      </w:r>
      <w:r>
        <w:rPr>
          <w:spacing w:val="-66"/>
        </w:rPr>
        <w:t> </w:t>
      </w:r>
      <w:r>
        <w:rPr>
          <w:spacing w:val="-66"/>
        </w:rPr>
      </w:r>
      <w:r>
        <w:rPr/>
        <w:t>电子病历、四级以上区域互联互通项目的订单评级通过率处于行业领先水平。</w:t>
      </w:r>
    </w:p>
    <w:p>
      <w:pPr>
        <w:spacing w:line="4033" w:lineRule="exact"/>
        <w:ind w:left="1048"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5171773" cy="2561463"/>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27" cstate="print"/>
                    <a:stretch>
                      <a:fillRect/>
                    </a:stretch>
                  </pic:blipFill>
                  <pic:spPr>
                    <a:xfrm>
                      <a:off x="0" y="0"/>
                      <a:ext cx="5171773" cy="2561463"/>
                    </a:xfrm>
                    <a:prstGeom prst="rect">
                      <a:avLst/>
                    </a:prstGeom>
                  </pic:spPr>
                </pic:pic>
              </a:graphicData>
            </a:graphic>
          </wp:inline>
        </w:drawing>
      </w:r>
      <w:r>
        <w:rPr>
          <w:rFonts w:ascii="宋体" w:hAnsi="宋体" w:cs="宋体" w:eastAsia="宋体" w:hint="default"/>
          <w:position w:val="-80"/>
          <w:sz w:val="20"/>
          <w:szCs w:val="20"/>
        </w:rPr>
      </w:r>
    </w:p>
    <w:p>
      <w:pPr>
        <w:pStyle w:val="BodyText"/>
        <w:spacing w:line="338" w:lineRule="auto" w:before="42"/>
        <w:ind w:left="472" w:right="1034"/>
        <w:jc w:val="left"/>
      </w:pPr>
      <w:r>
        <w:rPr/>
        <w:t>（</w:t>
      </w:r>
      <w:r>
        <w:rPr>
          <w:rFonts w:ascii="Times New Roman" w:hAnsi="Times New Roman" w:cs="Times New Roman" w:eastAsia="Times New Roman" w:hint="default"/>
        </w:rPr>
        <w:t>3</w:t>
      </w:r>
      <w:r>
        <w:rPr/>
        <w:t>）“快速交付”重构项目实施流程，助力战“疫” 医疗信息化项目由于产品标准化和客户需求多样化等因素，在项目实施方面始终存在实施难、上线慢等问题。鉴于此，</w:t>
      </w:r>
    </w:p>
    <w:p>
      <w:pPr>
        <w:pStyle w:val="BodyText"/>
        <w:spacing w:line="316" w:lineRule="auto" w:before="2"/>
        <w:ind w:right="882"/>
        <w:jc w:val="left"/>
      </w:pPr>
      <w:r>
        <w:rPr>
          <w:spacing w:val="-2"/>
        </w:rPr>
        <w:t>公司多年来始终以客户需求为导向，对项目实施的流程不断改进，一直在探索和完善“快速交付”的项目实施解决方案，以</w:t>
      </w:r>
      <w:r>
        <w:rPr>
          <w:spacing w:val="-65"/>
        </w:rPr>
        <w:t> </w:t>
      </w:r>
      <w:r>
        <w:rPr>
          <w:spacing w:val="-65"/>
        </w:rPr>
      </w:r>
      <w:r>
        <w:rPr/>
        <w:t>提升公司项目交付效率。</w:t>
      </w:r>
    </w:p>
    <w:p>
      <w:pPr>
        <w:pStyle w:val="BodyText"/>
        <w:spacing w:line="309" w:lineRule="auto" w:before="59"/>
        <w:ind w:right="1132" w:firstLine="360"/>
        <w:jc w:val="both"/>
      </w:pPr>
      <w:r>
        <w:rPr>
          <w:spacing w:val="-2"/>
        </w:rPr>
        <w:t>报告期内，公司分别在医院项目和公卫项目上，实现了“快速交付”的项目，如新泰市人民医院项目自合同签订后，在</w:t>
      </w:r>
      <w:r>
        <w:rPr/>
        <w:t> </w:t>
      </w:r>
      <w:r>
        <w:rPr>
          <w:rFonts w:ascii="Times New Roman" w:hAnsi="Times New Roman" w:cs="Times New Roman" w:eastAsia="Times New Roman" w:hint="default"/>
        </w:rPr>
        <w:t>1</w:t>
      </w:r>
      <w:r>
        <w:rPr>
          <w:rFonts w:ascii="Times New Roman" w:hAnsi="Times New Roman" w:cs="Times New Roman" w:eastAsia="Times New Roman" w:hint="default"/>
          <w:spacing w:val="-10"/>
        </w:rPr>
        <w:t> </w:t>
      </w:r>
      <w:r>
        <w:rPr/>
        <w:t>个月内完成了</w:t>
      </w:r>
      <w:r>
        <w:rPr>
          <w:rFonts w:ascii="Times New Roman" w:hAnsi="Times New Roman" w:cs="Times New Roman" w:eastAsia="Times New Roman" w:hint="default"/>
        </w:rPr>
        <w:t>HIS</w:t>
      </w:r>
      <w:r>
        <w:rPr/>
        <w:t>核心系统从培训到上线切换的工作，同时上线完成</w:t>
      </w:r>
      <w:r>
        <w:rPr>
          <w:rFonts w:ascii="Times New Roman" w:hAnsi="Times New Roman" w:cs="Times New Roman" w:eastAsia="Times New Roman" w:hint="default"/>
        </w:rPr>
        <w:t>MDT</w:t>
      </w:r>
      <w:r>
        <w:rPr/>
        <w:t>多学科远程会诊平台、互联网医院平台。目前系 统运行稳定；公司承建的吉林省互联网医疗服务监管平台项目，仅用了两周时间完成了安装、部署、调试并正式启用。</w:t>
      </w:r>
    </w:p>
    <w:p>
      <w:pPr>
        <w:pStyle w:val="BodyText"/>
        <w:spacing w:line="309" w:lineRule="auto" w:before="65"/>
        <w:ind w:right="882" w:firstLine="360"/>
        <w:jc w:val="left"/>
      </w:pPr>
      <w:r>
        <w:rPr/>
        <w:t>此外，</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年初，新冠肺炎疫情袭击全国，公司“快速交付”的项目实施能力进一步得到了施展，在同济大学附属东 </w:t>
      </w:r>
      <w:r>
        <w:rPr>
          <w:spacing w:val="-4"/>
        </w:rPr>
        <w:t>方医院为国家紧急医学救援队搭建“应急急救系统”上，公司再次实行了“快速交付”，为医疗救援队提供更加安全、高效、</w:t>
      </w:r>
      <w:r>
        <w:rPr>
          <w:spacing w:val="-43"/>
        </w:rPr>
        <w:t> </w:t>
      </w:r>
      <w:r>
        <w:rPr>
          <w:spacing w:val="-43"/>
        </w:rPr>
      </w:r>
      <w:r>
        <w:rPr>
          <w:spacing w:val="-2"/>
        </w:rPr>
        <w:t>精准的会诊系统，提高了疫情患者救治效率，提升救援指挥能力。另外，特殊时期为解决门诊现场的分流，由吉林省卫生健</w:t>
      </w:r>
      <w:r>
        <w:rPr>
          <w:spacing w:val="-65"/>
        </w:rPr>
        <w:t> </w:t>
      </w:r>
      <w:r>
        <w:rPr>
          <w:spacing w:val="-65"/>
        </w:rPr>
      </w:r>
      <w:r>
        <w:rPr/>
        <w:t>康委员会主导，公司承建的吉林省全民健康信息服务平台“医生在线”也仅用三天达到上线条件</w:t>
      </w:r>
      <w:r>
        <w:rPr>
          <w:rFonts w:ascii="Times New Roman" w:hAnsi="Times New Roman" w:cs="Times New Roman" w:eastAsia="Times New Roman" w:hint="default"/>
        </w:rPr>
        <w:t>,</w:t>
      </w:r>
      <w:r>
        <w:rPr/>
        <w:t>随即对外开放使用，有效 缓解特殊时间的门诊分流看病问题。</w:t>
      </w:r>
    </w:p>
    <w:p>
      <w:pPr>
        <w:pStyle w:val="BodyText"/>
        <w:spacing w:line="316" w:lineRule="auto" w:before="62"/>
        <w:ind w:right="882" w:firstLine="360"/>
        <w:jc w:val="left"/>
      </w:pPr>
      <w:r>
        <w:rPr>
          <w:spacing w:val="-2"/>
        </w:rPr>
        <w:t>“快速交付”体现出公司项目交付的实施能力，是公司产品研发能力多年积累和公司实施流程化管理水平提升的集中体</w:t>
      </w:r>
      <w:r>
        <w:rPr/>
        <w:t> 现，“快速交付”将进一步增强公司市场竞争力。</w:t>
      </w:r>
    </w:p>
    <w:p>
      <w:pPr>
        <w:pStyle w:val="Heading5"/>
        <w:spacing w:line="240" w:lineRule="auto" w:before="59"/>
        <w:ind w:right="882"/>
        <w:jc w:val="left"/>
        <w:rPr>
          <w:b w:val="0"/>
          <w:bCs w:val="0"/>
        </w:rPr>
      </w:pPr>
      <w:r>
        <w:rPr>
          <w:rFonts w:ascii="Times New Roman" w:hAnsi="Times New Roman" w:cs="Times New Roman" w:eastAsia="Times New Roman" w:hint="default"/>
        </w:rPr>
        <w:t>2</w:t>
      </w:r>
      <w:r>
        <w:rPr/>
        <w:t>、创新产品赋能传统医疗信息化业务，成果喜人</w:t>
      </w:r>
      <w:r>
        <w:rPr>
          <w:b w:val="0"/>
          <w:bCs w:val="0"/>
        </w:rPr>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b/>
          <w:bCs/>
          <w:sz w:val="22"/>
          <w:szCs w:val="22"/>
        </w:rPr>
      </w:pPr>
    </w:p>
    <w:p>
      <w:pPr>
        <w:pStyle w:val="BodyText"/>
        <w:spacing w:line="316" w:lineRule="auto" w:before="44"/>
        <w:ind w:right="882" w:firstLine="360"/>
        <w:jc w:val="left"/>
      </w:pPr>
      <w:r>
        <w:rPr>
          <w:spacing w:val="-4"/>
        </w:rPr>
        <w:t>随着大数据、人工智能和区块链技术等先进技术在医疗行业中得到应用和推广，创新技术不断赋能医疗卫生信息化行业，</w:t>
      </w:r>
      <w:r>
        <w:rPr/>
        <w:t> 加快了医疗信息化软件产品更新换代，助力创新产品成为未来公司业绩新增长点。</w:t>
      </w:r>
    </w:p>
    <w:p>
      <w:pPr>
        <w:pStyle w:val="BodyText"/>
        <w:spacing w:line="300" w:lineRule="auto" w:before="19"/>
        <w:ind w:left="472" w:right="882"/>
        <w:jc w:val="left"/>
      </w:pPr>
      <w:r>
        <w:rPr/>
        <w:t>（</w:t>
      </w:r>
      <w:r>
        <w:rPr>
          <w:rFonts w:ascii="Times New Roman" w:hAnsi="Times New Roman" w:cs="Times New Roman" w:eastAsia="Times New Roman" w:hint="default"/>
        </w:rPr>
        <w:t>1</w:t>
      </w:r>
      <w:r>
        <w:rPr/>
        <w:t>）大数据技术产品应用 </w:t>
      </w:r>
      <w:r>
        <w:rPr>
          <w:spacing w:val="-2"/>
        </w:rPr>
        <w:t>公司基于医疗大数据产品不断完善成熟，形成了多个方面、不同应用场景的大数据产品，基于公司大数据应用，可以对</w:t>
      </w:r>
    </w:p>
    <w:p>
      <w:pPr>
        <w:pStyle w:val="BodyText"/>
        <w:spacing w:line="316" w:lineRule="auto" w:before="31"/>
        <w:ind w:right="1132"/>
        <w:jc w:val="both"/>
      </w:pPr>
      <w:r>
        <w:rPr>
          <w:spacing w:val="-2"/>
        </w:rPr>
        <w:t>海量医疗历史数据进行全局掌控、挖掘、分析，进而实现预测预警等功能，为推动临床科研与辅助医院运营管理决策，实现</w:t>
      </w:r>
      <w:r>
        <w:rPr>
          <w:spacing w:val="-65"/>
        </w:rPr>
        <w:t> </w:t>
      </w:r>
      <w:r>
        <w:rPr>
          <w:spacing w:val="-65"/>
        </w:rPr>
      </w:r>
      <w:r>
        <w:rPr>
          <w:spacing w:val="-2"/>
        </w:rPr>
        <w:t>临床科研数据交换集成及数据质量管理，解决医院海量临床数据存储与科研数据结构化及标准化问题，构建医疗健康知识图</w:t>
      </w:r>
      <w:r>
        <w:rPr>
          <w:spacing w:val="-64"/>
        </w:rPr>
        <w:t> </w:t>
      </w:r>
      <w:r>
        <w:rPr>
          <w:spacing w:val="-64"/>
        </w:rPr>
      </w:r>
      <w:r>
        <w:rPr/>
        <w:t>谱库等提供了切实可行的解决方案。</w:t>
      </w:r>
    </w:p>
    <w:p>
      <w:pPr>
        <w:pStyle w:val="BodyText"/>
        <w:spacing w:line="316" w:lineRule="auto" w:before="19"/>
        <w:ind w:right="1034" w:firstLine="360"/>
        <w:jc w:val="left"/>
      </w:pPr>
      <w:r>
        <w:rPr/>
        <w:t>报告期内，公司基于大数据的全民健康信息、医院信息集成、临床科研和临床决策支持平台在各地不断落地实施其中， </w:t>
      </w:r>
      <w:r>
        <w:rPr>
          <w:spacing w:val="-2"/>
        </w:rPr>
        <w:t>全民健康信息大数据平台，已经在北京朝阳、浙江桐乡、广东珠海、深圳坪山、江苏太仓等地成功上线；医院信息集成大数</w:t>
      </w:r>
      <w:r>
        <w:rPr>
          <w:spacing w:val="-66"/>
        </w:rPr>
        <w:t> </w:t>
      </w:r>
      <w:r>
        <w:rPr>
          <w:spacing w:val="-66"/>
        </w:rPr>
      </w:r>
      <w:r>
        <w:rPr>
          <w:spacing w:val="-2"/>
        </w:rPr>
        <w:t>据平台，落地苏州高新区人民医院，临床科研大数据平台在福建协和成功上线并全院推广；临床决策支持大数据平台，正在</w:t>
      </w:r>
      <w:r>
        <w:rPr>
          <w:spacing w:val="-66"/>
        </w:rPr>
        <w:t> </w:t>
      </w:r>
      <w:r>
        <w:rPr>
          <w:spacing w:val="-66"/>
        </w:rPr>
      </w:r>
      <w:r>
        <w:rPr>
          <w:spacing w:val="-2"/>
        </w:rPr>
        <w:t>福建协和和山东淄博落地。公司大数据应用产品的广泛应用，打造了一系列标杆客户，将为公司创新业务的不断成熟发展奠</w:t>
      </w:r>
      <w:r>
        <w:rPr>
          <w:spacing w:val="-65"/>
        </w:rPr>
        <w:t> </w:t>
      </w:r>
      <w:r>
        <w:rPr>
          <w:spacing w:val="-65"/>
        </w:rPr>
      </w:r>
      <w:r>
        <w:rPr/>
        <w:t>定技术基础。</w:t>
      </w:r>
    </w:p>
    <w:p>
      <w:pPr>
        <w:pStyle w:val="BodyText"/>
        <w:spacing w:line="300" w:lineRule="auto" w:before="19"/>
        <w:ind w:left="472" w:right="882"/>
        <w:jc w:val="left"/>
      </w:pPr>
      <w:r>
        <w:rPr/>
        <w:t>（</w:t>
      </w:r>
      <w:r>
        <w:rPr>
          <w:rFonts w:ascii="Times New Roman" w:hAnsi="Times New Roman" w:cs="Times New Roman" w:eastAsia="Times New Roman" w:hint="default"/>
        </w:rPr>
        <w:t>2</w:t>
      </w:r>
      <w:r>
        <w:rPr/>
        <w:t>）人工智能产品 </w:t>
      </w:r>
      <w:r>
        <w:rPr>
          <w:spacing w:val="-2"/>
        </w:rPr>
        <w:t>近年来，公司准确把握技术发展趋势和市场需求变化，与浙江大学合作开展了一系列医健卫行业前沿技术研究和产品开</w:t>
      </w:r>
    </w:p>
    <w:p>
      <w:pPr>
        <w:pStyle w:val="BodyText"/>
        <w:spacing w:line="300" w:lineRule="auto" w:before="31"/>
        <w:ind w:right="1041"/>
        <w:jc w:val="both"/>
      </w:pPr>
      <w:r>
        <w:rPr/>
        <w:t>发，在大数据、人工智能应用领域的战略部署成果已不断落地应用，</w:t>
      </w:r>
      <w:r>
        <w:rPr>
          <w:rFonts w:ascii="Times New Roman" w:hAnsi="Times New Roman" w:cs="Times New Roman" w:eastAsia="Times New Roman" w:hint="default"/>
        </w:rPr>
        <w:t>2019</w:t>
      </w:r>
      <w:r>
        <w:rPr>
          <w:rFonts w:ascii="Times New Roman" w:hAnsi="Times New Roman" w:cs="Times New Roman" w:eastAsia="Times New Roman" w:hint="default"/>
          <w:spacing w:val="-31"/>
        </w:rPr>
        <w:t> </w:t>
      </w:r>
      <w:r>
        <w:rPr/>
        <w:t>年公司还入选浙江省人工智能行业应用标杆企业， 相关人工智能应用产品“医学检验人工智能分析系统”被评为“</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年年浙江省人工智能优秀解决方案”</w:t>
      </w:r>
    </w:p>
    <w:p>
      <w:pPr>
        <w:pStyle w:val="BodyText"/>
        <w:spacing w:line="309" w:lineRule="auto" w:before="13"/>
        <w:ind w:right="1031" w:firstLine="360"/>
        <w:jc w:val="left"/>
      </w:pPr>
      <w:r>
        <w:rPr>
          <w:spacing w:val="-2"/>
        </w:rPr>
        <w:t>报告期内，公司涉及人工智能的相关产品在北京市朝阳区、福建医科大学附属协和医院等地成功上线运行，实现了支持</w:t>
      </w:r>
      <w:r>
        <w:rPr/>
        <w:t> 海量</w:t>
      </w:r>
      <w:r>
        <w:rPr>
          <w:spacing w:val="-46"/>
        </w:rPr>
        <w:t> </w:t>
      </w:r>
      <w:r>
        <w:rPr>
          <w:rFonts w:ascii="Times New Roman" w:hAnsi="Times New Roman" w:cs="Times New Roman" w:eastAsia="Times New Roman" w:hint="default"/>
        </w:rPr>
        <w:t>PB</w:t>
      </w:r>
      <w:r>
        <w:rPr>
          <w:rFonts w:ascii="Times New Roman" w:hAnsi="Times New Roman" w:cs="Times New Roman" w:eastAsia="Times New Roman" w:hint="default"/>
          <w:spacing w:val="-1"/>
        </w:rPr>
        <w:t> </w:t>
      </w:r>
      <w:r>
        <w:rPr/>
        <w:t>级别医疗历史数据实时结构化语义检索，对降低成本、推动精准医疗起到了重要作用。同时，基于</w:t>
      </w:r>
      <w:r>
        <w:rPr>
          <w:spacing w:val="-48"/>
        </w:rPr>
        <w:t> </w:t>
      </w:r>
      <w:r>
        <w:rPr>
          <w:rFonts w:ascii="Times New Roman" w:hAnsi="Times New Roman" w:cs="Times New Roman" w:eastAsia="Times New Roman" w:hint="default"/>
        </w:rPr>
        <w:t>AI</w:t>
      </w:r>
      <w:r>
        <w:rPr>
          <w:rFonts w:ascii="Times New Roman" w:hAnsi="Times New Roman" w:cs="Times New Roman" w:eastAsia="Times New Roman" w:hint="default"/>
          <w:spacing w:val="-1"/>
        </w:rPr>
        <w:t> </w:t>
      </w:r>
      <w:r>
        <w:rPr/>
        <w:t>辅助决策分</w:t>
      </w:r>
      <w:r>
        <w:rPr>
          <w:w w:val="99"/>
        </w:rPr>
        <w:t> </w:t>
      </w:r>
      <w:r>
        <w:rPr>
          <w:spacing w:val="-2"/>
        </w:rPr>
        <w:t>析的急救大数据智能决策系统，支持各科个性化研究的临床科研大数据挖掘分析平台、全语音交互智能导诊机器人等多项成</w:t>
      </w:r>
      <w:r>
        <w:rPr>
          <w:spacing w:val="-65"/>
        </w:rPr>
        <w:t> </w:t>
      </w:r>
      <w:r>
        <w:rPr>
          <w:spacing w:val="-65"/>
        </w:rPr>
      </w:r>
      <w:r>
        <w:rPr>
          <w:spacing w:val="-4"/>
        </w:rPr>
        <w:t>果转化落地，使公司医疗信息化解决方案从“数字化”向“智能化”转变，用 </w:t>
      </w:r>
      <w:r>
        <w:rPr>
          <w:rFonts w:ascii="Times New Roman" w:hAnsi="Times New Roman" w:cs="Times New Roman" w:eastAsia="Times New Roman" w:hint="default"/>
        </w:rPr>
        <w:t>AI</w:t>
      </w:r>
      <w:r>
        <w:rPr>
          <w:rFonts w:ascii="Times New Roman" w:hAnsi="Times New Roman" w:cs="Times New Roman" w:eastAsia="Times New Roman" w:hint="default"/>
          <w:spacing w:val="-2"/>
        </w:rPr>
        <w:t> </w:t>
      </w:r>
      <w:r>
        <w:rPr/>
        <w:t>赋能医疗领域，实现了普惠全面健康事业，</w:t>
      </w:r>
      <w:r>
        <w:rPr>
          <w:w w:val="99"/>
        </w:rPr>
        <w:t> </w:t>
      </w:r>
      <w:r>
        <w:rPr/>
        <w:t>为企业高质量、可持续发展打下了坚实的基础。</w:t>
      </w:r>
    </w:p>
    <w:p>
      <w:pPr>
        <w:pStyle w:val="BodyText"/>
        <w:spacing w:line="240" w:lineRule="auto" w:before="24"/>
        <w:ind w:left="472" w:right="882"/>
        <w:jc w:val="left"/>
      </w:pPr>
      <w:r>
        <w:rPr/>
        <w:t>（</w:t>
      </w:r>
      <w:r>
        <w:rPr>
          <w:rFonts w:ascii="Times New Roman" w:hAnsi="Times New Roman" w:cs="Times New Roman" w:eastAsia="Times New Roman" w:hint="default"/>
        </w:rPr>
        <w:t>3</w:t>
      </w:r>
      <w:r>
        <w:rPr/>
        <w:t>）区块链技术应用</w:t>
      </w:r>
    </w:p>
    <w:p>
      <w:pPr>
        <w:pStyle w:val="BodyText"/>
        <w:spacing w:line="300" w:lineRule="auto" w:before="63"/>
        <w:ind w:right="1122" w:firstLine="360"/>
        <w:jc w:val="left"/>
      </w:pPr>
      <w:r>
        <w:rPr/>
        <w:t>随着，全球医疗健康进入数字化时代，医疗数据安全和患者隐私保障变得越来越重要。据</w:t>
      </w:r>
      <w:r>
        <w:rPr>
          <w:spacing w:val="-54"/>
        </w:rPr>
        <w:t> </w:t>
      </w:r>
      <w:r>
        <w:rPr>
          <w:rFonts w:ascii="Times New Roman" w:hAnsi="Times New Roman" w:cs="Times New Roman" w:eastAsia="Times New Roman" w:hint="default"/>
        </w:rPr>
        <w:t>IDC</w:t>
      </w:r>
      <w:r>
        <w:rPr>
          <w:rFonts w:ascii="Times New Roman" w:hAnsi="Times New Roman" w:cs="Times New Roman" w:eastAsia="Times New Roman" w:hint="default"/>
          <w:spacing w:val="-9"/>
        </w:rPr>
        <w:t> </w:t>
      </w:r>
      <w:r>
        <w:rPr/>
        <w:t>预测，到</w:t>
      </w:r>
      <w:r>
        <w:rPr>
          <w:spacing w:val="-54"/>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1"/>
        </w:rPr>
        <w:t> </w:t>
      </w:r>
      <w:r>
        <w:rPr/>
        <w:t>年全球数 据量将达到</w:t>
      </w:r>
      <w:r>
        <w:rPr>
          <w:spacing w:val="-46"/>
        </w:rPr>
        <w:t> </w:t>
      </w:r>
      <w:r>
        <w:rPr>
          <w:rFonts w:ascii="Times New Roman" w:hAnsi="Times New Roman" w:cs="Times New Roman" w:eastAsia="Times New Roman" w:hint="default"/>
        </w:rPr>
        <w:t>40</w:t>
      </w:r>
      <w:r>
        <w:rPr>
          <w:rFonts w:ascii="Times New Roman" w:hAnsi="Times New Roman" w:cs="Times New Roman" w:eastAsia="Times New Roman" w:hint="default"/>
          <w:spacing w:val="-2"/>
        </w:rPr>
        <w:t> </w:t>
      </w:r>
      <w:r>
        <w:rPr/>
        <w:t>万亿</w:t>
      </w:r>
      <w:r>
        <w:rPr>
          <w:spacing w:val="-46"/>
        </w:rPr>
        <w:t> </w:t>
      </w:r>
      <w:r>
        <w:rPr>
          <w:rFonts w:ascii="Times New Roman" w:hAnsi="Times New Roman" w:cs="Times New Roman" w:eastAsia="Times New Roman" w:hint="default"/>
        </w:rPr>
        <w:t>GB</w:t>
      </w:r>
      <w:r>
        <w:rPr/>
        <w:t>。区块链技术具有的高冗余、无法篡改、低成本等特性，将为医疗数据保管提供最佳的解决方案。</w:t>
      </w:r>
    </w:p>
    <w:p>
      <w:pPr>
        <w:pStyle w:val="BodyText"/>
        <w:spacing w:line="312" w:lineRule="auto" w:before="13"/>
        <w:ind w:right="1132" w:firstLine="360"/>
        <w:jc w:val="both"/>
      </w:pPr>
      <w:r>
        <w:rPr>
          <w:spacing w:val="-2"/>
        </w:rPr>
        <w:t>报告期内，公司主要在医共体、医联体应用方向，积极探索和布局了关于“区块链”技术的应用，以解决医共体、医联</w:t>
      </w:r>
      <w:r>
        <w:rPr/>
        <w:t> </w:t>
      </w:r>
      <w:r>
        <w:rPr>
          <w:spacing w:val="-2"/>
        </w:rPr>
        <w:t>体协同与信任问题。报告期内，公司还参与了重点客户的国家卫生健康委委托项目“基于分级诊疗的区块链研究与实践”课</w:t>
      </w:r>
      <w:r>
        <w:rPr>
          <w:spacing w:val="-66"/>
        </w:rPr>
        <w:t> </w:t>
      </w:r>
      <w:r>
        <w:rPr>
          <w:spacing w:val="-66"/>
        </w:rPr>
      </w:r>
      <w:r>
        <w:rPr>
          <w:spacing w:val="-8"/>
        </w:rPr>
        <w:t>题。参与过程中，公司调集了优质资源与合作伙伴一起技术研发、推动区块链在医疗技术上的发展，该课题项目还获得了“</w:t>
      </w:r>
      <w:r>
        <w:rPr>
          <w:rFonts w:ascii="Times New Roman" w:hAnsi="Times New Roman" w:cs="Times New Roman" w:eastAsia="Times New Roman" w:hint="default"/>
          <w:spacing w:val="-8"/>
        </w:rPr>
        <w:t>2019</w:t>
      </w:r>
      <w:r>
        <w:rPr>
          <w:rFonts w:ascii="Times New Roman" w:hAnsi="Times New Roman" w:cs="Times New Roman" w:eastAsia="Times New Roman" w:hint="default"/>
          <w:spacing w:val="-27"/>
        </w:rPr>
        <w:t> </w:t>
      </w:r>
      <w:r>
        <w:rPr>
          <w:rFonts w:ascii="Times New Roman" w:hAnsi="Times New Roman" w:cs="Times New Roman" w:eastAsia="Times New Roman" w:hint="default"/>
          <w:spacing w:val="-27"/>
        </w:rPr>
      </w:r>
      <w:r>
        <w:rPr/>
        <w:t>中国数字健康医疗新应用实践案例优选活动”优秀奖。</w:t>
      </w:r>
    </w:p>
    <w:p>
      <w:pPr>
        <w:pStyle w:val="Heading5"/>
        <w:spacing w:line="240" w:lineRule="auto" w:before="22"/>
        <w:ind w:right="882"/>
        <w:jc w:val="left"/>
        <w:rPr>
          <w:b w:val="0"/>
          <w:bCs w:val="0"/>
        </w:rPr>
      </w:pPr>
      <w:r>
        <w:rPr/>
        <w:t>（二）医卫互联网事业群业务开展情况</w:t>
      </w:r>
      <w:r>
        <w:rPr>
          <w:b w:val="0"/>
          <w:bCs w:val="0"/>
        </w:rPr>
      </w:r>
    </w:p>
    <w:p>
      <w:pPr>
        <w:spacing w:line="300" w:lineRule="auto" w:before="76"/>
        <w:ind w:left="472" w:right="1112"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、互联网业务经营情况稳步提升，互联网业务成果突出</w:t>
      </w:r>
      <w:r>
        <w:rPr>
          <w:rFonts w:ascii="宋体" w:hAnsi="宋体" w:cs="宋体" w:eastAsia="宋体" w:hint="default"/>
          <w:b/>
          <w:bCs/>
          <w:w w:val="99"/>
          <w:sz w:val="18"/>
          <w:szCs w:val="18"/>
        </w:rPr>
        <w:t> </w:t>
      </w:r>
      <w:r>
        <w:rPr>
          <w:rFonts w:ascii="宋体" w:hAnsi="宋体" w:cs="宋体" w:eastAsia="宋体" w:hint="default"/>
          <w:sz w:val="18"/>
          <w:szCs w:val="18"/>
        </w:rPr>
        <w:t>随着公司“互联网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医疗”的战略布局及产品应用的完善。报告期，公司互联网事业群处方流转业务正式试点上线；商</w:t>
      </w:r>
    </w:p>
    <w:p>
      <w:pPr>
        <w:pStyle w:val="BodyText"/>
        <w:spacing w:line="316" w:lineRule="auto" w:before="13"/>
        <w:ind w:left="472" w:right="882" w:hanging="360"/>
        <w:jc w:val="left"/>
      </w:pPr>
      <w:r>
        <w:rPr/>
        <w:t>保、电商、护理业务等新业务开拓年内已产生流水。 </w:t>
      </w:r>
      <w:r>
        <w:rPr>
          <w:spacing w:val="-2"/>
        </w:rPr>
        <w:t>处方流转业务：报告期内，公司作为中立第三方的医疗信息化厂商积极参与处方流转业务平台搭建，截止目前“互联网</w:t>
      </w:r>
    </w:p>
    <w:p>
      <w:pPr>
        <w:pStyle w:val="BodyText"/>
        <w:spacing w:line="300" w:lineRule="auto" w:before="19"/>
        <w:ind w:left="472" w:right="882" w:hanging="360"/>
        <w:jc w:val="left"/>
      </w:pPr>
      <w:r>
        <w:rPr>
          <w:rFonts w:ascii="Times New Roman" w:hAnsi="Times New Roman" w:cs="Times New Roman" w:eastAsia="Times New Roman" w:hint="default"/>
        </w:rPr>
        <w:t>+</w:t>
      </w:r>
      <w:r>
        <w:rPr/>
        <w:t>处方流转业务”全年完成签约</w:t>
      </w:r>
      <w:r>
        <w:rPr>
          <w:spacing w:val="-47"/>
        </w:rPr>
        <w:t> </w:t>
      </w:r>
      <w:r>
        <w:rPr>
          <w:rFonts w:ascii="Times New Roman" w:hAnsi="Times New Roman" w:cs="Times New Roman" w:eastAsia="Times New Roman" w:hint="default"/>
        </w:rPr>
        <w:t>13</w:t>
      </w:r>
      <w:r>
        <w:rPr>
          <w:rFonts w:ascii="Times New Roman" w:hAnsi="Times New Roman" w:cs="Times New Roman" w:eastAsia="Times New Roman" w:hint="default"/>
          <w:spacing w:val="-1"/>
        </w:rPr>
        <w:t> </w:t>
      </w:r>
      <w:r>
        <w:rPr/>
        <w:t>家医院。 </w:t>
      </w:r>
      <w:r>
        <w:rPr>
          <w:spacing w:val="-2"/>
        </w:rPr>
        <w:t>商业保险理赔运营业务：报告期内，公司以“健康中山”商保理赔运营业务合作经验为基础，积极拓展了线上商业保险</w:t>
      </w:r>
    </w:p>
    <w:p>
      <w:pPr>
        <w:pStyle w:val="BodyText"/>
        <w:spacing w:line="316" w:lineRule="auto" w:before="31"/>
        <w:ind w:right="1132"/>
        <w:jc w:val="both"/>
      </w:pPr>
      <w:r>
        <w:rPr>
          <w:spacing w:val="-2"/>
        </w:rPr>
        <w:t>理赔业务的应用场景和运营模式，目前已经与平安、众安、太平、泰康、人寿等保险公司在全国范围的医院客户中推广，已</w:t>
      </w:r>
      <w:r>
        <w:rPr>
          <w:spacing w:val="-66"/>
        </w:rPr>
        <w:t> </w:t>
      </w:r>
      <w:r>
        <w:rPr>
          <w:spacing w:val="-66"/>
        </w:rPr>
      </w:r>
      <w:r>
        <w:rPr/>
        <w:t>实现多家医院与商保接口的对接上线，实现了商保线上理赔服务和运营收入零突破。</w:t>
      </w:r>
    </w:p>
    <w:p>
      <w:pPr>
        <w:pStyle w:val="BodyText"/>
        <w:spacing w:line="240" w:lineRule="auto" w:before="19"/>
        <w:ind w:left="472" w:right="882"/>
        <w:jc w:val="left"/>
      </w:pPr>
      <w:r>
        <w:rPr/>
        <w:t>聚合支付业务：报告期内，实现</w:t>
      </w:r>
      <w:r>
        <w:rPr>
          <w:spacing w:val="-46"/>
        </w:rPr>
        <w:t> </w:t>
      </w:r>
      <w:r>
        <w:rPr>
          <w:rFonts w:ascii="Times New Roman" w:hAnsi="Times New Roman" w:cs="Times New Roman" w:eastAsia="Times New Roman" w:hint="default"/>
        </w:rPr>
        <w:t>400</w:t>
      </w:r>
      <w:r>
        <w:rPr>
          <w:rFonts w:ascii="Times New Roman" w:hAnsi="Times New Roman" w:cs="Times New Roman" w:eastAsia="Times New Roman" w:hint="default"/>
          <w:spacing w:val="-2"/>
        </w:rPr>
        <w:t> </w:t>
      </w:r>
      <w:r>
        <w:rPr/>
        <w:t>多家新增客户的医疗信息化软件平台与公司聚合支付平台实现对接，实现交易额</w:t>
      </w:r>
    </w:p>
    <w:p>
      <w:pPr>
        <w:pStyle w:val="BodyText"/>
        <w:spacing w:line="240" w:lineRule="auto" w:before="63"/>
        <w:ind w:right="882"/>
        <w:jc w:val="left"/>
      </w:pPr>
      <w:r>
        <w:rPr>
          <w:rFonts w:ascii="Times New Roman" w:hAnsi="Times New Roman" w:cs="Times New Roman" w:eastAsia="Times New Roman" w:hint="default"/>
        </w:rPr>
        <w:t>79.95</w:t>
      </w:r>
      <w:r>
        <w:rPr>
          <w:rFonts w:ascii="Times New Roman" w:hAnsi="Times New Roman" w:cs="Times New Roman" w:eastAsia="Times New Roman" w:hint="default"/>
          <w:spacing w:val="-2"/>
        </w:rPr>
        <w:t> </w:t>
      </w:r>
      <w:r>
        <w:rPr/>
        <w:t>亿，交易笔数共计</w:t>
      </w:r>
      <w:r>
        <w:rPr>
          <w:spacing w:val="-46"/>
        </w:rPr>
        <w:t> </w:t>
      </w:r>
      <w:r>
        <w:rPr>
          <w:rFonts w:ascii="Times New Roman" w:hAnsi="Times New Roman" w:cs="Times New Roman" w:eastAsia="Times New Roman" w:hint="default"/>
        </w:rPr>
        <w:t>4,590</w:t>
      </w:r>
      <w:r>
        <w:rPr>
          <w:rFonts w:ascii="Times New Roman" w:hAnsi="Times New Roman" w:cs="Times New Roman" w:eastAsia="Times New Roman" w:hint="default"/>
          <w:spacing w:val="-2"/>
        </w:rPr>
        <w:t> </w:t>
      </w:r>
      <w:r>
        <w:rPr/>
        <w:t>万笔。</w:t>
      </w:r>
    </w:p>
    <w:p>
      <w:pPr>
        <w:pStyle w:val="BodyText"/>
        <w:spacing w:line="300" w:lineRule="auto" w:before="63"/>
        <w:ind w:right="1141" w:firstLine="360"/>
        <w:jc w:val="both"/>
      </w:pPr>
      <w:r>
        <w:rPr/>
        <w:t>云护理服务业务：</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年下半年，公司向全国医院客户推出公有云护理云平台，通过互联网信息技术，整合第三方市 场资源，连接了网约护士、院内康复、居家康养等服务场景。截止到目前平台实现签约机构数</w:t>
      </w:r>
      <w:r>
        <w:rPr>
          <w:spacing w:val="-45"/>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t>家，平台护士服务资源已 超千人。</w:t>
      </w:r>
    </w:p>
    <w:p>
      <w:pPr>
        <w:pStyle w:val="BodyText"/>
        <w:spacing w:line="316" w:lineRule="auto" w:before="31"/>
        <w:ind w:right="882" w:firstLine="360"/>
        <w:jc w:val="left"/>
      </w:pPr>
      <w:r>
        <w:rPr>
          <w:spacing w:val="-2"/>
        </w:rPr>
        <w:t>互联网医院业务：报告期内，互联网医院及区域性的互联网项目客户数量稳步增长，在单体大型医疗机构方面，公司重</w:t>
      </w:r>
      <w:r>
        <w:rPr/>
        <w:t> </w:t>
      </w:r>
      <w:r>
        <w:rPr>
          <w:spacing w:val="-2"/>
        </w:rPr>
        <w:t>点投入北京儿童医院、湘潭市中心医院等为代表的大型公立医院的互联网医院建设，以树立样板客户。此外，受互联网医疗</w:t>
      </w:r>
    </w:p>
    <w:p>
      <w:pPr>
        <w:spacing w:after="0" w:line="316"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left="472" w:right="882" w:hanging="360"/>
        <w:jc w:val="left"/>
      </w:pPr>
      <w:r>
        <w:rPr/>
        <w:t>政策推动，含互联网诊疗及提升服务化的需求已超过去两年的总和，为公司互联网医院业务的后续成长奠定了基础。 </w:t>
      </w:r>
      <w:r>
        <w:rPr>
          <w:spacing w:val="-2"/>
        </w:rPr>
        <w:t>此外，新冠肺炎疫情发生时，部分医院暂停线下门诊。公司迅速响应，发挥自身优势，快速推出“互联网在线问诊业务</w:t>
      </w:r>
    </w:p>
    <w:p>
      <w:pPr>
        <w:pStyle w:val="BodyText"/>
        <w:spacing w:line="316" w:lineRule="auto" w:before="19"/>
        <w:ind w:right="1132"/>
        <w:jc w:val="both"/>
      </w:pPr>
      <w:r>
        <w:rPr>
          <w:spacing w:val="-2"/>
        </w:rPr>
        <w:t>平台”，对全国所有医疗机构免费开放。本次公司互联网在线问诊平台为医疗机构提供远程运维指导、宣传推广支持，协助</w:t>
      </w:r>
      <w:r>
        <w:rPr>
          <w:spacing w:val="-65"/>
        </w:rPr>
        <w:t> </w:t>
      </w:r>
      <w:r>
        <w:rPr>
          <w:spacing w:val="-65"/>
        </w:rPr>
      </w:r>
      <w:r>
        <w:rPr>
          <w:spacing w:val="-2"/>
        </w:rPr>
        <w:t>医疗机构顺利开展线上咨询服务，免费开通图文、视频咨询功能，实现用户线上非接触式安全就诊服务，为后续实体医院自</w:t>
      </w:r>
      <w:r>
        <w:rPr>
          <w:spacing w:val="-66"/>
        </w:rPr>
        <w:t> </w:t>
      </w:r>
      <w:r>
        <w:rPr>
          <w:spacing w:val="-66"/>
        </w:rPr>
      </w:r>
      <w:r>
        <w:rPr/>
        <w:t>建互联网医院奠定了良好的合作基础。截止目前，该平台已入驻近百家医疗机构，覆盖面遍及全国</w:t>
      </w:r>
      <w:r>
        <w:rPr>
          <w:spacing w:val="-45"/>
        </w:rPr>
        <w:t> </w:t>
      </w:r>
      <w:r>
        <w:rPr>
          <w:rFonts w:ascii="Times New Roman" w:hAnsi="Times New Roman" w:cs="Times New Roman" w:eastAsia="Times New Roman" w:hint="default"/>
        </w:rPr>
        <w:t>17</w:t>
      </w:r>
      <w:r>
        <w:rPr>
          <w:rFonts w:ascii="Times New Roman" w:hAnsi="Times New Roman" w:cs="Times New Roman" w:eastAsia="Times New Roman" w:hint="default"/>
          <w:spacing w:val="-1"/>
        </w:rPr>
        <w:t> </w:t>
      </w:r>
      <w:r>
        <w:rPr/>
        <w:t>个省市地区。</w:t>
      </w:r>
    </w:p>
    <w:p>
      <w:pPr>
        <w:spacing w:line="300" w:lineRule="auto" w:before="0"/>
        <w:ind w:left="472" w:right="1112"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、加速完善健全“互联网</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医疗健康”运营服务体系</w:t>
      </w:r>
      <w:r>
        <w:rPr>
          <w:rFonts w:ascii="宋体" w:hAnsi="宋体" w:cs="宋体" w:eastAsia="宋体" w:hint="default"/>
          <w:b/>
          <w:bCs/>
          <w:w w:val="99"/>
          <w:sz w:val="18"/>
          <w:szCs w:val="18"/>
        </w:rPr>
        <w:t> </w:t>
      </w:r>
      <w:r>
        <w:rPr>
          <w:rFonts w:ascii="宋体" w:hAnsi="宋体" w:cs="宋体" w:eastAsia="宋体" w:hint="default"/>
          <w:sz w:val="18"/>
          <w:szCs w:val="18"/>
        </w:rPr>
        <w:t>受国务院促进“互联网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医疗健康”发展意见等的政策导向，公司医卫互联网事业群在互联网医院信息系统应用和互联</w:t>
      </w:r>
    </w:p>
    <w:p>
      <w:pPr>
        <w:pStyle w:val="BodyText"/>
        <w:spacing w:line="309" w:lineRule="auto" w:before="13"/>
        <w:ind w:right="1129"/>
        <w:jc w:val="both"/>
      </w:pPr>
      <w:r>
        <w:rPr/>
        <w:t>网医疗健康运营产品研发及产品创新方面进行了多方面的探索与努力，成果显著。同时，公司在处方流转、互联网</w:t>
      </w:r>
      <w:r>
        <w:rPr>
          <w:rFonts w:ascii="Times New Roman" w:hAnsi="Times New Roman" w:cs="Times New Roman" w:eastAsia="Times New Roman" w:hint="default"/>
        </w:rPr>
        <w:t>+</w:t>
      </w:r>
      <w:r>
        <w:rPr/>
        <w:t>护理、 </w:t>
      </w:r>
      <w:r>
        <w:rPr>
          <w:spacing w:val="-2"/>
        </w:rPr>
        <w:t>电商业务方面已经与多家第三方运营厂商开展了合作，在互联网线上商业保险理赔业务已经与平安、众安、太平、泰康、人</w:t>
      </w:r>
      <w:r>
        <w:rPr>
          <w:spacing w:val="-65"/>
        </w:rPr>
        <w:t> </w:t>
      </w:r>
      <w:r>
        <w:rPr>
          <w:spacing w:val="-65"/>
        </w:rPr>
      </w:r>
      <w:r>
        <w:rPr/>
        <w:t>寿等保险公司开展合作。</w:t>
      </w:r>
    </w:p>
    <w:p>
      <w:pPr>
        <w:pStyle w:val="BodyText"/>
        <w:spacing w:line="316" w:lineRule="auto" w:before="24"/>
        <w:ind w:right="1041" w:firstLine="360"/>
        <w:jc w:val="both"/>
      </w:pPr>
      <w:r>
        <w:rPr>
          <w:spacing w:val="-2"/>
        </w:rPr>
        <w:t>报告期内，公司医卫互联网事业群在互联网医院信息系统应用和互联网医疗健康运营产品研发及产品应用方面进行了多</w:t>
      </w:r>
      <w:r>
        <w:rPr/>
        <w:t> </w:t>
      </w:r>
      <w:r>
        <w:rPr>
          <w:spacing w:val="-2"/>
        </w:rPr>
        <w:t>方的探索与推广，成果显著，在健康城市云平台基础上相继发布医疗云平台、医院智能一站式终端平台、聚合支付平台、护</w:t>
      </w:r>
      <w:r>
        <w:rPr>
          <w:spacing w:val="-65"/>
        </w:rPr>
        <w:t> </w:t>
      </w:r>
      <w:r>
        <w:rPr>
          <w:spacing w:val="-65"/>
        </w:rPr>
      </w:r>
      <w:r>
        <w:rPr>
          <w:spacing w:val="-2"/>
        </w:rPr>
        <w:t>理云平台、电商云平台、妇幼智慧云平台，构建了“互联网</w:t>
      </w:r>
      <w:r>
        <w:rPr>
          <w:rFonts w:ascii="Times New Roman" w:hAnsi="Times New Roman" w:cs="Times New Roman" w:eastAsia="Times New Roman" w:hint="default"/>
          <w:spacing w:val="-2"/>
        </w:rPr>
        <w:t>+</w:t>
      </w:r>
      <w:r>
        <w:rPr>
          <w:spacing w:val="-2"/>
        </w:rPr>
        <w:t>医疗健康”的新型运营服务模式，健全了互联网产品服务体系。</w:t>
      </w:r>
    </w:p>
    <w:p>
      <w:pPr>
        <w:pStyle w:val="BodyText"/>
        <w:spacing w:line="300" w:lineRule="auto"/>
        <w:ind w:right="1132" w:firstLine="360"/>
        <w:jc w:val="both"/>
      </w:pPr>
      <w:r>
        <w:rPr/>
        <w:t>报告期内，公司与蚂蚁金服、腾讯、华为、平安等互联网巨头的继续在“互联网</w:t>
      </w:r>
      <w:r>
        <w:rPr>
          <w:rFonts w:ascii="Times New Roman" w:hAnsi="Times New Roman" w:cs="Times New Roman" w:eastAsia="Times New Roman" w:hint="default"/>
        </w:rPr>
        <w:t>+</w:t>
      </w:r>
      <w:r>
        <w:rPr/>
        <w:t>医疗健康”领域开展合作，为公司在 医疗急救、健康养老、健康保险、健康金融等领域业务发展起到了协同推动作用。</w:t>
      </w:r>
    </w:p>
    <w:p>
      <w:pPr>
        <w:pStyle w:val="BodyText"/>
        <w:spacing w:line="312" w:lineRule="auto" w:before="31"/>
        <w:ind w:right="1132" w:firstLine="360"/>
        <w:jc w:val="both"/>
      </w:pPr>
      <w:r>
        <w:rPr>
          <w:spacing w:val="-2"/>
        </w:rPr>
        <w:t>报告期内，公司与上海新虹桥国际医学中心达成战略合作，双方将利用“新虹桥医学园区”集约化的医疗资源优势形成</w:t>
      </w:r>
      <w:r>
        <w:rPr/>
        <w:t> </w:t>
      </w:r>
      <w:r>
        <w:rPr>
          <w:spacing w:val="-2"/>
        </w:rPr>
        <w:t>双向互联互通共融共享合作模式，通过信息化手段促进和诺医疗资源纵向流动，提高优质医疗资源可及性和医疗服务整体效</w:t>
      </w:r>
      <w:r>
        <w:rPr>
          <w:spacing w:val="-64"/>
        </w:rPr>
        <w:t> </w:t>
      </w:r>
      <w:r>
        <w:rPr>
          <w:spacing w:val="-64"/>
        </w:rPr>
      </w:r>
      <w:r>
        <w:rPr/>
        <w:t>率。此外，双方将基于互联网医疗应用的全面深入研究，寻找“互联网</w:t>
      </w:r>
      <w:r>
        <w:rPr>
          <w:rFonts w:ascii="Times New Roman" w:hAnsi="Times New Roman" w:cs="Times New Roman" w:eastAsia="Times New Roman" w:hint="default"/>
        </w:rPr>
        <w:t>+</w:t>
      </w:r>
      <w:r>
        <w:rPr/>
        <w:t>医疗健康”下的可持续发展的商业模式，为搭建聚 合支付平台、健康商城平台等技术平台，并开展技术服务及运营合作。</w:t>
      </w:r>
    </w:p>
    <w:p>
      <w:pPr>
        <w:pStyle w:val="Heading5"/>
        <w:spacing w:line="240" w:lineRule="auto" w:before="22"/>
        <w:ind w:right="882"/>
        <w:jc w:val="left"/>
        <w:rPr>
          <w:b w:val="0"/>
          <w:bCs w:val="0"/>
        </w:rPr>
      </w:pPr>
      <w:r>
        <w:rPr>
          <w:rFonts w:ascii="Times New Roman" w:hAnsi="Times New Roman" w:cs="Times New Roman" w:eastAsia="Times New Roman" w:hint="default"/>
        </w:rPr>
        <w:t>3</w:t>
      </w:r>
      <w:r>
        <w:rPr/>
        <w:t>、“健康城市”运营建设再添一城</w:t>
      </w:r>
      <w:r>
        <w:rPr>
          <w:b w:val="0"/>
          <w:bCs w:val="0"/>
        </w:rPr>
      </w:r>
    </w:p>
    <w:p>
      <w:pPr>
        <w:pStyle w:val="BodyText"/>
        <w:spacing w:line="309" w:lineRule="auto" w:before="63"/>
        <w:ind w:right="1132"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年初，公司与自贡市卫生健康信息中心签署《全民健康信息平台建设和运营合作协议书》，约定自贡市卫生健康 </w:t>
      </w:r>
      <w:r>
        <w:rPr>
          <w:spacing w:val="-2"/>
        </w:rPr>
        <w:t>信息中心授予公司及关联公司自贡项目公司在十年特许经营期内（含建设期）对本项目进行运营、维护及数据使用权，在国</w:t>
      </w:r>
      <w:r>
        <w:rPr>
          <w:spacing w:val="-66"/>
        </w:rPr>
        <w:t> </w:t>
      </w:r>
      <w:r>
        <w:rPr>
          <w:spacing w:val="-66"/>
        </w:rPr>
      </w:r>
      <w:r>
        <w:rPr/>
        <w:t>家政策允许范围及大健康产业范畴内，以数据接入和标准化为重点，以平台为中介，打通健康服务产业链。</w:t>
      </w:r>
    </w:p>
    <w:p>
      <w:pPr>
        <w:pStyle w:val="BodyText"/>
        <w:spacing w:line="300" w:lineRule="auto" w:before="24"/>
        <w:ind w:right="1129" w:firstLine="360"/>
        <w:jc w:val="both"/>
      </w:pPr>
      <w:r>
        <w:rPr/>
        <w:t>报告期内，自贡市人口健康信息平台核心基础平台已完成阶段性验收。按照既定规划，公司后续将利用“互联网</w:t>
      </w:r>
      <w:r>
        <w:rPr>
          <w:rFonts w:ascii="Times New Roman" w:hAnsi="Times New Roman" w:cs="Times New Roman" w:eastAsia="Times New Roman" w:hint="default"/>
        </w:rPr>
        <w:t>+</w:t>
      </w:r>
      <w:r>
        <w:rPr/>
        <w:t>”、 大数据分析、人工智能等技术，打造“四川省一流”的全民健康服务信息化平台及应用服务体系。在自贡搭建“互联网</w:t>
      </w:r>
      <w:r>
        <w:rPr>
          <w:rFonts w:ascii="Times New Roman" w:hAnsi="Times New Roman" w:cs="Times New Roman" w:eastAsia="Times New Roman" w:hint="default"/>
        </w:rPr>
        <w:t>+</w:t>
      </w:r>
      <w:r>
        <w:rPr/>
        <w:t>医 疗”集约门户，接入更多的外部第三方系统以及与上级平台（四川省人口健康信息平台）进行对接。</w:t>
      </w:r>
    </w:p>
    <w:p>
      <w:pPr>
        <w:pStyle w:val="BodyText"/>
        <w:spacing w:line="316" w:lineRule="auto" w:before="31"/>
        <w:ind w:right="1132" w:firstLine="360"/>
        <w:jc w:val="both"/>
      </w:pPr>
      <w:r>
        <w:rPr>
          <w:spacing w:val="-2"/>
        </w:rPr>
        <w:t>截止目前，自贡市四区两县的市级、县级医院以及众多民营医院医疗数据及公共卫生数据已接入人口健康信息平台实现</w:t>
      </w:r>
      <w:r>
        <w:rPr/>
        <w:t> 医院医疗数据互联互通。外部系统方面，自贡市人口健康信息平台已与自贡市公安系统进行对接。</w:t>
      </w:r>
    </w:p>
    <w:p>
      <w:pPr>
        <w:pStyle w:val="Heading5"/>
        <w:spacing w:line="240" w:lineRule="auto"/>
        <w:ind w:right="882"/>
        <w:jc w:val="left"/>
        <w:rPr>
          <w:b w:val="0"/>
          <w:bCs w:val="0"/>
        </w:rPr>
      </w:pPr>
      <w:r>
        <w:rPr>
          <w:rFonts w:ascii="Times New Roman" w:hAnsi="Times New Roman" w:cs="Times New Roman" w:eastAsia="Times New Roman" w:hint="default"/>
        </w:rPr>
        <w:t>4</w:t>
      </w:r>
      <w:r>
        <w:rPr/>
        <w:t>、“健康中山”区域运营首年，多方面获得创新突破</w:t>
      </w:r>
      <w:r>
        <w:rPr>
          <w:b w:val="0"/>
          <w:bCs w:val="0"/>
        </w:rPr>
      </w:r>
    </w:p>
    <w:p>
      <w:pPr>
        <w:pStyle w:val="BodyText"/>
        <w:spacing w:line="309" w:lineRule="auto" w:before="63"/>
        <w:ind w:right="1132"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年是中山项目建成后运营的第一年，公司在提升中山市区域医疗环境的同时，为居民、医疗卫生从业人员以及卫 </w:t>
      </w:r>
      <w:r>
        <w:rPr>
          <w:spacing w:val="-5"/>
        </w:rPr>
        <w:t>生管理者提供线上、线下全方位的信息化便捷健康管理服务。在巩固医院和公共卫生传统医疗信息市场的基础上，不断以“互</w:t>
      </w:r>
      <w:r>
        <w:rPr>
          <w:spacing w:val="-80"/>
        </w:rPr>
        <w:t> </w:t>
      </w:r>
      <w:r>
        <w:rPr>
          <w:spacing w:val="-80"/>
        </w:rPr>
      </w:r>
      <w:r>
        <w:rPr/>
        <w:t>联网</w:t>
      </w:r>
      <w:r>
        <w:rPr>
          <w:rFonts w:ascii="Times New Roman" w:hAnsi="Times New Roman" w:cs="Times New Roman" w:eastAsia="Times New Roman" w:hint="default"/>
        </w:rPr>
        <w:t>+</w:t>
      </w:r>
      <w:r>
        <w:rPr/>
        <w:t>医疗健康”、“互联网</w:t>
      </w:r>
      <w:r>
        <w:rPr>
          <w:rFonts w:ascii="Times New Roman" w:hAnsi="Times New Roman" w:cs="Times New Roman" w:eastAsia="Times New Roman" w:hint="default"/>
        </w:rPr>
        <w:t>+</w:t>
      </w:r>
      <w:r>
        <w:rPr/>
        <w:t>服务”等创新模式，积极探索运营的新模式和开拓数据运营服务。</w:t>
      </w:r>
    </w:p>
    <w:p>
      <w:pPr>
        <w:pStyle w:val="BodyText"/>
        <w:spacing w:line="240" w:lineRule="auto" w:before="5"/>
        <w:ind w:left="472" w:right="882"/>
        <w:jc w:val="left"/>
      </w:pPr>
      <w:r>
        <w:rPr/>
        <w:t>（</w:t>
      </w:r>
      <w:r>
        <w:rPr>
          <w:rFonts w:ascii="Times New Roman" w:hAnsi="Times New Roman" w:cs="Times New Roman" w:eastAsia="Times New Roman" w:hint="default"/>
        </w:rPr>
        <w:t>1</w:t>
      </w:r>
      <w:r>
        <w:rPr/>
        <w:t>）“互联网</w:t>
      </w:r>
      <w:r>
        <w:rPr>
          <w:rFonts w:ascii="Times New Roman" w:hAnsi="Times New Roman" w:cs="Times New Roman" w:eastAsia="Times New Roman" w:hint="default"/>
        </w:rPr>
        <w:t>+</w:t>
      </w:r>
      <w:r>
        <w:rPr/>
        <w:t>医疗健康”运营全市铺开</w:t>
      </w:r>
    </w:p>
    <w:p>
      <w:pPr>
        <w:pStyle w:val="BodyText"/>
        <w:spacing w:line="300" w:lineRule="auto" w:before="63"/>
        <w:ind w:right="1214" w:firstLine="360"/>
        <w:jc w:val="both"/>
      </w:pPr>
      <w:r>
        <w:rPr/>
        <w:t>报告期内，公司在中山市的运营工作以已建成的预约挂号、健康中山</w:t>
      </w:r>
      <w:r>
        <w:rPr>
          <w:spacing w:val="-46"/>
        </w:rPr>
        <w:t> </w:t>
      </w:r>
      <w:r>
        <w:rPr>
          <w:rFonts w:ascii="Times New Roman" w:hAnsi="Times New Roman" w:cs="Times New Roman" w:eastAsia="Times New Roman" w:hint="default"/>
        </w:rPr>
        <w:t>APP</w:t>
      </w:r>
      <w:r>
        <w:rPr/>
        <w:t>、聚合支付、商保线上理赔、线上商城等成 果为基础，在互联网</w:t>
      </w:r>
      <w:r>
        <w:rPr>
          <w:rFonts w:ascii="Times New Roman" w:hAnsi="Times New Roman" w:cs="Times New Roman" w:eastAsia="Times New Roman" w:hint="default"/>
        </w:rPr>
        <w:t>+</w:t>
      </w:r>
      <w:r>
        <w:rPr/>
        <w:t>医疗、互联网</w:t>
      </w:r>
      <w:r>
        <w:rPr>
          <w:rFonts w:ascii="Times New Roman" w:hAnsi="Times New Roman" w:cs="Times New Roman" w:eastAsia="Times New Roman" w:hint="default"/>
        </w:rPr>
        <w:t>+</w:t>
      </w:r>
      <w:r>
        <w:rPr/>
        <w:t>服务领域取得丰硕成果。</w:t>
      </w:r>
    </w:p>
    <w:p>
      <w:pPr>
        <w:pStyle w:val="BodyText"/>
        <w:spacing w:line="307" w:lineRule="auto" w:before="13"/>
        <w:ind w:right="1038" w:firstLine="360"/>
        <w:jc w:val="left"/>
      </w:pPr>
      <w:r>
        <w:rPr>
          <w:rFonts w:ascii="Times New Roman" w:hAnsi="Times New Roman" w:cs="Times New Roman" w:eastAsia="Times New Roman" w:hint="default"/>
          <w:spacing w:val="-4"/>
        </w:rPr>
        <w:t>1</w:t>
      </w:r>
      <w:r>
        <w:rPr>
          <w:spacing w:val="-4"/>
        </w:rPr>
        <w:t>）健康中山</w:t>
      </w:r>
      <w:r>
        <w:rPr>
          <w:spacing w:val="-38"/>
        </w:rPr>
        <w:t> </w:t>
      </w:r>
      <w:r>
        <w:rPr>
          <w:rFonts w:ascii="Times New Roman" w:hAnsi="Times New Roman" w:cs="Times New Roman" w:eastAsia="Times New Roman" w:hint="default"/>
        </w:rPr>
        <w:t>APP</w:t>
      </w:r>
      <w:r>
        <w:rPr>
          <w:rFonts w:ascii="Times New Roman" w:hAnsi="Times New Roman" w:cs="Times New Roman" w:eastAsia="Times New Roman" w:hint="default"/>
          <w:spacing w:val="5"/>
        </w:rPr>
        <w:t> </w:t>
      </w:r>
      <w:r>
        <w:rPr>
          <w:spacing w:val="-4"/>
        </w:rPr>
        <w:t>已覆盖中山市、镇（街道）、村（居）三级卫生计生信息专网，累计生成健康档案数总数</w:t>
      </w:r>
      <w:r>
        <w:rPr>
          <w:spacing w:val="-38"/>
        </w:rPr>
        <w:t> </w:t>
      </w:r>
      <w:r>
        <w:rPr>
          <w:rFonts w:ascii="Times New Roman" w:hAnsi="Times New Roman" w:cs="Times New Roman" w:eastAsia="Times New Roman" w:hint="default"/>
        </w:rPr>
        <w:t>250</w:t>
      </w:r>
      <w:r>
        <w:rPr>
          <w:rFonts w:ascii="Times New Roman" w:hAnsi="Times New Roman" w:cs="Times New Roman" w:eastAsia="Times New Roman" w:hint="default"/>
          <w:spacing w:val="6"/>
        </w:rPr>
        <w:t> </w:t>
      </w:r>
      <w:r>
        <w:rPr/>
        <w:t>万余份； 通过健康中山</w:t>
      </w:r>
      <w:r>
        <w:rPr>
          <w:spacing w:val="-46"/>
        </w:rPr>
        <w:t> </w:t>
      </w:r>
      <w:r>
        <w:rPr>
          <w:rFonts w:ascii="Times New Roman" w:hAnsi="Times New Roman" w:cs="Times New Roman" w:eastAsia="Times New Roman" w:hint="default"/>
        </w:rPr>
        <w:t>APP</w:t>
      </w:r>
      <w:r>
        <w:rPr>
          <w:rFonts w:ascii="Times New Roman" w:hAnsi="Times New Roman" w:cs="Times New Roman" w:eastAsia="Times New Roman" w:hint="default"/>
          <w:spacing w:val="-3"/>
        </w:rPr>
        <w:t> </w:t>
      </w:r>
      <w:r>
        <w:rPr/>
        <w:t>居民端，中山市居民可实现一院办卡，全市通用，实现了网上预约挂号、线上统一支付、检验检查结果 </w:t>
      </w:r>
      <w:r>
        <w:rPr>
          <w:spacing w:val="-2"/>
        </w:rPr>
        <w:t>查询、健康咨询等功能。目前，已覆盖全市医疗机构、社区卫生服务中心及基层卫生站，接入预约挂号平台，预约挂号累计</w:t>
      </w:r>
      <w:r>
        <w:rPr>
          <w:spacing w:val="-66"/>
        </w:rPr>
        <w:t> </w:t>
      </w:r>
      <w:r>
        <w:rPr>
          <w:spacing w:val="-66"/>
        </w:rPr>
      </w:r>
      <w:r>
        <w:rPr/>
        <w:t>上传号源</w:t>
      </w:r>
      <w:r>
        <w:rPr>
          <w:spacing w:val="-45"/>
        </w:rPr>
        <w:t> </w:t>
      </w:r>
      <w:r>
        <w:rPr>
          <w:rFonts w:ascii="Times New Roman" w:hAnsi="Times New Roman" w:cs="Times New Roman" w:eastAsia="Times New Roman" w:hint="default"/>
        </w:rPr>
        <w:t>703.1</w:t>
      </w:r>
      <w:r>
        <w:rPr>
          <w:rFonts w:ascii="Times New Roman" w:hAnsi="Times New Roman" w:cs="Times New Roman" w:eastAsia="Times New Roman" w:hint="default"/>
          <w:spacing w:val="-1"/>
        </w:rPr>
        <w:t> </w:t>
      </w:r>
      <w:r>
        <w:rPr/>
        <w:t>万，线上诊间支付，累计交易金额</w:t>
      </w:r>
      <w:r>
        <w:rPr>
          <w:spacing w:val="-47"/>
        </w:rPr>
        <w:t> </w:t>
      </w:r>
      <w:r>
        <w:rPr>
          <w:rFonts w:ascii="Times New Roman" w:hAnsi="Times New Roman" w:cs="Times New Roman" w:eastAsia="Times New Roman" w:hint="default"/>
        </w:rPr>
        <w:t>16.27</w:t>
      </w:r>
      <w:r>
        <w:rPr>
          <w:rFonts w:ascii="Times New Roman" w:hAnsi="Times New Roman" w:cs="Times New Roman" w:eastAsia="Times New Roman" w:hint="default"/>
          <w:spacing w:val="-1"/>
        </w:rPr>
        <w:t> </w:t>
      </w:r>
      <w:r>
        <w:rPr/>
        <w:t>亿。</w:t>
      </w:r>
    </w:p>
    <w:p>
      <w:pPr>
        <w:pStyle w:val="BodyText"/>
        <w:spacing w:line="309" w:lineRule="auto" w:before="7"/>
        <w:ind w:right="1034" w:firstLine="360"/>
        <w:jc w:val="left"/>
      </w:pPr>
      <w:r>
        <w:rPr>
          <w:rFonts w:ascii="Times New Roman" w:hAnsi="Times New Roman" w:cs="Times New Roman" w:eastAsia="Times New Roman" w:hint="default"/>
        </w:rPr>
        <w:t>2</w:t>
      </w:r>
      <w:r>
        <w:rPr/>
        <w:t>）建成覆盖全市的中山市互联网医院云平台，打通从院内到院外、从信息流到资金流、从医疗到健康服务的闭环，为 居民提供在线咨询、复诊、处方流转功能。目前已接入中山市全部三甲医院、部分二甲医院，实现注册医师在线服务咨询， 在线复诊及在线处方流转。</w:t>
      </w:r>
    </w:p>
    <w:p>
      <w:pPr>
        <w:pStyle w:val="BodyText"/>
        <w:spacing w:line="300" w:lineRule="auto" w:before="24"/>
        <w:ind w:right="1141" w:firstLine="360"/>
        <w:jc w:val="both"/>
      </w:pPr>
      <w:r>
        <w:rPr>
          <w:rFonts w:ascii="Times New Roman" w:hAnsi="Times New Roman" w:cs="Times New Roman" w:eastAsia="Times New Roman" w:hint="default"/>
        </w:rPr>
        <w:t>3</w:t>
      </w:r>
      <w:r>
        <w:rPr/>
        <w:t>）建成覆盖中山市的互联网护理服务云平台，由用户端、医护端、医院端、监管端组成，医院护士在互联网护理服务 云平台上注册，为卧床老人、孕产妇等居民提供“线上申请、线下服务”的护理服务。开通</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个月以来，已接入全市</w:t>
      </w:r>
      <w:r>
        <w:rPr>
          <w:spacing w:val="-45"/>
        </w:rPr>
        <w:t> </w:t>
      </w:r>
      <w:r>
        <w:rPr>
          <w:rFonts w:ascii="Times New Roman" w:hAnsi="Times New Roman" w:cs="Times New Roman" w:eastAsia="Times New Roman" w:hint="default"/>
        </w:rPr>
        <w:t>17</w:t>
      </w:r>
      <w:r>
        <w:rPr>
          <w:rFonts w:ascii="Times New Roman" w:hAnsi="Times New Roman" w:cs="Times New Roman" w:eastAsia="Times New Roman" w:hint="default"/>
          <w:spacing w:val="-1"/>
        </w:rPr>
        <w:t> </w:t>
      </w:r>
      <w:r>
        <w:rPr/>
        <w:t>家</w:t>
      </w:r>
    </w:p>
    <w:p>
      <w:pPr>
        <w:spacing w:after="0" w:line="30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882"/>
        <w:jc w:val="left"/>
      </w:pPr>
      <w:r>
        <w:rPr/>
        <w:t>医院，提供</w:t>
      </w:r>
      <w:r>
        <w:rPr>
          <w:spacing w:val="-46"/>
        </w:rPr>
        <w:t> </w:t>
      </w:r>
      <w:r>
        <w:rPr>
          <w:rFonts w:ascii="Times New Roman" w:hAnsi="Times New Roman" w:cs="Times New Roman" w:eastAsia="Times New Roman" w:hint="default"/>
        </w:rPr>
        <w:t>77</w:t>
      </w:r>
      <w:r>
        <w:rPr>
          <w:rFonts w:ascii="Times New Roman" w:hAnsi="Times New Roman" w:cs="Times New Roman" w:eastAsia="Times New Roman" w:hint="default"/>
          <w:spacing w:val="-2"/>
        </w:rPr>
        <w:t> </w:t>
      </w:r>
      <w:r>
        <w:rPr/>
        <w:t>项护理项目，累计护理服务总时长达</w:t>
      </w:r>
      <w:r>
        <w:rPr>
          <w:spacing w:val="-46"/>
        </w:rPr>
        <w:t> </w:t>
      </w:r>
      <w:r>
        <w:rPr>
          <w:rFonts w:ascii="Times New Roman" w:hAnsi="Times New Roman" w:cs="Times New Roman" w:eastAsia="Times New Roman" w:hint="default"/>
        </w:rPr>
        <w:t>1,050</w:t>
      </w:r>
      <w:r>
        <w:rPr>
          <w:rFonts w:ascii="Times New Roman" w:hAnsi="Times New Roman" w:cs="Times New Roman" w:eastAsia="Times New Roman" w:hint="default"/>
          <w:spacing w:val="-2"/>
        </w:rPr>
        <w:t> </w:t>
      </w:r>
      <w:r>
        <w:rPr/>
        <w:t>小时。</w:t>
      </w:r>
    </w:p>
    <w:p>
      <w:pPr>
        <w:pStyle w:val="BodyText"/>
        <w:spacing w:line="300" w:lineRule="auto" w:before="63"/>
        <w:ind w:right="1141" w:firstLine="360"/>
        <w:jc w:val="left"/>
      </w:pPr>
      <w:r>
        <w:rPr>
          <w:rFonts w:ascii="Times New Roman" w:hAnsi="Times New Roman" w:cs="Times New Roman" w:eastAsia="Times New Roman" w:hint="default"/>
        </w:rPr>
        <w:t>4</w:t>
      </w:r>
      <w:r>
        <w:rPr/>
        <w:t>）建立全市统一的智能雾化云平台，公司携手设备厂商、医院，整合雾化治疗与康复管理的上下游资源，优化各级医 疗机构呼吸疾病诊疗流程，帮助患者实现从发现</w:t>
      </w:r>
      <w:r>
        <w:rPr>
          <w:rFonts w:ascii="Times New Roman" w:hAnsi="Times New Roman" w:cs="Times New Roman" w:eastAsia="Times New Roman" w:hint="default"/>
        </w:rPr>
        <w:t>-</w:t>
      </w:r>
      <w:r>
        <w:rPr/>
        <w:t>诊断</w:t>
      </w:r>
      <w:r>
        <w:rPr>
          <w:rFonts w:ascii="Times New Roman" w:hAnsi="Times New Roman" w:cs="Times New Roman" w:eastAsia="Times New Roman" w:hint="default"/>
        </w:rPr>
        <w:t>-</w:t>
      </w:r>
      <w:r>
        <w:rPr/>
        <w:t>治疗</w:t>
      </w:r>
      <w:r>
        <w:rPr>
          <w:rFonts w:ascii="Times New Roman" w:hAnsi="Times New Roman" w:cs="Times New Roman" w:eastAsia="Times New Roman" w:hint="default"/>
        </w:rPr>
        <w:t>-</w:t>
      </w:r>
      <w:r>
        <w:rPr/>
        <w:t>康复</w:t>
      </w:r>
      <w:r>
        <w:rPr>
          <w:rFonts w:ascii="Times New Roman" w:hAnsi="Times New Roman" w:cs="Times New Roman" w:eastAsia="Times New Roman" w:hint="default"/>
        </w:rPr>
        <w:t>-</w:t>
      </w:r>
      <w:r>
        <w:rPr/>
        <w:t>护理的全病程管理。</w:t>
      </w:r>
    </w:p>
    <w:p>
      <w:pPr>
        <w:pStyle w:val="BodyText"/>
        <w:spacing w:line="300" w:lineRule="auto" w:before="13"/>
        <w:ind w:left="472" w:right="882"/>
        <w:jc w:val="left"/>
      </w:pPr>
      <w:r>
        <w:rPr/>
        <w:t>（</w:t>
      </w:r>
      <w:r>
        <w:rPr>
          <w:rFonts w:ascii="Times New Roman" w:hAnsi="Times New Roman" w:cs="Times New Roman" w:eastAsia="Times New Roman" w:hint="default"/>
        </w:rPr>
        <w:t>2</w:t>
      </w:r>
      <w:r>
        <w:rPr/>
        <w:t>）积极探索运营新模式，丰富医疗数据运营 </w:t>
      </w:r>
      <w:r>
        <w:rPr>
          <w:spacing w:val="-2"/>
        </w:rPr>
        <w:t>报告期内，公司与多家民营医院就就医导流运营开展合作探索，将民营医疗机构统一接入中山市区域卫生信息平台，在</w:t>
      </w:r>
    </w:p>
    <w:p>
      <w:pPr>
        <w:pStyle w:val="BodyText"/>
        <w:spacing w:line="316" w:lineRule="auto" w:before="31"/>
        <w:ind w:left="472" w:right="882" w:hanging="360"/>
        <w:jc w:val="left"/>
      </w:pPr>
      <w:r>
        <w:rPr/>
        <w:t>中山区域实现就医档案调阅、预约挂号、便捷支付、双向转诊、电子健康卡等功能。 </w:t>
      </w:r>
      <w:r>
        <w:rPr>
          <w:spacing w:val="-2"/>
        </w:rPr>
        <w:t>报告期内，公司和制药企业阿斯利康签订《珠三角城市慢性肾脏病防治行动项目协议书》，双方将通过公司在中山市搭</w:t>
      </w:r>
    </w:p>
    <w:p>
      <w:pPr>
        <w:pStyle w:val="BodyText"/>
        <w:spacing w:line="309" w:lineRule="auto" w:before="19"/>
        <w:ind w:right="882"/>
        <w:jc w:val="left"/>
      </w:pPr>
      <w:r>
        <w:rPr/>
        <w:t>建的大数据运营平台，在保证数据隐私的前提下，通过大数据采集、梳理、整合、筛查，在慢性肾病研究（</w:t>
      </w:r>
      <w:r>
        <w:rPr>
          <w:rFonts w:ascii="Times New Roman" w:hAnsi="Times New Roman" w:cs="Times New Roman" w:eastAsia="Times New Roman" w:hint="default"/>
        </w:rPr>
        <w:t>CKD</w:t>
      </w:r>
      <w:r>
        <w:rPr/>
        <w:t>）领域寻 </w:t>
      </w:r>
      <w:r>
        <w:rPr>
          <w:spacing w:val="-2"/>
        </w:rPr>
        <w:t>求突破，实现“关口前移”、“有效干预”、“预防控制重大疾病”的健康中国战略，提升全市居民慢性肾脏病专病管理水</w:t>
      </w:r>
      <w:r>
        <w:rPr>
          <w:spacing w:val="-68"/>
        </w:rPr>
        <w:t> </w:t>
      </w:r>
      <w:r>
        <w:rPr>
          <w:spacing w:val="-68"/>
        </w:rPr>
      </w:r>
      <w:r>
        <w:rPr/>
        <w:t>平，为国家粤港澳大湾区总体战略作出贡献。</w:t>
      </w:r>
    </w:p>
    <w:p>
      <w:pPr>
        <w:spacing w:line="360" w:lineRule="auto" w:before="62"/>
        <w:ind w:left="472" w:right="882" w:firstLine="0"/>
        <w:jc w:val="left"/>
        <w:rPr>
          <w:rFonts w:ascii="宋体" w:hAnsi="宋体" w:cs="宋体" w:eastAsia="宋体" w:hint="default"/>
          <w:sz w:val="18"/>
          <w:szCs w:val="18"/>
        </w:rPr>
      </w:pPr>
      <w:r>
        <w:rPr>
          <w:rFonts w:ascii="宋体" w:hAnsi="宋体" w:cs="宋体" w:eastAsia="宋体" w:hint="default"/>
          <w:b/>
          <w:bCs/>
          <w:sz w:val="18"/>
          <w:szCs w:val="18"/>
        </w:rPr>
        <w:t>（三）医卫物联网事业群发展情况</w:t>
      </w:r>
      <w:r>
        <w:rPr>
          <w:rFonts w:ascii="宋体" w:hAnsi="宋体" w:cs="宋体" w:eastAsia="宋体" w:hint="default"/>
          <w:b/>
          <w:bCs/>
          <w:w w:val="99"/>
          <w:sz w:val="18"/>
          <w:szCs w:val="18"/>
        </w:rPr>
        <w:t> </w:t>
      </w:r>
      <w:r>
        <w:rPr>
          <w:rFonts w:ascii="宋体" w:hAnsi="宋体" w:cs="宋体" w:eastAsia="宋体" w:hint="default"/>
          <w:spacing w:val="-2"/>
          <w:sz w:val="18"/>
          <w:szCs w:val="18"/>
        </w:rPr>
        <w:t>根据公司</w:t>
      </w:r>
      <w:r>
        <w:rPr>
          <w:rFonts w:ascii="Times New Roman" w:hAnsi="Times New Roman" w:cs="Times New Roman" w:eastAsia="Times New Roman" w:hint="default"/>
          <w:spacing w:val="-2"/>
          <w:sz w:val="18"/>
          <w:szCs w:val="18"/>
        </w:rPr>
        <w:t>2019</w:t>
      </w:r>
      <w:r>
        <w:rPr>
          <w:rFonts w:ascii="宋体" w:hAnsi="宋体" w:cs="宋体" w:eastAsia="宋体" w:hint="default"/>
          <w:spacing w:val="-2"/>
          <w:sz w:val="18"/>
          <w:szCs w:val="18"/>
        </w:rPr>
        <w:t>年初既定规划，医卫物联网事业群业务主要由公司子公司慧康物联网承担，医卫物联网事业群业务主要针</w:t>
      </w:r>
    </w:p>
    <w:p>
      <w:pPr>
        <w:pStyle w:val="BodyText"/>
        <w:spacing w:line="199" w:lineRule="exact"/>
        <w:ind w:right="882"/>
        <w:jc w:val="left"/>
      </w:pPr>
      <w:r>
        <w:rPr/>
        <w:t>对医院诊前、诊中、诊后各环节的服务场景提供解决方案，具体的服务载体更多将会是以软硬件结合的形式体现，目前整个</w:t>
      </w:r>
    </w:p>
    <w:p>
      <w:pPr>
        <w:pStyle w:val="BodyText"/>
        <w:spacing w:line="316" w:lineRule="auto" w:before="76"/>
        <w:ind w:right="882"/>
        <w:jc w:val="left"/>
      </w:pPr>
      <w:r>
        <w:rPr>
          <w:spacing w:val="-4"/>
        </w:rPr>
        <w:t>业务体系形成了以物联网技术为基础，物联网接入基础平台为核心，结合软硬件应用，针对医疗机构的智慧服务、智慧临床、</w:t>
      </w:r>
      <w:r>
        <w:rPr>
          <w:spacing w:val="-43"/>
        </w:rPr>
        <w:t> </w:t>
      </w:r>
      <w:r>
        <w:rPr>
          <w:spacing w:val="-43"/>
        </w:rPr>
      </w:r>
      <w:r>
        <w:rPr/>
        <w:t>智慧管理等一系列医疗卫生领域智能化解决方案。</w:t>
      </w:r>
    </w:p>
    <w:p>
      <w:pPr>
        <w:spacing w:line="240" w:lineRule="auto" w:before="1"/>
        <w:rPr>
          <w:rFonts w:ascii="宋体" w:hAnsi="宋体" w:cs="宋体" w:eastAsia="宋体" w:hint="default"/>
          <w:sz w:val="8"/>
          <w:szCs w:val="8"/>
        </w:rPr>
      </w:pPr>
    </w:p>
    <w:p>
      <w:pPr>
        <w:spacing w:line="5139" w:lineRule="exact"/>
        <w:ind w:left="1123" w:right="0" w:firstLine="0"/>
        <w:rPr>
          <w:rFonts w:ascii="宋体" w:hAnsi="宋体" w:cs="宋体" w:eastAsia="宋体" w:hint="default"/>
          <w:sz w:val="20"/>
          <w:szCs w:val="20"/>
        </w:rPr>
      </w:pPr>
      <w:r>
        <w:rPr>
          <w:rFonts w:ascii="宋体" w:hAnsi="宋体" w:cs="宋体" w:eastAsia="宋体" w:hint="default"/>
          <w:position w:val="-102"/>
          <w:sz w:val="20"/>
          <w:szCs w:val="20"/>
        </w:rPr>
        <w:drawing>
          <wp:inline distT="0" distB="0" distL="0" distR="0">
            <wp:extent cx="4798982" cy="3263550"/>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29" cstate="print"/>
                    <a:stretch>
                      <a:fillRect/>
                    </a:stretch>
                  </pic:blipFill>
                  <pic:spPr>
                    <a:xfrm>
                      <a:off x="0" y="0"/>
                      <a:ext cx="4798982" cy="3263550"/>
                    </a:xfrm>
                    <a:prstGeom prst="rect">
                      <a:avLst/>
                    </a:prstGeom>
                  </pic:spPr>
                </pic:pic>
              </a:graphicData>
            </a:graphic>
          </wp:inline>
        </w:drawing>
      </w:r>
      <w:r>
        <w:rPr>
          <w:rFonts w:ascii="宋体" w:hAnsi="宋体" w:cs="宋体" w:eastAsia="宋体" w:hint="default"/>
          <w:position w:val="-102"/>
          <w:sz w:val="20"/>
          <w:szCs w:val="20"/>
        </w:rPr>
      </w:r>
    </w:p>
    <w:p>
      <w:pPr>
        <w:pStyle w:val="BodyText"/>
        <w:spacing w:line="300" w:lineRule="auto" w:before="157"/>
        <w:ind w:right="1123" w:firstLine="451"/>
        <w:jc w:val="left"/>
      </w:pPr>
      <w:r>
        <w:rPr>
          <w:rFonts w:ascii="Times New Roman" w:hAnsi="Times New Roman" w:cs="Times New Roman" w:eastAsia="Times New Roman" w:hint="default"/>
        </w:rPr>
        <w:t>2019</w:t>
      </w:r>
      <w:r>
        <w:rPr/>
        <w:t>年，作为公司与子公司慧康物联网业务整合的新起点，在“服务平台共享、深挖内潜、新业务努力开拓”三项举 措的同时推动下，母子公司业务协同融合已经初现成效，慧康物联网在保证经营业绩平稳的情况下，成功将原单一金融</w:t>
      </w:r>
      <w:r>
        <w:rPr>
          <w:rFonts w:ascii="Times New Roman" w:hAnsi="Times New Roman" w:cs="Times New Roman" w:eastAsia="Times New Roman" w:hint="default"/>
        </w:rPr>
        <w:t>IT</w:t>
      </w:r>
      <w:r>
        <w:rPr>
          <w:rFonts w:ascii="Times New Roman" w:hAnsi="Times New Roman" w:cs="Times New Roman" w:eastAsia="Times New Roman" w:hint="default"/>
          <w:w w:val="99"/>
        </w:rPr>
        <w:t> </w:t>
      </w:r>
      <w:r>
        <w:rPr/>
        <w:t>运维服务转型到“金融</w:t>
      </w:r>
      <w:r>
        <w:rPr>
          <w:rFonts w:ascii="Times New Roman" w:hAnsi="Times New Roman" w:cs="Times New Roman" w:eastAsia="Times New Roman" w:hint="default"/>
        </w:rPr>
        <w:t>+</w:t>
      </w:r>
      <w:r>
        <w:rPr/>
        <w:t>医疗”行业服务的业务模式。</w:t>
      </w:r>
    </w:p>
    <w:p>
      <w:pPr>
        <w:pStyle w:val="BodyText"/>
        <w:spacing w:line="309" w:lineRule="auto" w:before="54"/>
        <w:ind w:right="1132" w:firstLine="360"/>
        <w:jc w:val="both"/>
      </w:pPr>
      <w:r>
        <w:rPr>
          <w:spacing w:val="-2"/>
        </w:rPr>
        <w:t>报告期内，医疗物联网相关业务整体发展态势良好，以医疗物联网业务为主的项目单独中标频出，如中标江阴市人民医</w:t>
      </w:r>
      <w:r>
        <w:rPr/>
        <w:t> 院“基于物联网等信息技术的系统升级改造和服务项目</w:t>
      </w:r>
      <w:r>
        <w:rPr>
          <w:rFonts w:ascii="Times New Roman" w:hAnsi="Times New Roman" w:cs="Times New Roman" w:eastAsia="Times New Roman" w:hint="default"/>
        </w:rPr>
        <w:t>”</w:t>
      </w:r>
      <w:r>
        <w:rPr/>
        <w:t>等、金华市人民医院</w:t>
      </w:r>
      <w:r>
        <w:rPr>
          <w:spacing w:val="-68"/>
        </w:rPr>
        <w:t> </w:t>
      </w:r>
      <w:r>
        <w:rPr/>
        <w:t>“医养大健康综合体软件信息集成项目采购项</w:t>
      </w:r>
      <w:r>
        <w:rPr/>
        <w:t> 目</w:t>
      </w:r>
      <w:r>
        <w:rPr>
          <w:rFonts w:ascii="Times New Roman" w:hAnsi="Times New Roman" w:cs="Times New Roman" w:eastAsia="Times New Roman" w:hint="default"/>
        </w:rPr>
        <w:t>”</w:t>
      </w:r>
      <w:r>
        <w:rPr/>
        <w:t>物联网业务建设项目；在医疗</w:t>
      </w:r>
      <w:r>
        <w:rPr>
          <w:rFonts w:ascii="Times New Roman" w:hAnsi="Times New Roman" w:cs="Times New Roman" w:eastAsia="Times New Roman" w:hint="default"/>
        </w:rPr>
        <w:t>IT</w:t>
      </w:r>
      <w:r>
        <w:rPr/>
        <w:t>运维服务业务上，落地了数个医疗</w:t>
      </w:r>
      <w:r>
        <w:rPr>
          <w:rFonts w:ascii="Times New Roman" w:hAnsi="Times New Roman" w:cs="Times New Roman" w:eastAsia="Times New Roman" w:hint="default"/>
        </w:rPr>
        <w:t>IT</w:t>
      </w:r>
      <w:r>
        <w:rPr/>
        <w:t>运维软件项目，如：闵行卫健委项目、黄山人民医 院项目等；</w:t>
      </w:r>
      <w:r>
        <w:rPr>
          <w:rFonts w:ascii="Times New Roman" w:hAnsi="Times New Roman" w:cs="Times New Roman" w:eastAsia="Times New Roman" w:hint="default"/>
        </w:rPr>
        <w:t>2019</w:t>
      </w:r>
      <w:r>
        <w:rPr/>
        <w:t>年由公司自主设计研发的软硬件一体化“智能数字化病房</w:t>
      </w:r>
      <w:r>
        <w:rPr>
          <w:rFonts w:ascii="Times New Roman" w:hAnsi="Times New Roman" w:cs="Times New Roman" w:eastAsia="Times New Roman" w:hint="default"/>
        </w:rPr>
        <w:t>”</w:t>
      </w:r>
      <w:r>
        <w:rPr/>
        <w:t>的解决方案陆续实现落地实施，报告期内，中标 </w:t>
      </w:r>
      <w:r>
        <w:rPr>
          <w:spacing w:val="-2"/>
        </w:rPr>
        <w:t>承建了福建协和医院、温州市中心医院、乐清市人民医院等数字化病房建设项目；另外，公司积极探索在现有医疗机构客户</w:t>
      </w:r>
      <w:r>
        <w:rPr>
          <w:spacing w:val="-66"/>
        </w:rPr>
        <w:t> </w:t>
      </w:r>
      <w:r>
        <w:rPr>
          <w:spacing w:val="-66"/>
        </w:rPr>
      </w:r>
      <w:r>
        <w:rPr>
          <w:spacing w:val="-2"/>
        </w:rPr>
        <w:t>推广智能终端运营的服务，自主研发了自助设备共享服务管理平台，目前已在部分客户实现设备铺设，并接入平台实现了服</w:t>
      </w:r>
      <w:r>
        <w:rPr>
          <w:spacing w:val="-65"/>
        </w:rPr>
        <w:t> </w:t>
      </w:r>
      <w:r>
        <w:rPr>
          <w:spacing w:val="-65"/>
        </w:rPr>
      </w:r>
      <w:r>
        <w:rPr/>
        <w:t>务共享和数据的采集。</w:t>
      </w:r>
    </w:p>
    <w:p>
      <w:pPr>
        <w:pStyle w:val="BodyText"/>
        <w:spacing w:line="300" w:lineRule="auto" w:before="65"/>
        <w:ind w:right="882" w:firstLine="360"/>
        <w:jc w:val="left"/>
      </w:pPr>
      <w:r>
        <w:rPr>
          <w:spacing w:val="-2"/>
        </w:rPr>
        <w:t>未来，随着医疗行业物联网业务的需求增长，将进一步加速慧康物联业务在医疗</w:t>
      </w:r>
      <w:r>
        <w:rPr>
          <w:rFonts w:ascii="Times New Roman" w:hAnsi="Times New Roman" w:cs="Times New Roman" w:eastAsia="Times New Roman" w:hint="default"/>
          <w:spacing w:val="-2"/>
        </w:rPr>
        <w:t>IT</w:t>
      </w:r>
      <w:r>
        <w:rPr>
          <w:spacing w:val="-2"/>
        </w:rPr>
        <w:t>行业成长，为公司业绩增长带来新的</w:t>
      </w:r>
      <w:r>
        <w:rPr/>
        <w:t> 契机。</w:t>
      </w:r>
    </w:p>
    <w:p>
      <w:pPr>
        <w:spacing w:after="0" w:line="300" w:lineRule="auto"/>
        <w:jc w:val="left"/>
        <w:sectPr>
          <w:footerReference w:type="default" r:id="rId28"/>
          <w:pgSz w:w="11910" w:h="16840"/>
          <w:pgMar w:footer="1016" w:header="907" w:top="1100" w:bottom="1200" w:left="1020" w:right="0"/>
          <w:pgNumType w:start="30"/>
        </w:sectPr>
      </w:pPr>
    </w:p>
    <w:p>
      <w:pPr>
        <w:spacing w:line="240" w:lineRule="auto" w:before="13"/>
        <w:rPr>
          <w:rFonts w:ascii="宋体" w:hAnsi="宋体" w:cs="宋体" w:eastAsia="宋体" w:hint="default"/>
          <w:sz w:val="22"/>
          <w:szCs w:val="22"/>
        </w:rPr>
      </w:pPr>
    </w:p>
    <w:p>
      <w:pPr>
        <w:pStyle w:val="Heading5"/>
        <w:spacing w:line="240" w:lineRule="auto" w:before="44"/>
        <w:ind w:left="572" w:right="1031"/>
        <w:jc w:val="left"/>
        <w:rPr>
          <w:b w:val="0"/>
          <w:bCs w:val="0"/>
        </w:rPr>
      </w:pPr>
      <w:r>
        <w:rPr/>
        <w:t>（四）医保事业部业务开展情况</w:t>
      </w:r>
      <w:r>
        <w:rPr>
          <w:b w:val="0"/>
          <w:bCs w:val="0"/>
        </w:rPr>
      </w:r>
    </w:p>
    <w:p>
      <w:pPr>
        <w:pStyle w:val="BodyText"/>
        <w:spacing w:line="307" w:lineRule="auto" w:before="76"/>
        <w:ind w:left="212" w:right="1129" w:firstLine="360"/>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月，公司中标《国家医疗保障局医疗保障信息平台建设工程业务应用软件采购项目》中的第八包医保核心业务 </w:t>
      </w:r>
      <w:r>
        <w:rPr>
          <w:spacing w:val="-2"/>
        </w:rPr>
        <w:t>系统，该项目对医保支付、医保定价、医保监管三大医保核心职能的履行将发挥基础性作用，国家顶层平台的建设将为省级</w:t>
      </w:r>
      <w:r>
        <w:rPr>
          <w:spacing w:val="-64"/>
        </w:rPr>
        <w:t> </w:t>
      </w:r>
      <w:r>
        <w:rPr>
          <w:spacing w:val="-64"/>
        </w:rPr>
      </w:r>
      <w:r>
        <w:rPr>
          <w:spacing w:val="-1"/>
        </w:rPr>
        <w:t>及各级政府树立标杆。此次中标，公司将进一步了解顶层设计标准，有助于提升公司医疗机构端的</w:t>
      </w:r>
      <w:r>
        <w:rPr>
          <w:rFonts w:ascii="Times New Roman" w:hAnsi="Times New Roman" w:cs="Times New Roman" w:eastAsia="Times New Roman" w:hint="default"/>
          <w:spacing w:val="-1"/>
        </w:rPr>
        <w:t>DRGS</w:t>
      </w:r>
      <w:r>
        <w:rPr>
          <w:spacing w:val="-1"/>
        </w:rPr>
        <w:t>改造业务已有相关</w:t>
      </w:r>
      <w:r>
        <w:rPr>
          <w:spacing w:val="-56"/>
        </w:rPr>
        <w:t> </w:t>
      </w:r>
      <w:r>
        <w:rPr/>
        <w:t>的产品，为将来地方各级医保平台及医院端信息化改造赢得了先机。</w:t>
      </w:r>
    </w:p>
    <w:p>
      <w:pPr>
        <w:spacing w:line="240" w:lineRule="auto" w:before="4"/>
        <w:rPr>
          <w:rFonts w:ascii="宋体" w:hAnsi="宋体" w:cs="宋体" w:eastAsia="宋体" w:hint="default"/>
          <w:sz w:val="10"/>
          <w:szCs w:val="10"/>
        </w:rPr>
      </w:pPr>
    </w:p>
    <w:p>
      <w:pPr>
        <w:spacing w:line="4440" w:lineRule="exact"/>
        <w:ind w:left="1043" w:right="0" w:firstLine="0"/>
        <w:rPr>
          <w:rFonts w:ascii="宋体" w:hAnsi="宋体" w:cs="宋体" w:eastAsia="宋体" w:hint="default"/>
          <w:sz w:val="20"/>
          <w:szCs w:val="20"/>
        </w:rPr>
      </w:pPr>
      <w:r>
        <w:rPr>
          <w:rFonts w:ascii="宋体" w:hAnsi="宋体" w:cs="宋体" w:eastAsia="宋体" w:hint="default"/>
          <w:position w:val="-88"/>
          <w:sz w:val="20"/>
          <w:szCs w:val="20"/>
        </w:rPr>
        <w:drawing>
          <wp:inline distT="0" distB="0" distL="0" distR="0">
            <wp:extent cx="5286756" cy="2819400"/>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30" cstate="print"/>
                    <a:stretch>
                      <a:fillRect/>
                    </a:stretch>
                  </pic:blipFill>
                  <pic:spPr>
                    <a:xfrm>
                      <a:off x="0" y="0"/>
                      <a:ext cx="5286756" cy="2819400"/>
                    </a:xfrm>
                    <a:prstGeom prst="rect">
                      <a:avLst/>
                    </a:prstGeom>
                  </pic:spPr>
                </pic:pic>
              </a:graphicData>
            </a:graphic>
          </wp:inline>
        </w:drawing>
      </w:r>
      <w:r>
        <w:rPr>
          <w:rFonts w:ascii="宋体" w:hAnsi="宋体" w:cs="宋体" w:eastAsia="宋体" w:hint="default"/>
          <w:position w:val="-88"/>
          <w:sz w:val="20"/>
          <w:szCs w:val="20"/>
        </w:rPr>
      </w:r>
    </w:p>
    <w:p>
      <w:pPr>
        <w:pStyle w:val="BodyText"/>
        <w:spacing w:line="312" w:lineRule="auto" w:before="131"/>
        <w:ind w:left="212" w:right="1130" w:firstLine="360"/>
        <w:jc w:val="both"/>
      </w:pPr>
      <w:r>
        <w:rPr>
          <w:spacing w:val="-2"/>
        </w:rPr>
        <w:t>报告期内，公司为确实保证此次项目的顺利实施，并基于医保信息化浪潮将自上而下到来前景判断，公司经营管理层力</w:t>
      </w:r>
      <w:r>
        <w:rPr/>
        <w:t> </w:t>
      </w:r>
      <w:r>
        <w:rPr>
          <w:spacing w:val="-2"/>
        </w:rPr>
        <w:t>求丰富业务战略规划，形成多方面推进的业务布局，</w:t>
      </w:r>
      <w:r>
        <w:rPr>
          <w:rFonts w:ascii="Times New Roman" w:hAnsi="Times New Roman" w:cs="Times New Roman" w:eastAsia="Times New Roman" w:hint="default"/>
          <w:spacing w:val="-2"/>
        </w:rPr>
        <w:t>2019</w:t>
      </w:r>
      <w:r>
        <w:rPr>
          <w:spacing w:val="-2"/>
        </w:rPr>
        <w:t>年专门成立了医保事业部，与公司三大事业群一起形成了“一体两</w:t>
      </w:r>
      <w:r>
        <w:rPr>
          <w:spacing w:val="-62"/>
        </w:rPr>
        <w:t> </w:t>
      </w:r>
      <w:r>
        <w:rPr>
          <w:spacing w:val="-62"/>
        </w:rPr>
      </w:r>
      <w:r>
        <w:rPr>
          <w:spacing w:val="-2"/>
        </w:rPr>
        <w:t>翼”加医保事业部的整体业务板块，力求在未来自上而下带动各级医保平台的建设浪潮中，为公司医院端和公卫端相关业务</w:t>
      </w:r>
      <w:r>
        <w:rPr>
          <w:spacing w:val="-63"/>
        </w:rPr>
        <w:t> </w:t>
      </w:r>
      <w:r>
        <w:rPr>
          <w:spacing w:val="-63"/>
        </w:rPr>
      </w:r>
      <w:r>
        <w:rPr/>
        <w:t>占据先机。</w:t>
      </w:r>
    </w:p>
    <w:p>
      <w:pPr>
        <w:pStyle w:val="BodyText"/>
        <w:spacing w:line="300" w:lineRule="auto" w:before="22"/>
        <w:ind w:left="212" w:right="1106" w:firstLine="360"/>
        <w:jc w:val="both"/>
      </w:pPr>
      <w:r>
        <w:rPr/>
        <w:t>报告期内，公司研发的基于大数据的</w:t>
      </w:r>
      <w:r>
        <w:rPr>
          <w:spacing w:val="-42"/>
        </w:rPr>
        <w:t> </w:t>
      </w:r>
      <w:r>
        <w:rPr>
          <w:rFonts w:ascii="Times New Roman" w:hAnsi="Times New Roman" w:cs="Times New Roman" w:eastAsia="Times New Roman" w:hint="default"/>
        </w:rPr>
        <w:t>DRGS</w:t>
      </w:r>
      <w:r>
        <w:rPr>
          <w:rFonts w:ascii="Times New Roman" w:hAnsi="Times New Roman" w:cs="Times New Roman" w:eastAsia="Times New Roman" w:hint="default"/>
          <w:spacing w:val="-2"/>
        </w:rPr>
        <w:t> </w:t>
      </w:r>
      <w:r>
        <w:rPr/>
        <w:t>医院管理平台系统，已在上海市、江西省等地近</w:t>
      </w:r>
      <w:r>
        <w:rPr>
          <w:spacing w:val="-45"/>
        </w:rPr>
        <w:t> </w:t>
      </w:r>
      <w:r>
        <w:rPr>
          <w:rFonts w:ascii="Times New Roman" w:hAnsi="Times New Roman" w:cs="Times New Roman" w:eastAsia="Times New Roman" w:hint="default"/>
        </w:rPr>
        <w:t>20</w:t>
      </w:r>
      <w:r>
        <w:rPr>
          <w:rFonts w:ascii="Times New Roman" w:hAnsi="Times New Roman" w:cs="Times New Roman" w:eastAsia="Times New Roman" w:hint="default"/>
          <w:spacing w:val="-3"/>
        </w:rPr>
        <w:t> </w:t>
      </w:r>
      <w:r>
        <w:rPr/>
        <w:t>家公立医院上线运行， 取得了良好的应用效果，为公司医院端</w:t>
      </w:r>
      <w:r>
        <w:rPr>
          <w:spacing w:val="-47"/>
        </w:rPr>
        <w:t> </w:t>
      </w:r>
      <w:r>
        <w:rPr>
          <w:rFonts w:ascii="Times New Roman" w:hAnsi="Times New Roman" w:cs="Times New Roman" w:eastAsia="Times New Roman" w:hint="default"/>
        </w:rPr>
        <w:t>DRGS</w:t>
      </w:r>
      <w:r>
        <w:rPr>
          <w:rFonts w:ascii="Times New Roman" w:hAnsi="Times New Roman" w:cs="Times New Roman" w:eastAsia="Times New Roman" w:hint="default"/>
          <w:spacing w:val="-1"/>
        </w:rPr>
        <w:t> </w:t>
      </w:r>
      <w:r>
        <w:rPr/>
        <w:t>改造业务的拓展积累了宝贵的经验。</w:t>
      </w:r>
    </w:p>
    <w:p>
      <w:pPr>
        <w:spacing w:line="316" w:lineRule="auto" w:before="13"/>
        <w:ind w:left="572" w:right="1031" w:firstLine="0"/>
        <w:jc w:val="left"/>
        <w:rPr>
          <w:rFonts w:ascii="宋体" w:hAnsi="宋体" w:cs="宋体" w:eastAsia="宋体" w:hint="default"/>
          <w:sz w:val="18"/>
          <w:szCs w:val="18"/>
        </w:rPr>
      </w:pPr>
      <w:r>
        <w:rPr>
          <w:rFonts w:ascii="宋体" w:hAnsi="宋体" w:cs="宋体" w:eastAsia="宋体" w:hint="default"/>
          <w:b/>
          <w:bCs/>
          <w:sz w:val="18"/>
          <w:szCs w:val="18"/>
        </w:rPr>
        <w:t>（五）注重产品创新研发，加大研发投入促进产品升级换代</w:t>
      </w:r>
      <w:r>
        <w:rPr>
          <w:rFonts w:ascii="宋体" w:hAnsi="宋体" w:cs="宋体" w:eastAsia="宋体" w:hint="default"/>
          <w:b/>
          <w:bCs/>
          <w:w w:val="99"/>
          <w:sz w:val="18"/>
          <w:szCs w:val="18"/>
        </w:rPr>
        <w:t> </w:t>
      </w:r>
      <w:r>
        <w:rPr>
          <w:rFonts w:ascii="宋体" w:hAnsi="宋体" w:cs="宋体" w:eastAsia="宋体" w:hint="default"/>
          <w:spacing w:val="-2"/>
          <w:sz w:val="18"/>
          <w:szCs w:val="18"/>
        </w:rPr>
        <w:t>公司坚持技术领先的企业发展战略，紧跟国际信息技术的发展潮流，紧密结合我国医疗卫生信息化建设的实际情况，重</w:t>
      </w:r>
    </w:p>
    <w:p>
      <w:pPr>
        <w:pStyle w:val="BodyText"/>
        <w:spacing w:line="307" w:lineRule="auto" w:before="19"/>
        <w:ind w:left="212" w:right="1132"/>
        <w:jc w:val="both"/>
      </w:pPr>
      <w:r>
        <w:rPr>
          <w:spacing w:val="-2"/>
        </w:rPr>
        <w:t>视自主研发和科技创新活动。报告期内，研发部门以“一体两翼”加新设的医保事业部业务板块为导向，通过不断的对医疗</w:t>
      </w:r>
      <w:r>
        <w:rPr>
          <w:spacing w:val="-65"/>
        </w:rPr>
        <w:t> </w:t>
      </w:r>
      <w:r>
        <w:rPr>
          <w:spacing w:val="-65"/>
        </w:rPr>
      </w:r>
      <w:r>
        <w:rPr/>
        <w:t>信息话产品的开发及升级迭代，不断满足不同客户的个性化需求，在大数据、互联网</w:t>
      </w:r>
      <w:r>
        <w:rPr>
          <w:rFonts w:ascii="Times New Roman" w:hAnsi="Times New Roman" w:cs="Times New Roman" w:eastAsia="Times New Roman" w:hint="default"/>
        </w:rPr>
        <w:t>+</w:t>
      </w:r>
      <w:r>
        <w:rPr/>
        <w:t>医疗、医疗物联网、人工智能等多个 领域实施了</w:t>
      </w:r>
      <w:r>
        <w:rPr>
          <w:spacing w:val="-38"/>
        </w:rPr>
        <w:t> </w:t>
      </w:r>
      <w:r>
        <w:rPr>
          <w:rFonts w:ascii="Times New Roman" w:hAnsi="Times New Roman" w:cs="Times New Roman" w:eastAsia="Times New Roman" w:hint="default"/>
        </w:rPr>
        <w:t>18</w:t>
      </w:r>
      <w:r>
        <w:rPr>
          <w:rFonts w:ascii="Times New Roman" w:hAnsi="Times New Roman" w:cs="Times New Roman" w:eastAsia="Times New Roman" w:hint="default"/>
          <w:spacing w:val="6"/>
        </w:rPr>
        <w:t> </w:t>
      </w:r>
      <w:r>
        <w:rPr/>
        <w:t>项重点新产品开发和</w:t>
      </w:r>
      <w:r>
        <w:rPr>
          <w:spacing w:val="-38"/>
        </w:rPr>
        <w:t> </w:t>
      </w:r>
      <w:r>
        <w:rPr>
          <w:rFonts w:ascii="Times New Roman" w:hAnsi="Times New Roman" w:cs="Times New Roman" w:eastAsia="Times New Roman" w:hint="default"/>
        </w:rPr>
        <w:t>15</w:t>
      </w:r>
      <w:r>
        <w:rPr>
          <w:rFonts w:ascii="Times New Roman" w:hAnsi="Times New Roman" w:cs="Times New Roman" w:eastAsia="Times New Roman" w:hint="default"/>
          <w:spacing w:val="3"/>
        </w:rPr>
        <w:t> </w:t>
      </w:r>
      <w:r>
        <w:rPr>
          <w:spacing w:val="-3"/>
        </w:rPr>
        <w:t>项核心技术升级项目，均按计划要求完成任务，取得了良好地效果，有效的丰富了公</w:t>
      </w:r>
      <w:r>
        <w:rPr/>
        <w:t> 司产品业务体系，为公司业务发展奠定了坚实的产品技术基础。</w:t>
      </w:r>
    </w:p>
    <w:p>
      <w:pPr>
        <w:pStyle w:val="BodyText"/>
        <w:spacing w:line="300" w:lineRule="auto" w:before="26"/>
        <w:ind w:left="212" w:right="1039" w:firstLine="360"/>
        <w:jc w:val="both"/>
      </w:pPr>
      <w:r>
        <w:rPr/>
        <w:t>报告期内，公司发生研发投入</w:t>
      </w:r>
      <w:r>
        <w:rPr>
          <w:spacing w:val="-50"/>
        </w:rPr>
        <w:t> </w:t>
      </w:r>
      <w:r>
        <w:rPr>
          <w:rFonts w:ascii="Times New Roman" w:hAnsi="Times New Roman" w:cs="Times New Roman" w:eastAsia="Times New Roman" w:hint="default"/>
        </w:rPr>
        <w:t>20,880.33</w:t>
      </w:r>
      <w:r>
        <w:rPr>
          <w:rFonts w:ascii="Times New Roman" w:hAnsi="Times New Roman" w:cs="Times New Roman" w:eastAsia="Times New Roman" w:hint="default"/>
          <w:spacing w:val="-6"/>
        </w:rPr>
        <w:t> </w:t>
      </w:r>
      <w:r>
        <w:rPr/>
        <w:t>万元，同比增长</w:t>
      </w:r>
      <w:r>
        <w:rPr>
          <w:spacing w:val="-50"/>
        </w:rPr>
        <w:t> </w:t>
      </w:r>
      <w:r>
        <w:rPr>
          <w:rFonts w:ascii="Times New Roman" w:hAnsi="Times New Roman" w:cs="Times New Roman" w:eastAsia="Times New Roman" w:hint="default"/>
        </w:rPr>
        <w:t>28.33%</w:t>
      </w:r>
      <w:r>
        <w:rPr/>
        <w:t>，占公司营业收入的</w:t>
      </w:r>
      <w:r>
        <w:rPr>
          <w:spacing w:val="-50"/>
        </w:rPr>
        <w:t> </w:t>
      </w:r>
      <w:r>
        <w:rPr>
          <w:rFonts w:ascii="Times New Roman" w:hAnsi="Times New Roman" w:cs="Times New Roman" w:eastAsia="Times New Roman" w:hint="default"/>
        </w:rPr>
        <w:t>14.11%</w:t>
      </w:r>
      <w:r>
        <w:rPr/>
        <w:t>。参与制定国家标准</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t>项， 新增专利权</w:t>
      </w:r>
      <w:r>
        <w:rPr>
          <w:spacing w:val="-45"/>
        </w:rPr>
        <w:t> </w:t>
      </w:r>
      <w:r>
        <w:rPr>
          <w:rFonts w:ascii="Times New Roman" w:hAnsi="Times New Roman" w:cs="Times New Roman" w:eastAsia="Times New Roman" w:hint="default"/>
        </w:rPr>
        <w:t>13</w:t>
      </w:r>
      <w:r>
        <w:rPr>
          <w:rFonts w:ascii="Times New Roman" w:hAnsi="Times New Roman" w:cs="Times New Roman" w:eastAsia="Times New Roman" w:hint="default"/>
          <w:spacing w:val="-1"/>
        </w:rPr>
        <w:t> </w:t>
      </w:r>
      <w:r>
        <w:rPr/>
        <w:t>项（发明专利</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项），新增软件著作权</w:t>
      </w:r>
      <w:r>
        <w:rPr>
          <w:spacing w:val="-45"/>
        </w:rPr>
        <w:t> </w:t>
      </w:r>
      <w:r>
        <w:rPr>
          <w:rFonts w:ascii="Times New Roman" w:hAnsi="Times New Roman" w:cs="Times New Roman" w:eastAsia="Times New Roman" w:hint="default"/>
        </w:rPr>
        <w:t>63</w:t>
      </w:r>
      <w:r>
        <w:rPr>
          <w:rFonts w:ascii="Times New Roman" w:hAnsi="Times New Roman" w:cs="Times New Roman" w:eastAsia="Times New Roman" w:hint="default"/>
          <w:spacing w:val="-3"/>
        </w:rPr>
        <w:t> </w:t>
      </w:r>
      <w:r>
        <w:rPr/>
        <w:t>项。</w:t>
      </w:r>
    </w:p>
    <w:p>
      <w:pPr>
        <w:pStyle w:val="BodyText"/>
        <w:spacing w:line="240" w:lineRule="auto" w:before="13"/>
        <w:ind w:left="572" w:right="1031"/>
        <w:jc w:val="left"/>
      </w:pPr>
      <w:r>
        <w:rPr/>
        <w:t>报告期内，公司新增专利情况如下：</w:t>
      </w:r>
    </w:p>
    <w:p>
      <w:pPr>
        <w:spacing w:line="240" w:lineRule="auto" w:before="10"/>
        <w:rPr>
          <w:rFonts w:ascii="宋体" w:hAnsi="宋体" w:cs="宋体" w:eastAsia="宋体" w:hint="default"/>
          <w:sz w:val="17"/>
          <w:szCs w:val="17"/>
        </w:rPr>
      </w:pPr>
    </w:p>
    <w:tbl>
      <w:tblPr>
        <w:tblW w:w="0" w:type="auto"/>
        <w:jc w:val="left"/>
        <w:tblInd w:w="103" w:type="dxa"/>
        <w:tblLayout w:type="fixed"/>
        <w:tblCellMar>
          <w:top w:w="0" w:type="dxa"/>
          <w:left w:w="0" w:type="dxa"/>
          <w:bottom w:w="0" w:type="dxa"/>
          <w:right w:w="0" w:type="dxa"/>
        </w:tblCellMar>
        <w:tblLook w:val="01E0"/>
      </w:tblPr>
      <w:tblGrid>
        <w:gridCol w:w="739"/>
        <w:gridCol w:w="2097"/>
        <w:gridCol w:w="4988"/>
        <w:gridCol w:w="2026"/>
      </w:tblGrid>
      <w:tr>
        <w:trPr>
          <w:trHeight w:val="322" w:hRule="exact"/>
        </w:trPr>
        <w:tc>
          <w:tcPr>
            <w:tcW w:w="739"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2097"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11"/>
              <w:ind w:right="413"/>
              <w:jc w:val="right"/>
              <w:rPr>
                <w:rFonts w:ascii="宋体" w:hAnsi="宋体" w:cs="宋体" w:eastAsia="宋体" w:hint="default"/>
                <w:sz w:val="18"/>
                <w:szCs w:val="18"/>
              </w:rPr>
            </w:pPr>
            <w:r>
              <w:rPr>
                <w:rFonts w:ascii="宋体" w:hAnsi="宋体" w:cs="宋体" w:eastAsia="宋体" w:hint="default"/>
                <w:sz w:val="18"/>
                <w:szCs w:val="18"/>
              </w:rPr>
              <w:t>申请专利号</w:t>
            </w:r>
          </w:p>
        </w:tc>
        <w:tc>
          <w:tcPr>
            <w:tcW w:w="4988"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11"/>
              <w:ind w:left="359" w:right="0"/>
              <w:jc w:val="center"/>
              <w:rPr>
                <w:rFonts w:ascii="宋体" w:hAnsi="宋体" w:cs="宋体" w:eastAsia="宋体" w:hint="default"/>
                <w:sz w:val="18"/>
                <w:szCs w:val="18"/>
              </w:rPr>
            </w:pPr>
            <w:r>
              <w:rPr>
                <w:rFonts w:ascii="宋体" w:hAnsi="宋体" w:cs="宋体" w:eastAsia="宋体" w:hint="default"/>
                <w:sz w:val="18"/>
                <w:szCs w:val="18"/>
              </w:rPr>
              <w:t>发明名称</w:t>
            </w:r>
          </w:p>
        </w:tc>
        <w:tc>
          <w:tcPr>
            <w:tcW w:w="2026"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类型</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18"/>
                <w:szCs w:val="18"/>
              </w:rPr>
            </w:pPr>
            <w:r>
              <w:rPr>
                <w:rFonts w:ascii="Times New Roman"/>
                <w:sz w:val="18"/>
              </w:rPr>
              <w:t>1</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323"/>
              <w:jc w:val="right"/>
              <w:rPr>
                <w:rFonts w:ascii="Times New Roman" w:hAnsi="Times New Roman" w:cs="Times New Roman" w:eastAsia="Times New Roman" w:hint="default"/>
                <w:sz w:val="18"/>
                <w:szCs w:val="18"/>
              </w:rPr>
            </w:pPr>
            <w:r>
              <w:rPr>
                <w:rFonts w:ascii="Times New Roman"/>
                <w:spacing w:val="-1"/>
                <w:sz w:val="18"/>
              </w:rPr>
              <w:t>ZL201610887788.1</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88" w:right="0"/>
              <w:jc w:val="left"/>
              <w:rPr>
                <w:rFonts w:ascii="宋体" w:hAnsi="宋体" w:cs="宋体" w:eastAsia="宋体" w:hint="default"/>
                <w:sz w:val="18"/>
                <w:szCs w:val="18"/>
              </w:rPr>
            </w:pPr>
            <w:r>
              <w:rPr>
                <w:rFonts w:ascii="宋体" w:hAnsi="宋体" w:cs="宋体" w:eastAsia="宋体" w:hint="default"/>
                <w:sz w:val="18"/>
                <w:szCs w:val="18"/>
              </w:rPr>
              <w:t>一种面向医疗大数据处理的固态磁盘存储方法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发明</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18"/>
                <w:szCs w:val="18"/>
              </w:rPr>
            </w:pPr>
            <w:r>
              <w:rPr>
                <w:rFonts w:ascii="Times New Roman"/>
                <w:sz w:val="18"/>
              </w:rPr>
              <w:t>2</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323"/>
              <w:jc w:val="right"/>
              <w:rPr>
                <w:rFonts w:ascii="Times New Roman" w:hAnsi="Times New Roman" w:cs="Times New Roman" w:eastAsia="Times New Roman" w:hint="default"/>
                <w:sz w:val="18"/>
                <w:szCs w:val="18"/>
              </w:rPr>
            </w:pPr>
            <w:r>
              <w:rPr>
                <w:rFonts w:ascii="Times New Roman"/>
                <w:spacing w:val="-1"/>
                <w:sz w:val="18"/>
              </w:rPr>
              <w:t>ZL201610887724.1</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88" w:right="0"/>
              <w:jc w:val="left"/>
              <w:rPr>
                <w:rFonts w:ascii="宋体" w:hAnsi="宋体" w:cs="宋体" w:eastAsia="宋体" w:hint="default"/>
                <w:sz w:val="18"/>
                <w:szCs w:val="18"/>
              </w:rPr>
            </w:pPr>
            <w:r>
              <w:rPr>
                <w:rFonts w:ascii="宋体" w:hAnsi="宋体" w:cs="宋体" w:eastAsia="宋体" w:hint="default"/>
                <w:sz w:val="18"/>
                <w:szCs w:val="18"/>
              </w:rPr>
              <w:t>一种基于门诊大数据分析的就医路线优化方法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发明</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3</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323"/>
              <w:jc w:val="right"/>
              <w:rPr>
                <w:rFonts w:ascii="Times New Roman" w:hAnsi="Times New Roman" w:cs="Times New Roman" w:eastAsia="Times New Roman" w:hint="default"/>
                <w:sz w:val="18"/>
                <w:szCs w:val="18"/>
              </w:rPr>
            </w:pPr>
            <w:r>
              <w:rPr>
                <w:rFonts w:ascii="Times New Roman"/>
                <w:spacing w:val="-1"/>
                <w:sz w:val="18"/>
              </w:rPr>
              <w:t>ZL201820448478.4</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8" w:right="0"/>
              <w:jc w:val="left"/>
              <w:rPr>
                <w:rFonts w:ascii="宋体" w:hAnsi="宋体" w:cs="宋体" w:eastAsia="宋体" w:hint="default"/>
                <w:sz w:val="18"/>
                <w:szCs w:val="18"/>
              </w:rPr>
            </w:pPr>
            <w:r>
              <w:rPr>
                <w:rFonts w:ascii="宋体" w:hAnsi="宋体" w:cs="宋体" w:eastAsia="宋体" w:hint="default"/>
                <w:sz w:val="18"/>
                <w:szCs w:val="18"/>
              </w:rPr>
              <w:t>具有计数功能的自助取片机</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发明</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4</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301"/>
              <w:jc w:val="right"/>
              <w:rPr>
                <w:rFonts w:ascii="Times New Roman" w:hAnsi="Times New Roman" w:cs="Times New Roman" w:eastAsia="Times New Roman" w:hint="default"/>
                <w:sz w:val="18"/>
                <w:szCs w:val="18"/>
              </w:rPr>
            </w:pPr>
            <w:r>
              <w:rPr>
                <w:rFonts w:ascii="Times New Roman"/>
                <w:sz w:val="18"/>
              </w:rPr>
              <w:t>ZL</w:t>
            </w:r>
            <w:r>
              <w:rPr>
                <w:rFonts w:ascii="Times New Roman"/>
                <w:spacing w:val="-9"/>
                <w:sz w:val="18"/>
              </w:rPr>
              <w:t> </w:t>
            </w:r>
            <w:r>
              <w:rPr>
                <w:rFonts w:ascii="Times New Roman"/>
                <w:sz w:val="18"/>
              </w:rPr>
              <w:t>201821651059.7</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8" w:right="0"/>
              <w:jc w:val="left"/>
              <w:rPr>
                <w:rFonts w:ascii="宋体" w:hAnsi="宋体" w:cs="宋体" w:eastAsia="宋体" w:hint="default"/>
                <w:sz w:val="18"/>
                <w:szCs w:val="18"/>
              </w:rPr>
            </w:pPr>
            <w:r>
              <w:rPr>
                <w:rFonts w:ascii="宋体" w:hAnsi="宋体" w:cs="宋体" w:eastAsia="宋体" w:hint="default"/>
                <w:sz w:val="18"/>
                <w:szCs w:val="18"/>
              </w:rPr>
              <w:t>一种自助打印机的报警系统</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发明</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02"/>
              <w:jc w:val="right"/>
              <w:rPr>
                <w:rFonts w:ascii="Times New Roman" w:hAnsi="Times New Roman" w:cs="Times New Roman" w:eastAsia="Times New Roman" w:hint="default"/>
                <w:sz w:val="18"/>
                <w:szCs w:val="18"/>
              </w:rPr>
            </w:pPr>
            <w:r>
              <w:rPr>
                <w:rFonts w:ascii="Times New Roman"/>
                <w:spacing w:val="-1"/>
                <w:sz w:val="18"/>
              </w:rPr>
              <w:t>ZL201921874129.X</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140" w:right="0"/>
              <w:jc w:val="left"/>
              <w:rPr>
                <w:rFonts w:ascii="宋体" w:hAnsi="宋体" w:cs="宋体" w:eastAsia="宋体" w:hint="default"/>
                <w:sz w:val="18"/>
                <w:szCs w:val="18"/>
              </w:rPr>
            </w:pPr>
            <w:r>
              <w:rPr>
                <w:rFonts w:ascii="宋体" w:hAnsi="宋体" w:cs="宋体" w:eastAsia="宋体" w:hint="default"/>
                <w:sz w:val="18"/>
                <w:szCs w:val="18"/>
              </w:rPr>
              <w:t>一种基于电磁测速的轮式锁止装置</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6</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23"/>
              <w:jc w:val="right"/>
              <w:rPr>
                <w:rFonts w:ascii="Times New Roman" w:hAnsi="Times New Roman" w:cs="Times New Roman" w:eastAsia="Times New Roman" w:hint="default"/>
                <w:sz w:val="18"/>
                <w:szCs w:val="18"/>
              </w:rPr>
            </w:pPr>
            <w:r>
              <w:rPr>
                <w:rFonts w:ascii="Times New Roman"/>
                <w:spacing w:val="-1"/>
                <w:sz w:val="18"/>
              </w:rPr>
              <w:t>ZL201921838668.8</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68" w:right="0"/>
              <w:jc w:val="left"/>
              <w:rPr>
                <w:rFonts w:ascii="宋体" w:hAnsi="宋体" w:cs="宋体" w:eastAsia="宋体" w:hint="default"/>
                <w:sz w:val="18"/>
                <w:szCs w:val="18"/>
              </w:rPr>
            </w:pPr>
            <w:r>
              <w:rPr>
                <w:rFonts w:ascii="宋体" w:hAnsi="宋体" w:cs="宋体" w:eastAsia="宋体" w:hint="default"/>
                <w:sz w:val="18"/>
                <w:szCs w:val="18"/>
              </w:rPr>
              <w:t>一种用于轮式限速的多档位电子</w:t>
            </w:r>
            <w:r>
              <w:rPr>
                <w:rFonts w:ascii="Times New Roman" w:hAnsi="Times New Roman" w:cs="Times New Roman" w:eastAsia="Times New Roman" w:hint="default"/>
                <w:sz w:val="18"/>
                <w:szCs w:val="18"/>
              </w:rPr>
              <w:t>-</w:t>
            </w:r>
            <w:r>
              <w:rPr>
                <w:rFonts w:ascii="宋体" w:hAnsi="宋体" w:cs="宋体" w:eastAsia="宋体" w:hint="default"/>
                <w:sz w:val="18"/>
                <w:szCs w:val="18"/>
              </w:rPr>
              <w:t>机械信号转换器</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r>
      <w:tr>
        <w:trPr>
          <w:trHeight w:val="320"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18"/>
                <w:szCs w:val="18"/>
              </w:rPr>
            </w:pPr>
            <w:r>
              <w:rPr>
                <w:rFonts w:ascii="Times New Roman"/>
                <w:sz w:val="18"/>
              </w:rPr>
              <w:t>7</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323"/>
              <w:jc w:val="right"/>
              <w:rPr>
                <w:rFonts w:ascii="Times New Roman" w:hAnsi="Times New Roman" w:cs="Times New Roman" w:eastAsia="Times New Roman" w:hint="default"/>
                <w:sz w:val="18"/>
                <w:szCs w:val="18"/>
              </w:rPr>
            </w:pPr>
            <w:r>
              <w:rPr>
                <w:rFonts w:ascii="Times New Roman"/>
                <w:spacing w:val="-1"/>
                <w:sz w:val="18"/>
              </w:rPr>
              <w:t>ZL201830415411.6</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948" w:right="0"/>
              <w:jc w:val="left"/>
              <w:rPr>
                <w:rFonts w:ascii="宋体" w:hAnsi="宋体" w:cs="宋体" w:eastAsia="宋体" w:hint="default"/>
                <w:sz w:val="18"/>
                <w:szCs w:val="18"/>
              </w:rPr>
            </w:pPr>
            <w:r>
              <w:rPr>
                <w:rFonts w:ascii="宋体" w:hAnsi="宋体" w:cs="宋体" w:eastAsia="宋体" w:hint="default"/>
                <w:sz w:val="18"/>
                <w:szCs w:val="18"/>
              </w:rPr>
              <w:t>自助多功能取片机</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r>
    </w:tbl>
    <w:p>
      <w:pPr>
        <w:spacing w:after="0" w:line="240" w:lineRule="auto"/>
        <w:jc w:val="center"/>
        <w:rPr>
          <w:rFonts w:ascii="宋体" w:hAnsi="宋体" w:cs="宋体" w:eastAsia="宋体" w:hint="default"/>
          <w:sz w:val="18"/>
          <w:szCs w:val="18"/>
        </w:rPr>
        <w:sectPr>
          <w:pgSz w:w="11910" w:h="16840"/>
          <w:pgMar w:header="907" w:footer="1016" w:top="1100" w:bottom="1200" w:left="920" w:right="0"/>
        </w:sectPr>
      </w:pPr>
    </w:p>
    <w:p>
      <w:pPr>
        <w:spacing w:line="240" w:lineRule="auto" w:before="6"/>
        <w:rPr>
          <w:rFonts w:ascii="宋体" w:hAnsi="宋体" w:cs="宋体" w:eastAsia="宋体" w:hint="default"/>
          <w:sz w:val="25"/>
          <w:szCs w:val="25"/>
        </w:rPr>
      </w:pPr>
    </w:p>
    <w:tbl>
      <w:tblPr>
        <w:tblW w:w="0" w:type="auto"/>
        <w:jc w:val="left"/>
        <w:tblInd w:w="103" w:type="dxa"/>
        <w:tblLayout w:type="fixed"/>
        <w:tblCellMar>
          <w:top w:w="0" w:type="dxa"/>
          <w:left w:w="0" w:type="dxa"/>
          <w:bottom w:w="0" w:type="dxa"/>
          <w:right w:w="0" w:type="dxa"/>
        </w:tblCellMar>
        <w:tblLook w:val="01E0"/>
      </w:tblPr>
      <w:tblGrid>
        <w:gridCol w:w="739"/>
        <w:gridCol w:w="2097"/>
        <w:gridCol w:w="4988"/>
        <w:gridCol w:w="2026"/>
      </w:tblGrid>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18" w:right="0"/>
              <w:jc w:val="left"/>
              <w:rPr>
                <w:rFonts w:ascii="Times New Roman" w:hAnsi="Times New Roman" w:cs="Times New Roman" w:eastAsia="Times New Roman" w:hint="default"/>
                <w:sz w:val="18"/>
                <w:szCs w:val="18"/>
              </w:rPr>
            </w:pPr>
            <w:r>
              <w:rPr>
                <w:rFonts w:ascii="Times New Roman"/>
                <w:sz w:val="18"/>
              </w:rPr>
              <w:t>8</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18"/>
                <w:szCs w:val="18"/>
              </w:rPr>
            </w:pPr>
            <w:r>
              <w:rPr>
                <w:rFonts w:ascii="Times New Roman"/>
                <w:sz w:val="18"/>
              </w:rPr>
              <w:t>ZL201830695195.5</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496"/>
              <w:jc w:val="right"/>
              <w:rPr>
                <w:rFonts w:ascii="宋体" w:hAnsi="宋体" w:cs="宋体" w:eastAsia="宋体" w:hint="default"/>
                <w:sz w:val="18"/>
                <w:szCs w:val="18"/>
              </w:rPr>
            </w:pPr>
            <w:r>
              <w:rPr>
                <w:rFonts w:ascii="宋体" w:hAnsi="宋体" w:cs="宋体" w:eastAsia="宋体" w:hint="default"/>
                <w:sz w:val="18"/>
                <w:szCs w:val="18"/>
              </w:rPr>
              <w:t>全功能银医自助终端</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18" w:right="0"/>
              <w:jc w:val="left"/>
              <w:rPr>
                <w:rFonts w:ascii="Times New Roman" w:hAnsi="Times New Roman" w:cs="Times New Roman" w:eastAsia="Times New Roman" w:hint="default"/>
                <w:sz w:val="18"/>
                <w:szCs w:val="18"/>
              </w:rPr>
            </w:pPr>
            <w:r>
              <w:rPr>
                <w:rFonts w:ascii="Times New Roman"/>
                <w:sz w:val="18"/>
              </w:rPr>
              <w:t>9</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18"/>
                <w:szCs w:val="18"/>
              </w:rPr>
            </w:pPr>
            <w:r>
              <w:rPr>
                <w:rFonts w:ascii="Times New Roman"/>
                <w:sz w:val="18"/>
              </w:rPr>
              <w:t>ZL201830593479.3</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61" w:right="0"/>
              <w:jc w:val="center"/>
              <w:rPr>
                <w:rFonts w:ascii="宋体" w:hAnsi="宋体" w:cs="宋体" w:eastAsia="宋体" w:hint="default"/>
                <w:sz w:val="18"/>
                <w:szCs w:val="18"/>
              </w:rPr>
            </w:pPr>
            <w:r>
              <w:rPr>
                <w:rFonts w:ascii="宋体" w:hAnsi="宋体" w:cs="宋体" w:eastAsia="宋体" w:hint="default"/>
                <w:sz w:val="18"/>
                <w:szCs w:val="18"/>
              </w:rPr>
              <w:t>台式热敏打印机</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75" w:right="0"/>
              <w:jc w:val="left"/>
              <w:rPr>
                <w:rFonts w:ascii="Times New Roman" w:hAnsi="Times New Roman" w:cs="Times New Roman" w:eastAsia="Times New Roman" w:hint="default"/>
                <w:sz w:val="18"/>
                <w:szCs w:val="18"/>
              </w:rPr>
            </w:pPr>
            <w:r>
              <w:rPr>
                <w:rFonts w:ascii="Times New Roman"/>
                <w:sz w:val="18"/>
              </w:rPr>
              <w:t>10</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18"/>
                <w:szCs w:val="18"/>
              </w:rPr>
            </w:pPr>
            <w:r>
              <w:rPr>
                <w:rFonts w:ascii="Times New Roman"/>
                <w:sz w:val="18"/>
              </w:rPr>
              <w:t>ZL201830594254.X</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61" w:right="0"/>
              <w:jc w:val="center"/>
              <w:rPr>
                <w:rFonts w:ascii="宋体" w:hAnsi="宋体" w:cs="宋体" w:eastAsia="宋体" w:hint="default"/>
                <w:sz w:val="18"/>
                <w:szCs w:val="18"/>
              </w:rPr>
            </w:pPr>
            <w:r>
              <w:rPr>
                <w:rFonts w:ascii="宋体" w:hAnsi="宋体" w:cs="宋体" w:eastAsia="宋体" w:hint="default"/>
                <w:sz w:val="18"/>
                <w:szCs w:val="18"/>
              </w:rPr>
              <w:t>柜式热敏打印机</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75" w:right="0"/>
              <w:jc w:val="left"/>
              <w:rPr>
                <w:rFonts w:ascii="Times New Roman" w:hAnsi="Times New Roman" w:cs="Times New Roman" w:eastAsia="Times New Roman" w:hint="default"/>
                <w:sz w:val="18"/>
                <w:szCs w:val="18"/>
              </w:rPr>
            </w:pPr>
            <w:r>
              <w:rPr>
                <w:rFonts w:ascii="Times New Roman"/>
                <w:sz w:val="18"/>
              </w:rPr>
              <w:t>11</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Times New Roman" w:hAnsi="Times New Roman" w:cs="Times New Roman" w:eastAsia="Times New Roman" w:hint="default"/>
                <w:sz w:val="18"/>
                <w:szCs w:val="18"/>
              </w:rPr>
            </w:pPr>
            <w:r>
              <w:rPr>
                <w:rFonts w:ascii="Times New Roman"/>
                <w:sz w:val="18"/>
              </w:rPr>
              <w:t>ZL201930296816.7</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587"/>
              <w:jc w:val="right"/>
              <w:rPr>
                <w:rFonts w:ascii="宋体" w:hAnsi="宋体" w:cs="宋体" w:eastAsia="宋体" w:hint="default"/>
                <w:sz w:val="18"/>
                <w:szCs w:val="18"/>
              </w:rPr>
            </w:pPr>
            <w:r>
              <w:rPr>
                <w:rFonts w:ascii="宋体" w:hAnsi="宋体" w:cs="宋体" w:eastAsia="宋体" w:hint="default"/>
                <w:sz w:val="18"/>
                <w:szCs w:val="18"/>
              </w:rPr>
              <w:t>多功能热敏自助机</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75" w:right="0"/>
              <w:jc w:val="left"/>
              <w:rPr>
                <w:rFonts w:ascii="Times New Roman" w:hAnsi="Times New Roman" w:cs="Times New Roman" w:eastAsia="Times New Roman" w:hint="default"/>
                <w:sz w:val="18"/>
                <w:szCs w:val="18"/>
              </w:rPr>
            </w:pPr>
            <w:r>
              <w:rPr>
                <w:rFonts w:ascii="Times New Roman"/>
                <w:sz w:val="18"/>
              </w:rPr>
              <w:t>12</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Times New Roman" w:hAnsi="Times New Roman" w:cs="Times New Roman" w:eastAsia="Times New Roman" w:hint="default"/>
                <w:sz w:val="18"/>
                <w:szCs w:val="18"/>
              </w:rPr>
            </w:pPr>
            <w:r>
              <w:rPr>
                <w:rFonts w:ascii="Times New Roman"/>
                <w:sz w:val="18"/>
              </w:rPr>
              <w:t>ZL201930232306.3</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361" w:right="0"/>
              <w:jc w:val="center"/>
              <w:rPr>
                <w:rFonts w:ascii="宋体" w:hAnsi="宋体" w:cs="宋体" w:eastAsia="宋体" w:hint="default"/>
                <w:sz w:val="18"/>
                <w:szCs w:val="18"/>
              </w:rPr>
            </w:pPr>
            <w:r>
              <w:rPr>
                <w:rFonts w:ascii="宋体" w:hAnsi="宋体" w:cs="宋体" w:eastAsia="宋体" w:hint="default"/>
                <w:sz w:val="18"/>
                <w:szCs w:val="18"/>
              </w:rPr>
              <w:t>报告自助打印机</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r>
      <w:tr>
        <w:trPr>
          <w:trHeight w:val="322"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75" w:right="0"/>
              <w:jc w:val="left"/>
              <w:rPr>
                <w:rFonts w:ascii="Times New Roman" w:hAnsi="Times New Roman" w:cs="Times New Roman" w:eastAsia="Times New Roman" w:hint="default"/>
                <w:sz w:val="18"/>
                <w:szCs w:val="18"/>
              </w:rPr>
            </w:pPr>
            <w:r>
              <w:rPr>
                <w:rFonts w:ascii="Times New Roman"/>
                <w:sz w:val="18"/>
              </w:rPr>
              <w:t>13</w:t>
            </w:r>
          </w:p>
        </w:tc>
        <w:tc>
          <w:tcPr>
            <w:tcW w:w="2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 w:right="0"/>
              <w:jc w:val="center"/>
              <w:rPr>
                <w:rFonts w:ascii="Times New Roman" w:hAnsi="Times New Roman" w:cs="Times New Roman" w:eastAsia="Times New Roman" w:hint="default"/>
                <w:sz w:val="18"/>
                <w:szCs w:val="18"/>
              </w:rPr>
            </w:pPr>
            <w:r>
              <w:rPr>
                <w:rFonts w:ascii="Times New Roman"/>
                <w:sz w:val="18"/>
              </w:rPr>
              <w:t>ZL201930229803.8</w:t>
            </w:r>
          </w:p>
        </w:tc>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361" w:right="0"/>
              <w:jc w:val="center"/>
              <w:rPr>
                <w:rFonts w:ascii="宋体" w:hAnsi="宋体" w:cs="宋体" w:eastAsia="宋体" w:hint="default"/>
                <w:sz w:val="18"/>
                <w:szCs w:val="18"/>
              </w:rPr>
            </w:pPr>
            <w:r>
              <w:rPr>
                <w:rFonts w:ascii="宋体" w:hAnsi="宋体" w:cs="宋体" w:eastAsia="宋体" w:hint="default"/>
                <w:sz w:val="18"/>
                <w:szCs w:val="18"/>
              </w:rPr>
              <w:t>智慧医疗自助机</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r>
    </w:tbl>
    <w:p>
      <w:pPr>
        <w:spacing w:line="240" w:lineRule="auto" w:before="4"/>
        <w:rPr>
          <w:rFonts w:ascii="宋体" w:hAnsi="宋体" w:cs="宋体" w:eastAsia="宋体" w:hint="default"/>
          <w:sz w:val="21"/>
          <w:szCs w:val="21"/>
        </w:rPr>
      </w:pPr>
    </w:p>
    <w:p>
      <w:pPr>
        <w:spacing w:line="316" w:lineRule="auto" w:before="44"/>
        <w:ind w:left="572" w:right="1031" w:firstLine="0"/>
        <w:jc w:val="left"/>
        <w:rPr>
          <w:rFonts w:ascii="宋体" w:hAnsi="宋体" w:cs="宋体" w:eastAsia="宋体" w:hint="default"/>
          <w:sz w:val="18"/>
          <w:szCs w:val="18"/>
        </w:rPr>
      </w:pPr>
      <w:bookmarkStart w:name="（六）增加品牌正面影响，提升市场竞争力" w:id="24"/>
      <w:bookmarkEnd w:id="24"/>
      <w:r>
        <w:rPr/>
      </w:r>
      <w:r>
        <w:rPr>
          <w:rFonts w:ascii="宋体" w:hAnsi="宋体" w:cs="宋体" w:eastAsia="宋体" w:hint="default"/>
          <w:b/>
          <w:bCs/>
          <w:sz w:val="18"/>
          <w:szCs w:val="18"/>
        </w:rPr>
        <w:t>（六）增加品牌正面影响，提升市场竞争力</w:t>
      </w:r>
      <w:r>
        <w:rPr>
          <w:rFonts w:ascii="宋体" w:hAnsi="宋体" w:cs="宋体" w:eastAsia="宋体" w:hint="default"/>
          <w:b/>
          <w:bCs/>
          <w:w w:val="99"/>
          <w:sz w:val="18"/>
          <w:szCs w:val="18"/>
        </w:rPr>
        <w:t> </w:t>
      </w:r>
      <w:bookmarkStart w:name="报告期内，公司围绕提升“创业慧康”品牌正面价值的宗旨，积极策划组织了“2019西" w:id="25"/>
      <w:bookmarkEnd w:id="25"/>
      <w:r>
        <w:rPr>
          <w:rFonts w:ascii="宋体" w:hAnsi="宋体" w:cs="宋体" w:eastAsia="宋体" w:hint="default"/>
          <w:b/>
          <w:bCs/>
          <w:w w:val="99"/>
          <w:sz w:val="18"/>
          <w:szCs w:val="18"/>
        </w:rPr>
      </w:r>
      <w:r>
        <w:rPr>
          <w:rFonts w:ascii="宋体" w:hAnsi="宋体" w:cs="宋体" w:eastAsia="宋体" w:hint="default"/>
          <w:spacing w:val="-3"/>
          <w:sz w:val="18"/>
          <w:szCs w:val="18"/>
        </w:rPr>
        <w:t>报告期内，公司围绕提升“创业慧康”品牌正面价值的宗旨，积极策划组织了“</w:t>
      </w:r>
      <w:r>
        <w:rPr>
          <w:rFonts w:ascii="Times New Roman" w:hAnsi="Times New Roman" w:cs="Times New Roman" w:eastAsia="Times New Roman" w:hint="default"/>
          <w:spacing w:val="-3"/>
          <w:sz w:val="18"/>
          <w:szCs w:val="18"/>
        </w:rPr>
        <w:t>2019</w:t>
      </w:r>
      <w:r>
        <w:rPr>
          <w:rFonts w:ascii="Times New Roman" w:hAnsi="Times New Roman" w:cs="Times New Roman" w:eastAsia="Times New Roman" w:hint="default"/>
          <w:spacing w:val="39"/>
          <w:sz w:val="18"/>
          <w:szCs w:val="18"/>
        </w:rPr>
        <w:t> </w:t>
      </w:r>
      <w:r>
        <w:rPr>
          <w:rFonts w:ascii="宋体" w:hAnsi="宋体" w:cs="宋体" w:eastAsia="宋体" w:hint="default"/>
          <w:spacing w:val="-9"/>
          <w:sz w:val="18"/>
          <w:szCs w:val="18"/>
        </w:rPr>
        <w:t>西湖高峰论坛”、“信息新时代”，</w:t>
      </w:r>
    </w:p>
    <w:p>
      <w:pPr>
        <w:pStyle w:val="BodyText"/>
        <w:spacing w:line="300" w:lineRule="auto"/>
        <w:ind w:left="212" w:right="1130"/>
        <w:jc w:val="both"/>
      </w:pPr>
      <w:r>
        <w:rPr/>
        <w:t>“赋能新医态</w:t>
      </w:r>
      <w:r>
        <w:rPr>
          <w:rFonts w:ascii="Times New Roman" w:hAnsi="Times New Roman" w:cs="Times New Roman" w:eastAsia="Times New Roman" w:hint="default"/>
        </w:rPr>
        <w:t>--</w:t>
      </w:r>
      <w:r>
        <w:rPr/>
        <w:t>富阳区智慧医院专题论坛”、“</w:t>
      </w:r>
      <w:r>
        <w:rPr>
          <w:rFonts w:ascii="Times New Roman" w:hAnsi="Times New Roman" w:cs="Times New Roman" w:eastAsia="Times New Roman" w:hint="default"/>
        </w:rPr>
        <w:t>2019</w:t>
      </w:r>
      <w:r>
        <w:rPr>
          <w:rFonts w:ascii="Times New Roman" w:hAnsi="Times New Roman" w:cs="Times New Roman" w:eastAsia="Times New Roman" w:hint="default"/>
          <w:spacing w:val="22"/>
        </w:rPr>
        <w:t> </w:t>
      </w:r>
      <w:r>
        <w:rPr/>
        <w:t>中国防痨协会结核病互联网技术专业分会工作研讨会”、“</w:t>
      </w:r>
      <w:r>
        <w:rPr>
          <w:rFonts w:ascii="Times New Roman" w:hAnsi="Times New Roman" w:cs="Times New Roman" w:eastAsia="Times New Roman" w:hint="default"/>
        </w:rPr>
        <w:t>2019</w:t>
      </w:r>
      <w:r>
        <w:rPr>
          <w:rFonts w:ascii="Times New Roman" w:hAnsi="Times New Roman" w:cs="Times New Roman" w:eastAsia="Times New Roman" w:hint="default"/>
          <w:spacing w:val="22"/>
        </w:rPr>
        <w:t> </w:t>
      </w:r>
      <w:r>
        <w:rPr/>
        <w:t>中国</w:t>
      </w:r>
      <w:r>
        <w:rPr>
          <w:spacing w:val="-79"/>
        </w:rPr>
        <w:t> </w:t>
      </w:r>
      <w:r>
        <w:rPr>
          <w:spacing w:val="-79"/>
        </w:rPr>
      </w:r>
      <w:r>
        <w:rPr>
          <w:spacing w:val="-1"/>
        </w:rPr>
        <w:t>卫生信息技术</w:t>
      </w:r>
      <w:r>
        <w:rPr>
          <w:rFonts w:ascii="Times New Roman" w:hAnsi="Times New Roman" w:cs="Times New Roman" w:eastAsia="Times New Roman" w:hint="default"/>
          <w:spacing w:val="-1"/>
        </w:rPr>
        <w:t>/</w:t>
      </w:r>
      <w:r>
        <w:rPr>
          <w:spacing w:val="-1"/>
        </w:rPr>
        <w:t>健康医疗大数据应用交流大会”、“山东省“互联网</w:t>
      </w:r>
      <w:r>
        <w:rPr>
          <w:rFonts w:ascii="Times New Roman" w:hAnsi="Times New Roman" w:cs="Times New Roman" w:eastAsia="Times New Roman" w:hint="default"/>
          <w:spacing w:val="-1"/>
        </w:rPr>
        <w:t>+</w:t>
      </w:r>
      <w:r>
        <w:rPr>
          <w:spacing w:val="-1"/>
        </w:rPr>
        <w:t>医疗健康”技术交流大会”等省市级、地区级学术沙龙</w:t>
      </w:r>
      <w:r>
        <w:rPr/>
        <w:t> 及研讨会、产品推广会，从多角度着手通过增加品牌附加值提升公司市场竞争力。</w:t>
      </w:r>
    </w:p>
    <w:p>
      <w:pPr>
        <w:pStyle w:val="BodyText"/>
        <w:spacing w:line="316" w:lineRule="auto" w:before="31"/>
        <w:ind w:left="212" w:right="1034" w:firstLine="360"/>
        <w:jc w:val="left"/>
      </w:pPr>
      <w:bookmarkStart w:name="报告期内，公司先后与联想（北京）有限公司、北京圆心科技有限公司、乌鲁木齐市人民政" w:id="26"/>
      <w:bookmarkEnd w:id="26"/>
      <w:r>
        <w:rPr/>
      </w:r>
      <w:r>
        <w:rPr>
          <w:spacing w:val="-2"/>
        </w:rPr>
        <w:t>报告期内，公司先后与联想（北京）有限公司、北京圆心科技有限公司、乌鲁木齐市人民政府、上海新虹桥国际医学中</w:t>
      </w:r>
      <w:r>
        <w:rPr/>
        <w:t> 心建设发展有限公司等行业内外伙伴达成战略合作，积极与发挥自身优势、积极探索多种形式的合作，以共同发展为宗旨， 促进医疗卫生管理与服务水平，形成“多赢”的市场格局。</w:t>
      </w:r>
    </w:p>
    <w:p>
      <w:pPr>
        <w:pStyle w:val="BodyText"/>
        <w:spacing w:line="300" w:lineRule="auto" w:before="19"/>
        <w:ind w:left="212" w:right="1130" w:firstLine="360"/>
        <w:jc w:val="both"/>
      </w:pPr>
      <w:bookmarkStart w:name="报告期内，公司荣获杭州市滨江区人民政府颁发的“优秀贡献企业奖”；2019中国县级" w:id="27"/>
      <w:bookmarkEnd w:id="27"/>
      <w:r>
        <w:rPr/>
      </w:r>
      <w:r>
        <w:rPr/>
        <w:t>报告期内，公司荣获杭州市滨江区人民政府颁发的“优秀贡献企业奖”；</w:t>
      </w:r>
      <w:r>
        <w:rPr>
          <w:rFonts w:ascii="Times New Roman" w:hAnsi="Times New Roman" w:cs="Times New Roman" w:eastAsia="Times New Roman" w:hint="default"/>
        </w:rPr>
        <w:t>2019</w:t>
      </w:r>
      <w:r>
        <w:rPr>
          <w:rFonts w:ascii="Times New Roman" w:hAnsi="Times New Roman" w:cs="Times New Roman" w:eastAsia="Times New Roman" w:hint="default"/>
          <w:spacing w:val="29"/>
        </w:rPr>
        <w:t> </w:t>
      </w:r>
      <w:r>
        <w:rPr/>
        <w:t>中国县级医院最具影响力学科共建奖； </w:t>
      </w:r>
      <w:r>
        <w:rPr>
          <w:rFonts w:ascii="Times New Roman" w:hAnsi="Times New Roman" w:cs="Times New Roman" w:eastAsia="Times New Roman" w:hint="default"/>
        </w:rPr>
        <w:t>2019</w:t>
      </w:r>
      <w:r>
        <w:rPr>
          <w:rFonts w:ascii="Times New Roman" w:hAnsi="Times New Roman" w:cs="Times New Roman" w:eastAsia="Times New Roman" w:hint="default"/>
          <w:spacing w:val="-12"/>
        </w:rPr>
        <w:t> </w:t>
      </w:r>
      <w:r>
        <w:rPr/>
        <w:t>全国电子信息行业优秀创新企业；</w:t>
      </w:r>
      <w:r>
        <w:rPr>
          <w:rFonts w:ascii="Times New Roman" w:hAnsi="Times New Roman" w:cs="Times New Roman" w:eastAsia="Times New Roman" w:hint="default"/>
        </w:rPr>
        <w:t>2019</w:t>
      </w:r>
      <w:r>
        <w:rPr>
          <w:rFonts w:ascii="Times New Roman" w:hAnsi="Times New Roman" w:cs="Times New Roman" w:eastAsia="Times New Roman" w:hint="default"/>
          <w:spacing w:val="-12"/>
        </w:rPr>
        <w:t> </w:t>
      </w:r>
      <w:r>
        <w:rPr/>
        <w:t>浙江省物联网年度产品创新奖；</w:t>
      </w:r>
      <w:r>
        <w:rPr>
          <w:rFonts w:ascii="Times New Roman" w:hAnsi="Times New Roman" w:cs="Times New Roman" w:eastAsia="Times New Roman" w:hint="default"/>
        </w:rPr>
        <w:t>2019</w:t>
      </w:r>
      <w:r>
        <w:rPr>
          <w:rFonts w:ascii="Times New Roman" w:hAnsi="Times New Roman" w:cs="Times New Roman" w:eastAsia="Times New Roman" w:hint="default"/>
          <w:spacing w:val="-12"/>
        </w:rPr>
        <w:t> </w:t>
      </w:r>
      <w:r>
        <w:rPr/>
        <w:t>年度先进基层工会、中国上市公司创业板 价值</w:t>
      </w:r>
      <w:r>
        <w:rPr>
          <w:spacing w:val="-45"/>
        </w:rPr>
        <w:t> </w:t>
      </w:r>
      <w:r>
        <w:rPr>
          <w:rFonts w:ascii="Times New Roman" w:hAnsi="Times New Roman" w:cs="Times New Roman" w:eastAsia="Times New Roman" w:hint="default"/>
        </w:rPr>
        <w:t>50</w:t>
      </w:r>
      <w:r>
        <w:rPr>
          <w:rFonts w:ascii="Times New Roman" w:hAnsi="Times New Roman" w:cs="Times New Roman" w:eastAsia="Times New Roman" w:hint="default"/>
          <w:spacing w:val="-1"/>
        </w:rPr>
        <w:t> </w:t>
      </w:r>
      <w:r>
        <w:rPr/>
        <w:t>强等荣誉，获得了政府、行业的认可。</w:t>
      </w:r>
    </w:p>
    <w:p>
      <w:pPr>
        <w:pStyle w:val="BodyText"/>
        <w:spacing w:line="307" w:lineRule="auto" w:before="13"/>
        <w:ind w:left="212" w:right="1043" w:firstLine="360"/>
        <w:jc w:val="left"/>
      </w:pPr>
      <w:bookmarkStart w:name="报告期内，公司创新业务相关产品“应用于AI+医学领域的“医学检验人工智能分析系统" w:id="28"/>
      <w:bookmarkEnd w:id="28"/>
      <w:r>
        <w:rPr/>
      </w:r>
      <w:r>
        <w:rPr/>
        <w:t>报告期内，公司创新业务相关产品“应用于 </w:t>
      </w:r>
      <w:r>
        <w:rPr>
          <w:rFonts w:ascii="Times New Roman" w:hAnsi="Times New Roman" w:cs="Times New Roman" w:eastAsia="Times New Roman" w:hint="default"/>
        </w:rPr>
        <w:t>AI+</w:t>
      </w:r>
      <w:r>
        <w:rPr/>
        <w:t>医学领域的“医学检验人工智能分析系统”荣获了”</w:t>
      </w:r>
      <w:r>
        <w:rPr>
          <w:rFonts w:ascii="Times New Roman" w:hAnsi="Times New Roman" w:cs="Times New Roman" w:eastAsia="Times New Roman" w:hint="default"/>
        </w:rPr>
        <w:t>2019</w:t>
      </w:r>
      <w:r>
        <w:rPr>
          <w:rFonts w:ascii="Times New Roman" w:hAnsi="Times New Roman" w:cs="Times New Roman" w:eastAsia="Times New Roman" w:hint="default"/>
          <w:spacing w:val="-13"/>
        </w:rPr>
        <w:t> </w:t>
      </w:r>
      <w:r>
        <w:rPr/>
        <w:t>年度浙江省 人工智能优秀解决方案（产品）”；“</w:t>
      </w:r>
      <w:r>
        <w:rPr>
          <w:rFonts w:ascii="Times New Roman" w:hAnsi="Times New Roman" w:cs="Times New Roman" w:eastAsia="Times New Roman" w:hint="default"/>
        </w:rPr>
        <w:t>5G </w:t>
      </w:r>
      <w:r>
        <w:rPr/>
        <w:t>疑难病诊治远程多学科协同平台”荣获“绽放杯”</w:t>
      </w:r>
      <w:r>
        <w:rPr>
          <w:rFonts w:ascii="Times New Roman" w:hAnsi="Times New Roman" w:cs="Times New Roman" w:eastAsia="Times New Roman" w:hint="default"/>
        </w:rPr>
        <w:t>5G</w:t>
      </w:r>
      <w:r>
        <w:rPr>
          <w:rFonts w:ascii="Times New Roman" w:hAnsi="Times New Roman" w:cs="Times New Roman" w:eastAsia="Times New Roman" w:hint="default"/>
          <w:spacing w:val="1"/>
        </w:rPr>
        <w:t> </w:t>
      </w:r>
      <w:r>
        <w:rPr/>
        <w:t>应用大赛全国决赛三等奖、 </w:t>
      </w:r>
      <w:r>
        <w:rPr>
          <w:spacing w:val="-2"/>
        </w:rPr>
        <w:t>浙江赛区二等奖及互联网医疗、医疗健康专题赛优胜奖、中国卫生信息与健康医疗大数据学会创新案例优秀奖；“多学科分</w:t>
      </w:r>
      <w:r>
        <w:rPr>
          <w:spacing w:val="-63"/>
        </w:rPr>
        <w:t> </w:t>
      </w:r>
      <w:r>
        <w:rPr>
          <w:spacing w:val="-63"/>
        </w:rPr>
      </w:r>
      <w:r>
        <w:rPr/>
        <w:t>级诊疗服务平台”荣获“</w:t>
      </w:r>
      <w:r>
        <w:rPr>
          <w:rFonts w:ascii="Times New Roman" w:hAnsi="Times New Roman" w:cs="Times New Roman" w:eastAsia="Times New Roman" w:hint="default"/>
        </w:rPr>
        <w:t>2019 </w:t>
      </w:r>
      <w:r>
        <w:rPr/>
        <w:t>中国数字健康医疗创新应用实践案例优选活动优秀奖”</w:t>
      </w:r>
      <w:r>
        <w:rPr>
          <w:spacing w:val="-47"/>
        </w:rPr>
        <w:t> </w:t>
      </w:r>
      <w:r>
        <w:rPr/>
        <w:t>。</w:t>
      </w:r>
    </w:p>
    <w:p>
      <w:pPr>
        <w:spacing w:line="240" w:lineRule="auto" w:before="10"/>
        <w:rPr>
          <w:rFonts w:ascii="宋体" w:hAnsi="宋体" w:cs="宋体" w:eastAsia="宋体" w:hint="default"/>
          <w:sz w:val="19"/>
          <w:szCs w:val="19"/>
        </w:rPr>
      </w:pPr>
    </w:p>
    <w:p>
      <w:pPr>
        <w:pStyle w:val="Heading2"/>
        <w:spacing w:line="240" w:lineRule="auto"/>
        <w:ind w:left="212" w:right="0"/>
        <w:jc w:val="both"/>
        <w:rPr>
          <w:b w:val="0"/>
          <w:bCs w:val="0"/>
        </w:rPr>
      </w:pPr>
      <w:bookmarkStart w:name="二、主营业务分析" w:id="29"/>
      <w:bookmarkEnd w:id="29"/>
      <w:r>
        <w:rPr>
          <w:b w:val="0"/>
          <w:bCs w:val="0"/>
        </w:rPr>
      </w:r>
      <w:r>
        <w:rPr/>
        <w:t>二、主营业务分析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212" w:right="0"/>
        <w:jc w:val="both"/>
        <w:rPr>
          <w:b w:val="0"/>
          <w:bCs w:val="0"/>
        </w:rPr>
      </w:pPr>
      <w:bookmarkStart w:name="1、概述" w:id="30"/>
      <w:bookmarkEnd w:id="30"/>
      <w:r>
        <w:rPr>
          <w:b w:val="0"/>
          <w:bCs w:val="0"/>
        </w:rPr>
      </w:r>
      <w:r>
        <w:rPr>
          <w:rFonts w:ascii="Times New Roman" w:hAnsi="Times New Roman" w:cs="Times New Roman" w:eastAsia="Times New Roman" w:hint="default"/>
        </w:rPr>
        <w:t>1</w:t>
      </w:r>
      <w:r>
        <w:rPr/>
        <w:t>、概述</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12" w:right="0"/>
        <w:jc w:val="both"/>
      </w:pPr>
      <w:r>
        <w:rPr/>
        <w:t>参见“经营情况讨论与分析”中的“一、概述”相关内容。</w:t>
      </w:r>
    </w:p>
    <w:p>
      <w:pPr>
        <w:spacing w:line="240" w:lineRule="auto" w:before="0"/>
        <w:rPr>
          <w:rFonts w:ascii="宋体" w:hAnsi="宋体" w:cs="宋体" w:eastAsia="宋体" w:hint="default"/>
          <w:sz w:val="18"/>
          <w:szCs w:val="18"/>
        </w:rPr>
      </w:pPr>
    </w:p>
    <w:p>
      <w:pPr>
        <w:pStyle w:val="Heading3"/>
        <w:spacing w:line="240" w:lineRule="auto" w:before="118"/>
        <w:ind w:left="212" w:right="0"/>
        <w:jc w:val="both"/>
        <w:rPr>
          <w:b w:val="0"/>
          <w:bCs w:val="0"/>
        </w:rPr>
      </w:pPr>
      <w:bookmarkStart w:name="2、收入与成本" w:id="31"/>
      <w:bookmarkEnd w:id="31"/>
      <w:r>
        <w:rPr>
          <w:b w:val="0"/>
          <w:bCs w:val="0"/>
        </w:rPr>
      </w:r>
      <w:r>
        <w:rPr>
          <w:rFonts w:ascii="Times New Roman" w:hAnsi="Times New Roman" w:cs="Times New Roman" w:eastAsia="Times New Roman" w:hint="default"/>
        </w:rPr>
        <w:t>2</w:t>
      </w:r>
      <w:r>
        <w:rPr/>
        <w:t>、收入与成本</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left="212" w:right="0"/>
        <w:jc w:val="both"/>
        <w:rPr>
          <w:b w:val="0"/>
          <w:bCs w:val="0"/>
        </w:rPr>
      </w:pPr>
      <w:bookmarkStart w:name="（1）营业收入构成" w:id="32"/>
      <w:bookmarkEnd w:id="32"/>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212" w:right="1031"/>
        <w:jc w:val="left"/>
      </w:pPr>
      <w:r>
        <w:rPr/>
        <w:t>营业收入整体情况</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1"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9"/>
              <w:jc w:val="righ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1,479,824,747.66</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1,290,288,361.43</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14.69%</w:t>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医疗行业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1,169,835,974.52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79.05%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831,586,233.15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64.45%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40.68%</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非医疗行业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309,988,773.14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20.95%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458,702,128.28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35.55%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-32.42%</w:t>
            </w:r>
          </w:p>
        </w:tc>
      </w:tr>
      <w:tr>
        <w:trPr>
          <w:trHeight w:val="400"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分产品</w:t>
            </w:r>
          </w:p>
        </w:tc>
      </w:tr>
    </w:tbl>
    <w:p>
      <w:pPr>
        <w:spacing w:after="0" w:line="240" w:lineRule="auto"/>
        <w:jc w:val="left"/>
        <w:rPr>
          <w:rFonts w:ascii="宋体" w:hAnsi="宋体" w:cs="宋体" w:eastAsia="宋体" w:hint="default"/>
          <w:sz w:val="18"/>
          <w:szCs w:val="18"/>
        </w:rPr>
        <w:sectPr>
          <w:pgSz w:w="11910" w:h="16840"/>
          <w:pgMar w:header="907" w:footer="1016" w:top="1100" w:bottom="1200" w:left="9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软件销售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461,615,912.78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31.19%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352,150,398.08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27.29%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31.08%</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695,241,985.90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46.98%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631,622,505.40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48.95%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10.07%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190,102,170.32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178,386,179.84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6.57%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132,864,678.66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z w:val="18"/>
              </w:rPr>
              <w:t>8.98%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pacing w:val="-1"/>
                <w:sz w:val="18"/>
              </w:rPr>
              <w:t>128,129,278.11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9.93%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3.70%</w:t>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760,840,194.35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51.41%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615,744,062.71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47.72%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23.56%</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204,577,232.41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160,364,981.98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12.43%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27.57%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215,711,352.42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14.58%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192,966,863.96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11.79%</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105,601,239.67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7.14%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95,100,625.84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7.37%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11.04%</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西北地区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75,798,845.82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z w:val="18"/>
              </w:rPr>
              <w:t>5.12%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54,625,329.42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4.23%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38.76%</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117,295,882.99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7.93%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171,486,497.52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13.29%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-31.60%</w:t>
            </w:r>
          </w:p>
        </w:tc>
      </w:tr>
    </w:tbl>
    <w:p>
      <w:pPr>
        <w:pStyle w:val="BodyText"/>
        <w:spacing w:line="240" w:lineRule="auto" w:before="51"/>
        <w:ind w:right="882"/>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pStyle w:val="BodyText"/>
        <w:spacing w:line="240" w:lineRule="auto" w:before="103"/>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18"/>
        <w:gridCol w:w="1008"/>
        <w:gridCol w:w="1010"/>
        <w:gridCol w:w="1011"/>
        <w:gridCol w:w="1011"/>
        <w:gridCol w:w="1004"/>
        <w:gridCol w:w="1004"/>
        <w:gridCol w:w="1002"/>
        <w:gridCol w:w="1002"/>
      </w:tblGrid>
      <w:tr>
        <w:trPr>
          <w:trHeight w:val="402" w:hRule="exact"/>
        </w:trPr>
        <w:tc>
          <w:tcPr>
            <w:tcW w:w="1518" w:type="dxa"/>
            <w:vMerge w:val="restart"/>
            <w:tcBorders>
              <w:top w:val="single" w:sz="4" w:space="0" w:color="000000"/>
              <w:left w:val="single" w:sz="4" w:space="0" w:color="000000"/>
              <w:right w:val="single" w:sz="4" w:space="0" w:color="000000"/>
            </w:tcBorders>
            <w:shd w:val="clear" w:color="auto" w:fill="D2D2D2"/>
          </w:tcPr>
          <w:p>
            <w:pPr/>
          </w:p>
        </w:tc>
        <w:tc>
          <w:tcPr>
            <w:tcW w:w="404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401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r>
      <w:tr>
        <w:trPr>
          <w:trHeight w:val="402" w:hRule="exact"/>
        </w:trPr>
        <w:tc>
          <w:tcPr>
            <w:tcW w:w="1518" w:type="dxa"/>
            <w:vMerge/>
            <w:tcBorders>
              <w:left w:val="single" w:sz="4" w:space="0" w:color="000000"/>
              <w:bottom w:val="single" w:sz="4" w:space="0" w:color="000000"/>
              <w:right w:val="single" w:sz="4" w:space="0" w:color="000000"/>
            </w:tcBorders>
            <w:shd w:val="clear" w:color="auto" w:fill="D2D2D2"/>
          </w:tcPr>
          <w:p>
            <w:pPr/>
          </w:p>
        </w:tc>
        <w:tc>
          <w:tcPr>
            <w:tcW w:w="10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9"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9"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9"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8"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0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7"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6"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5"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714" w:hRule="exact"/>
        </w:trPr>
        <w:tc>
          <w:tcPr>
            <w:tcW w:w="15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5" w:right="0"/>
              <w:jc w:val="left"/>
              <w:rPr>
                <w:rFonts w:ascii="Times New Roman" w:hAnsi="Times New Roman" w:cs="Times New Roman" w:eastAsia="Times New Roman" w:hint="default"/>
                <w:sz w:val="18"/>
                <w:szCs w:val="18"/>
              </w:rPr>
            </w:pPr>
            <w:r>
              <w:rPr>
                <w:rFonts w:ascii="Times New Roman"/>
                <w:sz w:val="18"/>
              </w:rPr>
              <w:t>320,103,3</w:t>
            </w:r>
          </w:p>
          <w:p>
            <w:pPr>
              <w:pStyle w:val="TableParagraph"/>
              <w:spacing w:line="240" w:lineRule="auto" w:before="105"/>
              <w:ind w:left="489" w:right="0"/>
              <w:jc w:val="left"/>
              <w:rPr>
                <w:rFonts w:ascii="Times New Roman" w:hAnsi="Times New Roman" w:cs="Times New Roman" w:eastAsia="Times New Roman" w:hint="default"/>
                <w:sz w:val="18"/>
                <w:szCs w:val="18"/>
              </w:rPr>
            </w:pPr>
            <w:r>
              <w:rPr>
                <w:rFonts w:ascii="Times New Roman"/>
                <w:sz w:val="18"/>
              </w:rPr>
              <w:t>30.07</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7" w:right="0"/>
              <w:jc w:val="left"/>
              <w:rPr>
                <w:rFonts w:ascii="Times New Roman" w:hAnsi="Times New Roman" w:cs="Times New Roman" w:eastAsia="Times New Roman" w:hint="default"/>
                <w:sz w:val="18"/>
                <w:szCs w:val="18"/>
              </w:rPr>
            </w:pPr>
            <w:r>
              <w:rPr>
                <w:rFonts w:ascii="Times New Roman"/>
                <w:sz w:val="18"/>
              </w:rPr>
              <w:t>293,742,5</w:t>
            </w:r>
          </w:p>
          <w:p>
            <w:pPr>
              <w:pStyle w:val="TableParagraph"/>
              <w:spacing w:line="240" w:lineRule="auto" w:before="105"/>
              <w:ind w:left="491" w:right="0"/>
              <w:jc w:val="left"/>
              <w:rPr>
                <w:rFonts w:ascii="Times New Roman" w:hAnsi="Times New Roman" w:cs="Times New Roman" w:eastAsia="Times New Roman" w:hint="default"/>
                <w:sz w:val="18"/>
                <w:szCs w:val="18"/>
              </w:rPr>
            </w:pPr>
            <w:r>
              <w:rPr>
                <w:rFonts w:ascii="Times New Roman"/>
                <w:sz w:val="18"/>
              </w:rPr>
              <w:t>21.28</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7" w:right="0"/>
              <w:jc w:val="left"/>
              <w:rPr>
                <w:rFonts w:ascii="Times New Roman" w:hAnsi="Times New Roman" w:cs="Times New Roman" w:eastAsia="Times New Roman" w:hint="default"/>
                <w:sz w:val="18"/>
                <w:szCs w:val="18"/>
              </w:rPr>
            </w:pPr>
            <w:r>
              <w:rPr>
                <w:rFonts w:ascii="Times New Roman"/>
                <w:sz w:val="18"/>
              </w:rPr>
              <w:t>328,754,5</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46.90</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7" w:right="0"/>
              <w:jc w:val="left"/>
              <w:rPr>
                <w:rFonts w:ascii="Times New Roman" w:hAnsi="Times New Roman" w:cs="Times New Roman" w:eastAsia="Times New Roman" w:hint="default"/>
                <w:sz w:val="18"/>
                <w:szCs w:val="18"/>
              </w:rPr>
            </w:pPr>
            <w:r>
              <w:rPr>
                <w:rFonts w:ascii="Times New Roman"/>
                <w:sz w:val="18"/>
              </w:rPr>
              <w:t>537,224,3</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49.41</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1" w:right="0"/>
              <w:jc w:val="left"/>
              <w:rPr>
                <w:rFonts w:ascii="Times New Roman" w:hAnsi="Times New Roman" w:cs="Times New Roman" w:eastAsia="Times New Roman" w:hint="default"/>
                <w:sz w:val="18"/>
                <w:szCs w:val="18"/>
              </w:rPr>
            </w:pPr>
            <w:r>
              <w:rPr>
                <w:rFonts w:ascii="Times New Roman"/>
                <w:sz w:val="18"/>
              </w:rPr>
              <w:t>254,321,5</w:t>
            </w:r>
          </w:p>
          <w:p>
            <w:pPr>
              <w:pStyle w:val="TableParagraph"/>
              <w:spacing w:line="240" w:lineRule="auto" w:before="105"/>
              <w:ind w:left="486" w:right="0"/>
              <w:jc w:val="left"/>
              <w:rPr>
                <w:rFonts w:ascii="Times New Roman" w:hAnsi="Times New Roman" w:cs="Times New Roman" w:eastAsia="Times New Roman" w:hint="default"/>
                <w:sz w:val="18"/>
                <w:szCs w:val="18"/>
              </w:rPr>
            </w:pPr>
            <w:r>
              <w:rPr>
                <w:rFonts w:ascii="Times New Roman"/>
                <w:sz w:val="18"/>
              </w:rPr>
              <w:t>21.27</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1" w:right="0"/>
              <w:jc w:val="left"/>
              <w:rPr>
                <w:rFonts w:ascii="Times New Roman" w:hAnsi="Times New Roman" w:cs="Times New Roman" w:eastAsia="Times New Roman" w:hint="default"/>
                <w:sz w:val="18"/>
                <w:szCs w:val="18"/>
              </w:rPr>
            </w:pPr>
            <w:r>
              <w:rPr>
                <w:rFonts w:ascii="Times New Roman"/>
                <w:sz w:val="18"/>
              </w:rPr>
              <w:t>272,496,5</w:t>
            </w:r>
          </w:p>
          <w:p>
            <w:pPr>
              <w:pStyle w:val="TableParagraph"/>
              <w:spacing w:line="240" w:lineRule="auto" w:before="105"/>
              <w:ind w:left="485" w:right="0"/>
              <w:jc w:val="left"/>
              <w:rPr>
                <w:rFonts w:ascii="Times New Roman" w:hAnsi="Times New Roman" w:cs="Times New Roman" w:eastAsia="Times New Roman" w:hint="default"/>
                <w:sz w:val="18"/>
                <w:szCs w:val="18"/>
              </w:rPr>
            </w:pPr>
            <w:r>
              <w:rPr>
                <w:rFonts w:ascii="Times New Roman"/>
                <w:sz w:val="18"/>
              </w:rPr>
              <w:t>54.92</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67" w:right="0"/>
              <w:jc w:val="left"/>
              <w:rPr>
                <w:rFonts w:ascii="Times New Roman" w:hAnsi="Times New Roman" w:cs="Times New Roman" w:eastAsia="Times New Roman" w:hint="default"/>
                <w:sz w:val="18"/>
                <w:szCs w:val="18"/>
              </w:rPr>
            </w:pPr>
            <w:r>
              <w:rPr>
                <w:rFonts w:ascii="Times New Roman"/>
                <w:sz w:val="18"/>
              </w:rPr>
              <w:t>273,160,5</w:t>
            </w:r>
          </w:p>
          <w:p>
            <w:pPr>
              <w:pStyle w:val="TableParagraph"/>
              <w:spacing w:line="240" w:lineRule="auto" w:before="105"/>
              <w:ind w:left="484" w:right="0"/>
              <w:jc w:val="left"/>
              <w:rPr>
                <w:rFonts w:ascii="Times New Roman" w:hAnsi="Times New Roman" w:cs="Times New Roman" w:eastAsia="Times New Roman" w:hint="default"/>
                <w:sz w:val="18"/>
                <w:szCs w:val="18"/>
              </w:rPr>
            </w:pPr>
            <w:r>
              <w:rPr>
                <w:rFonts w:ascii="Times New Roman"/>
                <w:sz w:val="18"/>
              </w:rPr>
              <w:t>94.19</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69" w:right="0"/>
              <w:jc w:val="left"/>
              <w:rPr>
                <w:rFonts w:ascii="Times New Roman" w:hAnsi="Times New Roman" w:cs="Times New Roman" w:eastAsia="Times New Roman" w:hint="default"/>
                <w:sz w:val="18"/>
                <w:szCs w:val="18"/>
              </w:rPr>
            </w:pPr>
            <w:r>
              <w:rPr>
                <w:rFonts w:ascii="Times New Roman"/>
                <w:sz w:val="18"/>
              </w:rPr>
              <w:t>490,309,6</w:t>
            </w:r>
          </w:p>
          <w:p>
            <w:pPr>
              <w:pStyle w:val="TableParagraph"/>
              <w:spacing w:line="240" w:lineRule="auto" w:before="105"/>
              <w:ind w:left="483" w:right="0"/>
              <w:jc w:val="left"/>
              <w:rPr>
                <w:rFonts w:ascii="Times New Roman" w:hAnsi="Times New Roman" w:cs="Times New Roman" w:eastAsia="Times New Roman" w:hint="default"/>
                <w:sz w:val="18"/>
                <w:szCs w:val="18"/>
              </w:rPr>
            </w:pPr>
            <w:r>
              <w:rPr>
                <w:rFonts w:ascii="Times New Roman"/>
                <w:sz w:val="18"/>
              </w:rPr>
              <w:t>91.05</w:t>
            </w:r>
          </w:p>
        </w:tc>
      </w:tr>
      <w:tr>
        <w:trPr>
          <w:trHeight w:val="714" w:hRule="exact"/>
        </w:trPr>
        <w:tc>
          <w:tcPr>
            <w:tcW w:w="15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144"/>
              <w:jc w:val="left"/>
              <w:rPr>
                <w:rFonts w:ascii="宋体" w:hAnsi="宋体" w:cs="宋体" w:eastAsia="宋体" w:hint="default"/>
                <w:sz w:val="18"/>
                <w:szCs w:val="18"/>
              </w:rPr>
            </w:pPr>
            <w:r>
              <w:rPr>
                <w:rFonts w:ascii="宋体" w:hAnsi="宋体" w:cs="宋体" w:eastAsia="宋体" w:hint="default"/>
                <w:sz w:val="18"/>
                <w:szCs w:val="18"/>
              </w:rPr>
              <w:t>归属于上市公司 股东的净利润</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2" w:right="0"/>
              <w:jc w:val="left"/>
              <w:rPr>
                <w:rFonts w:ascii="Times New Roman" w:hAnsi="Times New Roman" w:cs="Times New Roman" w:eastAsia="Times New Roman" w:hint="default"/>
                <w:sz w:val="18"/>
                <w:szCs w:val="18"/>
              </w:rPr>
            </w:pPr>
            <w:r>
              <w:rPr>
                <w:rFonts w:ascii="Times New Roman"/>
                <w:sz w:val="18"/>
              </w:rPr>
              <w:t>62,115,20</w:t>
            </w:r>
          </w:p>
          <w:p>
            <w:pPr>
              <w:pStyle w:val="TableParagraph"/>
              <w:spacing w:line="240" w:lineRule="auto" w:before="105"/>
              <w:ind w:left="580" w:right="0"/>
              <w:jc w:val="left"/>
              <w:rPr>
                <w:rFonts w:ascii="Times New Roman" w:hAnsi="Times New Roman" w:cs="Times New Roman" w:eastAsia="Times New Roman" w:hint="default"/>
                <w:sz w:val="18"/>
                <w:szCs w:val="18"/>
              </w:rPr>
            </w:pPr>
            <w:r>
              <w:rPr>
                <w:rFonts w:ascii="Times New Roman"/>
                <w:sz w:val="18"/>
              </w:rPr>
              <w:t>3.19</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7" w:right="0"/>
              <w:jc w:val="left"/>
              <w:rPr>
                <w:rFonts w:ascii="Times New Roman" w:hAnsi="Times New Roman" w:cs="Times New Roman" w:eastAsia="Times New Roman" w:hint="default"/>
                <w:sz w:val="18"/>
                <w:szCs w:val="18"/>
              </w:rPr>
            </w:pPr>
            <w:r>
              <w:rPr>
                <w:rFonts w:ascii="Times New Roman"/>
                <w:sz w:val="18"/>
              </w:rPr>
              <w:t>63,017,39</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8.73</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7" w:right="0"/>
              <w:jc w:val="left"/>
              <w:rPr>
                <w:rFonts w:ascii="Times New Roman" w:hAnsi="Times New Roman" w:cs="Times New Roman" w:eastAsia="Times New Roman" w:hint="default"/>
                <w:sz w:val="18"/>
                <w:szCs w:val="18"/>
              </w:rPr>
            </w:pPr>
            <w:r>
              <w:rPr>
                <w:rFonts w:ascii="Times New Roman"/>
                <w:sz w:val="18"/>
              </w:rPr>
              <w:t>59,929,77</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5.60</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7" w:right="0"/>
              <w:jc w:val="left"/>
              <w:rPr>
                <w:rFonts w:ascii="Times New Roman" w:hAnsi="Times New Roman" w:cs="Times New Roman" w:eastAsia="Times New Roman" w:hint="default"/>
                <w:sz w:val="18"/>
                <w:szCs w:val="18"/>
              </w:rPr>
            </w:pPr>
            <w:r>
              <w:rPr>
                <w:rFonts w:ascii="Times New Roman"/>
                <w:sz w:val="18"/>
              </w:rPr>
              <w:t>129,007,9</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73.80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1" w:right="0"/>
              <w:jc w:val="left"/>
              <w:rPr>
                <w:rFonts w:ascii="Times New Roman" w:hAnsi="Times New Roman" w:cs="Times New Roman" w:eastAsia="Times New Roman" w:hint="default"/>
                <w:sz w:val="18"/>
                <w:szCs w:val="18"/>
              </w:rPr>
            </w:pPr>
            <w:r>
              <w:rPr>
                <w:rFonts w:ascii="Times New Roman"/>
                <w:sz w:val="18"/>
              </w:rPr>
              <w:t>44,172,84</w:t>
            </w:r>
          </w:p>
          <w:p>
            <w:pPr>
              <w:pStyle w:val="TableParagraph"/>
              <w:spacing w:line="240" w:lineRule="auto" w:before="105"/>
              <w:ind w:left="575" w:right="0"/>
              <w:jc w:val="left"/>
              <w:rPr>
                <w:rFonts w:ascii="Times New Roman" w:hAnsi="Times New Roman" w:cs="Times New Roman" w:eastAsia="Times New Roman" w:hint="default"/>
                <w:sz w:val="18"/>
                <w:szCs w:val="18"/>
              </w:rPr>
            </w:pPr>
            <w:r>
              <w:rPr>
                <w:rFonts w:ascii="Times New Roman"/>
                <w:sz w:val="18"/>
              </w:rPr>
              <w:t>0.29</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1" w:right="0"/>
              <w:jc w:val="left"/>
              <w:rPr>
                <w:rFonts w:ascii="Times New Roman" w:hAnsi="Times New Roman" w:cs="Times New Roman" w:eastAsia="Times New Roman" w:hint="default"/>
                <w:sz w:val="18"/>
                <w:szCs w:val="18"/>
              </w:rPr>
            </w:pPr>
            <w:r>
              <w:rPr>
                <w:rFonts w:ascii="Times New Roman"/>
                <w:sz w:val="18"/>
              </w:rPr>
              <w:t>16,989,04</w:t>
            </w:r>
          </w:p>
          <w:p>
            <w:pPr>
              <w:pStyle w:val="TableParagraph"/>
              <w:spacing w:line="240" w:lineRule="auto" w:before="105"/>
              <w:ind w:left="576" w:right="0"/>
              <w:jc w:val="left"/>
              <w:rPr>
                <w:rFonts w:ascii="Times New Roman" w:hAnsi="Times New Roman" w:cs="Times New Roman" w:eastAsia="Times New Roman" w:hint="default"/>
                <w:sz w:val="18"/>
                <w:szCs w:val="18"/>
              </w:rPr>
            </w:pPr>
            <w:r>
              <w:rPr>
                <w:rFonts w:ascii="Times New Roman"/>
                <w:sz w:val="18"/>
              </w:rPr>
              <w:t>1.47</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7" w:right="0"/>
              <w:jc w:val="left"/>
              <w:rPr>
                <w:rFonts w:ascii="Times New Roman" w:hAnsi="Times New Roman" w:cs="Times New Roman" w:eastAsia="Times New Roman" w:hint="default"/>
                <w:sz w:val="18"/>
                <w:szCs w:val="18"/>
              </w:rPr>
            </w:pPr>
            <w:r>
              <w:rPr>
                <w:rFonts w:ascii="Times New Roman"/>
                <w:sz w:val="18"/>
              </w:rPr>
              <w:t>50,664,42</w:t>
            </w:r>
          </w:p>
          <w:p>
            <w:pPr>
              <w:pStyle w:val="TableParagraph"/>
              <w:spacing w:line="240" w:lineRule="auto" w:before="105"/>
              <w:ind w:left="573" w:right="0"/>
              <w:jc w:val="left"/>
              <w:rPr>
                <w:rFonts w:ascii="Times New Roman" w:hAnsi="Times New Roman" w:cs="Times New Roman" w:eastAsia="Times New Roman" w:hint="default"/>
                <w:sz w:val="18"/>
                <w:szCs w:val="18"/>
              </w:rPr>
            </w:pPr>
            <w:r>
              <w:rPr>
                <w:rFonts w:ascii="Times New Roman"/>
                <w:sz w:val="18"/>
              </w:rPr>
              <w:t>6.91</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100,854,8</w:t>
            </w:r>
          </w:p>
          <w:p>
            <w:pPr>
              <w:pStyle w:val="TableParagraph"/>
              <w:spacing w:line="240" w:lineRule="auto" w:before="105"/>
              <w:ind w:left="483" w:right="0"/>
              <w:jc w:val="left"/>
              <w:rPr>
                <w:rFonts w:ascii="Times New Roman" w:hAnsi="Times New Roman" w:cs="Times New Roman" w:eastAsia="Times New Roman" w:hint="default"/>
                <w:sz w:val="18"/>
                <w:szCs w:val="18"/>
              </w:rPr>
            </w:pPr>
            <w:r>
              <w:rPr>
                <w:rFonts w:ascii="Times New Roman"/>
                <w:sz w:val="18"/>
              </w:rPr>
              <w:t>07.60</w:t>
            </w:r>
          </w:p>
        </w:tc>
      </w:tr>
    </w:tbl>
    <w:p>
      <w:pPr>
        <w:pStyle w:val="BodyText"/>
        <w:spacing w:line="338" w:lineRule="auto" w:before="50"/>
        <w:ind w:left="472" w:right="1184" w:hanging="360"/>
        <w:jc w:val="left"/>
      </w:pPr>
      <w:r>
        <w:rPr/>
        <w:t>说明经营季节性（或周期性）发生的原因及波动风险 受医疗卫生信息化软件行业特性影响，公司销售额和利润相对集中在四季度。 </w:t>
      </w:r>
      <w:r>
        <w:rPr>
          <w:rFonts w:ascii="Times New Roman" w:hAnsi="Times New Roman" w:cs="Times New Roman" w:eastAsia="Times New Roman" w:hint="default"/>
        </w:rPr>
        <w:t>2019</w:t>
      </w:r>
      <w:r>
        <w:rPr/>
        <w:t>年四季度的营业收入和归属于上市公司股东的净利润占全年的比重分别为</w:t>
      </w:r>
      <w:r>
        <w:rPr>
          <w:rFonts w:ascii="Times New Roman" w:hAnsi="Times New Roman" w:cs="Times New Roman" w:eastAsia="Times New Roman" w:hint="default"/>
        </w:rPr>
        <w:t>36.30%</w:t>
      </w:r>
      <w:r>
        <w:rPr/>
        <w:t>和</w:t>
      </w:r>
      <w:r>
        <w:rPr>
          <w:rFonts w:ascii="Times New Roman" w:hAnsi="Times New Roman" w:cs="Times New Roman" w:eastAsia="Times New Roman" w:hint="default"/>
        </w:rPr>
        <w:t>41.08%</w:t>
      </w:r>
      <w:r>
        <w:rPr/>
        <w:t>；</w:t>
      </w:r>
      <w:r>
        <w:rPr>
          <w:rFonts w:ascii="Times New Roman" w:hAnsi="Times New Roman" w:cs="Times New Roman" w:eastAsia="Times New Roman" w:hint="default"/>
        </w:rPr>
        <w:t>2018</w:t>
      </w:r>
      <w:r>
        <w:rPr/>
        <w:t>年四季度的营业</w:t>
      </w:r>
    </w:p>
    <w:p>
      <w:pPr>
        <w:pStyle w:val="BodyText"/>
        <w:spacing w:line="230" w:lineRule="exact"/>
        <w:ind w:right="882"/>
        <w:jc w:val="left"/>
      </w:pPr>
      <w:r>
        <w:rPr/>
        <w:t>收入和归属于上市公司股东的净利润占全年的比重分别为</w:t>
      </w:r>
      <w:r>
        <w:rPr>
          <w:rFonts w:ascii="Times New Roman" w:hAnsi="Times New Roman" w:cs="Times New Roman" w:eastAsia="Times New Roman" w:hint="default"/>
        </w:rPr>
        <w:t>38.00%</w:t>
      </w:r>
      <w:r>
        <w:rPr/>
        <w:t>和</w:t>
      </w:r>
      <w:r>
        <w:rPr>
          <w:rFonts w:ascii="Times New Roman" w:hAnsi="Times New Roman" w:cs="Times New Roman" w:eastAsia="Times New Roman" w:hint="default"/>
        </w:rPr>
        <w:t>47.42%</w:t>
      </w:r>
      <w:r>
        <w:rPr/>
        <w:t>。</w:t>
      </w:r>
    </w:p>
    <w:p>
      <w:pPr>
        <w:spacing w:line="240" w:lineRule="auto" w:before="10"/>
        <w:rPr>
          <w:rFonts w:ascii="宋体" w:hAnsi="宋体" w:cs="宋体" w:eastAsia="宋体" w:hint="default"/>
          <w:sz w:val="25"/>
          <w:szCs w:val="25"/>
        </w:rPr>
      </w:pPr>
    </w:p>
    <w:p>
      <w:pPr>
        <w:pStyle w:val="Heading3"/>
        <w:spacing w:line="240" w:lineRule="auto"/>
        <w:ind w:right="882"/>
        <w:jc w:val="left"/>
        <w:rPr>
          <w:b w:val="0"/>
          <w:bCs w:val="0"/>
        </w:rPr>
      </w:pPr>
      <w:bookmarkStart w:name="（2）占公司营业收入或营业利润10%以上的行业、产品或地区情况" w:id="33"/>
      <w:bookmarkEnd w:id="33"/>
      <w:r>
        <w:rPr>
          <w:b w:val="0"/>
          <w:bCs w:val="0"/>
        </w:rPr>
      </w:r>
      <w:r>
        <w:rPr/>
        <w:t>（</w:t>
      </w:r>
      <w:r>
        <w:rPr>
          <w:rFonts w:ascii="Times New Roman" w:hAnsi="Times New Roman" w:cs="Times New Roman" w:eastAsia="Times New Roman" w:hint="default"/>
        </w:rPr>
        <w:t>2</w:t>
      </w:r>
      <w:r>
        <w:rPr/>
        <w:t>）占公司营业收入或营业利润</w:t>
      </w:r>
      <w:r>
        <w:rPr>
          <w:spacing w:val="-66"/>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7" w:footer="1016" w:top="1100" w:bottom="1200" w:left="1020" w:right="0"/>
        </w:sectPr>
      </w:pPr>
    </w:p>
    <w:p>
      <w:pPr>
        <w:pStyle w:val="BodyText"/>
        <w:spacing w:line="240" w:lineRule="auto" w:before="44"/>
        <w:ind w:right="-17"/>
        <w:jc w:val="left"/>
      </w:pPr>
      <w:r>
        <w:rPr/>
        <w:t>√ 适用 □ 不适用</w:t>
      </w:r>
    </w:p>
    <w:p>
      <w:pPr>
        <w:pStyle w:val="BodyText"/>
        <w:spacing w:line="240" w:lineRule="auto" w:before="117"/>
        <w:ind w:right="-17"/>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left="-33" w:right="0"/>
        <w:jc w:val="left"/>
      </w:pPr>
      <w:r>
        <w:rPr/>
        <w:t>单位：元</w:t>
      </w:r>
    </w:p>
    <w:p>
      <w:pPr>
        <w:spacing w:after="0" w:line="240" w:lineRule="auto"/>
        <w:jc w:val="left"/>
        <w:sectPr>
          <w:type w:val="continuous"/>
          <w:pgSz w:w="11910" w:h="16840"/>
          <w:pgMar w:top="1100" w:bottom="1200" w:left="1020" w:right="0"/>
          <w:cols w:num="2" w:equalWidth="0">
            <w:col w:w="9025" w:space="40"/>
            <w:col w:w="1825"/>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367"/>
        <w:gridCol w:w="1366"/>
        <w:gridCol w:w="1366"/>
        <w:gridCol w:w="1367"/>
        <w:gridCol w:w="1367"/>
        <w:gridCol w:w="1367"/>
        <w:gridCol w:w="1371"/>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7" w:right="136" w:hanging="89"/>
              <w:jc w:val="left"/>
              <w:rPr>
                <w:rFonts w:ascii="宋体" w:hAnsi="宋体" w:cs="宋体" w:eastAsia="宋体" w:hint="default"/>
                <w:sz w:val="18"/>
                <w:szCs w:val="18"/>
              </w:rPr>
            </w:pPr>
            <w:r>
              <w:rPr>
                <w:rFonts w:ascii="宋体" w:hAnsi="宋体" w:cs="宋体" w:eastAsia="宋体" w:hint="default"/>
                <w:sz w:val="18"/>
                <w:szCs w:val="18"/>
              </w:rPr>
              <w:t>营业收入比上 年同期增减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8" w:right="137" w:hanging="92"/>
              <w:jc w:val="left"/>
              <w:rPr>
                <w:rFonts w:ascii="宋体" w:hAnsi="宋体" w:cs="宋体" w:eastAsia="宋体" w:hint="default"/>
                <w:sz w:val="18"/>
                <w:szCs w:val="18"/>
              </w:rPr>
            </w:pPr>
            <w:r>
              <w:rPr>
                <w:rFonts w:ascii="宋体" w:hAnsi="宋体" w:cs="宋体" w:eastAsia="宋体" w:hint="default"/>
                <w:sz w:val="18"/>
                <w:szCs w:val="18"/>
              </w:rPr>
              <w:t>营业成本比上 年同期增减</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21" w:right="138" w:hanging="180"/>
              <w:jc w:val="left"/>
              <w:rPr>
                <w:rFonts w:ascii="宋体" w:hAnsi="宋体" w:cs="宋体" w:eastAsia="宋体" w:hint="default"/>
                <w:sz w:val="18"/>
                <w:szCs w:val="18"/>
              </w:rPr>
            </w:pPr>
            <w:r>
              <w:rPr>
                <w:rFonts w:ascii="宋体" w:hAnsi="宋体" w:cs="宋体" w:eastAsia="宋体" w:hint="default"/>
                <w:sz w:val="18"/>
                <w:szCs w:val="18"/>
              </w:rPr>
              <w:t>毛利率比上年 同期增减</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分客户所处行业</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医疗行业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1,169,835,974.</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517,918,353.01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40.68%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35.65%</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1.64%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非医疗行业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center"/>
              <w:rPr>
                <w:rFonts w:ascii="Times New Roman" w:hAnsi="Times New Roman" w:cs="Times New Roman" w:eastAsia="Times New Roman" w:hint="default"/>
                <w:sz w:val="18"/>
                <w:szCs w:val="18"/>
              </w:rPr>
            </w:pPr>
            <w:r>
              <w:rPr>
                <w:rFonts w:ascii="Times New Roman"/>
                <w:sz w:val="18"/>
              </w:rPr>
              <w:t>309,988,773.14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5" w:right="0"/>
              <w:jc w:val="center"/>
              <w:rPr>
                <w:rFonts w:ascii="Times New Roman" w:hAnsi="Times New Roman" w:cs="Times New Roman" w:eastAsia="Times New Roman" w:hint="default"/>
                <w:sz w:val="18"/>
                <w:szCs w:val="18"/>
              </w:rPr>
            </w:pPr>
            <w:r>
              <w:rPr>
                <w:rFonts w:ascii="Times New Roman"/>
                <w:sz w:val="18"/>
              </w:rPr>
              <w:t>171,012,107.19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-32.42%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-35.83%</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2.93%</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0"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软件销售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center"/>
              <w:rPr>
                <w:rFonts w:ascii="Times New Roman" w:hAnsi="Times New Roman" w:cs="Times New Roman" w:eastAsia="Times New Roman" w:hint="default"/>
                <w:sz w:val="18"/>
                <w:szCs w:val="18"/>
              </w:rPr>
            </w:pPr>
            <w:r>
              <w:rPr>
                <w:rFonts w:ascii="Times New Roman"/>
                <w:sz w:val="18"/>
              </w:rPr>
              <w:t>461,615,912.78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5" w:right="0"/>
              <w:jc w:val="center"/>
              <w:rPr>
                <w:rFonts w:ascii="Times New Roman" w:hAnsi="Times New Roman" w:cs="Times New Roman" w:eastAsia="Times New Roman" w:hint="default"/>
                <w:sz w:val="18"/>
                <w:szCs w:val="18"/>
              </w:rPr>
            </w:pPr>
            <w:r>
              <w:rPr>
                <w:rFonts w:ascii="Times New Roman"/>
                <w:sz w:val="18"/>
              </w:rPr>
              <w:t>171,889,108.74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62.76%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31.08%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31.88%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-0.23%</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7"/>
        <w:gridCol w:w="1366"/>
        <w:gridCol w:w="1366"/>
        <w:gridCol w:w="1367"/>
        <w:gridCol w:w="1367"/>
        <w:gridCol w:w="1367"/>
        <w:gridCol w:w="1371"/>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695,241,985.90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286,824,526.19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58.74%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0.07%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4.12%</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190,102,170.32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155,828,041.65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z w:val="18"/>
              </w:rPr>
              <w:t>6.57%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6.76%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-0.15%</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760,840,194.35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304,385,057.39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23.56%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3.20%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7.89%</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204,577,232.41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119,958,709.93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41.36%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27.57%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17.12%</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5.23%</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215,711,352.42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125,058,259.96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42.03%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2"/>
                <w:sz w:val="18"/>
              </w:rPr>
              <w:t>11.79%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14.78%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-1.51%</w:t>
            </w:r>
          </w:p>
        </w:tc>
      </w:tr>
    </w:tbl>
    <w:p>
      <w:pPr>
        <w:pStyle w:val="BodyText"/>
        <w:spacing w:line="240" w:lineRule="auto" w:before="50"/>
        <w:ind w:right="882"/>
        <w:jc w:val="left"/>
      </w:pPr>
      <w:r>
        <w:rPr/>
        <w:t>公司主营业务数据统计口径在报告期发生调整的情况下，公司最近</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年按报告期末口径调整后的主营业务数据</w:t>
      </w:r>
    </w:p>
    <w:p>
      <w:pPr>
        <w:pStyle w:val="BodyText"/>
        <w:spacing w:line="240" w:lineRule="auto" w:before="103"/>
        <w:ind w:right="882"/>
        <w:jc w:val="left"/>
      </w:pPr>
      <w:r>
        <w:rPr/>
        <w:t>□ 适用 √ 不适用</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3）公司实物销售收入是否大于劳务收入" w:id="34"/>
      <w:bookmarkEnd w:id="34"/>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是 √ 否</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4）公司已签订的重大销售合同截至本报告期的履行情况" w:id="35"/>
      <w:bookmarkEnd w:id="35"/>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5）营业成本构成" w:id="36"/>
      <w:bookmarkEnd w:id="36"/>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882"/>
        <w:jc w:val="left"/>
      </w:pPr>
      <w:r>
        <w:rPr/>
        <w:t>产品分类</w:t>
      </w:r>
    </w:p>
    <w:p>
      <w:pPr>
        <w:pStyle w:val="BodyText"/>
        <w:spacing w:line="240" w:lineRule="auto" w:before="117"/>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402" w:hRule="exact"/>
        </w:trPr>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4" w:hRule="exact"/>
        </w:trPr>
        <w:tc>
          <w:tcPr>
            <w:tcW w:w="1369"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587" w:right="136" w:hanging="449"/>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587" w:right="136" w:hanging="449"/>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软件销售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59,459,864.84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8.63%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61,961,799.65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9.56%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-0.93%</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72"/>
              <w:jc w:val="left"/>
              <w:rPr>
                <w:rFonts w:ascii="宋体" w:hAnsi="宋体" w:cs="宋体" w:eastAsia="宋体" w:hint="default"/>
                <w:sz w:val="18"/>
                <w:szCs w:val="18"/>
              </w:rPr>
            </w:pPr>
            <w:r>
              <w:rPr>
                <w:rFonts w:ascii="宋体" w:hAnsi="宋体" w:cs="宋体" w:eastAsia="宋体" w:hint="default"/>
                <w:sz w:val="18"/>
                <w:szCs w:val="18"/>
              </w:rPr>
              <w:t>备件周转服务 费</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86,838,706.70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115,119,923.51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-5.16%</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2"/>
              <w:jc w:val="left"/>
              <w:rPr>
                <w:rFonts w:ascii="宋体" w:hAnsi="宋体" w:cs="宋体" w:eastAsia="宋体" w:hint="default"/>
                <w:sz w:val="18"/>
                <w:szCs w:val="18"/>
              </w:rPr>
            </w:pPr>
            <w:r>
              <w:rPr>
                <w:rFonts w:ascii="宋体" w:hAnsi="宋体" w:cs="宋体" w:eastAsia="宋体" w:hint="default"/>
                <w:sz w:val="18"/>
                <w:szCs w:val="18"/>
              </w:rPr>
              <w:t>软件服务职工 薪酬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92,015,899.54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70,594,397.80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2.47%</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148,895,707.06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21.61%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141,450,951.16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21.82%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-0.21%</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73,058,991.76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56,226,286.38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8.67%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1.93%</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240" w:lineRule="auto" w:before="50"/>
        <w:ind w:right="-17"/>
        <w:jc w:val="left"/>
      </w:pPr>
      <w:r>
        <w:rPr/>
        <w:t>说明</w:t>
      </w:r>
    </w:p>
    <w:p>
      <w:pPr>
        <w:pStyle w:val="BodyText"/>
        <w:spacing w:line="338" w:lineRule="auto" w:before="117"/>
        <w:ind w:right="-17"/>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 主营业务成本构成</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2"/>
          <w:szCs w:val="12"/>
        </w:rPr>
      </w:pPr>
    </w:p>
    <w:p>
      <w:pPr>
        <w:pStyle w:val="BodyText"/>
        <w:spacing w:line="240" w:lineRule="auto"/>
        <w:ind w:left="-33" w:right="0"/>
        <w:jc w:val="left"/>
      </w:pPr>
      <w:r>
        <w:rPr/>
        <w:t>单位：元</w:t>
      </w:r>
    </w:p>
    <w:p>
      <w:pPr>
        <w:spacing w:after="0" w:line="240" w:lineRule="auto"/>
        <w:jc w:val="left"/>
        <w:sectPr>
          <w:type w:val="continuous"/>
          <w:pgSz w:w="11910" w:h="16840"/>
          <w:pgMar w:top="1100" w:bottom="1200" w:left="1020" w:right="0"/>
          <w:cols w:num="2" w:equalWidth="0">
            <w:col w:w="9025" w:space="40"/>
            <w:col w:w="1825"/>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成本构成</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上年同期</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1"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9"/>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6" w:right="0"/>
              <w:jc w:val="left"/>
              <w:rPr>
                <w:rFonts w:ascii="Times New Roman" w:hAnsi="Times New Roman" w:cs="Times New Roman" w:eastAsia="Times New Roman" w:hint="default"/>
                <w:sz w:val="18"/>
                <w:szCs w:val="18"/>
              </w:rPr>
            </w:pPr>
            <w:r>
              <w:rPr>
                <w:rFonts w:ascii="Times New Roman"/>
                <w:sz w:val="18"/>
              </w:rPr>
              <w:t>221,954,698.82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27" w:right="0"/>
              <w:jc w:val="left"/>
              <w:rPr>
                <w:rFonts w:ascii="Times New Roman" w:hAnsi="Times New Roman" w:cs="Times New Roman" w:eastAsia="Times New Roman" w:hint="default"/>
                <w:sz w:val="18"/>
                <w:szCs w:val="18"/>
              </w:rPr>
            </w:pPr>
            <w:r>
              <w:rPr>
                <w:rFonts w:ascii="Times New Roman"/>
                <w:sz w:val="18"/>
              </w:rPr>
              <w:t>32.22%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5" w:right="0"/>
              <w:jc w:val="left"/>
              <w:rPr>
                <w:rFonts w:ascii="Times New Roman" w:hAnsi="Times New Roman" w:cs="Times New Roman" w:eastAsia="Times New Roman" w:hint="default"/>
                <w:sz w:val="18"/>
                <w:szCs w:val="18"/>
              </w:rPr>
            </w:pPr>
            <w:r>
              <w:rPr>
                <w:rFonts w:ascii="Times New Roman"/>
                <w:sz w:val="18"/>
              </w:rPr>
              <w:t>197,677,237.54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17" w:right="0"/>
              <w:jc w:val="left"/>
              <w:rPr>
                <w:rFonts w:ascii="Times New Roman" w:hAnsi="Times New Roman" w:cs="Times New Roman" w:eastAsia="Times New Roman" w:hint="default"/>
                <w:sz w:val="18"/>
                <w:szCs w:val="18"/>
              </w:rPr>
            </w:pPr>
            <w:r>
              <w:rPr>
                <w:rFonts w:ascii="Times New Roman"/>
                <w:sz w:val="18"/>
              </w:rPr>
              <w:t>1.73%</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180,935,495.44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174,211,635.63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26.87%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-0.61%</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备件周转服务费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86,838,706.70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12.60%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115,119,923.51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-5.16%</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6）报告期内合并范围是否发生变动" w:id="37"/>
      <w:bookmarkEnd w:id="37"/>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是 □ 否</w:t>
      </w:r>
    </w:p>
    <w:p>
      <w:pPr>
        <w:pStyle w:val="BodyText"/>
        <w:spacing w:line="300" w:lineRule="auto" w:before="117"/>
        <w:ind w:right="882" w:firstLine="420"/>
        <w:jc w:val="left"/>
      </w:pPr>
      <w:r>
        <w:rPr>
          <w:rFonts w:ascii="Times New Roman" w:hAnsi="Times New Roman" w:cs="Times New Roman" w:eastAsia="Times New Roman" w:hint="default"/>
        </w:rPr>
        <w:t>2019</w:t>
      </w:r>
      <w:r>
        <w:rPr/>
        <w:t>年公司新设立子公司广州粤湾慧康科技有限公司、自贡市杭创科技有限公司、杭州慧心健康科技有限公司，收购 浙江百利医药有限公司，并于本年纳入合并报表范围。</w:t>
      </w:r>
    </w:p>
    <w:p>
      <w:pPr>
        <w:spacing w:line="240" w:lineRule="auto" w:before="5"/>
        <w:rPr>
          <w:rFonts w:ascii="宋体" w:hAnsi="宋体" w:cs="宋体" w:eastAsia="宋体" w:hint="default"/>
          <w:sz w:val="23"/>
          <w:szCs w:val="23"/>
        </w:rPr>
      </w:pPr>
    </w:p>
    <w:p>
      <w:pPr>
        <w:pStyle w:val="Heading3"/>
        <w:spacing w:line="240" w:lineRule="auto"/>
        <w:ind w:right="882"/>
        <w:jc w:val="left"/>
        <w:rPr>
          <w:b w:val="0"/>
          <w:bCs w:val="0"/>
        </w:rPr>
      </w:pPr>
      <w:bookmarkStart w:name="（7）公司报告期内业务、产品或服务发生重大变化或调整有关情况" w:id="38"/>
      <w:bookmarkEnd w:id="38"/>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8）主要销售客户和主要供应商情况" w:id="39"/>
      <w:bookmarkEnd w:id="39"/>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公司主要销售客户情况</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240,402,696.48</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16.25%</w:t>
            </w:r>
          </w:p>
        </w:tc>
      </w:tr>
      <w:tr>
        <w:trPr>
          <w:trHeight w:val="714"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83"/>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0"/>
        <w:ind w:right="882"/>
        <w:jc w:val="left"/>
      </w:pPr>
      <w:r>
        <w:rPr/>
        <w:t>公司前</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1"/>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802"/>
        <w:gridCol w:w="3301"/>
        <w:gridCol w:w="2322"/>
        <w:gridCol w:w="3143"/>
      </w:tblGrid>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7"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7"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left="101" w:right="0"/>
              <w:jc w:val="left"/>
              <w:rPr>
                <w:rFonts w:ascii="Times New Roman" w:hAnsi="Times New Roman" w:cs="Times New Roman" w:eastAsia="Times New Roman" w:hint="default"/>
                <w:sz w:val="18"/>
                <w:szCs w:val="18"/>
              </w:rPr>
            </w:pPr>
            <w:r>
              <w:rPr>
                <w:rFonts w:ascii="Times New Roman"/>
                <w:sz w:val="18"/>
              </w:rPr>
              <w:t>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82,458,747.16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5.57%</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58,554,303.25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3.96%</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left="101" w:right="0"/>
              <w:jc w:val="left"/>
              <w:rPr>
                <w:rFonts w:ascii="Times New Roman" w:hAnsi="Times New Roman" w:cs="Times New Roman" w:eastAsia="Times New Roman" w:hint="default"/>
                <w:sz w:val="18"/>
                <w:szCs w:val="18"/>
              </w:rPr>
            </w:pPr>
            <w:r>
              <w:rPr>
                <w:rFonts w:ascii="Times New Roman"/>
                <w:sz w:val="18"/>
              </w:rPr>
              <w:t>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41,726,119.19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2.82%</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31,742,690.20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2.15%</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left="101" w:right="0"/>
              <w:jc w:val="left"/>
              <w:rPr>
                <w:rFonts w:ascii="Times New Roman" w:hAnsi="Times New Roman" w:cs="Times New Roman" w:eastAsia="Times New Roman" w:hint="default"/>
                <w:sz w:val="18"/>
                <w:szCs w:val="18"/>
              </w:rPr>
            </w:pPr>
            <w:r>
              <w:rPr>
                <w:rFonts w:ascii="Times New Roman"/>
                <w:sz w:val="18"/>
              </w:rPr>
              <w:t>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25,920,836.68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1.75%</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240,402,696.48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16.25%</w:t>
            </w:r>
          </w:p>
        </w:tc>
      </w:tr>
    </w:tbl>
    <w:p>
      <w:pPr>
        <w:pStyle w:val="BodyText"/>
        <w:spacing w:line="240" w:lineRule="auto" w:before="50"/>
        <w:ind w:right="882"/>
        <w:jc w:val="left"/>
      </w:pPr>
      <w:r>
        <w:rPr/>
        <w:t>主要客户其他情况说明</w:t>
      </w:r>
    </w:p>
    <w:p>
      <w:pPr>
        <w:pStyle w:val="BodyText"/>
        <w:spacing w:line="360" w:lineRule="auto" w:before="115"/>
        <w:ind w:right="9134"/>
        <w:jc w:val="left"/>
      </w:pPr>
      <w:r>
        <w:rPr/>
        <w:t>□ 适用 √ 不适用 公司主要供应商情况</w:t>
      </w:r>
    </w:p>
    <w:tbl>
      <w:tblPr>
        <w:tblW w:w="0" w:type="auto"/>
        <w:jc w:val="left"/>
        <w:tblInd w:w="10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160,276,651.07</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2"/>
                <w:sz w:val="18"/>
              </w:rPr>
              <w:t>38.11%</w:t>
            </w:r>
          </w:p>
        </w:tc>
      </w:tr>
      <w:tr>
        <w:trPr>
          <w:trHeight w:val="714"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83"/>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 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67"/>
        <w:ind w:right="882"/>
        <w:jc w:val="left"/>
      </w:pPr>
      <w:r>
        <w:rPr/>
        <w:t>公司前</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2"/>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935"/>
        <w:gridCol w:w="3168"/>
        <w:gridCol w:w="2322"/>
        <w:gridCol w:w="3143"/>
      </w:tblGrid>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7"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0"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1</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73" w:right="0"/>
              <w:jc w:val="left"/>
              <w:rPr>
                <w:rFonts w:ascii="Times New Roman" w:hAnsi="Times New Roman" w:cs="Times New Roman" w:eastAsia="Times New Roman" w:hint="default"/>
                <w:sz w:val="18"/>
                <w:szCs w:val="18"/>
              </w:rPr>
            </w:pPr>
            <w:r>
              <w:rPr>
                <w:rFonts w:ascii="Times New Roman"/>
                <w:sz w:val="18"/>
              </w:rPr>
              <w:t>98,660,206.41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23.46%</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935"/>
        <w:gridCol w:w="3168"/>
        <w:gridCol w:w="2322"/>
        <w:gridCol w:w="3143"/>
      </w:tblGrid>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2</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21,716,227.43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5.16%</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3</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14,335,398.22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3.41%</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4</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12,991,947.18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3.09%</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5</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12,572,871.83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2.99%</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160,276,651.07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2"/>
                <w:sz w:val="18"/>
              </w:rPr>
              <w:t>38.11%</w:t>
            </w:r>
          </w:p>
        </w:tc>
      </w:tr>
    </w:tbl>
    <w:p>
      <w:pPr>
        <w:pStyle w:val="BodyText"/>
        <w:spacing w:line="240" w:lineRule="auto" w:before="51"/>
        <w:ind w:right="882"/>
        <w:jc w:val="left"/>
      </w:pPr>
      <w:r>
        <w:rPr/>
        <w:t>主要供应商其他情况说明</w:t>
      </w:r>
    </w:p>
    <w:p>
      <w:pPr>
        <w:pStyle w:val="BodyText"/>
        <w:spacing w:line="240" w:lineRule="auto" w:before="117"/>
        <w:ind w:right="882"/>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3、费用" w:id="40"/>
      <w:bookmarkEnd w:id="40"/>
      <w:r>
        <w:rPr>
          <w:b w:val="0"/>
          <w:bCs w:val="0"/>
        </w:rPr>
      </w:r>
      <w:r>
        <w:rPr>
          <w:rFonts w:ascii="Times New Roman" w:hAnsi="Times New Roman" w:cs="Times New Roman" w:eastAsia="Times New Roman" w:hint="default"/>
        </w:rPr>
        <w:t>3</w:t>
      </w:r>
      <w:r>
        <w:rPr/>
        <w:t>、费用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5"/>
        <w:gridCol w:w="1637"/>
        <w:gridCol w:w="1637"/>
        <w:gridCol w:w="1461"/>
        <w:gridCol w:w="2918"/>
      </w:tblGrid>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65"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150,423,920.49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119,474,828.74</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25.90%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170,293,606.14</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151,137,119.49</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12.67%</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5,751,640.96</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7,544,515.68</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-23.76%</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138,083,855.06</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130,424,387.09</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5.87%</w:t>
            </w:r>
          </w:p>
        </w:tc>
        <w:tc>
          <w:tcPr>
            <w:tcW w:w="291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4、研发投入" w:id="41"/>
      <w:bookmarkEnd w:id="41"/>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 适用 □ 不适用</w:t>
      </w:r>
    </w:p>
    <w:p>
      <w:pPr>
        <w:pStyle w:val="BodyText"/>
        <w:spacing w:line="300" w:lineRule="auto" w:before="115"/>
        <w:ind w:right="882" w:firstLine="360"/>
        <w:jc w:val="left"/>
      </w:pPr>
      <w:r>
        <w:rPr>
          <w:rFonts w:ascii="Times New Roman" w:hAnsi="Times New Roman" w:cs="Times New Roman" w:eastAsia="Times New Roman" w:hint="default"/>
          <w:spacing w:val="-2"/>
        </w:rPr>
        <w:t>2019</w:t>
      </w:r>
      <w:r>
        <w:rPr>
          <w:spacing w:val="-2"/>
        </w:rPr>
        <w:t>年度，公司密切关注行业发展趋势，积极跟随卫健委等的政策导向，加大研发投入，坚持技术创新，保障新产品开</w:t>
      </w:r>
      <w:r>
        <w:rPr/>
        <w:t> 发与技术升级有序进行。</w:t>
      </w:r>
      <w:r>
        <w:rPr>
          <w:rFonts w:ascii="Times New Roman" w:hAnsi="Times New Roman" w:cs="Times New Roman" w:eastAsia="Times New Roman" w:hint="default"/>
        </w:rPr>
        <w:t>2019</w:t>
      </w:r>
      <w:r>
        <w:rPr/>
        <w:t>年度，公司发生研发投入</w:t>
      </w:r>
      <w:r>
        <w:rPr>
          <w:rFonts w:ascii="Times New Roman" w:hAnsi="Times New Roman" w:cs="Times New Roman" w:eastAsia="Times New Roman" w:hint="default"/>
        </w:rPr>
        <w:t>20,880.33</w:t>
      </w:r>
      <w:r>
        <w:rPr/>
        <w:t>万元，同比增长</w:t>
      </w:r>
      <w:r>
        <w:rPr>
          <w:rFonts w:ascii="Times New Roman" w:hAnsi="Times New Roman" w:cs="Times New Roman" w:eastAsia="Times New Roman" w:hint="default"/>
        </w:rPr>
        <w:t>28.33%</w:t>
      </w:r>
      <w:r>
        <w:rPr/>
        <w:t>，占公司营业收入的</w:t>
      </w:r>
      <w:r>
        <w:rPr>
          <w:rFonts w:ascii="Times New Roman" w:hAnsi="Times New Roman" w:cs="Times New Roman" w:eastAsia="Times New Roman" w:hint="default"/>
        </w:rPr>
        <w:t>14.11%</w:t>
      </w:r>
      <w:r>
        <w:rPr/>
        <w:t>。新增 </w:t>
      </w:r>
      <w:r>
        <w:rPr>
          <w:spacing w:val="-1"/>
        </w:rPr>
        <w:t>专利</w:t>
      </w:r>
      <w:r>
        <w:rPr>
          <w:rFonts w:ascii="Times New Roman" w:hAnsi="Times New Roman" w:cs="Times New Roman" w:eastAsia="Times New Roman" w:hint="default"/>
          <w:spacing w:val="-1"/>
        </w:rPr>
        <w:t>13</w:t>
      </w:r>
      <w:r>
        <w:rPr>
          <w:spacing w:val="-1"/>
        </w:rPr>
        <w:t>项，其中发明专利</w:t>
      </w:r>
      <w:r>
        <w:rPr>
          <w:rFonts w:ascii="Times New Roman" w:hAnsi="Times New Roman" w:cs="Times New Roman" w:eastAsia="Times New Roman" w:hint="default"/>
          <w:spacing w:val="-1"/>
        </w:rPr>
        <w:t>4</w:t>
      </w:r>
      <w:r>
        <w:rPr>
          <w:spacing w:val="-1"/>
        </w:rPr>
        <w:t>项；</w:t>
      </w:r>
      <w:r>
        <w:rPr>
          <w:rFonts w:ascii="Times New Roman" w:hAnsi="Times New Roman" w:cs="Times New Roman" w:eastAsia="Times New Roman" w:hint="default"/>
          <w:spacing w:val="-1"/>
        </w:rPr>
        <w:t>2019</w:t>
      </w:r>
      <w:r>
        <w:rPr>
          <w:spacing w:val="-1"/>
        </w:rPr>
        <w:t>年度，公司共计新增了《创业互联网医院系统软件</w:t>
      </w:r>
      <w:r>
        <w:rPr>
          <w:rFonts w:ascii="Times New Roman" w:hAnsi="Times New Roman" w:cs="Times New Roman" w:eastAsia="Times New Roman" w:hint="default"/>
          <w:spacing w:val="-1"/>
        </w:rPr>
        <w:t>V3</w:t>
      </w:r>
      <w:r>
        <w:rPr>
          <w:spacing w:val="-1"/>
        </w:rPr>
        <w:t>》、《创业分级诊疗平台系统软件</w:t>
      </w:r>
      <w:r>
        <w:rPr>
          <w:spacing w:val="-70"/>
        </w:rPr>
        <w:t> </w:t>
      </w:r>
      <w:r>
        <w:rPr>
          <w:spacing w:val="-70"/>
        </w:rPr>
      </w:r>
      <w:r>
        <w:rPr>
          <w:rFonts w:ascii="Times New Roman" w:hAnsi="Times New Roman" w:cs="Times New Roman" w:eastAsia="Times New Roman" w:hint="default"/>
        </w:rPr>
        <w:t>V2.0</w:t>
      </w:r>
      <w:r>
        <w:rPr/>
        <w:t>》等</w:t>
      </w:r>
      <w:r>
        <w:rPr>
          <w:rFonts w:ascii="Times New Roman" w:hAnsi="Times New Roman" w:cs="Times New Roman" w:eastAsia="Times New Roman" w:hint="default"/>
        </w:rPr>
        <w:t>63</w:t>
      </w:r>
      <w:r>
        <w:rPr/>
        <w:t>项计算机软件著作权。</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pStyle w:val="BodyText"/>
        <w:spacing w:line="240" w:lineRule="auto"/>
        <w:ind w:left="472" w:right="882"/>
        <w:jc w:val="left"/>
      </w:pPr>
      <w:r>
        <w:rPr/>
        <w:t>近三年公司研发投入金额及占营业收入的比例</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995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876</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31.15%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28.79%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22.42%</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208,803,284.02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162,713,489.51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115,725,190.48</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pacing w:val="-2"/>
                <w:sz w:val="18"/>
              </w:rPr>
              <w:t>14.11%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12.61%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10.04%</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pacing w:val="-6"/>
                <w:sz w:val="18"/>
                <w:szCs w:val="18"/>
              </w:rPr>
              <w:t>研发支出资本化的金额（元）</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74,401,167.74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32,861,069.52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18"/>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35.63%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20.20%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18"/>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23.34%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882"/>
        <w:jc w:val="left"/>
      </w:pPr>
      <w:r>
        <w:rPr/>
        <w:t>研发投入总额占营业收入的比重较上年发生显著变化的原因</w:t>
      </w:r>
    </w:p>
    <w:p>
      <w:pPr>
        <w:pStyle w:val="BodyText"/>
        <w:spacing w:line="240" w:lineRule="auto" w:before="117"/>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907" w:footer="1016" w:top="1100" w:bottom="1200" w:left="1020" w:right="0"/>
        </w:sectPr>
      </w:pPr>
    </w:p>
    <w:p>
      <w:pPr>
        <w:pStyle w:val="BodyText"/>
        <w:spacing w:line="240" w:lineRule="auto" w:before="44"/>
        <w:ind w:right="-17"/>
        <w:jc w:val="left"/>
      </w:pPr>
      <w:r>
        <w:rPr/>
        <w:t>研发投入资本化率大幅变动的原因及其合理性说明</w:t>
      </w:r>
    </w:p>
    <w:p>
      <w:pPr>
        <w:pStyle w:val="BodyText"/>
        <w:spacing w:line="240" w:lineRule="auto" w:before="115"/>
        <w:ind w:right="-17"/>
        <w:jc w:val="left"/>
      </w:pPr>
      <w:r>
        <w:rPr/>
        <w:t>□ 适用 √ 不适用</w:t>
      </w:r>
    </w:p>
    <w:p>
      <w:pPr>
        <w:pStyle w:val="BodyText"/>
        <w:spacing w:line="240" w:lineRule="auto" w:before="117"/>
        <w:ind w:right="-17"/>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left="-33" w:right="0"/>
        <w:jc w:val="left"/>
      </w:pPr>
      <w:r>
        <w:rPr/>
        <w:t>单位：元</w:t>
      </w:r>
    </w:p>
    <w:p>
      <w:pPr>
        <w:spacing w:after="0" w:line="240" w:lineRule="auto"/>
        <w:jc w:val="left"/>
        <w:sectPr>
          <w:type w:val="continuous"/>
          <w:pgSz w:w="11910" w:h="16840"/>
          <w:pgMar w:top="1100" w:bottom="1200" w:left="1020" w:right="0"/>
          <w:cols w:num="2" w:equalWidth="0">
            <w:col w:w="9025" w:space="40"/>
            <w:col w:w="1825"/>
          </w:cols>
        </w:sectPr>
      </w:pP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994"/>
        <w:gridCol w:w="1530"/>
        <w:gridCol w:w="6045"/>
        <w:gridCol w:w="999"/>
      </w:tblGrid>
      <w:tr>
        <w:trPr>
          <w:trHeight w:val="402"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33"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28"/>
              <w:jc w:val="right"/>
              <w:rPr>
                <w:rFonts w:ascii="宋体" w:hAnsi="宋体" w:cs="宋体" w:eastAsia="宋体" w:hint="default"/>
                <w:sz w:val="18"/>
                <w:szCs w:val="18"/>
              </w:rPr>
            </w:pPr>
            <w:r>
              <w:rPr>
                <w:rFonts w:ascii="宋体" w:hAnsi="宋体" w:cs="宋体" w:eastAsia="宋体" w:hint="default"/>
                <w:sz w:val="18"/>
                <w:szCs w:val="18"/>
              </w:rPr>
              <w:t>研发资本化金额</w:t>
            </w:r>
          </w:p>
        </w:tc>
        <w:tc>
          <w:tcPr>
            <w:tcW w:w="6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相关项目的基本情况</w:t>
            </w:r>
          </w:p>
        </w:tc>
        <w:tc>
          <w:tcPr>
            <w:tcW w:w="9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34" w:right="0"/>
              <w:jc w:val="left"/>
              <w:rPr>
                <w:rFonts w:ascii="宋体" w:hAnsi="宋体" w:cs="宋体" w:eastAsia="宋体" w:hint="default"/>
                <w:sz w:val="18"/>
                <w:szCs w:val="18"/>
              </w:rPr>
            </w:pPr>
            <w:r>
              <w:rPr>
                <w:rFonts w:ascii="宋体" w:hAnsi="宋体" w:cs="宋体" w:eastAsia="宋体" w:hint="default"/>
                <w:sz w:val="18"/>
                <w:szCs w:val="18"/>
              </w:rPr>
              <w:t>实施进度</w:t>
            </w:r>
          </w:p>
        </w:tc>
      </w:tr>
      <w:tr>
        <w:trPr>
          <w:trHeight w:val="714"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项目一</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15,175,840.45</w:t>
            </w:r>
          </w:p>
        </w:tc>
        <w:tc>
          <w:tcPr>
            <w:tcW w:w="6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170"/>
              <w:jc w:val="left"/>
              <w:rPr>
                <w:rFonts w:ascii="宋体" w:hAnsi="宋体" w:cs="宋体" w:eastAsia="宋体" w:hint="default"/>
                <w:sz w:val="18"/>
                <w:szCs w:val="18"/>
              </w:rPr>
            </w:pPr>
            <w:r>
              <w:rPr>
                <w:rFonts w:ascii="宋体" w:hAnsi="宋体" w:cs="宋体" w:eastAsia="宋体" w:hint="default"/>
                <w:sz w:val="18"/>
                <w:szCs w:val="18"/>
              </w:rPr>
              <w:t>本项目主要开发内容包括统一技术平台、医疗服务系统、运营管理系统、 数据集成平台、数据服务平台。</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进行中</w:t>
            </w:r>
          </w:p>
        </w:tc>
      </w:tr>
      <w:tr>
        <w:trPr>
          <w:trHeight w:val="714"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项目二</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898,476.92</w:t>
            </w:r>
          </w:p>
        </w:tc>
        <w:tc>
          <w:tcPr>
            <w:tcW w:w="604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2" w:right="169"/>
              <w:jc w:val="left"/>
              <w:rPr>
                <w:rFonts w:ascii="宋体" w:hAnsi="宋体" w:cs="宋体" w:eastAsia="宋体" w:hint="default"/>
                <w:sz w:val="18"/>
                <w:szCs w:val="18"/>
              </w:rPr>
            </w:pPr>
            <w:r>
              <w:rPr>
                <w:rFonts w:ascii="宋体" w:hAnsi="宋体" w:cs="宋体" w:eastAsia="宋体" w:hint="default"/>
                <w:sz w:val="18"/>
                <w:szCs w:val="18"/>
              </w:rPr>
              <w:t>本项目开发内容包括标准规范体系建设、信息资源规划与数据库建设、</w:t>
            </w:r>
            <w:r>
              <w:rPr>
                <w:rFonts w:ascii="Times New Roman" w:hAnsi="Times New Roman" w:cs="Times New Roman" w:eastAsia="Times New Roman" w:hint="default"/>
                <w:sz w:val="18"/>
                <w:szCs w:val="18"/>
              </w:rPr>
              <w:t>14 </w:t>
            </w:r>
            <w:r>
              <w:rPr>
                <w:rFonts w:ascii="宋体" w:hAnsi="宋体" w:cs="宋体" w:eastAsia="宋体" w:hint="default"/>
                <w:sz w:val="18"/>
                <w:szCs w:val="18"/>
              </w:rPr>
              <w:t>个业务系统的建设、基础设施建设以及</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个应用支撑子系统的建设。</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进行中</w:t>
            </w:r>
          </w:p>
        </w:tc>
      </w:tr>
      <w:tr>
        <w:trPr>
          <w:trHeight w:val="1338"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项目三</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3,952,609.36</w:t>
            </w:r>
          </w:p>
        </w:tc>
        <w:tc>
          <w:tcPr>
            <w:tcW w:w="604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2"/>
              <w:ind w:left="102" w:right="12"/>
              <w:jc w:val="left"/>
              <w:rPr>
                <w:rFonts w:ascii="宋体" w:hAnsi="宋体" w:cs="宋体" w:eastAsia="宋体" w:hint="default"/>
                <w:sz w:val="18"/>
                <w:szCs w:val="18"/>
              </w:rPr>
            </w:pPr>
            <w:r>
              <w:rPr>
                <w:rFonts w:ascii="宋体" w:hAnsi="宋体" w:cs="宋体" w:eastAsia="宋体" w:hint="default"/>
                <w:spacing w:val="-4"/>
                <w:sz w:val="18"/>
                <w:szCs w:val="18"/>
              </w:rPr>
              <w:t>围绕</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深化社区卫生服务综合改革，推进家庭医生签约，推动分级诊疗制度，</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充分建立数据驱动型的家庭医生服务绩效评价体系，建立社区层面的服务 运行、管理、监管新模式。提升家庭医生自身能力与服务能级，切实让家 庭医生成为居民健康、卫生服务与卫生资源的</w:t>
            </w:r>
            <w:r>
              <w:rPr>
                <w:rFonts w:ascii="Times New Roman" w:hAnsi="Times New Roman" w:cs="Times New Roman" w:eastAsia="Times New Roman" w:hint="default"/>
                <w:sz w:val="18"/>
                <w:szCs w:val="18"/>
              </w:rPr>
              <w:t>“</w:t>
            </w:r>
            <w:r>
              <w:rPr>
                <w:rFonts w:ascii="宋体" w:hAnsi="宋体" w:cs="宋体" w:eastAsia="宋体" w:hint="default"/>
                <w:sz w:val="18"/>
                <w:szCs w:val="18"/>
              </w:rPr>
              <w:t>守门人</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进行中</w:t>
            </w:r>
          </w:p>
        </w:tc>
      </w:tr>
      <w:tr>
        <w:trPr>
          <w:trHeight w:val="102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项目四</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2,841,768.77</w:t>
            </w:r>
          </w:p>
        </w:tc>
        <w:tc>
          <w:tcPr>
            <w:tcW w:w="6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依靠卫生信息化支撑，运用大数据方法，卫生经济学和疾病诊断相关分组</w:t>
            </w:r>
          </w:p>
          <w:p>
            <w:pPr>
              <w:pStyle w:val="TableParagraph"/>
              <w:spacing w:line="300" w:lineRule="auto" w:before="76"/>
              <w:ind w:left="102" w:right="101"/>
              <w:jc w:val="lef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DRGs</w:t>
            </w:r>
            <w:r>
              <w:rPr>
                <w:rFonts w:ascii="宋体" w:hAnsi="宋体" w:cs="宋体" w:eastAsia="宋体" w:hint="default"/>
                <w:spacing w:val="-1"/>
                <w:sz w:val="18"/>
                <w:szCs w:val="18"/>
              </w:rPr>
              <w:t>）管理原理，基于客观现状数据，测算公立医院平均指数，形成公</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立医院医疗服务严出评价的</w:t>
            </w:r>
            <w:r>
              <w:rPr>
                <w:rFonts w:ascii="Times New Roman" w:hAnsi="Times New Roman" w:cs="Times New Roman" w:eastAsia="Times New Roman" w:hint="default"/>
                <w:sz w:val="18"/>
                <w:szCs w:val="18"/>
              </w:rPr>
              <w:t>“</w:t>
            </w:r>
            <w:r>
              <w:rPr>
                <w:rFonts w:ascii="宋体" w:hAnsi="宋体" w:cs="宋体" w:eastAsia="宋体" w:hint="default"/>
                <w:sz w:val="18"/>
                <w:szCs w:val="18"/>
              </w:rPr>
              <w:t>度量衡</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进行中</w:t>
            </w:r>
          </w:p>
        </w:tc>
      </w:tr>
    </w:tbl>
    <w:p>
      <w:pPr>
        <w:pStyle w:val="BodyText"/>
        <w:spacing w:line="316" w:lineRule="auto" w:before="11"/>
        <w:ind w:right="882"/>
        <w:jc w:val="left"/>
      </w:pPr>
      <w:r>
        <w:rPr>
          <w:spacing w:val="-2"/>
        </w:rPr>
        <w:t>结合软件行业研发流程及自身研发的特点，公司研发项目通过立项评审并进行开发后进入开发阶段。开发项目达到预定用途</w:t>
      </w:r>
      <w:r>
        <w:rPr>
          <w:spacing w:val="-64"/>
        </w:rPr>
        <w:t> </w:t>
      </w:r>
      <w:r>
        <w:rPr>
          <w:spacing w:val="-64"/>
        </w:rPr>
      </w:r>
      <w:r>
        <w:rPr/>
        <w:t>后确认为无形资产核算。</w:t>
      </w:r>
    </w:p>
    <w:p>
      <w:pPr>
        <w:spacing w:line="240" w:lineRule="auto" w:before="8"/>
        <w:rPr>
          <w:rFonts w:ascii="宋体" w:hAnsi="宋体" w:cs="宋体" w:eastAsia="宋体" w:hint="default"/>
          <w:sz w:val="22"/>
          <w:szCs w:val="22"/>
        </w:rPr>
      </w:pPr>
    </w:p>
    <w:p>
      <w:pPr>
        <w:pStyle w:val="Heading3"/>
        <w:spacing w:line="240" w:lineRule="auto"/>
        <w:ind w:right="882"/>
        <w:jc w:val="left"/>
        <w:rPr>
          <w:b w:val="0"/>
          <w:bCs w:val="0"/>
        </w:rPr>
      </w:pPr>
      <w:bookmarkStart w:name="5、现金流" w:id="42"/>
      <w:bookmarkEnd w:id="42"/>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1,354,710,137.55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1,302,493,637.06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4.01%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1,274,551,448.18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1,132,796,018.98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12.51%</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18"/>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80,158,689.37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169,697,618.08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-52.76%</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863,640,173.03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33,279,568.60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2,495.11%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936,742,828.44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190,312,914.62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392.21%</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8"/>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-73,102,655.41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-157,033,346.02</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376,941,383.32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458,962,402.24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-17.87%</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317,546,240.78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366,240,716.79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-13.30%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18"/>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59,395,142.54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92,721,685.45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-35.94%</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66,451,176.50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105,385,957.51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-36.94%</w:t>
            </w:r>
          </w:p>
        </w:tc>
      </w:tr>
    </w:tbl>
    <w:p>
      <w:pPr>
        <w:pStyle w:val="BodyText"/>
        <w:spacing w:line="240" w:lineRule="auto" w:before="50"/>
        <w:ind w:right="882"/>
        <w:jc w:val="left"/>
      </w:pPr>
      <w:r>
        <w:rPr/>
        <w:t>相关数据同比发生重大变动的主要影响因素说明</w:t>
      </w:r>
    </w:p>
    <w:p>
      <w:pPr>
        <w:pStyle w:val="BodyText"/>
        <w:spacing w:line="360" w:lineRule="auto" w:before="117"/>
        <w:ind w:right="3554"/>
        <w:jc w:val="left"/>
      </w:pPr>
      <w:r>
        <w:rPr/>
        <w:t>√ 适用 □ 不适用 投资活动现金流入和流出较上年同期增幅较大，主要系理财产品购买和赎回金额增加所致。</w:t>
      </w:r>
    </w:p>
    <w:p>
      <w:pPr>
        <w:spacing w:after="0" w:line="360" w:lineRule="auto"/>
        <w:jc w:val="left"/>
        <w:sectPr>
          <w:type w:val="continuous"/>
          <w:pgSz w:w="11910" w:h="16840"/>
          <w:pgMar w:top="1100" w:bottom="1200" w:left="1020" w:right="0"/>
        </w:sectPr>
      </w:pPr>
    </w:p>
    <w:p>
      <w:pPr>
        <w:spacing w:line="240" w:lineRule="auto" w:before="13"/>
        <w:rPr>
          <w:rFonts w:ascii="宋体" w:hAnsi="宋体" w:cs="宋体" w:eastAsia="宋体" w:hint="default"/>
          <w:sz w:val="22"/>
          <w:szCs w:val="22"/>
        </w:rPr>
      </w:pPr>
    </w:p>
    <w:p>
      <w:pPr>
        <w:pStyle w:val="BodyText"/>
        <w:spacing w:line="357" w:lineRule="auto" w:before="44"/>
        <w:ind w:right="2474"/>
        <w:jc w:val="left"/>
      </w:pPr>
      <w:r>
        <w:rPr/>
        <w:t>经营活动产生的现金流量净额较上年同期降幅较大，主要系本期销售规模增长，应收账款相应增加所致。 筹资活动产生的现金流量净额较上年同期降幅较大，主要系本期银行借款减少所致。 报告期内公司经营活动产生的现金净流量与本年度净利润存在重大差异的原因说明</w:t>
      </w:r>
    </w:p>
    <w:p>
      <w:pPr>
        <w:pStyle w:val="BodyText"/>
        <w:spacing w:line="338" w:lineRule="auto" w:before="29"/>
        <w:ind w:right="882"/>
        <w:jc w:val="left"/>
      </w:pPr>
      <w:r>
        <w:rPr/>
        <w:t>√ 适用 □</w:t>
      </w:r>
      <w:r>
        <w:rPr>
          <w:spacing w:val="-1"/>
        </w:rPr>
        <w:t> </w:t>
      </w:r>
      <w:r>
        <w:rPr/>
        <w:t>不适用</w:t>
      </w:r>
      <w:r>
        <w:rPr/>
        <w:t> </w:t>
      </w:r>
      <w:r>
        <w:rPr>
          <w:spacing w:val="-2"/>
        </w:rPr>
        <w:t>经营活动产生的现金流量净额较上年同期降幅较大，主要系本期股权收益较上期增长，同时因本期销售规模增长，应收账款</w:t>
      </w:r>
      <w:r>
        <w:rPr>
          <w:spacing w:val="-65"/>
        </w:rPr>
        <w:t> </w:t>
      </w:r>
      <w:r>
        <w:rPr>
          <w:spacing w:val="-65"/>
        </w:rPr>
      </w:r>
      <w:r>
        <w:rPr/>
        <w:t>相应增长所致。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2"/>
        <w:spacing w:line="240" w:lineRule="auto" w:before="136"/>
        <w:ind w:right="882"/>
        <w:jc w:val="left"/>
        <w:rPr>
          <w:b w:val="0"/>
          <w:bCs w:val="0"/>
        </w:rPr>
      </w:pPr>
      <w:bookmarkStart w:name="三、非主营业务情况" w:id="43"/>
      <w:bookmarkEnd w:id="43"/>
      <w:r>
        <w:rPr>
          <w:b w:val="0"/>
          <w:bCs w:val="0"/>
        </w:rPr>
      </w:r>
      <w:r>
        <w:rPr/>
        <w:t>三、非主营业务情况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3"/>
        <w:rPr>
          <w:rFonts w:ascii="宋体" w:hAnsi="宋体" w:cs="宋体" w:eastAsia="宋体" w:hint="default"/>
          <w:sz w:val="25"/>
          <w:szCs w:val="25"/>
        </w:rPr>
      </w:pPr>
    </w:p>
    <w:p>
      <w:pPr>
        <w:pStyle w:val="Heading2"/>
        <w:spacing w:line="240" w:lineRule="auto"/>
        <w:ind w:right="882"/>
        <w:jc w:val="left"/>
        <w:rPr>
          <w:b w:val="0"/>
          <w:bCs w:val="0"/>
        </w:rPr>
      </w:pPr>
      <w:bookmarkStart w:name="四、资产及负债状况" w:id="44"/>
      <w:bookmarkEnd w:id="44"/>
      <w:r>
        <w:rPr>
          <w:b w:val="0"/>
          <w:bCs w:val="0"/>
        </w:rPr>
      </w:r>
      <w:r>
        <w:rPr/>
        <w:t>四、资产及负债状况</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资产构成重大变动情况" w:id="45"/>
      <w:bookmarkEnd w:id="45"/>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530"/>
        <w:gridCol w:w="1237"/>
        <w:gridCol w:w="1482"/>
        <w:gridCol w:w="1218"/>
        <w:gridCol w:w="1388"/>
        <w:gridCol w:w="1346"/>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
        </w:tc>
        <w:tc>
          <w:tcPr>
            <w:tcW w:w="276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年末</w:t>
            </w:r>
          </w:p>
        </w:tc>
        <w:tc>
          <w:tcPr>
            <w:tcW w:w="270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年初</w:t>
            </w:r>
          </w:p>
        </w:tc>
        <w:tc>
          <w:tcPr>
            <w:tcW w:w="13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30"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134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714"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2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23" w:right="162"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13" w:right="152"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388" w:type="dxa"/>
            <w:vMerge/>
            <w:tcBorders>
              <w:left w:val="single" w:sz="4" w:space="0" w:color="000000"/>
              <w:bottom w:val="single" w:sz="4" w:space="0" w:color="000000"/>
              <w:right w:val="single" w:sz="4" w:space="0" w:color="000000"/>
            </w:tcBorders>
            <w:shd w:val="clear" w:color="auto" w:fill="D2D2D2"/>
          </w:tcPr>
          <w:p>
            <w:pPr/>
          </w:p>
        </w:tc>
        <w:tc>
          <w:tcPr>
            <w:tcW w:w="1346"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533,880,774.78</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14.87%</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468,367,664.95</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15.24%</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7"/>
              <w:jc w:val="right"/>
              <w:rPr>
                <w:rFonts w:ascii="Times New Roman" w:hAnsi="Times New Roman" w:cs="Times New Roman" w:eastAsia="Times New Roman" w:hint="default"/>
                <w:sz w:val="18"/>
                <w:szCs w:val="18"/>
              </w:rPr>
            </w:pPr>
            <w:r>
              <w:rPr>
                <w:rFonts w:ascii="Times New Roman"/>
                <w:sz w:val="18"/>
              </w:rPr>
              <w:t>-0.37%</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870,613,174.07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24.25%</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573,911,881.01</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18.68%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5.57%</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143,627,846.38</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4.00%</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87,484,101.22</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2.85%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1.15%</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3,247,984.16</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0.09%</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3,469,909.40</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2"/>
                <w:sz w:val="18"/>
              </w:rPr>
              <w:t>0.11%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-0.02%</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178,706,046.35</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4.98%</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174,191,056.66</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5.67%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7"/>
              <w:jc w:val="right"/>
              <w:rPr>
                <w:rFonts w:ascii="Times New Roman" w:hAnsi="Times New Roman" w:cs="Times New Roman" w:eastAsia="Times New Roman" w:hint="default"/>
                <w:sz w:val="18"/>
                <w:szCs w:val="18"/>
              </w:rPr>
            </w:pPr>
            <w:r>
              <w:rPr>
                <w:rFonts w:ascii="Times New Roman"/>
                <w:sz w:val="18"/>
              </w:rPr>
              <w:t>-0.69%</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290,194,928.57</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8.08%</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300,209,659.68</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9.77%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-1.69%</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2,891,000.00</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0.08%</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59,837,374.74</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1.95%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7"/>
              <w:jc w:val="right"/>
              <w:rPr>
                <w:rFonts w:ascii="Times New Roman" w:hAnsi="Times New Roman" w:cs="Times New Roman" w:eastAsia="Times New Roman" w:hint="default"/>
                <w:sz w:val="18"/>
                <w:szCs w:val="18"/>
              </w:rPr>
            </w:pPr>
            <w:r>
              <w:rPr>
                <w:rFonts w:ascii="Times New Roman"/>
                <w:sz w:val="18"/>
              </w:rPr>
              <w:t>-1.87%</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203,165,094.81</w:t>
            </w:r>
          </w:p>
        </w:tc>
        <w:tc>
          <w:tcPr>
            <w:tcW w:w="1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5.66%</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177,500,000.00</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5.78%</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-0.12%</w:t>
            </w:r>
          </w:p>
        </w:tc>
        <w:tc>
          <w:tcPr>
            <w:tcW w:w="134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2、以公允价值计量的资产和负债" w:id="46"/>
      <w:bookmarkEnd w:id="46"/>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 适用 □ 不适用</w:t>
      </w:r>
    </w:p>
    <w:p>
      <w:pPr>
        <w:pStyle w:val="BodyText"/>
        <w:spacing w:line="240" w:lineRule="auto" w:before="117"/>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981"/>
        <w:gridCol w:w="1148"/>
        <w:gridCol w:w="1050"/>
        <w:gridCol w:w="1074"/>
        <w:gridCol w:w="930"/>
        <w:gridCol w:w="1196"/>
        <w:gridCol w:w="1063"/>
        <w:gridCol w:w="915"/>
        <w:gridCol w:w="1212"/>
      </w:tblGrid>
      <w:tr>
        <w:trPr>
          <w:trHeight w:val="1338" w:hRule="exact"/>
        </w:trPr>
        <w:tc>
          <w:tcPr>
            <w:tcW w:w="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0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1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99"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0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9" w:right="159"/>
              <w:jc w:val="center"/>
              <w:rPr>
                <w:rFonts w:ascii="宋体" w:hAnsi="宋体" w:cs="宋体" w:eastAsia="宋体" w:hint="default"/>
                <w:sz w:val="18"/>
                <w:szCs w:val="18"/>
              </w:rPr>
            </w:pPr>
            <w:r>
              <w:rPr>
                <w:rFonts w:ascii="宋体" w:hAnsi="宋体" w:cs="宋体" w:eastAsia="宋体" w:hint="default"/>
                <w:sz w:val="18"/>
                <w:szCs w:val="18"/>
              </w:rPr>
              <w:t>本期公允 价值变动 损益</w:t>
            </w:r>
          </w:p>
        </w:tc>
        <w:tc>
          <w:tcPr>
            <w:tcW w:w="10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72" w:right="169"/>
              <w:jc w:val="center"/>
              <w:rPr>
                <w:rFonts w:ascii="宋体" w:hAnsi="宋体" w:cs="宋体" w:eastAsia="宋体" w:hint="default"/>
                <w:sz w:val="18"/>
                <w:szCs w:val="18"/>
              </w:rPr>
            </w:pPr>
            <w:r>
              <w:rPr>
                <w:rFonts w:ascii="宋体" w:hAnsi="宋体" w:cs="宋体" w:eastAsia="宋体" w:hint="default"/>
                <w:sz w:val="18"/>
                <w:szCs w:val="18"/>
              </w:rPr>
              <w:t>计入权益 的累计公 允价值变 动</w:t>
            </w:r>
          </w:p>
        </w:tc>
        <w:tc>
          <w:tcPr>
            <w:tcW w:w="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90" w:right="187"/>
              <w:jc w:val="center"/>
              <w:rPr>
                <w:rFonts w:ascii="宋体" w:hAnsi="宋体" w:cs="宋体" w:eastAsia="宋体" w:hint="default"/>
                <w:sz w:val="18"/>
                <w:szCs w:val="18"/>
              </w:rPr>
            </w:pPr>
            <w:r>
              <w:rPr>
                <w:rFonts w:ascii="宋体" w:hAnsi="宋体" w:cs="宋体" w:eastAsia="宋体" w:hint="default"/>
                <w:sz w:val="18"/>
                <w:szCs w:val="18"/>
              </w:rPr>
              <w:t>本期计 提的减 值</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503" w:right="140" w:hanging="360"/>
              <w:jc w:val="left"/>
              <w:rPr>
                <w:rFonts w:ascii="宋体" w:hAnsi="宋体" w:cs="宋体" w:eastAsia="宋体" w:hint="default"/>
                <w:sz w:val="18"/>
                <w:szCs w:val="18"/>
              </w:rPr>
            </w:pPr>
            <w:r>
              <w:rPr>
                <w:rFonts w:ascii="宋体" w:hAnsi="宋体" w:cs="宋体" w:eastAsia="宋体" w:hint="default"/>
                <w:sz w:val="18"/>
                <w:szCs w:val="18"/>
              </w:rPr>
              <w:t>本期购买金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347" w:right="164" w:hanging="180"/>
              <w:jc w:val="left"/>
              <w:rPr>
                <w:rFonts w:ascii="宋体" w:hAnsi="宋体" w:cs="宋体" w:eastAsia="宋体" w:hint="default"/>
                <w:sz w:val="18"/>
                <w:szCs w:val="18"/>
              </w:rPr>
            </w:pPr>
            <w:r>
              <w:rPr>
                <w:rFonts w:ascii="宋体" w:hAnsi="宋体" w:cs="宋体" w:eastAsia="宋体" w:hint="default"/>
                <w:sz w:val="18"/>
                <w:szCs w:val="18"/>
              </w:rPr>
              <w:t>本期出售 金额</w:t>
            </w:r>
          </w:p>
        </w:tc>
        <w:tc>
          <w:tcPr>
            <w:tcW w:w="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361" w:right="181" w:hanging="180"/>
              <w:jc w:val="left"/>
              <w:rPr>
                <w:rFonts w:ascii="宋体" w:hAnsi="宋体" w:cs="宋体" w:eastAsia="宋体" w:hint="default"/>
                <w:sz w:val="18"/>
                <w:szCs w:val="18"/>
              </w:rPr>
            </w:pPr>
            <w:r>
              <w:rPr>
                <w:rFonts w:ascii="宋体" w:hAnsi="宋体" w:cs="宋体" w:eastAsia="宋体" w:hint="default"/>
                <w:sz w:val="18"/>
                <w:szCs w:val="18"/>
              </w:rPr>
              <w:t>其他变 动</w:t>
            </w:r>
          </w:p>
        </w:tc>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32"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400" w:hRule="exact"/>
        </w:trPr>
        <w:tc>
          <w:tcPr>
            <w:tcW w:w="9569"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金融资产</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981"/>
        <w:gridCol w:w="1148"/>
        <w:gridCol w:w="1050"/>
        <w:gridCol w:w="1074"/>
        <w:gridCol w:w="930"/>
        <w:gridCol w:w="1196"/>
        <w:gridCol w:w="1063"/>
        <w:gridCol w:w="915"/>
        <w:gridCol w:w="1212"/>
      </w:tblGrid>
      <w:tr>
        <w:trPr>
          <w:trHeight w:val="1026" w:hRule="exact"/>
        </w:trPr>
        <w:tc>
          <w:tcPr>
            <w:tcW w:w="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47"/>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其他权 益工具投 资</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8,500,000.0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050" w:type="dxa"/>
            <w:tcBorders>
              <w:top w:val="single" w:sz="4" w:space="0" w:color="000000"/>
              <w:left w:val="single" w:sz="4" w:space="0" w:color="000000"/>
              <w:bottom w:val="single" w:sz="4" w:space="0" w:color="000000"/>
              <w:right w:val="single" w:sz="4" w:space="0" w:color="000000"/>
            </w:tcBorders>
          </w:tcPr>
          <w:p>
            <w:pPr/>
          </w:p>
        </w:tc>
        <w:tc>
          <w:tcPr>
            <w:tcW w:w="1074"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915"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714" w:hRule="exact"/>
        </w:trPr>
        <w:tc>
          <w:tcPr>
            <w:tcW w:w="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47"/>
              <w:jc w:val="left"/>
              <w:rPr>
                <w:rFonts w:ascii="宋体" w:hAnsi="宋体" w:cs="宋体" w:eastAsia="宋体" w:hint="default"/>
                <w:sz w:val="18"/>
                <w:szCs w:val="18"/>
              </w:rPr>
            </w:pPr>
            <w:r>
              <w:rPr>
                <w:rFonts w:ascii="宋体" w:hAnsi="宋体" w:cs="宋体" w:eastAsia="宋体" w:hint="default"/>
                <w:sz w:val="18"/>
                <w:szCs w:val="18"/>
              </w:rPr>
              <w:t>金融资产 小计</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8,500,000.0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050" w:type="dxa"/>
            <w:tcBorders>
              <w:top w:val="single" w:sz="4" w:space="0" w:color="000000"/>
              <w:left w:val="single" w:sz="4" w:space="0" w:color="000000"/>
              <w:bottom w:val="single" w:sz="4" w:space="0" w:color="000000"/>
              <w:right w:val="single" w:sz="4" w:space="0" w:color="000000"/>
            </w:tcBorders>
          </w:tcPr>
          <w:p>
            <w:pPr/>
          </w:p>
        </w:tc>
        <w:tc>
          <w:tcPr>
            <w:tcW w:w="1074"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915"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714" w:hRule="exac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47"/>
              <w:jc w:val="left"/>
              <w:rPr>
                <w:rFonts w:ascii="宋体" w:hAnsi="宋体" w:cs="宋体" w:eastAsia="宋体" w:hint="default"/>
                <w:sz w:val="18"/>
                <w:szCs w:val="18"/>
              </w:rPr>
            </w:pPr>
            <w:r>
              <w:rPr>
                <w:rFonts w:ascii="宋体" w:hAnsi="宋体" w:cs="宋体" w:eastAsia="宋体" w:hint="default"/>
                <w:sz w:val="18"/>
                <w:szCs w:val="18"/>
              </w:rPr>
              <w:t>应收款项 融资</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1,154,448.7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1050" w:type="dxa"/>
            <w:tcBorders>
              <w:top w:val="single" w:sz="4" w:space="0" w:color="000000"/>
              <w:left w:val="single" w:sz="4" w:space="0" w:color="000000"/>
              <w:bottom w:val="single" w:sz="4" w:space="0" w:color="000000"/>
              <w:right w:val="single" w:sz="4" w:space="0" w:color="000000"/>
            </w:tcBorders>
          </w:tcPr>
          <w:p>
            <w:pPr/>
          </w:p>
        </w:tc>
        <w:tc>
          <w:tcPr>
            <w:tcW w:w="1074"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1,981,455.00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1,154,448.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73</w:t>
            </w:r>
          </w:p>
        </w:tc>
        <w:tc>
          <w:tcPr>
            <w:tcW w:w="915"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1,981,455.00</w:t>
            </w:r>
          </w:p>
        </w:tc>
      </w:tr>
      <w:tr>
        <w:trPr>
          <w:trHeight w:val="1026" w:hRule="exac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47"/>
              <w:jc w:val="both"/>
              <w:rPr>
                <w:rFonts w:ascii="宋体" w:hAnsi="宋体" w:cs="宋体" w:eastAsia="宋体" w:hint="default"/>
                <w:sz w:val="18"/>
                <w:szCs w:val="18"/>
              </w:rPr>
            </w:pPr>
            <w:r>
              <w:rPr>
                <w:rFonts w:ascii="宋体" w:hAnsi="宋体" w:cs="宋体" w:eastAsia="宋体" w:hint="default"/>
                <w:sz w:val="18"/>
                <w:szCs w:val="18"/>
              </w:rPr>
              <w:t>其他非流 动金融资 产</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110,100,000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050" w:type="dxa"/>
            <w:tcBorders>
              <w:top w:val="single" w:sz="4" w:space="0" w:color="000000"/>
              <w:left w:val="single" w:sz="4" w:space="0" w:color="000000"/>
              <w:bottom w:val="single" w:sz="4" w:space="0" w:color="000000"/>
              <w:right w:val="single" w:sz="4" w:space="0" w:color="000000"/>
            </w:tcBorders>
          </w:tcPr>
          <w:p>
            <w:pPr/>
          </w:p>
        </w:tc>
        <w:tc>
          <w:tcPr>
            <w:tcW w:w="1074"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40" w:right="0"/>
              <w:jc w:val="left"/>
              <w:rPr>
                <w:rFonts w:ascii="Times New Roman" w:hAnsi="Times New Roman" w:cs="Times New Roman" w:eastAsia="Times New Roman" w:hint="default"/>
                <w:sz w:val="18"/>
                <w:szCs w:val="18"/>
              </w:rPr>
            </w:pPr>
            <w:r>
              <w:rPr>
                <w:rFonts w:ascii="Times New Roman"/>
                <w:sz w:val="18"/>
              </w:rPr>
              <w:t>100,000.00</w:t>
            </w:r>
          </w:p>
        </w:tc>
        <w:tc>
          <w:tcPr>
            <w:tcW w:w="915"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110,000,000.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r>
      <w:tr>
        <w:trPr>
          <w:trHeight w:val="714" w:hRule="exact"/>
        </w:trPr>
        <w:tc>
          <w:tcPr>
            <w:tcW w:w="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47"/>
              <w:jc w:val="right"/>
              <w:rPr>
                <w:rFonts w:ascii="宋体" w:hAnsi="宋体" w:cs="宋体" w:eastAsia="宋体" w:hint="default"/>
                <w:sz w:val="18"/>
                <w:szCs w:val="18"/>
              </w:rPr>
            </w:pPr>
            <w:r>
              <w:rPr>
                <w:rFonts w:ascii="宋体" w:hAnsi="宋体" w:cs="宋体" w:eastAsia="宋体" w:hint="default"/>
                <w:sz w:val="18"/>
                <w:szCs w:val="18"/>
              </w:rPr>
              <w:t>上述合计</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119,754,448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.73</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22" w:right="0"/>
              <w:jc w:val="left"/>
              <w:rPr>
                <w:rFonts w:ascii="Times New Roman" w:hAnsi="Times New Roman" w:cs="Times New Roman" w:eastAsia="Times New Roman" w:hint="default"/>
                <w:sz w:val="18"/>
                <w:szCs w:val="18"/>
              </w:rPr>
            </w:pPr>
            <w:r>
              <w:rPr>
                <w:rFonts w:ascii="Times New Roman"/>
                <w:sz w:val="18"/>
              </w:rPr>
              <w:t>0.00</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45" w:right="0"/>
              <w:jc w:val="left"/>
              <w:rPr>
                <w:rFonts w:ascii="Times New Roman" w:hAnsi="Times New Roman" w:cs="Times New Roman" w:eastAsia="Times New Roman" w:hint="default"/>
                <w:sz w:val="18"/>
                <w:szCs w:val="18"/>
              </w:rPr>
            </w:pPr>
            <w:r>
              <w:rPr>
                <w:rFonts w:ascii="Times New Roman"/>
                <w:sz w:val="18"/>
              </w:rPr>
              <w:t>0.00</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02" w:right="0"/>
              <w:jc w:val="lef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1,981,455.00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1,254,448.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73</w:t>
            </w:r>
          </w:p>
        </w:tc>
        <w:tc>
          <w:tcPr>
            <w:tcW w:w="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86" w:right="0"/>
              <w:jc w:val="left"/>
              <w:rPr>
                <w:rFonts w:ascii="Times New Roman" w:hAnsi="Times New Roman" w:cs="Times New Roman" w:eastAsia="Times New Roman" w:hint="default"/>
                <w:sz w:val="18"/>
                <w:szCs w:val="18"/>
              </w:rPr>
            </w:pPr>
            <w:r>
              <w:rPr>
                <w:rFonts w:ascii="Times New Roman"/>
                <w:sz w:val="18"/>
              </w:rPr>
              <w:t>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120,481,455.</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r>
      <w:tr>
        <w:trPr>
          <w:trHeight w:val="402" w:hRule="exact"/>
        </w:trPr>
        <w:tc>
          <w:tcPr>
            <w:tcW w:w="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47"/>
              <w:jc w:val="right"/>
              <w:rPr>
                <w:rFonts w:ascii="宋体" w:hAnsi="宋体" w:cs="宋体" w:eastAsia="宋体" w:hint="default"/>
                <w:sz w:val="18"/>
                <w:szCs w:val="18"/>
              </w:rPr>
            </w:pPr>
            <w:r>
              <w:rPr>
                <w:rFonts w:ascii="宋体" w:hAnsi="宋体" w:cs="宋体" w:eastAsia="宋体" w:hint="default"/>
                <w:sz w:val="18"/>
                <w:szCs w:val="18"/>
              </w:rPr>
              <w:t>金融负债</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19" w:right="0"/>
              <w:jc w:val="left"/>
              <w:rPr>
                <w:rFonts w:ascii="Times New Roman" w:hAnsi="Times New Roman" w:cs="Times New Roman" w:eastAsia="Times New Roman" w:hint="default"/>
                <w:sz w:val="18"/>
                <w:szCs w:val="18"/>
              </w:rPr>
            </w:pPr>
            <w:r>
              <w:rPr>
                <w:rFonts w:ascii="Times New Roman"/>
                <w:sz w:val="18"/>
              </w:rPr>
              <w:t>0.00</w:t>
            </w:r>
          </w:p>
        </w:tc>
        <w:tc>
          <w:tcPr>
            <w:tcW w:w="1050" w:type="dxa"/>
            <w:tcBorders>
              <w:top w:val="single" w:sz="4" w:space="0" w:color="000000"/>
              <w:left w:val="single" w:sz="4" w:space="0" w:color="000000"/>
              <w:bottom w:val="single" w:sz="4" w:space="0" w:color="000000"/>
              <w:right w:val="single" w:sz="4" w:space="0" w:color="000000"/>
            </w:tcBorders>
          </w:tcPr>
          <w:p>
            <w:pPr/>
          </w:p>
        </w:tc>
        <w:tc>
          <w:tcPr>
            <w:tcW w:w="1074"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915"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360" w:lineRule="auto" w:before="50"/>
        <w:ind w:right="6794"/>
        <w:jc w:val="left"/>
      </w:pPr>
      <w:r>
        <w:rPr/>
        <w:t>其他变动的内容 详见合并财务报表项目注释之说明。 报告期内公司主要资产计量属性是否发生重大变化</w:t>
      </w:r>
    </w:p>
    <w:p>
      <w:pPr>
        <w:pStyle w:val="BodyText"/>
        <w:spacing w:line="360" w:lineRule="auto" w:before="25"/>
        <w:ind w:right="3734"/>
        <w:jc w:val="left"/>
      </w:pPr>
      <w:r>
        <w:rPr/>
        <w:t>√ 是 □ 否 报告期内公司主要资产计量属性发生重大变化的原因说明及对其经营成果和财务状况影响 详见财务报告重要会计政策和会计估计变更之说明。</w:t>
      </w:r>
    </w:p>
    <w:p>
      <w:pPr>
        <w:spacing w:line="240" w:lineRule="auto" w:before="12"/>
        <w:rPr>
          <w:rFonts w:ascii="宋体" w:hAnsi="宋体" w:cs="宋体" w:eastAsia="宋体" w:hint="default"/>
          <w:sz w:val="19"/>
          <w:szCs w:val="19"/>
        </w:rPr>
      </w:pPr>
    </w:p>
    <w:p>
      <w:pPr>
        <w:pStyle w:val="Heading3"/>
        <w:spacing w:line="240" w:lineRule="auto"/>
        <w:ind w:right="882"/>
        <w:jc w:val="left"/>
        <w:rPr>
          <w:b w:val="0"/>
          <w:bCs w:val="0"/>
        </w:rPr>
      </w:pPr>
      <w:bookmarkStart w:name="3、截至报告期末的资产权利受限情况" w:id="47"/>
      <w:bookmarkEnd w:id="47"/>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期末其他货币资金包括银行承兑汇票保证金</w:t>
      </w:r>
      <w:r>
        <w:rPr>
          <w:rFonts w:ascii="Times New Roman" w:hAnsi="Times New Roman" w:cs="Times New Roman" w:eastAsia="Times New Roman" w:hint="default"/>
        </w:rPr>
        <w:t>1,496,764.99</w:t>
      </w:r>
      <w:r>
        <w:rPr/>
        <w:t>元和保函保证金</w:t>
      </w:r>
      <w:r>
        <w:rPr>
          <w:rFonts w:ascii="Times New Roman" w:hAnsi="Times New Roman" w:cs="Times New Roman" w:eastAsia="Times New Roman" w:hint="default"/>
        </w:rPr>
        <w:t>258,590.00</w:t>
      </w:r>
      <w:r>
        <w:rPr/>
        <w:t>元，均系受限资金。</w:t>
      </w:r>
    </w:p>
    <w:p>
      <w:pPr>
        <w:spacing w:line="240" w:lineRule="auto" w:before="0"/>
        <w:rPr>
          <w:rFonts w:ascii="宋体" w:hAnsi="宋体" w:cs="宋体" w:eastAsia="宋体" w:hint="default"/>
          <w:sz w:val="24"/>
          <w:szCs w:val="24"/>
        </w:rPr>
      </w:pPr>
    </w:p>
    <w:p>
      <w:pPr>
        <w:pStyle w:val="Heading2"/>
        <w:spacing w:line="240" w:lineRule="auto"/>
        <w:ind w:right="882"/>
        <w:jc w:val="left"/>
        <w:rPr>
          <w:b w:val="0"/>
          <w:bCs w:val="0"/>
        </w:rPr>
      </w:pPr>
      <w:bookmarkStart w:name="五、投资状况分析" w:id="48"/>
      <w:bookmarkEnd w:id="48"/>
      <w:r>
        <w:rPr>
          <w:b w:val="0"/>
          <w:bCs w:val="0"/>
        </w:rPr>
      </w:r>
      <w:r>
        <w:rPr/>
        <w:t>五、投资状况分析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总体情况" w:id="49"/>
      <w:bookmarkEnd w:id="49"/>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8"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50" w:right="0"/>
              <w:jc w:val="left"/>
              <w:rPr>
                <w:rFonts w:ascii="Times New Roman" w:hAnsi="Times New Roman" w:cs="Times New Roman" w:eastAsia="Times New Roman" w:hint="default"/>
                <w:sz w:val="18"/>
                <w:szCs w:val="18"/>
              </w:rPr>
            </w:pPr>
            <w:r>
              <w:rPr>
                <w:rFonts w:ascii="Times New Roman"/>
                <w:sz w:val="18"/>
              </w:rPr>
              <w:t>143,075,081.30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53" w:right="0"/>
              <w:jc w:val="left"/>
              <w:rPr>
                <w:rFonts w:ascii="Times New Roman" w:hAnsi="Times New Roman" w:cs="Times New Roman" w:eastAsia="Times New Roman" w:hint="default"/>
                <w:sz w:val="18"/>
                <w:szCs w:val="18"/>
              </w:rPr>
            </w:pPr>
            <w:r>
              <w:rPr>
                <w:rFonts w:ascii="Times New Roman"/>
                <w:sz w:val="18"/>
              </w:rPr>
              <w:t>170,608,868.41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-16.14%</w:t>
            </w:r>
          </w:p>
        </w:tc>
      </w:tr>
    </w:tbl>
    <w:p>
      <w:pPr>
        <w:spacing w:line="240" w:lineRule="auto" w:before="2"/>
        <w:rPr>
          <w:rFonts w:ascii="宋体" w:hAnsi="宋体" w:cs="宋体" w:eastAsia="宋体" w:hint="default"/>
          <w:sz w:val="19"/>
          <w:szCs w:val="19"/>
        </w:rPr>
      </w:pPr>
    </w:p>
    <w:p>
      <w:pPr>
        <w:pStyle w:val="Heading3"/>
        <w:spacing w:line="240" w:lineRule="auto" w:before="34"/>
        <w:ind w:right="882"/>
        <w:jc w:val="left"/>
        <w:rPr>
          <w:b w:val="0"/>
          <w:bCs w:val="0"/>
        </w:rPr>
      </w:pPr>
      <w:bookmarkStart w:name="2、报告期内获取的重大的股权投资情况" w:id="50"/>
      <w:bookmarkEnd w:id="50"/>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3、报告期内正在进行的重大的非股权投资情况" w:id="51"/>
      <w:bookmarkEnd w:id="51"/>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4、以公允价值计量的金融资产" w:id="52"/>
      <w:bookmarkEnd w:id="52"/>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 适用 □ 不适用</w:t>
      </w:r>
    </w:p>
    <w:p>
      <w:pPr>
        <w:pStyle w:val="BodyText"/>
        <w:spacing w:line="240" w:lineRule="auto" w:before="117"/>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87"/>
        <w:gridCol w:w="895"/>
        <w:gridCol w:w="1089"/>
        <w:gridCol w:w="1179"/>
        <w:gridCol w:w="1194"/>
        <w:gridCol w:w="956"/>
        <w:gridCol w:w="956"/>
        <w:gridCol w:w="956"/>
        <w:gridCol w:w="956"/>
      </w:tblGrid>
      <w:tr>
        <w:trPr>
          <w:trHeight w:val="1026" w:hRule="exact"/>
        </w:trPr>
        <w:tc>
          <w:tcPr>
            <w:tcW w:w="1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327" w:right="0"/>
              <w:jc w:val="left"/>
              <w:rPr>
                <w:rFonts w:ascii="宋体" w:hAnsi="宋体" w:cs="宋体" w:eastAsia="宋体" w:hint="default"/>
                <w:sz w:val="18"/>
                <w:szCs w:val="18"/>
              </w:rPr>
            </w:pPr>
            <w:r>
              <w:rPr>
                <w:rFonts w:ascii="宋体" w:hAnsi="宋体" w:cs="宋体" w:eastAsia="宋体" w:hint="default"/>
                <w:sz w:val="18"/>
                <w:szCs w:val="18"/>
              </w:rPr>
              <w:t>资产类别</w:t>
            </w:r>
          </w:p>
        </w:tc>
        <w:tc>
          <w:tcPr>
            <w:tcW w:w="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71" w:right="171"/>
              <w:jc w:val="left"/>
              <w:rPr>
                <w:rFonts w:ascii="宋体" w:hAnsi="宋体" w:cs="宋体" w:eastAsia="宋体" w:hint="default"/>
                <w:sz w:val="18"/>
                <w:szCs w:val="18"/>
              </w:rPr>
            </w:pPr>
            <w:r>
              <w:rPr>
                <w:rFonts w:ascii="宋体" w:hAnsi="宋体" w:cs="宋体" w:eastAsia="宋体" w:hint="default"/>
                <w:sz w:val="18"/>
                <w:szCs w:val="18"/>
              </w:rPr>
              <w:t>初始投 资成本</w:t>
            </w:r>
          </w:p>
        </w:tc>
        <w:tc>
          <w:tcPr>
            <w:tcW w:w="1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79" w:right="178"/>
              <w:jc w:val="center"/>
              <w:rPr>
                <w:rFonts w:ascii="宋体" w:hAnsi="宋体" w:cs="宋体" w:eastAsia="宋体" w:hint="default"/>
                <w:sz w:val="18"/>
                <w:szCs w:val="18"/>
              </w:rPr>
            </w:pPr>
            <w:r>
              <w:rPr>
                <w:rFonts w:ascii="宋体" w:hAnsi="宋体" w:cs="宋体" w:eastAsia="宋体" w:hint="default"/>
                <w:sz w:val="18"/>
                <w:szCs w:val="18"/>
              </w:rPr>
              <w:t>本期公允 价值变动 损益</w:t>
            </w:r>
          </w:p>
        </w:tc>
        <w:tc>
          <w:tcPr>
            <w:tcW w:w="1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34" w:right="133"/>
              <w:jc w:val="center"/>
              <w:rPr>
                <w:rFonts w:ascii="宋体" w:hAnsi="宋体" w:cs="宋体" w:eastAsia="宋体" w:hint="default"/>
                <w:sz w:val="18"/>
                <w:szCs w:val="18"/>
              </w:rPr>
            </w:pPr>
            <w:r>
              <w:rPr>
                <w:rFonts w:ascii="宋体" w:hAnsi="宋体" w:cs="宋体" w:eastAsia="宋体" w:hint="default"/>
                <w:sz w:val="18"/>
                <w:szCs w:val="18"/>
              </w:rPr>
              <w:t>计入权益的 累计公允价 值变动</w:t>
            </w:r>
          </w:p>
        </w:tc>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323" w:right="139" w:hanging="180"/>
              <w:jc w:val="left"/>
              <w:rPr>
                <w:rFonts w:ascii="宋体" w:hAnsi="宋体" w:cs="宋体" w:eastAsia="宋体" w:hint="default"/>
                <w:sz w:val="18"/>
                <w:szCs w:val="18"/>
              </w:rPr>
            </w:pPr>
            <w:r>
              <w:rPr>
                <w:rFonts w:ascii="宋体" w:hAnsi="宋体" w:cs="宋体" w:eastAsia="宋体" w:hint="default"/>
                <w:sz w:val="18"/>
                <w:szCs w:val="18"/>
              </w:rPr>
              <w:t>报告期内购 入金额</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13" w:right="111"/>
              <w:jc w:val="left"/>
              <w:rPr>
                <w:rFonts w:ascii="宋体" w:hAnsi="宋体" w:cs="宋体" w:eastAsia="宋体" w:hint="default"/>
                <w:sz w:val="18"/>
                <w:szCs w:val="18"/>
              </w:rPr>
            </w:pPr>
            <w:r>
              <w:rPr>
                <w:rFonts w:ascii="宋体" w:hAnsi="宋体" w:cs="宋体" w:eastAsia="宋体" w:hint="default"/>
                <w:sz w:val="18"/>
                <w:szCs w:val="18"/>
              </w:rPr>
              <w:t>报告期内 售出金额</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292" w:right="112" w:hanging="180"/>
              <w:jc w:val="left"/>
              <w:rPr>
                <w:rFonts w:ascii="宋体" w:hAnsi="宋体" w:cs="宋体" w:eastAsia="宋体" w:hint="default"/>
                <w:sz w:val="18"/>
                <w:szCs w:val="18"/>
              </w:rPr>
            </w:pPr>
            <w:r>
              <w:rPr>
                <w:rFonts w:ascii="宋体" w:hAnsi="宋体" w:cs="宋体" w:eastAsia="宋体" w:hint="default"/>
                <w:sz w:val="18"/>
                <w:szCs w:val="18"/>
              </w:rPr>
              <w:t>累计投资 收益</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13"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资金来源</w:t>
            </w:r>
          </w:p>
        </w:tc>
      </w:tr>
      <w:tr>
        <w:trPr>
          <w:trHeight w:val="714"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119,754,</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448.73</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1,981,455.00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1,254,448</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.73</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120,481,4</w:t>
            </w:r>
          </w:p>
          <w:p>
            <w:pPr>
              <w:pStyle w:val="TableParagraph"/>
              <w:spacing w:line="240" w:lineRule="auto" w:before="105"/>
              <w:ind w:left="437" w:right="0"/>
              <w:jc w:val="left"/>
              <w:rPr>
                <w:rFonts w:ascii="Times New Roman" w:hAnsi="Times New Roman" w:cs="Times New Roman" w:eastAsia="Times New Roman" w:hint="default"/>
                <w:sz w:val="18"/>
                <w:szCs w:val="18"/>
              </w:rPr>
            </w:pPr>
            <w:r>
              <w:rPr>
                <w:rFonts w:ascii="Times New Roman"/>
                <w:sz w:val="18"/>
              </w:rPr>
              <w:t>55.00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7"/>
              <w:jc w:val="center"/>
              <w:rPr>
                <w:rFonts w:ascii="宋体" w:hAnsi="宋体" w:cs="宋体" w:eastAsia="宋体" w:hint="default"/>
                <w:sz w:val="18"/>
                <w:szCs w:val="18"/>
              </w:rPr>
            </w:pPr>
            <w:r>
              <w:rPr>
                <w:rFonts w:ascii="宋体" w:hAnsi="宋体" w:cs="宋体" w:eastAsia="宋体" w:hint="default"/>
                <w:sz w:val="18"/>
                <w:szCs w:val="18"/>
              </w:rPr>
              <w:t>自有资金</w:t>
            </w:r>
          </w:p>
        </w:tc>
      </w:tr>
      <w:tr>
        <w:trPr>
          <w:trHeight w:val="714" w:hRule="exact"/>
        </w:trPr>
        <w:tc>
          <w:tcPr>
            <w:tcW w:w="1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7" w:right="0"/>
              <w:jc w:val="center"/>
              <w:rPr>
                <w:rFonts w:ascii="Times New Roman" w:hAnsi="Times New Roman" w:cs="Times New Roman" w:eastAsia="Times New Roman" w:hint="default"/>
                <w:sz w:val="18"/>
                <w:szCs w:val="18"/>
              </w:rPr>
            </w:pPr>
            <w:r>
              <w:rPr>
                <w:rFonts w:ascii="Times New Roman"/>
                <w:sz w:val="18"/>
              </w:rPr>
              <w:t>119,754,</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448.73</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1,981,455.00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1,254,448</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.73</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3" w:right="0"/>
              <w:jc w:val="left"/>
              <w:rPr>
                <w:rFonts w:ascii="Times New Roman" w:hAnsi="Times New Roman" w:cs="Times New Roman" w:eastAsia="Times New Roman" w:hint="default"/>
                <w:sz w:val="18"/>
                <w:szCs w:val="18"/>
              </w:rPr>
            </w:pPr>
            <w:r>
              <w:rPr>
                <w:rFonts w:ascii="Times New Roman"/>
                <w:sz w:val="18"/>
              </w:rPr>
              <w:t>120,481,4</w:t>
            </w:r>
          </w:p>
          <w:p>
            <w:pPr>
              <w:pStyle w:val="TableParagraph"/>
              <w:spacing w:line="240" w:lineRule="auto" w:before="105"/>
              <w:ind w:left="437" w:right="0"/>
              <w:jc w:val="left"/>
              <w:rPr>
                <w:rFonts w:ascii="Times New Roman" w:hAnsi="Times New Roman" w:cs="Times New Roman" w:eastAsia="Times New Roman" w:hint="default"/>
                <w:sz w:val="18"/>
                <w:szCs w:val="18"/>
              </w:rPr>
            </w:pPr>
            <w:r>
              <w:rPr>
                <w:rFonts w:ascii="Times New Roman"/>
                <w:sz w:val="18"/>
              </w:rPr>
              <w:t>55.00</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5"/>
        <w:rPr>
          <w:rFonts w:ascii="宋体" w:hAnsi="宋体" w:cs="宋体" w:eastAsia="宋体" w:hint="default"/>
          <w:sz w:val="19"/>
          <w:szCs w:val="19"/>
        </w:rPr>
      </w:pPr>
    </w:p>
    <w:p>
      <w:pPr>
        <w:pStyle w:val="Heading3"/>
        <w:spacing w:line="240" w:lineRule="auto" w:before="34"/>
        <w:ind w:right="882"/>
        <w:jc w:val="left"/>
        <w:rPr>
          <w:b w:val="0"/>
          <w:bCs w:val="0"/>
        </w:rPr>
      </w:pPr>
      <w:bookmarkStart w:name="5、募集资金使用情况" w:id="53"/>
      <w:bookmarkEnd w:id="53"/>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8054"/>
        <w:jc w:val="left"/>
      </w:pPr>
      <w:r>
        <w:rPr/>
        <w:t>□ 适用 √ 不适用 公司报告期无募集资金使用情况。</w:t>
      </w:r>
    </w:p>
    <w:p>
      <w:pPr>
        <w:spacing w:line="240" w:lineRule="auto" w:before="2"/>
        <w:rPr>
          <w:rFonts w:ascii="宋体" w:hAnsi="宋体" w:cs="宋体" w:eastAsia="宋体" w:hint="default"/>
          <w:sz w:val="18"/>
          <w:szCs w:val="18"/>
        </w:rPr>
      </w:pPr>
    </w:p>
    <w:p>
      <w:pPr>
        <w:pStyle w:val="Heading2"/>
        <w:spacing w:line="240" w:lineRule="auto"/>
        <w:ind w:right="882"/>
        <w:jc w:val="left"/>
        <w:rPr>
          <w:b w:val="0"/>
          <w:bCs w:val="0"/>
        </w:rPr>
      </w:pPr>
      <w:bookmarkStart w:name="六、重大资产和股权出售" w:id="54"/>
      <w:bookmarkEnd w:id="54"/>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出售重大资产情况" w:id="55"/>
      <w:bookmarkEnd w:id="55"/>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8414"/>
        <w:jc w:val="left"/>
      </w:pPr>
      <w:r>
        <w:rPr/>
        <w:t>□ 适用 √ 不适用 公司报告期未出售重大资产。</w:t>
      </w:r>
    </w:p>
    <w:p>
      <w:pPr>
        <w:spacing w:line="240" w:lineRule="auto" w:before="2"/>
        <w:rPr>
          <w:rFonts w:ascii="宋体" w:hAnsi="宋体" w:cs="宋体" w:eastAsia="宋体" w:hint="default"/>
          <w:sz w:val="20"/>
          <w:szCs w:val="20"/>
        </w:rPr>
      </w:pPr>
    </w:p>
    <w:p>
      <w:pPr>
        <w:pStyle w:val="Heading3"/>
        <w:spacing w:line="240" w:lineRule="auto"/>
        <w:ind w:right="882"/>
        <w:jc w:val="left"/>
        <w:rPr>
          <w:b w:val="0"/>
          <w:bCs w:val="0"/>
        </w:rPr>
      </w:pPr>
      <w:bookmarkStart w:name="2、出售重大股权情况" w:id="56"/>
      <w:bookmarkEnd w:id="56"/>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682"/>
        <w:gridCol w:w="682"/>
        <w:gridCol w:w="684"/>
        <w:gridCol w:w="684"/>
        <w:gridCol w:w="683"/>
        <w:gridCol w:w="683"/>
        <w:gridCol w:w="683"/>
        <w:gridCol w:w="686"/>
        <w:gridCol w:w="684"/>
        <w:gridCol w:w="684"/>
        <w:gridCol w:w="684"/>
        <w:gridCol w:w="684"/>
        <w:gridCol w:w="684"/>
        <w:gridCol w:w="677"/>
      </w:tblGrid>
      <w:tr>
        <w:trPr>
          <w:trHeight w:val="357" w:hRule="exact"/>
        </w:trPr>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
        </w:tc>
        <w:tc>
          <w:tcPr>
            <w:tcW w:w="683" w:type="dxa"/>
            <w:tcBorders>
              <w:top w:val="single" w:sz="4" w:space="0" w:color="000000"/>
              <w:left w:val="single" w:sz="4" w:space="0" w:color="000000"/>
              <w:bottom w:val="nil" w:sz="6" w:space="0" w:color="auto"/>
              <w:right w:val="single" w:sz="4" w:space="0" w:color="000000"/>
            </w:tcBorders>
            <w:shd w:val="clear" w:color="auto" w:fill="D2D2D2"/>
          </w:tcPr>
          <w:p>
            <w:pPr/>
          </w:p>
        </w:tc>
        <w:tc>
          <w:tcPr>
            <w:tcW w:w="683" w:type="dxa"/>
            <w:tcBorders>
              <w:top w:val="single" w:sz="4" w:space="0" w:color="000000"/>
              <w:left w:val="single" w:sz="4" w:space="0" w:color="000000"/>
              <w:bottom w:val="nil" w:sz="6" w:space="0" w:color="auto"/>
              <w:right w:val="single" w:sz="4" w:space="0" w:color="000000"/>
            </w:tcBorders>
            <w:shd w:val="clear" w:color="auto" w:fill="D2D2D2"/>
          </w:tcPr>
          <w:p>
            <w:pPr/>
          </w:p>
        </w:tc>
        <w:tc>
          <w:tcPr>
            <w:tcW w:w="683" w:type="dxa"/>
            <w:tcBorders>
              <w:top w:val="single" w:sz="4" w:space="0" w:color="000000"/>
              <w:left w:val="single" w:sz="4" w:space="0" w:color="000000"/>
              <w:bottom w:val="nil" w:sz="6" w:space="0" w:color="auto"/>
              <w:right w:val="single" w:sz="4" w:space="0" w:color="000000"/>
            </w:tcBorders>
            <w:shd w:val="clear" w:color="auto" w:fill="D2D2D2"/>
          </w:tcPr>
          <w:p>
            <w:pPr/>
          </w:p>
        </w:tc>
        <w:tc>
          <w:tcPr>
            <w:tcW w:w="686" w:type="dxa"/>
            <w:tcBorders>
              <w:top w:val="single" w:sz="4" w:space="0" w:color="000000"/>
              <w:left w:val="single" w:sz="4" w:space="0" w:color="000000"/>
              <w:bottom w:val="nil" w:sz="6" w:space="0" w:color="auto"/>
              <w:right w:val="single" w:sz="4" w:space="0" w:color="000000"/>
            </w:tcBorders>
            <w:shd w:val="clear" w:color="auto" w:fill="D2D2D2"/>
          </w:tcPr>
          <w:p>
            <w:pP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是否</w:t>
            </w:r>
          </w:p>
        </w:tc>
        <w:tc>
          <w:tcPr>
            <w:tcW w:w="684" w:type="dxa"/>
            <w:tcBorders>
              <w:top w:val="single" w:sz="4" w:space="0" w:color="000000"/>
              <w:left w:val="single" w:sz="4" w:space="0" w:color="000000"/>
              <w:bottom w:val="nil" w:sz="6" w:space="0" w:color="auto"/>
              <w:right w:val="single" w:sz="4" w:space="0" w:color="000000"/>
            </w:tcBorders>
            <w:shd w:val="clear" w:color="auto" w:fill="D2D2D2"/>
          </w:tcPr>
          <w:p>
            <w:pPr/>
          </w:p>
        </w:tc>
        <w:tc>
          <w:tcPr>
            <w:tcW w:w="67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4368" w:hRule="exact"/>
        </w:trPr>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316" w:lineRule="auto"/>
              <w:ind w:left="157" w:right="153"/>
              <w:jc w:val="left"/>
              <w:rPr>
                <w:rFonts w:ascii="宋体" w:hAnsi="宋体" w:cs="宋体" w:eastAsia="宋体" w:hint="default"/>
                <w:sz w:val="18"/>
                <w:szCs w:val="18"/>
              </w:rPr>
            </w:pPr>
            <w:r>
              <w:rPr>
                <w:rFonts w:ascii="宋体" w:hAnsi="宋体" w:cs="宋体" w:eastAsia="宋体" w:hint="default"/>
                <w:sz w:val="18"/>
                <w:szCs w:val="18"/>
              </w:rPr>
              <w:t>交易 对方</w:t>
            </w:r>
          </w:p>
        </w:tc>
        <w:tc>
          <w:tcPr>
            <w:tcW w:w="68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316" w:lineRule="auto"/>
              <w:ind w:left="156" w:right="153"/>
              <w:jc w:val="both"/>
              <w:rPr>
                <w:rFonts w:ascii="宋体" w:hAnsi="宋体" w:cs="宋体" w:eastAsia="宋体" w:hint="default"/>
                <w:sz w:val="18"/>
                <w:szCs w:val="18"/>
              </w:rPr>
            </w:pPr>
            <w:r>
              <w:rPr>
                <w:rFonts w:ascii="宋体" w:hAnsi="宋体" w:cs="宋体" w:eastAsia="宋体" w:hint="default"/>
                <w:sz w:val="18"/>
                <w:szCs w:val="18"/>
              </w:rPr>
              <w:t>被出 售股 权</w:t>
            </w:r>
          </w:p>
        </w:tc>
        <w:tc>
          <w:tcPr>
            <w:tcW w:w="6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316" w:lineRule="auto"/>
              <w:ind w:left="247" w:right="156" w:hanging="92"/>
              <w:jc w:val="left"/>
              <w:rPr>
                <w:rFonts w:ascii="宋体" w:hAnsi="宋体" w:cs="宋体" w:eastAsia="宋体" w:hint="default"/>
                <w:sz w:val="18"/>
                <w:szCs w:val="18"/>
              </w:rPr>
            </w:pPr>
            <w:r>
              <w:rPr>
                <w:rFonts w:ascii="宋体" w:hAnsi="宋体" w:cs="宋体" w:eastAsia="宋体" w:hint="default"/>
                <w:sz w:val="18"/>
                <w:szCs w:val="18"/>
              </w:rPr>
              <w:t>出售 日</w:t>
            </w:r>
          </w:p>
        </w:tc>
        <w:tc>
          <w:tcPr>
            <w:tcW w:w="6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7"/>
              <w:ind w:left="156" w:right="156"/>
              <w:jc w:val="left"/>
              <w:rPr>
                <w:rFonts w:ascii="宋体" w:hAnsi="宋体" w:cs="宋体" w:eastAsia="宋体" w:hint="default"/>
                <w:sz w:val="18"/>
                <w:szCs w:val="18"/>
              </w:rPr>
            </w:pPr>
            <w:r>
              <w:rPr>
                <w:rFonts w:ascii="宋体" w:hAnsi="宋体" w:cs="宋体" w:eastAsia="宋体" w:hint="default"/>
                <w:sz w:val="18"/>
                <w:szCs w:val="18"/>
              </w:rPr>
              <w:t>交易 价格</w:t>
            </w:r>
          </w:p>
          <w:p>
            <w:pPr>
              <w:pStyle w:val="TableParagraph"/>
              <w:spacing w:line="316" w:lineRule="auto" w:before="19"/>
              <w:ind w:left="156" w:right="156"/>
              <w:jc w:val="left"/>
              <w:rPr>
                <w:rFonts w:ascii="宋体" w:hAnsi="宋体" w:cs="宋体" w:eastAsia="宋体" w:hint="default"/>
                <w:sz w:val="18"/>
                <w:szCs w:val="18"/>
              </w:rPr>
            </w:pPr>
            <w:r>
              <w:rPr>
                <w:rFonts w:ascii="宋体" w:hAnsi="宋体" w:cs="宋体" w:eastAsia="宋体" w:hint="default"/>
                <w:sz w:val="18"/>
                <w:szCs w:val="18"/>
              </w:rPr>
              <w:t>（万 元）</w:t>
            </w:r>
          </w:p>
        </w:tc>
        <w:tc>
          <w:tcPr>
            <w:tcW w:w="68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56" w:right="155"/>
              <w:jc w:val="both"/>
              <w:rPr>
                <w:rFonts w:ascii="宋体" w:hAnsi="宋体" w:cs="宋体" w:eastAsia="宋体" w:hint="default"/>
                <w:sz w:val="18"/>
                <w:szCs w:val="18"/>
              </w:rPr>
            </w:pPr>
            <w:r>
              <w:rPr>
                <w:rFonts w:ascii="宋体" w:hAnsi="宋体" w:cs="宋体" w:eastAsia="宋体" w:hint="default"/>
                <w:sz w:val="18"/>
                <w:szCs w:val="18"/>
              </w:rPr>
              <w:t>本期 初起 至出 售日 该股 权为 上市 公司 贡献 的净 利润</w:t>
            </w:r>
          </w:p>
          <w:p>
            <w:pPr>
              <w:pStyle w:val="TableParagraph"/>
              <w:spacing w:line="316" w:lineRule="auto" w:before="19"/>
              <w:ind w:left="156" w:right="155"/>
              <w:jc w:val="both"/>
              <w:rPr>
                <w:rFonts w:ascii="宋体" w:hAnsi="宋体" w:cs="宋体" w:eastAsia="宋体" w:hint="default"/>
                <w:sz w:val="18"/>
                <w:szCs w:val="18"/>
              </w:rPr>
            </w:pPr>
            <w:r>
              <w:rPr>
                <w:rFonts w:ascii="宋体" w:hAnsi="宋体" w:cs="宋体" w:eastAsia="宋体" w:hint="default"/>
                <w:sz w:val="18"/>
                <w:szCs w:val="18"/>
              </w:rPr>
              <w:t>（万 元）</w:t>
            </w:r>
          </w:p>
        </w:tc>
        <w:tc>
          <w:tcPr>
            <w:tcW w:w="68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7"/>
              <w:ind w:left="155" w:right="156"/>
              <w:jc w:val="both"/>
              <w:rPr>
                <w:rFonts w:ascii="宋体" w:hAnsi="宋体" w:cs="宋体" w:eastAsia="宋体" w:hint="default"/>
                <w:sz w:val="18"/>
                <w:szCs w:val="18"/>
              </w:rPr>
            </w:pPr>
            <w:r>
              <w:rPr>
                <w:rFonts w:ascii="宋体" w:hAnsi="宋体" w:cs="宋体" w:eastAsia="宋体" w:hint="default"/>
                <w:sz w:val="18"/>
                <w:szCs w:val="18"/>
              </w:rPr>
              <w:t>出售 对公 司的 影响</w:t>
            </w:r>
          </w:p>
        </w:tc>
        <w:tc>
          <w:tcPr>
            <w:tcW w:w="68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55" w:right="155"/>
              <w:jc w:val="both"/>
              <w:rPr>
                <w:rFonts w:ascii="宋体" w:hAnsi="宋体" w:cs="宋体" w:eastAsia="宋体" w:hint="default"/>
                <w:sz w:val="18"/>
                <w:szCs w:val="18"/>
              </w:rPr>
            </w:pPr>
            <w:r>
              <w:rPr>
                <w:rFonts w:ascii="宋体" w:hAnsi="宋体" w:cs="宋体" w:eastAsia="宋体" w:hint="default"/>
                <w:sz w:val="18"/>
                <w:szCs w:val="18"/>
              </w:rPr>
              <w:t>股权 出售 为上 市公 司贡 献的 净利 润占 净利 润总 额的 比例</w:t>
            </w:r>
          </w:p>
        </w:tc>
        <w:tc>
          <w:tcPr>
            <w:tcW w:w="6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7"/>
              <w:ind w:left="156" w:right="157"/>
              <w:jc w:val="both"/>
              <w:rPr>
                <w:rFonts w:ascii="宋体" w:hAnsi="宋体" w:cs="宋体" w:eastAsia="宋体" w:hint="default"/>
                <w:sz w:val="18"/>
                <w:szCs w:val="18"/>
              </w:rPr>
            </w:pPr>
            <w:r>
              <w:rPr>
                <w:rFonts w:ascii="宋体" w:hAnsi="宋体" w:cs="宋体" w:eastAsia="宋体" w:hint="default"/>
                <w:sz w:val="18"/>
                <w:szCs w:val="18"/>
              </w:rPr>
              <w:t>股权 出售 定价 原则</w:t>
            </w:r>
          </w:p>
        </w:tc>
        <w:tc>
          <w:tcPr>
            <w:tcW w:w="6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7"/>
              <w:ind w:left="157" w:right="155"/>
              <w:jc w:val="both"/>
              <w:rPr>
                <w:rFonts w:ascii="宋体" w:hAnsi="宋体" w:cs="宋体" w:eastAsia="宋体" w:hint="default"/>
                <w:sz w:val="18"/>
                <w:szCs w:val="18"/>
              </w:rPr>
            </w:pPr>
            <w:r>
              <w:rPr>
                <w:rFonts w:ascii="宋体" w:hAnsi="宋体" w:cs="宋体" w:eastAsia="宋体" w:hint="default"/>
                <w:sz w:val="18"/>
                <w:szCs w:val="18"/>
              </w:rPr>
              <w:t>是否 为关 联交 易</w:t>
            </w:r>
          </w:p>
        </w:tc>
        <w:tc>
          <w:tcPr>
            <w:tcW w:w="6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316" w:lineRule="auto"/>
              <w:ind w:left="157" w:right="155"/>
              <w:jc w:val="both"/>
              <w:rPr>
                <w:rFonts w:ascii="宋体" w:hAnsi="宋体" w:cs="宋体" w:eastAsia="宋体" w:hint="default"/>
                <w:sz w:val="18"/>
                <w:szCs w:val="18"/>
              </w:rPr>
            </w:pPr>
            <w:r>
              <w:rPr>
                <w:rFonts w:ascii="宋体" w:hAnsi="宋体" w:cs="宋体" w:eastAsia="宋体" w:hint="default"/>
                <w:sz w:val="18"/>
                <w:szCs w:val="18"/>
              </w:rPr>
              <w:t>与交 易对 方的 关联 关系</w:t>
            </w:r>
          </w:p>
        </w:tc>
        <w:tc>
          <w:tcPr>
            <w:tcW w:w="6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0"/>
              <w:ind w:left="157" w:right="155"/>
              <w:jc w:val="both"/>
              <w:rPr>
                <w:rFonts w:ascii="宋体" w:hAnsi="宋体" w:cs="宋体" w:eastAsia="宋体" w:hint="default"/>
                <w:sz w:val="18"/>
                <w:szCs w:val="18"/>
              </w:rPr>
            </w:pPr>
            <w:r>
              <w:rPr>
                <w:rFonts w:ascii="宋体" w:hAnsi="宋体" w:cs="宋体" w:eastAsia="宋体" w:hint="default"/>
                <w:sz w:val="18"/>
                <w:szCs w:val="18"/>
              </w:rPr>
              <w:t>所涉 及的 股权 是否 已全 部过 户</w:t>
            </w:r>
          </w:p>
        </w:tc>
        <w:tc>
          <w:tcPr>
            <w:tcW w:w="6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02" w:right="30" w:hanging="70"/>
              <w:jc w:val="center"/>
              <w:rPr>
                <w:rFonts w:ascii="宋体" w:hAnsi="宋体" w:cs="宋体" w:eastAsia="宋体" w:hint="default"/>
                <w:sz w:val="18"/>
                <w:szCs w:val="18"/>
              </w:rPr>
            </w:pPr>
            <w:r>
              <w:rPr>
                <w:rFonts w:ascii="宋体" w:hAnsi="宋体" w:cs="宋体" w:eastAsia="宋体" w:hint="default"/>
                <w:sz w:val="18"/>
                <w:szCs w:val="18"/>
              </w:rPr>
              <w:t>按计 划如 期实 </w:t>
            </w:r>
            <w:r>
              <w:rPr>
                <w:rFonts w:ascii="宋体" w:hAnsi="宋体" w:cs="宋体" w:eastAsia="宋体" w:hint="default"/>
                <w:spacing w:val="-24"/>
                <w:sz w:val="18"/>
                <w:szCs w:val="18"/>
              </w:rPr>
              <w:t>施，如</w:t>
            </w:r>
            <w:r>
              <w:rPr>
                <w:rFonts w:ascii="宋体" w:hAnsi="宋体" w:cs="宋体" w:eastAsia="宋体" w:hint="default"/>
                <w:sz w:val="18"/>
                <w:szCs w:val="18"/>
              </w:rPr>
              <w:t> 未按 计划 实施， 应当 说明 原因 及公 司已 采取 的措</w:t>
            </w:r>
          </w:p>
        </w:tc>
        <w:tc>
          <w:tcPr>
            <w:tcW w:w="6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316" w:lineRule="auto"/>
              <w:ind w:left="157" w:right="155"/>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6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316" w:lineRule="auto"/>
              <w:ind w:left="152" w:right="152"/>
              <w:jc w:val="left"/>
              <w:rPr>
                <w:rFonts w:ascii="宋体" w:hAnsi="宋体" w:cs="宋体" w:eastAsia="宋体" w:hint="default"/>
                <w:sz w:val="18"/>
                <w:szCs w:val="18"/>
              </w:rPr>
            </w:pPr>
            <w:r>
              <w:rPr>
                <w:rFonts w:ascii="宋体" w:hAnsi="宋体" w:cs="宋体" w:eastAsia="宋体" w:hint="default"/>
                <w:sz w:val="18"/>
                <w:szCs w:val="18"/>
              </w:rPr>
              <w:t>披露 索引</w:t>
            </w:r>
          </w:p>
        </w:tc>
      </w:tr>
      <w:tr>
        <w:trPr>
          <w:trHeight w:val="355" w:hRule="exact"/>
        </w:trPr>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
        </w:tc>
        <w:tc>
          <w:tcPr>
            <w:tcW w:w="683" w:type="dxa"/>
            <w:tcBorders>
              <w:top w:val="nil" w:sz="6" w:space="0" w:color="auto"/>
              <w:left w:val="single" w:sz="4" w:space="0" w:color="000000"/>
              <w:bottom w:val="single" w:sz="4" w:space="0" w:color="000000"/>
              <w:right w:val="single" w:sz="4" w:space="0" w:color="000000"/>
            </w:tcBorders>
            <w:shd w:val="clear" w:color="auto" w:fill="D2D2D2"/>
          </w:tcPr>
          <w:p>
            <w:pPr/>
          </w:p>
        </w:tc>
        <w:tc>
          <w:tcPr>
            <w:tcW w:w="683" w:type="dxa"/>
            <w:tcBorders>
              <w:top w:val="nil" w:sz="6" w:space="0" w:color="auto"/>
              <w:left w:val="single" w:sz="4" w:space="0" w:color="000000"/>
              <w:bottom w:val="single" w:sz="4" w:space="0" w:color="000000"/>
              <w:right w:val="single" w:sz="4" w:space="0" w:color="000000"/>
            </w:tcBorders>
            <w:shd w:val="clear" w:color="auto" w:fill="D2D2D2"/>
          </w:tcPr>
          <w:p>
            <w:pPr/>
          </w:p>
        </w:tc>
        <w:tc>
          <w:tcPr>
            <w:tcW w:w="683" w:type="dxa"/>
            <w:tcBorders>
              <w:top w:val="nil" w:sz="6" w:space="0" w:color="auto"/>
              <w:left w:val="single" w:sz="4" w:space="0" w:color="000000"/>
              <w:bottom w:val="single" w:sz="4" w:space="0" w:color="000000"/>
              <w:right w:val="single" w:sz="4" w:space="0" w:color="000000"/>
            </w:tcBorders>
            <w:shd w:val="clear" w:color="auto" w:fill="D2D2D2"/>
          </w:tcPr>
          <w:p>
            <w:pPr/>
          </w:p>
        </w:tc>
        <w:tc>
          <w:tcPr>
            <w:tcW w:w="686" w:type="dxa"/>
            <w:tcBorders>
              <w:top w:val="nil" w:sz="6" w:space="0" w:color="auto"/>
              <w:left w:val="single" w:sz="4" w:space="0" w:color="000000"/>
              <w:bottom w:val="single" w:sz="4" w:space="0" w:color="000000"/>
              <w:right w:val="single" w:sz="4" w:space="0" w:color="000000"/>
            </w:tcBorders>
            <w:shd w:val="clear" w:color="auto" w:fill="D2D2D2"/>
          </w:tcPr>
          <w:p>
            <w:pP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施</w:t>
            </w:r>
          </w:p>
        </w:tc>
        <w:tc>
          <w:tcPr>
            <w:tcW w:w="684" w:type="dxa"/>
            <w:tcBorders>
              <w:top w:val="nil" w:sz="6" w:space="0" w:color="auto"/>
              <w:left w:val="single" w:sz="4" w:space="0" w:color="000000"/>
              <w:bottom w:val="single" w:sz="4" w:space="0" w:color="000000"/>
              <w:right w:val="single" w:sz="4" w:space="0" w:color="000000"/>
            </w:tcBorders>
            <w:shd w:val="clear" w:color="auto" w:fill="D2D2D2"/>
          </w:tcPr>
          <w:p>
            <w:pPr/>
          </w:p>
        </w:tc>
        <w:tc>
          <w:tcPr>
            <w:tcW w:w="677" w:type="dxa"/>
            <w:tcBorders>
              <w:top w:val="nil" w:sz="6" w:space="0" w:color="auto"/>
              <w:left w:val="single" w:sz="4" w:space="0" w:color="000000"/>
              <w:bottom w:val="single" w:sz="4" w:space="0" w:color="000000"/>
              <w:right w:val="single" w:sz="4" w:space="0" w:color="000000"/>
            </w:tcBorders>
            <w:shd w:val="clear" w:color="auto" w:fill="D2D2D2"/>
          </w:tcPr>
          <w:p>
            <w:pPr/>
          </w:p>
        </w:tc>
      </w:tr>
    </w:tbl>
    <w:p>
      <w:pPr>
        <w:spacing w:after="0"/>
        <w:sectPr>
          <w:footerReference w:type="default" r:id="rId31"/>
          <w:pgSz w:w="11910" w:h="16840"/>
          <w:pgMar w:footer="1016" w:header="907" w:top="1100" w:bottom="1200" w:left="1020" w:right="0"/>
          <w:pgNumType w:start="4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682"/>
        <w:gridCol w:w="682"/>
        <w:gridCol w:w="684"/>
        <w:gridCol w:w="684"/>
        <w:gridCol w:w="683"/>
        <w:gridCol w:w="683"/>
        <w:gridCol w:w="683"/>
        <w:gridCol w:w="686"/>
        <w:gridCol w:w="684"/>
        <w:gridCol w:w="684"/>
        <w:gridCol w:w="684"/>
        <w:gridCol w:w="684"/>
        <w:gridCol w:w="684"/>
        <w:gridCol w:w="677"/>
      </w:tblGrid>
      <w:tr>
        <w:trPr>
          <w:trHeight w:val="356" w:hRule="exact"/>
        </w:trPr>
        <w:tc>
          <w:tcPr>
            <w:tcW w:w="682" w:type="dxa"/>
            <w:tcBorders>
              <w:top w:val="single" w:sz="4" w:space="0" w:color="000000"/>
              <w:left w:val="single" w:sz="4" w:space="0" w:color="000000"/>
              <w:bottom w:val="nil" w:sz="6" w:space="0" w:color="auto"/>
              <w:right w:val="single" w:sz="4" w:space="0" w:color="000000"/>
            </w:tcBorders>
          </w:tcPr>
          <w:p>
            <w:pPr/>
          </w:p>
        </w:tc>
        <w:tc>
          <w:tcPr>
            <w:tcW w:w="682" w:type="dxa"/>
            <w:tcBorders>
              <w:top w:val="single" w:sz="4" w:space="0" w:color="000000"/>
              <w:left w:val="single" w:sz="4" w:space="0" w:color="000000"/>
              <w:bottom w:val="nil" w:sz="6" w:space="0" w:color="auto"/>
              <w:right w:val="single" w:sz="4" w:space="0" w:color="000000"/>
            </w:tcBorders>
          </w:tcPr>
          <w:p>
            <w:pPr/>
          </w:p>
        </w:tc>
        <w:tc>
          <w:tcPr>
            <w:tcW w:w="684" w:type="dxa"/>
            <w:tcBorders>
              <w:top w:val="single" w:sz="4" w:space="0" w:color="000000"/>
              <w:left w:val="single" w:sz="4" w:space="0" w:color="000000"/>
              <w:bottom w:val="nil" w:sz="6" w:space="0" w:color="auto"/>
              <w:right w:val="single" w:sz="4" w:space="0" w:color="000000"/>
            </w:tcBorders>
          </w:tcPr>
          <w:p>
            <w:pPr/>
          </w:p>
        </w:tc>
        <w:tc>
          <w:tcPr>
            <w:tcW w:w="684" w:type="dxa"/>
            <w:tcBorders>
              <w:top w:val="single" w:sz="4" w:space="0" w:color="000000"/>
              <w:left w:val="single" w:sz="4" w:space="0" w:color="000000"/>
              <w:bottom w:val="nil" w:sz="6" w:space="0" w:color="auto"/>
              <w:right w:val="single" w:sz="4" w:space="0" w:color="000000"/>
            </w:tcBorders>
          </w:tcPr>
          <w:p>
            <w:pPr/>
          </w:p>
        </w:tc>
        <w:tc>
          <w:tcPr>
            <w:tcW w:w="683" w:type="dxa"/>
            <w:tcBorders>
              <w:top w:val="single" w:sz="4" w:space="0" w:color="000000"/>
              <w:left w:val="single" w:sz="4" w:space="0" w:color="000000"/>
              <w:bottom w:val="nil" w:sz="6" w:space="0" w:color="auto"/>
              <w:right w:val="single" w:sz="4" w:space="0" w:color="000000"/>
            </w:tcBorders>
          </w:tcPr>
          <w:p>
            <w:pPr/>
          </w:p>
        </w:tc>
        <w:tc>
          <w:tcPr>
            <w:tcW w:w="6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683" w:type="dxa"/>
            <w:tcBorders>
              <w:top w:val="single" w:sz="4" w:space="0" w:color="000000"/>
              <w:left w:val="single" w:sz="4" w:space="0" w:color="000000"/>
              <w:bottom w:val="nil" w:sz="6" w:space="0" w:color="auto"/>
              <w:right w:val="single" w:sz="4" w:space="0" w:color="000000"/>
            </w:tcBorders>
          </w:tcPr>
          <w:p>
            <w:pPr/>
          </w:p>
        </w:tc>
        <w:tc>
          <w:tcPr>
            <w:tcW w:w="686" w:type="dxa"/>
            <w:tcBorders>
              <w:top w:val="single" w:sz="4" w:space="0" w:color="000000"/>
              <w:left w:val="single" w:sz="4" w:space="0" w:color="000000"/>
              <w:bottom w:val="nil" w:sz="6" w:space="0" w:color="auto"/>
              <w:right w:val="single" w:sz="4" w:space="0" w:color="000000"/>
            </w:tcBorders>
          </w:tcPr>
          <w:p>
            <w:pPr/>
          </w:p>
        </w:tc>
        <w:tc>
          <w:tcPr>
            <w:tcW w:w="684" w:type="dxa"/>
            <w:tcBorders>
              <w:top w:val="single" w:sz="4" w:space="0" w:color="000000"/>
              <w:left w:val="single" w:sz="4" w:space="0" w:color="000000"/>
              <w:bottom w:val="nil" w:sz="6" w:space="0" w:color="auto"/>
              <w:right w:val="single" w:sz="4" w:space="0" w:color="000000"/>
            </w:tcBorders>
          </w:tcPr>
          <w:p>
            <w:pPr/>
          </w:p>
        </w:tc>
        <w:tc>
          <w:tcPr>
            <w:tcW w:w="684" w:type="dxa"/>
            <w:tcBorders>
              <w:top w:val="single" w:sz="4" w:space="0" w:color="000000"/>
              <w:left w:val="single" w:sz="4" w:space="0" w:color="000000"/>
              <w:bottom w:val="nil" w:sz="6" w:space="0" w:color="auto"/>
              <w:right w:val="single" w:sz="4" w:space="0" w:color="000000"/>
            </w:tcBorders>
          </w:tcPr>
          <w:p>
            <w:pPr/>
          </w:p>
        </w:tc>
        <w:tc>
          <w:tcPr>
            <w:tcW w:w="684" w:type="dxa"/>
            <w:tcBorders>
              <w:top w:val="single" w:sz="4" w:space="0" w:color="000000"/>
              <w:left w:val="single" w:sz="4" w:space="0" w:color="000000"/>
              <w:bottom w:val="nil" w:sz="6" w:space="0" w:color="auto"/>
              <w:right w:val="single" w:sz="4" w:space="0" w:color="000000"/>
            </w:tcBorders>
          </w:tcPr>
          <w:p>
            <w:pPr/>
          </w:p>
        </w:tc>
        <w:tc>
          <w:tcPr>
            <w:tcW w:w="684" w:type="dxa"/>
            <w:tcBorders>
              <w:top w:val="single" w:sz="4" w:space="0" w:color="000000"/>
              <w:left w:val="single" w:sz="4" w:space="0" w:color="000000"/>
              <w:bottom w:val="nil" w:sz="6" w:space="0" w:color="auto"/>
              <w:right w:val="single" w:sz="4" w:space="0" w:color="000000"/>
            </w:tcBorders>
          </w:tcPr>
          <w:p>
            <w:pPr/>
          </w:p>
        </w:tc>
        <w:tc>
          <w:tcPr>
            <w:tcW w:w="684" w:type="dxa"/>
            <w:tcBorders>
              <w:top w:val="single" w:sz="4" w:space="0" w:color="000000"/>
              <w:left w:val="single" w:sz="4" w:space="0" w:color="000000"/>
              <w:bottom w:val="nil" w:sz="6" w:space="0" w:color="auto"/>
              <w:right w:val="single" w:sz="4" w:space="0" w:color="000000"/>
            </w:tcBorders>
          </w:tcPr>
          <w:p>
            <w:pPr/>
          </w:p>
        </w:tc>
        <w:tc>
          <w:tcPr>
            <w:tcW w:w="677"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682"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3" w:type="dxa"/>
            <w:tcBorders>
              <w:top w:val="nil" w:sz="6" w:space="0" w:color="auto"/>
              <w:left w:val="single" w:sz="4" w:space="0" w:color="000000"/>
              <w:bottom w:val="nil" w:sz="6" w:space="0" w:color="auto"/>
              <w:right w:val="single" w:sz="4" w:space="0" w:color="000000"/>
            </w:tcBorders>
          </w:tcPr>
          <w:p>
            <w:pPr/>
          </w:p>
        </w:tc>
        <w:tc>
          <w:tcPr>
            <w:tcW w:w="6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683"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77" w:type="dxa"/>
            <w:tcBorders>
              <w:top w:val="nil" w:sz="6" w:space="0" w:color="auto"/>
              <w:left w:val="single" w:sz="4" w:space="0" w:color="000000"/>
              <w:bottom w:val="nil" w:sz="6" w:space="0" w:color="auto"/>
              <w:right w:val="single" w:sz="4" w:space="0" w:color="000000"/>
            </w:tcBorders>
          </w:tcPr>
          <w:p>
            <w:pPr/>
          </w:p>
        </w:tc>
      </w:tr>
      <w:tr>
        <w:trPr>
          <w:trHeight w:val="3120" w:hRule="exact"/>
        </w:trPr>
        <w:tc>
          <w:tcPr>
            <w:tcW w:w="68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101" w:right="208"/>
              <w:jc w:val="both"/>
              <w:rPr>
                <w:rFonts w:ascii="宋体" w:hAnsi="宋体" w:cs="宋体" w:eastAsia="宋体" w:hint="default"/>
                <w:sz w:val="18"/>
                <w:szCs w:val="18"/>
              </w:rPr>
            </w:pPr>
            <w:r>
              <w:rPr>
                <w:rFonts w:ascii="宋体" w:hAnsi="宋体" w:cs="宋体" w:eastAsia="宋体" w:hint="default"/>
                <w:sz w:val="18"/>
                <w:szCs w:val="18"/>
              </w:rPr>
              <w:t>苏州 雅戈 尔置 业有 限公 司</w:t>
            </w: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312" w:lineRule="exact" w:before="127"/>
              <w:ind w:left="104" w:right="206"/>
              <w:jc w:val="both"/>
              <w:rPr>
                <w:rFonts w:ascii="Times New Roman" w:hAnsi="Times New Roman" w:cs="Times New Roman" w:eastAsia="Times New Roman" w:hint="default"/>
                <w:sz w:val="18"/>
                <w:szCs w:val="18"/>
              </w:rPr>
            </w:pPr>
            <w:r>
              <w:rPr>
                <w:rFonts w:ascii="宋体" w:hAnsi="宋体" w:cs="宋体" w:eastAsia="宋体" w:hint="default"/>
                <w:sz w:val="18"/>
                <w:szCs w:val="18"/>
              </w:rPr>
              <w:t>苏州 网新 创业 科技 有限 公司 </w:t>
            </w:r>
            <w:r>
              <w:rPr>
                <w:rFonts w:ascii="Times New Roman" w:hAnsi="Times New Roman" w:cs="Times New Roman" w:eastAsia="Times New Roman" w:hint="default"/>
                <w:sz w:val="18"/>
                <w:szCs w:val="18"/>
              </w:rPr>
              <w:t>18%</w:t>
            </w:r>
          </w:p>
          <w:p>
            <w:pPr>
              <w:pStyle w:val="TableParagraph"/>
              <w:spacing w:line="316" w:lineRule="auto" w:before="39"/>
              <w:ind w:left="104" w:right="206"/>
              <w:jc w:val="both"/>
              <w:rPr>
                <w:rFonts w:ascii="宋体" w:hAnsi="宋体" w:cs="宋体" w:eastAsia="宋体" w:hint="default"/>
                <w:sz w:val="18"/>
                <w:szCs w:val="18"/>
              </w:rPr>
            </w:pPr>
            <w:r>
              <w:rPr>
                <w:rFonts w:ascii="宋体" w:hAnsi="宋体" w:cs="宋体" w:eastAsia="宋体" w:hint="default"/>
                <w:sz w:val="18"/>
                <w:szCs w:val="18"/>
              </w:rPr>
              <w:t>的股 权</w:t>
            </w:r>
          </w:p>
        </w:tc>
        <w:tc>
          <w:tcPr>
            <w:tcW w:w="6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65" w:right="0"/>
              <w:jc w:val="left"/>
              <w:rPr>
                <w:rFonts w:ascii="Times New Roman" w:hAnsi="Times New Roman" w:cs="Times New Roman" w:eastAsia="Times New Roman" w:hint="default"/>
                <w:sz w:val="18"/>
                <w:szCs w:val="18"/>
              </w:rPr>
            </w:pPr>
            <w:r>
              <w:rPr>
                <w:rFonts w:ascii="Times New Roman"/>
                <w:sz w:val="18"/>
              </w:rPr>
              <w:t>4,600</w:t>
            </w:r>
          </w:p>
        </w:tc>
        <w:tc>
          <w:tcPr>
            <w:tcW w:w="68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c>
          <w:tcPr>
            <w:tcW w:w="68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02" w:right="0"/>
              <w:jc w:val="left"/>
              <w:rPr>
                <w:rFonts w:ascii="Times New Roman" w:hAnsi="Times New Roman" w:cs="Times New Roman" w:eastAsia="Times New Roman" w:hint="default"/>
                <w:sz w:val="18"/>
                <w:szCs w:val="18"/>
              </w:rPr>
            </w:pPr>
            <w:r>
              <w:rPr>
                <w:rFonts w:ascii="Times New Roman"/>
                <w:sz w:val="18"/>
              </w:rPr>
              <w:t>4600</w:t>
            </w:r>
          </w:p>
          <w:p>
            <w:pPr>
              <w:pStyle w:val="TableParagraph"/>
              <w:spacing w:line="316" w:lineRule="auto" w:before="63"/>
              <w:ind w:left="102" w:right="29"/>
              <w:jc w:val="left"/>
              <w:rPr>
                <w:rFonts w:ascii="宋体" w:hAnsi="宋体" w:cs="宋体" w:eastAsia="宋体" w:hint="default"/>
                <w:sz w:val="18"/>
                <w:szCs w:val="18"/>
              </w:rPr>
            </w:pPr>
            <w:r>
              <w:rPr>
                <w:rFonts w:ascii="宋体" w:hAnsi="宋体" w:cs="宋体" w:eastAsia="宋体" w:hint="default"/>
                <w:sz w:val="18"/>
                <w:szCs w:val="18"/>
              </w:rPr>
              <w:t>万元， 处置 后不 再持 股苏 州网 新创 业科 技有</w:t>
            </w:r>
          </w:p>
        </w:tc>
        <w:tc>
          <w:tcPr>
            <w:tcW w:w="68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165" w:right="0"/>
              <w:jc w:val="left"/>
              <w:rPr>
                <w:rFonts w:ascii="Times New Roman" w:hAnsi="Times New Roman" w:cs="Times New Roman" w:eastAsia="Times New Roman" w:hint="default"/>
                <w:sz w:val="18"/>
                <w:szCs w:val="18"/>
              </w:rPr>
            </w:pPr>
            <w:r>
              <w:rPr>
                <w:rFonts w:ascii="Times New Roman"/>
                <w:sz w:val="18"/>
              </w:rPr>
              <w:t>12.99</w:t>
            </w:r>
          </w:p>
          <w:p>
            <w:pPr>
              <w:pStyle w:val="TableParagraph"/>
              <w:spacing w:line="240" w:lineRule="auto" w:before="105"/>
              <w:ind w:left="41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8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协商</w:t>
            </w:r>
          </w:p>
        </w:tc>
        <w:tc>
          <w:tcPr>
            <w:tcW w:w="6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684"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210"/>
              <w:jc w:val="both"/>
              <w:rPr>
                <w:rFonts w:ascii="宋体" w:hAnsi="宋体" w:cs="宋体" w:eastAsia="宋体" w:hint="default"/>
                <w:sz w:val="18"/>
                <w:szCs w:val="18"/>
              </w:rPr>
            </w:pPr>
            <w:r>
              <w:rPr>
                <w:rFonts w:ascii="宋体" w:hAnsi="宋体" w:cs="宋体" w:eastAsia="宋体" w:hint="default"/>
                <w:sz w:val="18"/>
                <w:szCs w:val="18"/>
              </w:rPr>
              <w:t>交易 对方 的实 际控 制人 系公 司原 董事 的近 亲属</w:t>
            </w:r>
          </w:p>
        </w:tc>
        <w:tc>
          <w:tcPr>
            <w:tcW w:w="6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6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6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3"/>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62" w:lineRule="auto"/>
              <w:ind w:left="102" w:right="103"/>
              <w:jc w:val="left"/>
              <w:rPr>
                <w:rFonts w:ascii="Times New Roman" w:hAnsi="Times New Roman" w:cs="Times New Roman" w:eastAsia="Times New Roman" w:hint="default"/>
                <w:sz w:val="18"/>
                <w:szCs w:val="18"/>
              </w:rPr>
            </w:pPr>
            <w:hyperlink r:id="rId32">
              <w:r>
                <w:rPr>
                  <w:rFonts w:ascii="Times New Roman"/>
                  <w:spacing w:val="-3"/>
                  <w:sz w:val="18"/>
                </w:rPr>
                <w:t>www.</w:t>
              </w:r>
            </w:hyperlink>
            <w:r>
              <w:rPr>
                <w:rFonts w:ascii="Times New Roman"/>
                <w:sz w:val="18"/>
              </w:rPr>
              <w:t> cninfo</w:t>
            </w:r>
          </w:p>
          <w:p>
            <w:pPr>
              <w:pStyle w:val="TableParagraph"/>
              <w:spacing w:line="362" w:lineRule="auto" w:before="3"/>
              <w:ind w:left="102" w:right="165"/>
              <w:jc w:val="left"/>
              <w:rPr>
                <w:rFonts w:ascii="Times New Roman" w:hAnsi="Times New Roman" w:cs="Times New Roman" w:eastAsia="Times New Roman" w:hint="default"/>
                <w:sz w:val="18"/>
                <w:szCs w:val="18"/>
              </w:rPr>
            </w:pPr>
            <w:r>
              <w:rPr>
                <w:rFonts w:ascii="Times New Roman"/>
                <w:sz w:val="18"/>
              </w:rPr>
              <w:t>.com. cn</w:t>
            </w:r>
          </w:p>
        </w:tc>
      </w:tr>
      <w:tr>
        <w:trPr>
          <w:trHeight w:val="312" w:hRule="exact"/>
        </w:trPr>
        <w:tc>
          <w:tcPr>
            <w:tcW w:w="682"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3" w:type="dxa"/>
            <w:tcBorders>
              <w:top w:val="nil" w:sz="6" w:space="0" w:color="auto"/>
              <w:left w:val="single" w:sz="4" w:space="0" w:color="000000"/>
              <w:bottom w:val="nil" w:sz="6" w:space="0" w:color="auto"/>
              <w:right w:val="single" w:sz="4" w:space="0" w:color="000000"/>
            </w:tcBorders>
          </w:tcPr>
          <w:p>
            <w:pPr/>
          </w:p>
        </w:tc>
        <w:tc>
          <w:tcPr>
            <w:tcW w:w="68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限公</w:t>
            </w:r>
          </w:p>
        </w:tc>
        <w:tc>
          <w:tcPr>
            <w:tcW w:w="683"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677"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682" w:type="dxa"/>
            <w:tcBorders>
              <w:top w:val="nil" w:sz="6" w:space="0" w:color="auto"/>
              <w:left w:val="single" w:sz="4" w:space="0" w:color="000000"/>
              <w:bottom w:val="single" w:sz="4" w:space="0" w:color="000000"/>
              <w:right w:val="single" w:sz="4" w:space="0" w:color="000000"/>
            </w:tcBorders>
          </w:tcPr>
          <w:p>
            <w:pPr/>
          </w:p>
        </w:tc>
        <w:tc>
          <w:tcPr>
            <w:tcW w:w="682" w:type="dxa"/>
            <w:tcBorders>
              <w:top w:val="nil" w:sz="6" w:space="0" w:color="auto"/>
              <w:left w:val="single" w:sz="4" w:space="0" w:color="000000"/>
              <w:bottom w:val="single" w:sz="4" w:space="0" w:color="000000"/>
              <w:right w:val="single" w:sz="4" w:space="0" w:color="000000"/>
            </w:tcBorders>
          </w:tcPr>
          <w:p>
            <w:pPr/>
          </w:p>
        </w:tc>
        <w:tc>
          <w:tcPr>
            <w:tcW w:w="684" w:type="dxa"/>
            <w:tcBorders>
              <w:top w:val="nil" w:sz="6" w:space="0" w:color="auto"/>
              <w:left w:val="single" w:sz="4" w:space="0" w:color="000000"/>
              <w:bottom w:val="single" w:sz="4" w:space="0" w:color="000000"/>
              <w:right w:val="single" w:sz="4" w:space="0" w:color="000000"/>
            </w:tcBorders>
          </w:tcPr>
          <w:p>
            <w:pPr/>
          </w:p>
        </w:tc>
        <w:tc>
          <w:tcPr>
            <w:tcW w:w="684" w:type="dxa"/>
            <w:tcBorders>
              <w:top w:val="nil" w:sz="6" w:space="0" w:color="auto"/>
              <w:left w:val="single" w:sz="4" w:space="0" w:color="000000"/>
              <w:bottom w:val="single" w:sz="4" w:space="0" w:color="000000"/>
              <w:right w:val="single" w:sz="4" w:space="0" w:color="000000"/>
            </w:tcBorders>
          </w:tcPr>
          <w:p>
            <w:pPr/>
          </w:p>
        </w:tc>
        <w:tc>
          <w:tcPr>
            <w:tcW w:w="683" w:type="dxa"/>
            <w:tcBorders>
              <w:top w:val="nil" w:sz="6" w:space="0" w:color="auto"/>
              <w:left w:val="single" w:sz="4" w:space="0" w:color="000000"/>
              <w:bottom w:val="single" w:sz="4" w:space="0" w:color="000000"/>
              <w:right w:val="single" w:sz="4" w:space="0" w:color="000000"/>
            </w:tcBorders>
          </w:tcPr>
          <w:p>
            <w:pPr/>
          </w:p>
        </w:tc>
        <w:tc>
          <w:tcPr>
            <w:tcW w:w="6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683" w:type="dxa"/>
            <w:tcBorders>
              <w:top w:val="nil" w:sz="6" w:space="0" w:color="auto"/>
              <w:left w:val="single" w:sz="4" w:space="0" w:color="000000"/>
              <w:bottom w:val="single" w:sz="4" w:space="0" w:color="000000"/>
              <w:right w:val="single" w:sz="4" w:space="0" w:color="000000"/>
            </w:tcBorders>
          </w:tcPr>
          <w:p>
            <w:pPr/>
          </w:p>
        </w:tc>
        <w:tc>
          <w:tcPr>
            <w:tcW w:w="686" w:type="dxa"/>
            <w:tcBorders>
              <w:top w:val="nil" w:sz="6" w:space="0" w:color="auto"/>
              <w:left w:val="single" w:sz="4" w:space="0" w:color="000000"/>
              <w:bottom w:val="single" w:sz="4" w:space="0" w:color="000000"/>
              <w:right w:val="single" w:sz="4" w:space="0" w:color="000000"/>
            </w:tcBorders>
          </w:tcPr>
          <w:p>
            <w:pPr/>
          </w:p>
        </w:tc>
        <w:tc>
          <w:tcPr>
            <w:tcW w:w="684" w:type="dxa"/>
            <w:tcBorders>
              <w:top w:val="nil" w:sz="6" w:space="0" w:color="auto"/>
              <w:left w:val="single" w:sz="4" w:space="0" w:color="000000"/>
              <w:bottom w:val="single" w:sz="4" w:space="0" w:color="000000"/>
              <w:right w:val="single" w:sz="4" w:space="0" w:color="000000"/>
            </w:tcBorders>
          </w:tcPr>
          <w:p>
            <w:pPr/>
          </w:p>
        </w:tc>
        <w:tc>
          <w:tcPr>
            <w:tcW w:w="684" w:type="dxa"/>
            <w:tcBorders>
              <w:top w:val="nil" w:sz="6" w:space="0" w:color="auto"/>
              <w:left w:val="single" w:sz="4" w:space="0" w:color="000000"/>
              <w:bottom w:val="single" w:sz="4" w:space="0" w:color="000000"/>
              <w:right w:val="single" w:sz="4" w:space="0" w:color="000000"/>
            </w:tcBorders>
          </w:tcPr>
          <w:p>
            <w:pPr/>
          </w:p>
        </w:tc>
        <w:tc>
          <w:tcPr>
            <w:tcW w:w="684" w:type="dxa"/>
            <w:tcBorders>
              <w:top w:val="nil" w:sz="6" w:space="0" w:color="auto"/>
              <w:left w:val="single" w:sz="4" w:space="0" w:color="000000"/>
              <w:bottom w:val="single" w:sz="4" w:space="0" w:color="000000"/>
              <w:right w:val="single" w:sz="4" w:space="0" w:color="000000"/>
            </w:tcBorders>
          </w:tcPr>
          <w:p>
            <w:pPr/>
          </w:p>
        </w:tc>
        <w:tc>
          <w:tcPr>
            <w:tcW w:w="684" w:type="dxa"/>
            <w:tcBorders>
              <w:top w:val="nil" w:sz="6" w:space="0" w:color="auto"/>
              <w:left w:val="single" w:sz="4" w:space="0" w:color="000000"/>
              <w:bottom w:val="single" w:sz="4" w:space="0" w:color="000000"/>
              <w:right w:val="single" w:sz="4" w:space="0" w:color="000000"/>
            </w:tcBorders>
          </w:tcPr>
          <w:p>
            <w:pPr/>
          </w:p>
        </w:tc>
        <w:tc>
          <w:tcPr>
            <w:tcW w:w="684" w:type="dxa"/>
            <w:tcBorders>
              <w:top w:val="nil" w:sz="6" w:space="0" w:color="auto"/>
              <w:left w:val="single" w:sz="4" w:space="0" w:color="000000"/>
              <w:bottom w:val="single" w:sz="4" w:space="0" w:color="000000"/>
              <w:right w:val="single" w:sz="4" w:space="0" w:color="000000"/>
            </w:tcBorders>
          </w:tcPr>
          <w:p>
            <w:pPr/>
          </w:p>
        </w:tc>
        <w:tc>
          <w:tcPr>
            <w:tcW w:w="677" w:type="dxa"/>
            <w:tcBorders>
              <w:top w:val="nil" w:sz="6" w:space="0" w:color="auto"/>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18"/>
          <w:szCs w:val="18"/>
        </w:rPr>
      </w:pPr>
    </w:p>
    <w:p>
      <w:pPr>
        <w:pStyle w:val="Heading2"/>
        <w:spacing w:line="240" w:lineRule="auto" w:before="26"/>
        <w:ind w:right="882"/>
        <w:jc w:val="left"/>
        <w:rPr>
          <w:b w:val="0"/>
          <w:bCs w:val="0"/>
        </w:rPr>
      </w:pPr>
      <w:bookmarkStart w:name="七、主要控股参股公司分析" w:id="57"/>
      <w:bookmarkEnd w:id="57"/>
      <w:r>
        <w:rPr>
          <w:b w:val="0"/>
          <w:bCs w:val="0"/>
        </w:rPr>
      </w:r>
      <w:r>
        <w:rPr/>
        <w:t>七、主要控股参股公司分析</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7" w:footer="1016" w:top="1100" w:bottom="1200" w:left="1020" w:right="0"/>
        </w:sectPr>
      </w:pPr>
    </w:p>
    <w:p>
      <w:pPr>
        <w:pStyle w:val="BodyText"/>
        <w:spacing w:line="240" w:lineRule="auto" w:before="44"/>
        <w:ind w:right="-17"/>
        <w:jc w:val="left"/>
      </w:pPr>
      <w:r>
        <w:rPr/>
        <w:t>√ 适用 □ 不适用</w:t>
      </w:r>
    </w:p>
    <w:p>
      <w:pPr>
        <w:pStyle w:val="BodyText"/>
        <w:spacing w:line="240" w:lineRule="auto" w:before="115"/>
        <w:ind w:right="-17"/>
        <w:jc w:val="left"/>
      </w:pPr>
      <w:r>
        <w:rPr/>
        <w:t>主要子公司及对公司净利润影响达</w:t>
      </w:r>
      <w:r>
        <w:rPr>
          <w:spacing w:val="-48"/>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4808" w:space="4111"/>
            <w:col w:w="1971"/>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54"/>
        <w:gridCol w:w="1196"/>
        <w:gridCol w:w="1045"/>
        <w:gridCol w:w="1045"/>
        <w:gridCol w:w="1046"/>
        <w:gridCol w:w="1045"/>
        <w:gridCol w:w="1045"/>
        <w:gridCol w:w="1045"/>
        <w:gridCol w:w="1046"/>
      </w:tblGrid>
      <w:tr>
        <w:trPr>
          <w:trHeight w:val="402"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6"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7"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650"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1" w:right="220"/>
              <w:jc w:val="both"/>
              <w:rPr>
                <w:rFonts w:ascii="宋体" w:hAnsi="宋体" w:cs="宋体" w:eastAsia="宋体" w:hint="default"/>
                <w:sz w:val="18"/>
                <w:szCs w:val="18"/>
              </w:rPr>
            </w:pPr>
            <w:r>
              <w:rPr>
                <w:rFonts w:ascii="宋体" w:hAnsi="宋体" w:cs="宋体" w:eastAsia="宋体" w:hint="default"/>
                <w:sz w:val="18"/>
                <w:szCs w:val="18"/>
              </w:rPr>
              <w:t>杭州慧康 物联网科 技有限公 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02"/>
              <w:jc w:val="left"/>
              <w:rPr>
                <w:rFonts w:ascii="宋体" w:hAnsi="宋体" w:cs="宋体" w:eastAsia="宋体" w:hint="default"/>
                <w:sz w:val="18"/>
                <w:szCs w:val="18"/>
              </w:rPr>
            </w:pP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运维服 </w:t>
            </w:r>
            <w:r>
              <w:rPr>
                <w:rFonts w:ascii="宋体" w:hAnsi="宋体" w:cs="宋体" w:eastAsia="宋体" w:hint="default"/>
                <w:spacing w:val="-15"/>
                <w:sz w:val="18"/>
                <w:szCs w:val="18"/>
              </w:rPr>
              <w:t>务、系统集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5"/>
                <w:sz w:val="18"/>
                <w:szCs w:val="18"/>
              </w:rPr>
              <w:t>成、物联网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医院建设 等</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50,000,000</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549,942,64</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0.20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407,972,00</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8.48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385,808,11</w:t>
            </w:r>
          </w:p>
          <w:p>
            <w:pPr>
              <w:pStyle w:val="TableParagraph"/>
              <w:spacing w:line="240" w:lineRule="auto" w:before="105"/>
              <w:ind w:left="616" w:right="0"/>
              <w:jc w:val="left"/>
              <w:rPr>
                <w:rFonts w:ascii="Times New Roman" w:hAnsi="Times New Roman" w:cs="Times New Roman" w:eastAsia="Times New Roman" w:hint="default"/>
                <w:sz w:val="18"/>
                <w:szCs w:val="18"/>
              </w:rPr>
            </w:pPr>
            <w:r>
              <w:rPr>
                <w:rFonts w:ascii="Times New Roman"/>
                <w:sz w:val="18"/>
              </w:rPr>
              <w:t>9.70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21" w:right="0"/>
              <w:jc w:val="left"/>
              <w:rPr>
                <w:rFonts w:ascii="Times New Roman" w:hAnsi="Times New Roman" w:cs="Times New Roman" w:eastAsia="Times New Roman" w:hint="default"/>
                <w:sz w:val="18"/>
                <w:szCs w:val="18"/>
              </w:rPr>
            </w:pPr>
            <w:r>
              <w:rPr>
                <w:rFonts w:ascii="Times New Roman"/>
                <w:sz w:val="18"/>
              </w:rPr>
              <w:t>121,778,68</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7.92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104,544,65</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8.37</w:t>
            </w:r>
          </w:p>
        </w:tc>
      </w:tr>
    </w:tbl>
    <w:p>
      <w:pPr>
        <w:pStyle w:val="BodyText"/>
        <w:spacing w:line="240" w:lineRule="auto" w:before="52"/>
        <w:ind w:right="882"/>
        <w:jc w:val="left"/>
      </w:pPr>
      <w:r>
        <w:rPr/>
        <w:t>报告期内取得和处置子公司的情况</w:t>
      </w:r>
    </w:p>
    <w:p>
      <w:pPr>
        <w:pStyle w:val="BodyText"/>
        <w:spacing w:line="240" w:lineRule="auto" w:before="115"/>
        <w:ind w:right="882"/>
        <w:jc w:val="left"/>
      </w:pPr>
      <w:r>
        <w:rPr/>
        <w:t>√ 适用 □ 不适用</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0"/>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9"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浙江百利医药有限公司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非同一控制下企业合并</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暂无重大影响。</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广州粤湾慧康科技有限公司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出资设立</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暂无重大影响。</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自贡市杭创科技有限公司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出资设立</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暂无重大影响。</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杭州慧心健康科技有限公司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出资设立</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暂无重大影响。</w:t>
            </w:r>
          </w:p>
        </w:tc>
      </w:tr>
    </w:tbl>
    <w:p>
      <w:pPr>
        <w:pStyle w:val="BodyText"/>
        <w:spacing w:line="360" w:lineRule="auto" w:before="50"/>
        <w:ind w:left="472" w:right="882" w:hanging="360"/>
        <w:jc w:val="left"/>
      </w:pPr>
      <w:r>
        <w:rPr/>
        <w:t>主要控股参股公司情况说明 </w:t>
      </w:r>
      <w:r>
        <w:rPr>
          <w:spacing w:val="-2"/>
        </w:rPr>
        <w:t>杭州慧康物联网科技有限公司（原博泰服务）主要承担公司医疗物联网业务，业务主要针对医疗机构诊前、诊中、诊后</w:t>
      </w:r>
    </w:p>
    <w:p>
      <w:pPr>
        <w:pStyle w:val="BodyText"/>
        <w:spacing w:line="222" w:lineRule="exact"/>
        <w:ind w:right="882"/>
        <w:jc w:val="left"/>
      </w:pPr>
      <w:r>
        <w:rPr/>
        <w:t>各环节的服务场景，以物联网接入基础平台为核心，提供结合软硬件应用的智慧服务、智慧临床、智慧管理等一系列基于物</w:t>
      </w:r>
    </w:p>
    <w:p>
      <w:pPr>
        <w:pStyle w:val="BodyText"/>
        <w:spacing w:line="240" w:lineRule="auto" w:before="76"/>
        <w:ind w:right="882"/>
        <w:jc w:val="left"/>
      </w:pPr>
      <w:r>
        <w:rPr/>
        <w:t>联网终端的智能化解决方案；</w:t>
      </w:r>
      <w:r>
        <w:rPr>
          <w:rFonts w:ascii="Times New Roman" w:hAnsi="Times New Roman" w:cs="Times New Roman" w:eastAsia="Times New Roman" w:hint="default"/>
        </w:rPr>
        <w:t>IT </w:t>
      </w:r>
      <w:r>
        <w:rPr/>
        <w:t>运维服务。</w:t>
      </w:r>
    </w:p>
    <w:p>
      <w:pPr>
        <w:spacing w:line="240" w:lineRule="auto" w:before="0"/>
        <w:rPr>
          <w:rFonts w:ascii="宋体" w:hAnsi="宋体" w:cs="宋体" w:eastAsia="宋体" w:hint="default"/>
          <w:sz w:val="24"/>
          <w:szCs w:val="24"/>
        </w:rPr>
      </w:pPr>
    </w:p>
    <w:p>
      <w:pPr>
        <w:pStyle w:val="Heading2"/>
        <w:spacing w:line="240" w:lineRule="auto"/>
        <w:ind w:right="882"/>
        <w:jc w:val="left"/>
        <w:rPr>
          <w:b w:val="0"/>
          <w:bCs w:val="0"/>
        </w:rPr>
      </w:pPr>
      <w:bookmarkStart w:name="八、公司控制的结构化主体情况" w:id="58"/>
      <w:bookmarkEnd w:id="58"/>
      <w:r>
        <w:rPr>
          <w:b w:val="0"/>
          <w:bCs w:val="0"/>
        </w:rPr>
      </w:r>
      <w:r>
        <w:rPr/>
        <w:t>八、公司控制的结构化主体情况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 适用 √ 不适用</w:t>
      </w:r>
    </w:p>
    <w:p>
      <w:pPr>
        <w:spacing w:after="0" w:line="240" w:lineRule="auto"/>
        <w:jc w:val="left"/>
        <w:sectPr>
          <w:type w:val="continuous"/>
          <w:pgSz w:w="11910" w:h="16840"/>
          <w:pgMar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left="132" w:right="1115"/>
        <w:jc w:val="left"/>
        <w:rPr>
          <w:b w:val="0"/>
          <w:bCs w:val="0"/>
        </w:rPr>
      </w:pPr>
      <w:bookmarkStart w:name="九、公司未来发展的展望" w:id="59"/>
      <w:bookmarkEnd w:id="59"/>
      <w:r>
        <w:rPr>
          <w:b w:val="0"/>
          <w:bCs w:val="0"/>
        </w:rPr>
      </w:r>
      <w:r>
        <w:rPr/>
        <w:t>九、公司未来发展的展望</w:t>
      </w:r>
      <w:r>
        <w:rPr>
          <w:b w:val="0"/>
          <w:bCs w:val="0"/>
        </w:rPr>
      </w:r>
    </w:p>
    <w:p>
      <w:pPr>
        <w:spacing w:line="240" w:lineRule="auto" w:before="6"/>
        <w:rPr>
          <w:rFonts w:ascii="宋体" w:hAnsi="宋体" w:cs="宋体" w:eastAsia="宋体" w:hint="default"/>
          <w:b/>
          <w:bCs/>
          <w:sz w:val="26"/>
          <w:szCs w:val="26"/>
        </w:rPr>
      </w:pPr>
    </w:p>
    <w:p>
      <w:pPr>
        <w:pStyle w:val="Heading5"/>
        <w:spacing w:line="240" w:lineRule="auto" w:before="0"/>
        <w:ind w:left="495" w:right="1115"/>
        <w:jc w:val="left"/>
        <w:rPr>
          <w:b w:val="0"/>
          <w:bCs w:val="0"/>
        </w:rPr>
      </w:pPr>
      <w:r>
        <w:rPr/>
        <w:t>（一）公司所处行业趋势和格局</w:t>
      </w:r>
      <w:r>
        <w:rPr>
          <w:b w:val="0"/>
          <w:bCs w:val="0"/>
        </w:rPr>
      </w:r>
    </w:p>
    <w:p>
      <w:pPr>
        <w:pStyle w:val="BodyText"/>
        <w:spacing w:line="240" w:lineRule="auto" w:before="117"/>
        <w:ind w:left="492" w:right="1115"/>
        <w:jc w:val="left"/>
      </w:pPr>
      <w:r>
        <w:rPr>
          <w:rFonts w:ascii="Times New Roman" w:hAnsi="Times New Roman" w:cs="Times New Roman" w:eastAsia="Times New Roman" w:hint="default"/>
        </w:rPr>
        <w:t>1</w:t>
      </w:r>
      <w:r>
        <w:rPr/>
        <w:t>、政策背景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BodyText"/>
        <w:spacing w:line="240" w:lineRule="auto" w:before="44"/>
        <w:ind w:left="0" w:right="1041"/>
        <w:jc w:val="right"/>
      </w:pPr>
      <w:r>
        <w:rPr/>
        <w:pict>
          <v:shape style="position:absolute;margin-left:55.860001pt;margin-top:-285.447296pt;width:483.9pt;height:628.75pt;mso-position-horizontal-relative:page;mso-position-vertical-relative:paragraph;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32"/>
                    <w:gridCol w:w="1086"/>
                    <w:gridCol w:w="7745"/>
                  </w:tblGrid>
                  <w:tr>
                    <w:trPr>
                      <w:trHeight w:val="424" w:hRule="exact"/>
                    </w:trPr>
                    <w:tc>
                      <w:tcPr>
                        <w:tcW w:w="9663" w:type="dxa"/>
                        <w:gridSpan w:val="3"/>
                        <w:tcBorders>
                          <w:top w:val="single" w:sz="4" w:space="0" w:color="000000"/>
                          <w:left w:val="nil" w:sz="6" w:space="0" w:color="auto"/>
                          <w:bottom w:val="single" w:sz="6" w:space="0" w:color="000000"/>
                          <w:right w:val="nil" w:sz="6" w:space="0" w:color="auto"/>
                        </w:tcBorders>
                        <w:shd w:val="clear" w:color="auto" w:fill="D6D6D6"/>
                      </w:tcPr>
                      <w:p>
                        <w:pPr>
                          <w:pStyle w:val="TableParagraph"/>
                          <w:spacing w:line="240" w:lineRule="auto" w:before="60"/>
                          <w:ind w:left="366" w:right="0"/>
                          <w:jc w:val="center"/>
                          <w:rPr>
                            <w:rFonts w:ascii="宋体" w:hAnsi="宋体" w:cs="宋体" w:eastAsia="宋体" w:hint="default"/>
                            <w:sz w:val="18"/>
                            <w:szCs w:val="18"/>
                          </w:rPr>
                        </w:pPr>
                        <w:r>
                          <w:rPr>
                            <w:rFonts w:ascii="宋体" w:hAnsi="宋体" w:cs="宋体" w:eastAsia="宋体" w:hint="default"/>
                            <w:b/>
                            <w:bCs/>
                            <w:sz w:val="18"/>
                            <w:szCs w:val="18"/>
                          </w:rPr>
                          <w:t>医卫信息化行业近年政策</w:t>
                        </w:r>
                        <w:r>
                          <w:rPr>
                            <w:rFonts w:ascii="宋体" w:hAnsi="宋体" w:cs="宋体" w:eastAsia="宋体" w:hint="default"/>
                            <w:sz w:val="18"/>
                            <w:szCs w:val="18"/>
                          </w:rPr>
                        </w:r>
                      </w:p>
                    </w:tc>
                  </w:tr>
                  <w:tr>
                    <w:trPr>
                      <w:trHeight w:val="1051"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2015</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国务院</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9" w:lineRule="auto" w:before="60"/>
                          <w:ind w:left="3" w:right="-6" w:firstLine="360"/>
                          <w:jc w:val="left"/>
                          <w:rPr>
                            <w:rFonts w:ascii="宋体" w:hAnsi="宋体" w:cs="宋体" w:eastAsia="宋体" w:hint="default"/>
                            <w:sz w:val="18"/>
                            <w:szCs w:val="18"/>
                          </w:rPr>
                        </w:pPr>
                        <w:r>
                          <w:rPr>
                            <w:rFonts w:ascii="宋体" w:hAnsi="宋体" w:cs="宋体" w:eastAsia="宋体" w:hint="default"/>
                            <w:sz w:val="18"/>
                            <w:szCs w:val="18"/>
                          </w:rPr>
                          <w:t>《全国医疗卫生服务体系规划纲要（</w:t>
                        </w:r>
                        <w:r>
                          <w:rPr>
                            <w:rFonts w:ascii="Times New Roman" w:hAnsi="Times New Roman" w:cs="Times New Roman" w:eastAsia="Times New Roman" w:hint="default"/>
                            <w:sz w:val="18"/>
                            <w:szCs w:val="18"/>
                          </w:rPr>
                          <w:t>2015-2020</w:t>
                        </w:r>
                        <w:r>
                          <w:rPr>
                            <w:rFonts w:ascii="宋体" w:hAnsi="宋体" w:cs="宋体" w:eastAsia="宋体" w:hint="default"/>
                            <w:sz w:val="18"/>
                            <w:szCs w:val="18"/>
                          </w:rPr>
                          <w:t>年）》提出加强人口健康信息化建设，到</w:t>
                        </w:r>
                        <w:r>
                          <w:rPr>
                            <w:rFonts w:ascii="Times New Roman" w:hAnsi="Times New Roman" w:cs="Times New Roman" w:eastAsia="Times New Roman" w:hint="default"/>
                            <w:sz w:val="18"/>
                            <w:szCs w:val="18"/>
                          </w:rPr>
                          <w:t>2020 </w:t>
                        </w:r>
                        <w:r>
                          <w:rPr>
                            <w:rFonts w:ascii="宋体" w:hAnsi="宋体" w:cs="宋体" w:eastAsia="宋体" w:hint="default"/>
                            <w:sz w:val="18"/>
                            <w:szCs w:val="18"/>
                          </w:rPr>
                          <w:t>年，实现全员人口信息、电子健康档案和电子病历三大数据库基本覆盖全国人口并信息动态更新， 全面建成互联互通的国家、省、市、县四级人口健康信息平台。</w:t>
                        </w:r>
                      </w:p>
                    </w:tc>
                  </w:tr>
                  <w:tr>
                    <w:trPr>
                      <w:trHeight w:val="1363"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2016</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国务院</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7" w:lineRule="auto" w:before="60"/>
                          <w:ind w:left="3" w:right="11" w:firstLine="360"/>
                          <w:jc w:val="both"/>
                          <w:rPr>
                            <w:rFonts w:ascii="宋体" w:hAnsi="宋体" w:cs="宋体" w:eastAsia="宋体" w:hint="default"/>
                            <w:sz w:val="18"/>
                            <w:szCs w:val="18"/>
                          </w:rPr>
                        </w:pPr>
                        <w:r>
                          <w:rPr>
                            <w:rFonts w:ascii="宋体" w:hAnsi="宋体" w:cs="宋体" w:eastAsia="宋体" w:hint="default"/>
                            <w:spacing w:val="-1"/>
                            <w:sz w:val="18"/>
                            <w:szCs w:val="18"/>
                          </w:rPr>
                          <w:t>《关于促进和规范健康医疗大数据应用发展的指导意见》，意见指出到</w:t>
                        </w: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年底，实现国家和</w:t>
                        </w:r>
                        <w:r>
                          <w:rPr>
                            <w:rFonts w:ascii="宋体" w:hAnsi="宋体" w:cs="宋体" w:eastAsia="宋体" w:hint="default"/>
                            <w:sz w:val="18"/>
                            <w:szCs w:val="18"/>
                          </w:rPr>
                          <w:t> </w:t>
                        </w:r>
                        <w:r>
                          <w:rPr>
                            <w:rFonts w:ascii="宋体" w:hAnsi="宋体" w:cs="宋体" w:eastAsia="宋体" w:hint="default"/>
                            <w:spacing w:val="-1"/>
                            <w:sz w:val="18"/>
                            <w:szCs w:val="18"/>
                          </w:rPr>
                          <w:t>省级人口健康信息平台以及全国药品招标采购业务应用平台互联互通，基本形成跨部门健康医疗数</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1"/>
                            <w:sz w:val="18"/>
                            <w:szCs w:val="18"/>
                          </w:rPr>
                          <w:t>据资源共享共用格局。到</w:t>
                        </w:r>
                        <w:r>
                          <w:rPr>
                            <w:rFonts w:ascii="Times New Roman" w:hAnsi="Times New Roman" w:cs="Times New Roman" w:eastAsia="Times New Roman" w:hint="default"/>
                            <w:spacing w:val="-1"/>
                            <w:sz w:val="18"/>
                            <w:szCs w:val="18"/>
                          </w:rPr>
                          <w:t>2020</w:t>
                        </w:r>
                        <w:r>
                          <w:rPr>
                            <w:rFonts w:ascii="宋体" w:hAnsi="宋体" w:cs="宋体" w:eastAsia="宋体" w:hint="default"/>
                            <w:spacing w:val="-1"/>
                            <w:sz w:val="18"/>
                            <w:szCs w:val="18"/>
                          </w:rPr>
                          <w:t>年，建成国家医疗卫生信息分级开放应用平台；基本实现城乡居民拥</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有规范化的电子健康档案和功能完备的健康卡。</w:t>
                        </w:r>
                      </w:p>
                    </w:tc>
                  </w:tr>
                  <w:tr>
                    <w:trPr>
                      <w:trHeight w:val="739"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2016</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1"/>
                          <w:ind w:left="354" w:right="3" w:hanging="353"/>
                          <w:jc w:val="left"/>
                          <w:rPr>
                            <w:rFonts w:ascii="宋体" w:hAnsi="宋体" w:cs="宋体" w:eastAsia="宋体" w:hint="default"/>
                            <w:sz w:val="18"/>
                            <w:szCs w:val="18"/>
                          </w:rPr>
                        </w:pPr>
                        <w:r>
                          <w:rPr>
                            <w:rFonts w:ascii="宋体" w:hAnsi="宋体" w:cs="宋体" w:eastAsia="宋体" w:hint="default"/>
                            <w:spacing w:val="-3"/>
                            <w:sz w:val="18"/>
                            <w:szCs w:val="18"/>
                          </w:rPr>
                          <w:t>中共中央、国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务院</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0" w:lineRule="auto" w:before="61"/>
                          <w:ind w:left="3" w:right="11" w:firstLine="360"/>
                          <w:jc w:val="left"/>
                          <w:rPr>
                            <w:rFonts w:ascii="宋体" w:hAnsi="宋体" w:cs="宋体" w:eastAsia="宋体" w:hint="default"/>
                            <w:sz w:val="18"/>
                            <w:szCs w:val="18"/>
                          </w:rPr>
                        </w:pPr>
                        <w:r>
                          <w:rPr>
                            <w:rFonts w:ascii="宋体" w:hAnsi="宋体" w:cs="宋体" w:eastAsia="宋体" w:hint="default"/>
                            <w:spacing w:val="-1"/>
                            <w:sz w:val="18"/>
                            <w:szCs w:val="18"/>
                          </w:rPr>
                          <w:t>《“健康中国</w:t>
                        </w:r>
                        <w:r>
                          <w:rPr>
                            <w:rFonts w:ascii="Times New Roman" w:hAnsi="Times New Roman" w:cs="Times New Roman" w:eastAsia="Times New Roman" w:hint="default"/>
                            <w:spacing w:val="-1"/>
                            <w:sz w:val="18"/>
                            <w:szCs w:val="18"/>
                          </w:rPr>
                          <w:t>2030</w:t>
                        </w:r>
                        <w:r>
                          <w:rPr>
                            <w:rFonts w:ascii="宋体" w:hAnsi="宋体" w:cs="宋体" w:eastAsia="宋体" w:hint="default"/>
                            <w:spacing w:val="-1"/>
                            <w:sz w:val="18"/>
                            <w:szCs w:val="18"/>
                          </w:rPr>
                          <w:t>”规划纲要》，首次将有关健康医疗产业的纲要提高至国家层级的战略，纲</w:t>
                        </w:r>
                        <w:r>
                          <w:rPr>
                            <w:rFonts w:ascii="宋体" w:hAnsi="宋体" w:cs="宋体" w:eastAsia="宋体" w:hint="default"/>
                            <w:sz w:val="18"/>
                            <w:szCs w:val="18"/>
                          </w:rPr>
                          <w:t> 要明确提出到</w:t>
                        </w:r>
                        <w:r>
                          <w:rPr>
                            <w:rFonts w:ascii="Times New Roman" w:hAnsi="Times New Roman" w:cs="Times New Roman" w:eastAsia="Times New Roman" w:hint="default"/>
                            <w:sz w:val="18"/>
                            <w:szCs w:val="18"/>
                          </w:rPr>
                          <w:t>2020</w:t>
                        </w:r>
                        <w:r>
                          <w:rPr>
                            <w:rFonts w:ascii="宋体" w:hAnsi="宋体" w:cs="宋体" w:eastAsia="宋体" w:hint="default"/>
                            <w:sz w:val="18"/>
                            <w:szCs w:val="18"/>
                          </w:rPr>
                          <w:t>年健康服务业总规模达到</w:t>
                        </w:r>
                        <w:r>
                          <w:rPr>
                            <w:rFonts w:ascii="Times New Roman" w:hAnsi="Times New Roman" w:cs="Times New Roman" w:eastAsia="Times New Roman" w:hint="default"/>
                            <w:sz w:val="18"/>
                            <w:szCs w:val="18"/>
                          </w:rPr>
                          <w:t>8</w:t>
                        </w:r>
                        <w:r>
                          <w:rPr>
                            <w:rFonts w:ascii="宋体" w:hAnsi="宋体" w:cs="宋体" w:eastAsia="宋体" w:hint="default"/>
                            <w:sz w:val="18"/>
                            <w:szCs w:val="18"/>
                          </w:rPr>
                          <w:t>万亿，到</w:t>
                        </w:r>
                        <w:r>
                          <w:rPr>
                            <w:rFonts w:ascii="Times New Roman" w:hAnsi="Times New Roman" w:cs="Times New Roman" w:eastAsia="Times New Roman" w:hint="default"/>
                            <w:sz w:val="18"/>
                            <w:szCs w:val="18"/>
                          </w:rPr>
                          <w:t>2030</w:t>
                        </w:r>
                        <w:r>
                          <w:rPr>
                            <w:rFonts w:ascii="宋体" w:hAnsi="宋体" w:cs="宋体" w:eastAsia="宋体" w:hint="default"/>
                            <w:sz w:val="18"/>
                            <w:szCs w:val="18"/>
                          </w:rPr>
                          <w:t>年达到</w:t>
                        </w:r>
                        <w:r>
                          <w:rPr>
                            <w:rFonts w:ascii="Times New Roman" w:hAnsi="Times New Roman" w:cs="Times New Roman" w:eastAsia="Times New Roman" w:hint="default"/>
                            <w:sz w:val="18"/>
                            <w:szCs w:val="18"/>
                          </w:rPr>
                          <w:t>16</w:t>
                        </w:r>
                        <w:r>
                          <w:rPr>
                            <w:rFonts w:ascii="宋体" w:hAnsi="宋体" w:cs="宋体" w:eastAsia="宋体" w:hint="default"/>
                            <w:sz w:val="18"/>
                            <w:szCs w:val="18"/>
                          </w:rPr>
                          <w:t>万亿，行业前景极其广阔。</w:t>
                        </w:r>
                      </w:p>
                    </w:tc>
                  </w:tr>
                  <w:tr>
                    <w:trPr>
                      <w:trHeight w:val="739"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中共中央</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16" w:lineRule="auto" w:before="61"/>
                          <w:ind w:left="3" w:right="11" w:firstLine="360"/>
                          <w:jc w:val="left"/>
                          <w:rPr>
                            <w:rFonts w:ascii="宋体" w:hAnsi="宋体" w:cs="宋体" w:eastAsia="宋体" w:hint="default"/>
                            <w:sz w:val="18"/>
                            <w:szCs w:val="18"/>
                          </w:rPr>
                        </w:pPr>
                        <w:r>
                          <w:rPr>
                            <w:rFonts w:ascii="宋体" w:hAnsi="宋体" w:cs="宋体" w:eastAsia="宋体" w:hint="default"/>
                            <w:spacing w:val="-1"/>
                            <w:sz w:val="18"/>
                            <w:szCs w:val="18"/>
                          </w:rPr>
                          <w:t>十九大报告指出，实施健康中国战略。人民健康是民族昌盛和国家富强的重要标志。要完善国</w:t>
                        </w:r>
                        <w:r>
                          <w:rPr>
                            <w:rFonts w:ascii="宋体" w:hAnsi="宋体" w:cs="宋体" w:eastAsia="宋体" w:hint="default"/>
                            <w:sz w:val="18"/>
                            <w:szCs w:val="18"/>
                          </w:rPr>
                          <w:t> 民健康政策，为人民群众提供全方位全周期健康服务。</w:t>
                        </w:r>
                      </w:p>
                    </w:tc>
                  </w:tr>
                  <w:tr>
                    <w:trPr>
                      <w:trHeight w:val="1363"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2018</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316" w:lineRule="auto"/>
                          <w:ind w:left="1" w:right="3"/>
                          <w:jc w:val="center"/>
                          <w:rPr>
                            <w:rFonts w:ascii="宋体" w:hAnsi="宋体" w:cs="宋体" w:eastAsia="宋体" w:hint="default"/>
                            <w:sz w:val="18"/>
                            <w:szCs w:val="18"/>
                          </w:rPr>
                        </w:pPr>
                        <w:r>
                          <w:rPr>
                            <w:rFonts w:ascii="宋体" w:hAnsi="宋体" w:cs="宋体" w:eastAsia="宋体" w:hint="default"/>
                            <w:spacing w:val="-3"/>
                            <w:sz w:val="18"/>
                            <w:szCs w:val="18"/>
                          </w:rPr>
                          <w:t>卫健委、国家</w:t>
                        </w:r>
                        <w:r>
                          <w:rPr>
                            <w:rFonts w:ascii="宋体" w:hAnsi="宋体" w:cs="宋体" w:eastAsia="宋体" w:hint="default"/>
                            <w:sz w:val="18"/>
                            <w:szCs w:val="18"/>
                          </w:rPr>
                          <w:t> 中医药管理 局</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16" w:lineRule="auto" w:before="61"/>
                          <w:ind w:left="3" w:right="11" w:firstLine="360"/>
                          <w:jc w:val="left"/>
                          <w:rPr>
                            <w:rFonts w:ascii="宋体" w:hAnsi="宋体" w:cs="宋体" w:eastAsia="宋体" w:hint="default"/>
                            <w:sz w:val="18"/>
                            <w:szCs w:val="18"/>
                          </w:rPr>
                        </w:pPr>
                        <w:r>
                          <w:rPr>
                            <w:rFonts w:ascii="宋体" w:hAnsi="宋体" w:cs="宋体" w:eastAsia="宋体" w:hint="default"/>
                            <w:spacing w:val="-1"/>
                            <w:sz w:val="18"/>
                            <w:szCs w:val="18"/>
                          </w:rPr>
                          <w:t>《关于进一步做好分级诊疗制度建设有关重点工作的通知》，指出加强统筹规划，加快推进医</w:t>
                        </w:r>
                        <w:r>
                          <w:rPr>
                            <w:rFonts w:ascii="宋体" w:hAnsi="宋体" w:cs="宋体" w:eastAsia="宋体" w:hint="default"/>
                            <w:sz w:val="18"/>
                            <w:szCs w:val="18"/>
                          </w:rPr>
                          <w:t> 联体建设 ；以区域医疗中心建设为重点推进分级诊疗区域分开</w:t>
                        </w:r>
                        <w:r>
                          <w:rPr>
                            <w:rFonts w:ascii="宋体" w:hAnsi="宋体" w:cs="宋体" w:eastAsia="宋体" w:hint="default"/>
                            <w:spacing w:val="-21"/>
                            <w:sz w:val="18"/>
                            <w:szCs w:val="18"/>
                          </w:rPr>
                          <w:t> </w:t>
                        </w:r>
                        <w:r>
                          <w:rPr>
                            <w:rFonts w:ascii="宋体" w:hAnsi="宋体" w:cs="宋体" w:eastAsia="宋体" w:hint="default"/>
                            <w:sz w:val="18"/>
                            <w:szCs w:val="18"/>
                          </w:rPr>
                          <w:t>；以县医院能力建设为重点推进分</w:t>
                        </w:r>
                        <w:r>
                          <w:rPr>
                            <w:rFonts w:ascii="宋体" w:hAnsi="宋体" w:cs="宋体" w:eastAsia="宋体" w:hint="default"/>
                            <w:sz w:val="18"/>
                            <w:szCs w:val="18"/>
                          </w:rPr>
                          <w:t> 级诊疗城乡分开；以重大疾病单病种管理为重点推进分级诊疗上下分开</w:t>
                        </w:r>
                        <w:r>
                          <w:rPr>
                            <w:rFonts w:ascii="宋体" w:hAnsi="宋体" w:cs="宋体" w:eastAsia="宋体" w:hint="default"/>
                            <w:spacing w:val="-2"/>
                            <w:sz w:val="18"/>
                            <w:szCs w:val="18"/>
                          </w:rPr>
                          <w:t> </w:t>
                        </w:r>
                        <w:r>
                          <w:rPr>
                            <w:rFonts w:ascii="宋体" w:hAnsi="宋体" w:cs="宋体" w:eastAsia="宋体" w:hint="default"/>
                            <w:sz w:val="18"/>
                            <w:szCs w:val="18"/>
                          </w:rPr>
                          <w:t>；以三级医院日间服务为</w:t>
                        </w:r>
                        <w:r>
                          <w:rPr>
                            <w:rFonts w:ascii="宋体" w:hAnsi="宋体" w:cs="宋体" w:eastAsia="宋体" w:hint="default"/>
                            <w:sz w:val="18"/>
                            <w:szCs w:val="18"/>
                          </w:rPr>
                          <w:t> 重点推进分级诊疗急慢分开；完善保障政策；加强组织实施。</w:t>
                        </w:r>
                      </w:p>
                    </w:tc>
                  </w:tr>
                  <w:tr>
                    <w:trPr>
                      <w:trHeight w:val="1363"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2018</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0" w:lineRule="auto" w:before="61"/>
                          <w:ind w:left="3" w:right="11" w:firstLine="360"/>
                          <w:jc w:val="both"/>
                          <w:rPr>
                            <w:rFonts w:ascii="宋体" w:hAnsi="宋体" w:cs="宋体" w:eastAsia="宋体" w:hint="default"/>
                            <w:sz w:val="18"/>
                            <w:szCs w:val="18"/>
                          </w:rPr>
                        </w:pPr>
                        <w:r>
                          <w:rPr>
                            <w:rFonts w:ascii="宋体" w:hAnsi="宋体" w:cs="宋体" w:eastAsia="宋体" w:hint="default"/>
                            <w:spacing w:val="-3"/>
                            <w:sz w:val="18"/>
                            <w:szCs w:val="18"/>
                          </w:rPr>
                          <w:t>《关于进一步推进以电子病历为核心的医疗机构信息化建设工作的通知》，通知提出到</w:t>
                        </w:r>
                        <w:r>
                          <w:rPr>
                            <w:rFonts w:ascii="Times New Roman" w:hAnsi="Times New Roman" w:cs="Times New Roman" w:eastAsia="Times New Roman" w:hint="default"/>
                            <w:spacing w:val="-3"/>
                            <w:sz w:val="18"/>
                            <w:szCs w:val="18"/>
                          </w:rPr>
                          <w:t>2019</w:t>
                        </w:r>
                        <w:r>
                          <w:rPr>
                            <w:rFonts w:ascii="宋体" w:hAnsi="宋体" w:cs="宋体" w:eastAsia="宋体" w:hint="default"/>
                            <w:spacing w:val="-3"/>
                            <w:sz w:val="18"/>
                            <w:szCs w:val="18"/>
                          </w:rPr>
                          <w:t>年</w:t>
                        </w:r>
                        <w:r>
                          <w:rPr>
                            <w:rFonts w:ascii="宋体" w:hAnsi="宋体" w:cs="宋体" w:eastAsia="宋体" w:hint="default"/>
                            <w:sz w:val="18"/>
                            <w:szCs w:val="18"/>
                          </w:rPr>
                          <w:t> 地方各级卫生健康行政部门辖区内所有三级医院要达到电子病历应用水平分级评价</w:t>
                        </w:r>
                        <w:r>
                          <w:rPr>
                            <w:rFonts w:ascii="Times New Roman" w:hAnsi="Times New Roman" w:cs="Times New Roman" w:eastAsia="Times New Roman" w:hint="default"/>
                            <w:sz w:val="18"/>
                            <w:szCs w:val="18"/>
                          </w:rPr>
                          <w:t>3</w:t>
                        </w:r>
                        <w:r>
                          <w:rPr>
                            <w:rFonts w:ascii="宋体" w:hAnsi="宋体" w:cs="宋体" w:eastAsia="宋体" w:hint="default"/>
                            <w:sz w:val="18"/>
                            <w:szCs w:val="18"/>
                          </w:rPr>
                          <w:t>级以上，即实 现医院内不同部门间数据交换；到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年，三级医院要实现院内各诊疗环节信息互联互通，达到</w:t>
                        </w:r>
                      </w:p>
                      <w:p>
                        <w:pPr>
                          <w:pStyle w:val="TableParagraph"/>
                          <w:spacing w:line="240" w:lineRule="auto" w:before="13"/>
                          <w:ind w:left="3" w:right="0"/>
                          <w:jc w:val="left"/>
                          <w:rPr>
                            <w:rFonts w:ascii="宋体" w:hAnsi="宋体" w:cs="宋体" w:eastAsia="宋体" w:hint="default"/>
                            <w:sz w:val="18"/>
                            <w:szCs w:val="18"/>
                          </w:rPr>
                        </w:pPr>
                        <w:r>
                          <w:rPr>
                            <w:rFonts w:ascii="宋体" w:hAnsi="宋体" w:cs="宋体" w:eastAsia="宋体" w:hint="default"/>
                            <w:sz w:val="18"/>
                            <w:szCs w:val="18"/>
                          </w:rPr>
                          <w:t>医院信息互联互通标准化成熟度测评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级水平。</w:t>
                        </w:r>
                      </w:p>
                    </w:tc>
                  </w:tr>
                  <w:tr>
                    <w:trPr>
                      <w:trHeight w:val="1987"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2018</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14" w:lineRule="auto" w:before="61"/>
                          <w:ind w:left="3" w:right="11" w:firstLine="360"/>
                          <w:jc w:val="left"/>
                          <w:rPr>
                            <w:rFonts w:ascii="宋体" w:hAnsi="宋体" w:cs="宋体" w:eastAsia="宋体" w:hint="default"/>
                            <w:sz w:val="18"/>
                            <w:szCs w:val="18"/>
                          </w:rPr>
                        </w:pPr>
                        <w:r>
                          <w:rPr>
                            <w:rFonts w:ascii="宋体" w:hAnsi="宋体" w:cs="宋体" w:eastAsia="宋体" w:hint="default"/>
                            <w:spacing w:val="-1"/>
                            <w:sz w:val="18"/>
                            <w:szCs w:val="18"/>
                          </w:rPr>
                          <w:t>《电子病历系统应用水平分级评价管理办法（试行）》和《电子病历系统应用水平分级评价标</w:t>
                        </w:r>
                        <w:r>
                          <w:rPr>
                            <w:rFonts w:ascii="宋体" w:hAnsi="宋体" w:cs="宋体" w:eastAsia="宋体" w:hint="default"/>
                            <w:sz w:val="18"/>
                            <w:szCs w:val="18"/>
                          </w:rPr>
                          <w:t> </w:t>
                        </w:r>
                        <w:r>
                          <w:rPr>
                            <w:rFonts w:ascii="宋体" w:hAnsi="宋体" w:cs="宋体" w:eastAsia="宋体" w:hint="default"/>
                            <w:spacing w:val="-1"/>
                            <w:sz w:val="18"/>
                            <w:szCs w:val="18"/>
                          </w:rPr>
                          <w:t>准（试行）》分别明确分级评价工作通过“电子病历系统分级评价平台”进行，国家卫生健康委向</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1"/>
                            <w:sz w:val="18"/>
                            <w:szCs w:val="18"/>
                          </w:rPr>
                          <w:t>各省级卫生健康行政部门发放平台管理权限，医疗机构要建立分级评价工作管理机制，明确本机构</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相关职能部门和专人负责分级评价工作；电子病历系统应用水平划分为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个等级，每一等级的标 </w:t>
                        </w:r>
                        <w:r>
                          <w:rPr>
                            <w:rFonts w:ascii="宋体" w:hAnsi="宋体" w:cs="宋体" w:eastAsia="宋体" w:hint="default"/>
                            <w:spacing w:val="-1"/>
                            <w:sz w:val="18"/>
                            <w:szCs w:val="18"/>
                          </w:rPr>
                          <w:t>准包括电子病历各个局部系统的要求和对医疗机构整体电子病历系统的要求。采用定量评分、整体</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分级的方法，综合评价医疗机构电子病历系统局部功能情况与整体应用水平。</w:t>
                        </w:r>
                      </w:p>
                    </w:tc>
                  </w:tr>
                  <w:tr>
                    <w:trPr>
                      <w:trHeight w:val="739"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16" w:lineRule="auto" w:before="62"/>
                          <w:ind w:left="3" w:right="11" w:firstLine="360"/>
                          <w:jc w:val="left"/>
                          <w:rPr>
                            <w:rFonts w:ascii="宋体" w:hAnsi="宋体" w:cs="宋体" w:eastAsia="宋体" w:hint="default"/>
                            <w:sz w:val="18"/>
                            <w:szCs w:val="18"/>
                          </w:rPr>
                        </w:pPr>
                        <w:r>
                          <w:rPr>
                            <w:rFonts w:ascii="宋体" w:hAnsi="宋体" w:cs="宋体" w:eastAsia="宋体" w:hint="default"/>
                            <w:spacing w:val="-1"/>
                            <w:sz w:val="18"/>
                            <w:szCs w:val="18"/>
                          </w:rPr>
                          <w:t>《关于印发电子病历系统应用水平分级评价管理办法（试行）及评价标准（试行）的通知》持</w:t>
                        </w:r>
                        <w:r>
                          <w:rPr>
                            <w:rFonts w:ascii="宋体" w:hAnsi="宋体" w:cs="宋体" w:eastAsia="宋体" w:hint="default"/>
                            <w:sz w:val="18"/>
                            <w:szCs w:val="18"/>
                          </w:rPr>
                          <w:t> 续推进以电子病历为核心的医疗机构信息化建设。</w:t>
                        </w:r>
                      </w:p>
                    </w:tc>
                  </w:tr>
                  <w:tr>
                    <w:trPr>
                      <w:trHeight w:val="1051"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9" w:lineRule="auto" w:before="62"/>
                          <w:ind w:left="3" w:right="11" w:firstLine="360"/>
                          <w:jc w:val="left"/>
                          <w:rPr>
                            <w:rFonts w:ascii="宋体" w:hAnsi="宋体" w:cs="宋体" w:eastAsia="宋体" w:hint="default"/>
                            <w:sz w:val="18"/>
                            <w:szCs w:val="18"/>
                          </w:rPr>
                        </w:pPr>
                        <w:r>
                          <w:rPr>
                            <w:rFonts w:ascii="宋体" w:hAnsi="宋体" w:cs="宋体" w:eastAsia="宋体" w:hint="default"/>
                            <w:spacing w:val="-3"/>
                            <w:sz w:val="18"/>
                            <w:szCs w:val="18"/>
                          </w:rPr>
                          <w:t>《医院智慧服务分级评估标准体系（试行）》医院智慧服务是指医院针对患者的医疗服务需要</w:t>
                        </w:r>
                        <w:r>
                          <w:rPr>
                            <w:rFonts w:ascii="宋体" w:hAnsi="宋体" w:cs="宋体" w:eastAsia="宋体" w:hint="default"/>
                            <w:sz w:val="18"/>
                            <w:szCs w:val="18"/>
                          </w:rPr>
                          <w:t> </w:t>
                        </w:r>
                        <w:r>
                          <w:rPr>
                            <w:rFonts w:ascii="宋体" w:hAnsi="宋体" w:cs="宋体" w:eastAsia="宋体" w:hint="default"/>
                            <w:spacing w:val="-2"/>
                            <w:sz w:val="18"/>
                            <w:szCs w:val="18"/>
                          </w:rPr>
                          <w:t>应用信息技术改善患者就医体验，加强患者信息互联共享。文件将智慧服务从低到高分为</w:t>
                        </w:r>
                        <w:r>
                          <w:rPr>
                            <w:rFonts w:ascii="Times New Roman" w:hAnsi="Times New Roman" w:cs="Times New Roman" w:eastAsia="Times New Roman" w:hint="default"/>
                            <w:spacing w:val="-2"/>
                            <w:sz w:val="18"/>
                            <w:szCs w:val="18"/>
                          </w:rPr>
                          <w:t>0-5</w:t>
                        </w:r>
                        <w:r>
                          <w:rPr>
                            <w:rFonts w:ascii="宋体" w:hAnsi="宋体" w:cs="宋体" w:eastAsia="宋体" w:hint="default"/>
                            <w:spacing w:val="-2"/>
                            <w:sz w:val="18"/>
                            <w:szCs w:val="18"/>
                          </w:rPr>
                          <w:t>，一共</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六级。</w:t>
                        </w:r>
                      </w:p>
                    </w:tc>
                  </w:tr>
                  <w:tr>
                    <w:trPr>
                      <w:trHeight w:val="1051"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国务院</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16" w:lineRule="auto" w:before="62"/>
                          <w:ind w:left="3" w:right="11" w:firstLine="360"/>
                          <w:jc w:val="both"/>
                          <w:rPr>
                            <w:rFonts w:ascii="宋体" w:hAnsi="宋体" w:cs="宋体" w:eastAsia="宋体" w:hint="default"/>
                            <w:sz w:val="18"/>
                            <w:szCs w:val="18"/>
                          </w:rPr>
                        </w:pPr>
                        <w:r>
                          <w:rPr>
                            <w:rFonts w:ascii="宋体" w:hAnsi="宋体" w:cs="宋体" w:eastAsia="宋体" w:hint="default"/>
                            <w:spacing w:val="-1"/>
                            <w:sz w:val="18"/>
                            <w:szCs w:val="18"/>
                          </w:rPr>
                          <w:t>《国务院办公厅关于加强三级公立医院绩效考核工作的意见》，明确电子病历成为医院信息化</w:t>
                        </w:r>
                        <w:r>
                          <w:rPr>
                            <w:rFonts w:ascii="宋体" w:hAnsi="宋体" w:cs="宋体" w:eastAsia="宋体" w:hint="default"/>
                            <w:sz w:val="18"/>
                            <w:szCs w:val="18"/>
                          </w:rPr>
                          <w:t> </w:t>
                        </w:r>
                        <w:r>
                          <w:rPr>
                            <w:rFonts w:ascii="宋体" w:hAnsi="宋体" w:cs="宋体" w:eastAsia="宋体" w:hint="default"/>
                            <w:spacing w:val="-1"/>
                            <w:sz w:val="18"/>
                            <w:szCs w:val="18"/>
                          </w:rPr>
                          <w:t>建设的重点核心。提高病案首页质量，三级公立医院要加强以电子历为核心的信息化建设，按照国</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家统一规定范填写病案首页，加强临床数据标准化、规范化管理。</w:t>
                        </w:r>
                      </w:p>
                    </w:tc>
                  </w:tr>
                  <w:tr>
                    <w:trPr>
                      <w:trHeight w:val="695" w:hRule="exact"/>
                    </w:trPr>
                    <w:tc>
                      <w:tcPr>
                        <w:tcW w:w="832" w:type="dxa"/>
                        <w:tcBorders>
                          <w:top w:val="single" w:sz="6" w:space="0" w:color="000000"/>
                          <w:left w:val="nil" w:sz="6" w:space="0" w:color="auto"/>
                          <w:bottom w:val="single" w:sz="4" w:space="0" w:color="000000"/>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卫建委</w:t>
                        </w:r>
                      </w:p>
                    </w:tc>
                    <w:tc>
                      <w:tcPr>
                        <w:tcW w:w="7745" w:type="dxa"/>
                        <w:tcBorders>
                          <w:top w:val="single" w:sz="6" w:space="0" w:color="000000"/>
                          <w:left w:val="single" w:sz="6" w:space="0" w:color="000000"/>
                          <w:bottom w:val="single" w:sz="4" w:space="0" w:color="000000"/>
                          <w:right w:val="nil" w:sz="6" w:space="0" w:color="auto"/>
                        </w:tcBorders>
                      </w:tcPr>
                      <w:p>
                        <w:pPr>
                          <w:pStyle w:val="TableParagraph"/>
                          <w:spacing w:line="300" w:lineRule="auto" w:before="60"/>
                          <w:ind w:left="3" w:right="11" w:firstLine="360"/>
                          <w:jc w:val="left"/>
                          <w:rPr>
                            <w:rFonts w:ascii="宋体" w:hAnsi="宋体" w:cs="宋体" w:eastAsia="宋体" w:hint="default"/>
                            <w:sz w:val="18"/>
                            <w:szCs w:val="18"/>
                          </w:rPr>
                        </w:pPr>
                        <w:r>
                          <w:rPr>
                            <w:rFonts w:ascii="宋体" w:hAnsi="宋体" w:cs="宋体" w:eastAsia="宋体" w:hint="default"/>
                            <w:sz w:val="18"/>
                            <w:szCs w:val="18"/>
                          </w:rPr>
                          <w:t>《国家卫生健康委统计信息中心关于开展</w:t>
                        </w:r>
                        <w:r>
                          <w:rPr>
                            <w:rFonts w:ascii="Times New Roman" w:hAnsi="Times New Roman" w:cs="Times New Roman" w:eastAsia="Times New Roman" w:hint="default"/>
                            <w:sz w:val="18"/>
                            <w:szCs w:val="18"/>
                          </w:rPr>
                          <w:t>2019</w:t>
                        </w:r>
                        <w:r>
                          <w:rPr>
                            <w:rFonts w:ascii="宋体" w:hAnsi="宋体" w:cs="宋体" w:eastAsia="宋体" w:hint="default"/>
                            <w:sz w:val="18"/>
                            <w:szCs w:val="18"/>
                          </w:rPr>
                          <w:t>年度国家医疗健康信息互联互通标准化成熟度 </w:t>
                        </w:r>
                        <w:r>
                          <w:rPr>
                            <w:rFonts w:ascii="宋体" w:hAnsi="宋体" w:cs="宋体" w:eastAsia="宋体" w:hint="default"/>
                            <w:spacing w:val="-1"/>
                            <w:sz w:val="18"/>
                            <w:szCs w:val="18"/>
                          </w:rPr>
                          <w:t>测评工作的通知》，将加快推进国家医疗健康信息互联互通标准化成熟度测评工作，加强卫生信息</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spacing w:line="240" w:lineRule="auto"/>
        <w:ind w:left="0" w:right="1041"/>
        <w:jc w:val="right"/>
      </w:pPr>
      <w:r>
        <w:rPr/>
        <w:t>，</w:t>
      </w:r>
    </w:p>
    <w:p>
      <w:pPr>
        <w:spacing w:after="0" w:line="240" w:lineRule="auto"/>
        <w:jc w:val="right"/>
        <w:sectPr>
          <w:pgSz w:w="11910" w:h="16840"/>
          <w:pgMar w:header="907" w:footer="1016" w:top="1100" w:bottom="1200" w:left="1000" w:right="0"/>
        </w:sectPr>
      </w:pPr>
    </w:p>
    <w:p>
      <w:pPr>
        <w:spacing w:line="240" w:lineRule="auto" w:before="0"/>
        <w:rPr>
          <w:rFonts w:ascii="宋体" w:hAnsi="宋体" w:cs="宋体" w:eastAsia="宋体" w:hint="default"/>
          <w:sz w:val="20"/>
          <w:szCs w:val="20"/>
        </w:rPr>
      </w:pPr>
      <w:r>
        <w:rPr/>
        <w:pict>
          <v:shape style="position:absolute;margin-left:55.860001pt;margin-top:72.000023pt;width:483.9pt;height:687.65pt;mso-position-horizontal-relative:page;mso-position-vertical-relative:page;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32"/>
                    <w:gridCol w:w="1086"/>
                    <w:gridCol w:w="7745"/>
                  </w:tblGrid>
                  <w:tr>
                    <w:trPr>
                      <w:trHeight w:val="701" w:hRule="exact"/>
                    </w:trPr>
                    <w:tc>
                      <w:tcPr>
                        <w:tcW w:w="832" w:type="dxa"/>
                        <w:tcBorders>
                          <w:top w:val="single" w:sz="4" w:space="0" w:color="000000"/>
                          <w:left w:val="nil" w:sz="6" w:space="0" w:color="auto"/>
                          <w:bottom w:val="single" w:sz="6" w:space="0" w:color="000000"/>
                          <w:right w:val="single" w:sz="6" w:space="0" w:color="000000"/>
                        </w:tcBorders>
                      </w:tcPr>
                      <w:p>
                        <w:pPr/>
                      </w:p>
                    </w:tc>
                    <w:tc>
                      <w:tcPr>
                        <w:tcW w:w="1086" w:type="dxa"/>
                        <w:tcBorders>
                          <w:top w:val="single" w:sz="4" w:space="0" w:color="000000"/>
                          <w:left w:val="single" w:sz="6" w:space="0" w:color="000000"/>
                          <w:bottom w:val="single" w:sz="6" w:space="0" w:color="000000"/>
                          <w:right w:val="single" w:sz="6" w:space="0" w:color="000000"/>
                        </w:tcBorders>
                      </w:tcPr>
                      <w:p>
                        <w:pPr/>
                      </w:p>
                    </w:tc>
                    <w:tc>
                      <w:tcPr>
                        <w:tcW w:w="7745" w:type="dxa"/>
                        <w:tcBorders>
                          <w:top w:val="single" w:sz="4" w:space="0" w:color="000000"/>
                          <w:left w:val="single" w:sz="6" w:space="0" w:color="000000"/>
                          <w:bottom w:val="single" w:sz="6" w:space="0" w:color="000000"/>
                          <w:right w:val="nil" w:sz="6" w:space="0" w:color="auto"/>
                        </w:tcBorders>
                      </w:tcPr>
                      <w:p>
                        <w:pPr>
                          <w:pStyle w:val="TableParagraph"/>
                          <w:spacing w:line="316" w:lineRule="auto" w:before="26"/>
                          <w:ind w:left="3" w:right="11"/>
                          <w:jc w:val="left"/>
                          <w:rPr>
                            <w:rFonts w:ascii="宋体" w:hAnsi="宋体" w:cs="宋体" w:eastAsia="宋体" w:hint="default"/>
                            <w:sz w:val="18"/>
                            <w:szCs w:val="18"/>
                          </w:rPr>
                        </w:pPr>
                        <w:r>
                          <w:rPr>
                            <w:rFonts w:ascii="宋体" w:hAnsi="宋体" w:cs="宋体" w:eastAsia="宋体" w:hint="default"/>
                            <w:spacing w:val="-1"/>
                            <w:sz w:val="18"/>
                            <w:szCs w:val="18"/>
                          </w:rPr>
                          <w:t>标准的推广与应用，以测促用、以测促改、以测促建，促进各地区、各医疗机构信息化水平的提升</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和跨机构跨地域互联互通与信息共享。</w:t>
                        </w:r>
                      </w:p>
                    </w:tc>
                  </w:tr>
                  <w:tr>
                    <w:trPr>
                      <w:trHeight w:val="1051"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316" w:lineRule="auto"/>
                          <w:ind w:left="354" w:right="3" w:hanging="353"/>
                          <w:jc w:val="left"/>
                          <w:rPr>
                            <w:rFonts w:ascii="宋体" w:hAnsi="宋体" w:cs="宋体" w:eastAsia="宋体" w:hint="default"/>
                            <w:sz w:val="18"/>
                            <w:szCs w:val="18"/>
                          </w:rPr>
                        </w:pPr>
                        <w:r>
                          <w:rPr>
                            <w:rFonts w:ascii="宋体" w:hAnsi="宋体" w:cs="宋体" w:eastAsia="宋体" w:hint="default"/>
                            <w:spacing w:val="-3"/>
                            <w:sz w:val="18"/>
                            <w:szCs w:val="18"/>
                          </w:rPr>
                          <w:t>卫健委、中医</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药局</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9" w:lineRule="auto" w:before="61"/>
                          <w:ind w:left="3" w:right="11" w:firstLine="360"/>
                          <w:jc w:val="left"/>
                          <w:rPr>
                            <w:rFonts w:ascii="宋体" w:hAnsi="宋体" w:cs="宋体" w:eastAsia="宋体" w:hint="default"/>
                            <w:sz w:val="18"/>
                            <w:szCs w:val="18"/>
                          </w:rPr>
                        </w:pPr>
                        <w:r>
                          <w:rPr>
                            <w:rFonts w:ascii="宋体" w:hAnsi="宋体" w:cs="宋体" w:eastAsia="宋体" w:hint="default"/>
                            <w:spacing w:val="-1"/>
                            <w:sz w:val="18"/>
                            <w:szCs w:val="18"/>
                          </w:rPr>
                          <w:t>《关于开展城市医疗联合体建设试点工作的通知》《城市医疗联合体建设试点工作方案》，明</w:t>
                        </w:r>
                        <w:r>
                          <w:rPr>
                            <w:rFonts w:ascii="宋体" w:hAnsi="宋体" w:cs="宋体" w:eastAsia="宋体" w:hint="default"/>
                            <w:sz w:val="18"/>
                            <w:szCs w:val="18"/>
                          </w:rPr>
                          <w:t> 确到</w:t>
                        </w:r>
                        <w:r>
                          <w:rPr>
                            <w:rFonts w:ascii="Times New Roman" w:hAnsi="Times New Roman" w:cs="Times New Roman" w:eastAsia="Times New Roman" w:hint="default"/>
                            <w:sz w:val="18"/>
                            <w:szCs w:val="18"/>
                          </w:rPr>
                          <w:t>2019</w:t>
                        </w:r>
                        <w:r>
                          <w:rPr>
                            <w:rFonts w:ascii="宋体" w:hAnsi="宋体" w:cs="宋体" w:eastAsia="宋体" w:hint="default"/>
                            <w:sz w:val="18"/>
                            <w:szCs w:val="18"/>
                          </w:rPr>
                          <w:t>年年底，</w:t>
                        </w:r>
                        <w:r>
                          <w:rPr>
                            <w:rFonts w:ascii="Times New Roman" w:hAnsi="Times New Roman" w:cs="Times New Roman" w:eastAsia="Times New Roman" w:hint="default"/>
                            <w:sz w:val="18"/>
                            <w:szCs w:val="18"/>
                          </w:rPr>
                          <w:t>100</w:t>
                        </w:r>
                        <w:r>
                          <w:rPr>
                            <w:rFonts w:ascii="宋体" w:hAnsi="宋体" w:cs="宋体" w:eastAsia="宋体" w:hint="default"/>
                            <w:sz w:val="18"/>
                            <w:szCs w:val="18"/>
                          </w:rPr>
                          <w:t>个试点城市全面启动城市医联体网格化布局与管理，每个试点城市至少建成 一个有明显成效的医联体；到</w:t>
                        </w:r>
                        <w:r>
                          <w:rPr>
                            <w:rFonts w:ascii="Times New Roman" w:hAnsi="Times New Roman" w:cs="Times New Roman" w:eastAsia="Times New Roman" w:hint="default"/>
                            <w:sz w:val="18"/>
                            <w:szCs w:val="18"/>
                          </w:rPr>
                          <w:t>2020</w:t>
                        </w:r>
                        <w:r>
                          <w:rPr>
                            <w:rFonts w:ascii="宋体" w:hAnsi="宋体" w:cs="宋体" w:eastAsia="宋体" w:hint="default"/>
                            <w:sz w:val="18"/>
                            <w:szCs w:val="18"/>
                          </w:rPr>
                          <w:t>年，</w:t>
                        </w:r>
                        <w:r>
                          <w:rPr>
                            <w:rFonts w:ascii="Times New Roman" w:hAnsi="Times New Roman" w:cs="Times New Roman" w:eastAsia="Times New Roman" w:hint="default"/>
                            <w:sz w:val="18"/>
                            <w:szCs w:val="18"/>
                          </w:rPr>
                          <w:t>100</w:t>
                        </w:r>
                        <w:r>
                          <w:rPr>
                            <w:rFonts w:ascii="宋体" w:hAnsi="宋体" w:cs="宋体" w:eastAsia="宋体" w:hint="default"/>
                            <w:sz w:val="18"/>
                            <w:szCs w:val="18"/>
                          </w:rPr>
                          <w:t>个试点城市形成医联体网格化布局，并取得明显成效。</w:t>
                        </w:r>
                      </w:p>
                    </w:tc>
                  </w:tr>
                  <w:tr>
                    <w:trPr>
                      <w:trHeight w:val="1051"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卫建委</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9" w:lineRule="auto" w:before="61"/>
                          <w:ind w:left="3" w:right="11" w:firstLine="360"/>
                          <w:jc w:val="left"/>
                          <w:rPr>
                            <w:rFonts w:ascii="宋体" w:hAnsi="宋体" w:cs="宋体" w:eastAsia="宋体" w:hint="default"/>
                            <w:sz w:val="18"/>
                            <w:szCs w:val="18"/>
                          </w:rPr>
                        </w:pPr>
                        <w:r>
                          <w:rPr>
                            <w:rFonts w:ascii="宋体" w:hAnsi="宋体" w:cs="宋体" w:eastAsia="宋体" w:hint="default"/>
                            <w:spacing w:val="-1"/>
                            <w:sz w:val="18"/>
                            <w:szCs w:val="18"/>
                          </w:rPr>
                          <w:t>《关于推进紧密型县域医疗卫生共同体建设的通知》，通过紧密型医共体建设，推动构建分级</w:t>
                        </w:r>
                        <w:r>
                          <w:rPr>
                            <w:rFonts w:ascii="宋体" w:hAnsi="宋体" w:cs="宋体" w:eastAsia="宋体" w:hint="default"/>
                            <w:sz w:val="18"/>
                            <w:szCs w:val="18"/>
                          </w:rPr>
                          <w:t> 诊疗、合理诊治和有序就医新秩序。到 </w:t>
                        </w:r>
                        <w:r>
                          <w:rPr>
                            <w:rFonts w:ascii="Times New Roman" w:hAnsi="Times New Roman" w:cs="Times New Roman" w:eastAsia="Times New Roman" w:hint="default"/>
                            <w:sz w:val="18"/>
                            <w:szCs w:val="18"/>
                          </w:rPr>
                          <w:t>2020 </w:t>
                        </w:r>
                        <w:r>
                          <w:rPr>
                            <w:rFonts w:ascii="宋体" w:hAnsi="宋体" w:cs="宋体" w:eastAsia="宋体" w:hint="default"/>
                            <w:sz w:val="18"/>
                            <w:szCs w:val="18"/>
                          </w:rPr>
                          <w:t>年底，在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个县初步建成目标明确、权责清晰、 分工协作的新型县域医疗卫生服务体系，逐步形成服务、责任、利益、管理的共同体。</w:t>
                        </w:r>
                      </w:p>
                    </w:tc>
                  </w:tr>
                  <w:tr>
                    <w:trPr>
                      <w:trHeight w:val="371" w:hRule="exact"/>
                    </w:trPr>
                    <w:tc>
                      <w:tcPr>
                        <w:tcW w:w="832" w:type="dxa"/>
                        <w:tcBorders>
                          <w:top w:val="single" w:sz="6" w:space="0" w:color="000000"/>
                          <w:left w:val="nil" w:sz="6" w:space="0" w:color="auto"/>
                          <w:bottom w:val="nil" w:sz="6" w:space="0" w:color="auto"/>
                          <w:right w:val="single" w:sz="6" w:space="0" w:color="000000"/>
                        </w:tcBorders>
                      </w:tcPr>
                      <w:p>
                        <w:pPr/>
                      </w:p>
                    </w:tc>
                    <w:tc>
                      <w:tcPr>
                        <w:tcW w:w="1086" w:type="dxa"/>
                        <w:tcBorders>
                          <w:top w:val="single" w:sz="6" w:space="0" w:color="000000"/>
                          <w:left w:val="single" w:sz="6" w:space="0" w:color="000000"/>
                          <w:bottom w:val="nil" w:sz="6" w:space="0" w:color="auto"/>
                          <w:right w:val="single" w:sz="6" w:space="0" w:color="000000"/>
                        </w:tcBorders>
                      </w:tcPr>
                      <w:p>
                        <w:pPr/>
                      </w:p>
                    </w:tc>
                    <w:tc>
                      <w:tcPr>
                        <w:tcW w:w="7745" w:type="dxa"/>
                        <w:tcBorders>
                          <w:top w:val="single" w:sz="6" w:space="0" w:color="000000"/>
                          <w:left w:val="single" w:sz="6" w:space="0" w:color="000000"/>
                          <w:bottom w:val="nil" w:sz="6" w:space="0" w:color="auto"/>
                          <w:right w:val="nil" w:sz="6" w:space="0" w:color="auto"/>
                        </w:tcBorders>
                      </w:tcPr>
                      <w:p>
                        <w:pPr>
                          <w:pStyle w:val="TableParagraph"/>
                          <w:spacing w:line="240" w:lineRule="auto" w:before="61"/>
                          <w:ind w:right="11"/>
                          <w:jc w:val="right"/>
                          <w:rPr>
                            <w:rFonts w:ascii="宋体" w:hAnsi="宋体" w:cs="宋体" w:eastAsia="宋体" w:hint="default"/>
                            <w:sz w:val="18"/>
                            <w:szCs w:val="18"/>
                          </w:rPr>
                        </w:pPr>
                        <w:r>
                          <w:rPr>
                            <w:rFonts w:ascii="宋体" w:hAnsi="宋体" w:cs="宋体" w:eastAsia="宋体" w:hint="default"/>
                            <w:spacing w:val="-1"/>
                            <w:sz w:val="18"/>
                            <w:szCs w:val="18"/>
                          </w:rPr>
                          <w:t>《关于实施健康中国行动的意见》，指出，认真落实党中央、国务院关于实施健康中国战略和</w:t>
                        </w:r>
                      </w:p>
                    </w:tc>
                  </w:tr>
                  <w:tr>
                    <w:trPr>
                      <w:trHeight w:val="312"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pacing w:val="-1"/>
                            <w:sz w:val="18"/>
                            <w:szCs w:val="18"/>
                          </w:rPr>
                          <w:t>深化医药卫生体制改革的决策部署，坚持以人民健康为中心，坚持保基本、强基层、建机制，紧紧</w:t>
                        </w:r>
                      </w:p>
                    </w:tc>
                  </w:tr>
                  <w:tr>
                    <w:trPr>
                      <w:trHeight w:val="316" w:hRule="exact"/>
                    </w:trPr>
                    <w:tc>
                      <w:tcPr>
                        <w:tcW w:w="832" w:type="dxa"/>
                        <w:tcBorders>
                          <w:top w:val="nil" w:sz="6" w:space="0" w:color="auto"/>
                          <w:left w:val="nil" w:sz="6" w:space="0" w:color="auto"/>
                          <w:bottom w:val="nil" w:sz="6" w:space="0" w:color="auto"/>
                          <w:right w:val="single" w:sz="6" w:space="0" w:color="000000"/>
                        </w:tcBorders>
                      </w:tcPr>
                      <w:p>
                        <w:pPr>
                          <w:pStyle w:val="TableParagraph"/>
                          <w:spacing w:line="240" w:lineRule="auto" w:before="10"/>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国务院</w:t>
                        </w: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pacing w:val="-1"/>
                            <w:sz w:val="18"/>
                            <w:szCs w:val="18"/>
                          </w:rPr>
                          <w:t>围绕把以治病为中心转变为以人民健康为中心，落实预防为主，加强疾病预防和健康促进，紧紧围</w:t>
                        </w:r>
                      </w:p>
                    </w:tc>
                  </w:tr>
                  <w:tr>
                    <w:trPr>
                      <w:trHeight w:val="308"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6"/>
                          <w:ind w:left="3" w:right="0"/>
                          <w:jc w:val="left"/>
                          <w:rPr>
                            <w:rFonts w:ascii="宋体" w:hAnsi="宋体" w:cs="宋体" w:eastAsia="宋体" w:hint="default"/>
                            <w:sz w:val="18"/>
                            <w:szCs w:val="18"/>
                          </w:rPr>
                        </w:pPr>
                        <w:r>
                          <w:rPr>
                            <w:rFonts w:ascii="宋体" w:hAnsi="宋体" w:cs="宋体" w:eastAsia="宋体" w:hint="default"/>
                            <w:spacing w:val="-1"/>
                            <w:sz w:val="18"/>
                            <w:szCs w:val="18"/>
                          </w:rPr>
                          <w:t>绕解决看病难、看病贵问题，深化医疗、医保、医药联动改革，坚定不移推动医改落地见效、惠及</w:t>
                        </w:r>
                      </w:p>
                    </w:tc>
                  </w:tr>
                  <w:tr>
                    <w:trPr>
                      <w:trHeight w:val="368" w:hRule="exact"/>
                    </w:trPr>
                    <w:tc>
                      <w:tcPr>
                        <w:tcW w:w="832" w:type="dxa"/>
                        <w:tcBorders>
                          <w:top w:val="nil" w:sz="6" w:space="0" w:color="auto"/>
                          <w:left w:val="nil" w:sz="6" w:space="0" w:color="auto"/>
                          <w:bottom w:val="single" w:sz="6" w:space="0" w:color="000000"/>
                          <w:right w:val="single" w:sz="6" w:space="0" w:color="000000"/>
                        </w:tcBorders>
                      </w:tcPr>
                      <w:p>
                        <w:pPr/>
                      </w:p>
                    </w:tc>
                    <w:tc>
                      <w:tcPr>
                        <w:tcW w:w="1086" w:type="dxa"/>
                        <w:tcBorders>
                          <w:top w:val="nil" w:sz="6" w:space="0" w:color="auto"/>
                          <w:left w:val="single" w:sz="6" w:space="0" w:color="000000"/>
                          <w:bottom w:val="single" w:sz="6" w:space="0" w:color="000000"/>
                          <w:right w:val="single" w:sz="6" w:space="0" w:color="000000"/>
                        </w:tcBorders>
                      </w:tcPr>
                      <w:p>
                        <w:pPr/>
                      </w:p>
                    </w:tc>
                    <w:tc>
                      <w:tcPr>
                        <w:tcW w:w="7745" w:type="dxa"/>
                        <w:tcBorders>
                          <w:top w:val="nil" w:sz="6" w:space="0" w:color="auto"/>
                          <w:left w:val="single" w:sz="6" w:space="0" w:color="000000"/>
                          <w:bottom w:val="single" w:sz="6" w:space="0" w:color="000000"/>
                          <w:right w:val="nil" w:sz="6" w:space="0" w:color="auto"/>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人民群众。</w:t>
                        </w:r>
                      </w:p>
                    </w:tc>
                  </w:tr>
                  <w:tr>
                    <w:trPr>
                      <w:trHeight w:val="371" w:hRule="exact"/>
                    </w:trPr>
                    <w:tc>
                      <w:tcPr>
                        <w:tcW w:w="832" w:type="dxa"/>
                        <w:tcBorders>
                          <w:top w:val="single" w:sz="6" w:space="0" w:color="000000"/>
                          <w:left w:val="nil" w:sz="6" w:space="0" w:color="auto"/>
                          <w:bottom w:val="nil" w:sz="6" w:space="0" w:color="auto"/>
                          <w:right w:val="single" w:sz="6" w:space="0" w:color="000000"/>
                        </w:tcBorders>
                      </w:tcPr>
                      <w:p>
                        <w:pPr/>
                      </w:p>
                    </w:tc>
                    <w:tc>
                      <w:tcPr>
                        <w:tcW w:w="1086" w:type="dxa"/>
                        <w:tcBorders>
                          <w:top w:val="single" w:sz="6" w:space="0" w:color="000000"/>
                          <w:left w:val="single" w:sz="6" w:space="0" w:color="000000"/>
                          <w:bottom w:val="nil" w:sz="6" w:space="0" w:color="auto"/>
                          <w:right w:val="single" w:sz="6" w:space="0" w:color="000000"/>
                        </w:tcBorders>
                      </w:tcPr>
                      <w:p>
                        <w:pPr/>
                      </w:p>
                    </w:tc>
                    <w:tc>
                      <w:tcPr>
                        <w:tcW w:w="7745" w:type="dxa"/>
                        <w:tcBorders>
                          <w:top w:val="single" w:sz="6" w:space="0" w:color="000000"/>
                          <w:left w:val="single" w:sz="6" w:space="0" w:color="000000"/>
                          <w:bottom w:val="nil" w:sz="6" w:space="0" w:color="auto"/>
                          <w:right w:val="nil" w:sz="6" w:space="0" w:color="auto"/>
                        </w:tcBorders>
                      </w:tcPr>
                      <w:p>
                        <w:pPr>
                          <w:pStyle w:val="TableParagraph"/>
                          <w:spacing w:line="240" w:lineRule="auto" w:before="62"/>
                          <w:ind w:right="11"/>
                          <w:jc w:val="right"/>
                          <w:rPr>
                            <w:rFonts w:ascii="宋体" w:hAnsi="宋体" w:cs="宋体" w:eastAsia="宋体" w:hint="default"/>
                            <w:sz w:val="18"/>
                            <w:szCs w:val="18"/>
                          </w:rPr>
                        </w:pPr>
                        <w:r>
                          <w:rPr>
                            <w:rFonts w:ascii="宋体" w:hAnsi="宋体" w:cs="宋体" w:eastAsia="宋体" w:hint="default"/>
                            <w:spacing w:val="-1"/>
                            <w:sz w:val="18"/>
                            <w:szCs w:val="18"/>
                          </w:rPr>
                          <w:t>《区域医疗中心建设试点工作方案》，《方案》指出，在京、沪等医疗资源富集地区遴选若干</w:t>
                        </w:r>
                      </w:p>
                    </w:tc>
                  </w:tr>
                  <w:tr>
                    <w:trPr>
                      <w:trHeight w:val="312"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pacing w:val="-1"/>
                            <w:sz w:val="18"/>
                            <w:szCs w:val="18"/>
                          </w:rPr>
                          <w:t>优质医疗机构，通过建设分中心、分支机构，促进医师多点执业等多种方式，在患者流出多、医疗</w:t>
                        </w:r>
                      </w:p>
                    </w:tc>
                  </w:tr>
                  <w:tr>
                    <w:trPr>
                      <w:trHeight w:val="316"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pacing w:val="-2"/>
                            <w:sz w:val="18"/>
                            <w:szCs w:val="18"/>
                          </w:rPr>
                          <w:t>资源相对薄弱地区建设区域医疗中心。通过</w:t>
                        </w:r>
                        <w:r>
                          <w:rPr>
                            <w:rFonts w:ascii="Times New Roman" w:hAnsi="Times New Roman" w:cs="Times New Roman" w:eastAsia="Times New Roman" w:hint="default"/>
                            <w:spacing w:val="-2"/>
                            <w:sz w:val="18"/>
                            <w:szCs w:val="18"/>
                          </w:rPr>
                          <w:t>3-5</w:t>
                        </w:r>
                        <w:r>
                          <w:rPr>
                            <w:rFonts w:ascii="宋体" w:hAnsi="宋体" w:cs="宋体" w:eastAsia="宋体" w:hint="default"/>
                            <w:spacing w:val="-2"/>
                            <w:sz w:val="18"/>
                            <w:szCs w:val="18"/>
                          </w:rPr>
                          <w:t>年努力，在优质医疗资源短缺地区建成一批高水平的</w:t>
                        </w:r>
                      </w:p>
                    </w:tc>
                  </w:tr>
                  <w:tr>
                    <w:trPr>
                      <w:trHeight w:val="312" w:hRule="exact"/>
                    </w:trPr>
                    <w:tc>
                      <w:tcPr>
                        <w:tcW w:w="832" w:type="dxa"/>
                        <w:tcBorders>
                          <w:top w:val="nil" w:sz="6" w:space="0" w:color="auto"/>
                          <w:left w:val="nil" w:sz="6" w:space="0" w:color="auto"/>
                          <w:bottom w:val="nil" w:sz="6" w:space="0" w:color="auto"/>
                          <w:right w:val="single" w:sz="6" w:space="0" w:color="000000"/>
                        </w:tcBorders>
                      </w:tcPr>
                      <w:p>
                        <w:pPr>
                          <w:pStyle w:val="TableParagraph"/>
                          <w:spacing w:line="240" w:lineRule="auto" w:before="6"/>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center"/>
                          <w:rPr>
                            <w:rFonts w:ascii="宋体" w:hAnsi="宋体" w:cs="宋体" w:eastAsia="宋体" w:hint="default"/>
                            <w:sz w:val="18"/>
                            <w:szCs w:val="18"/>
                          </w:rPr>
                        </w:pPr>
                        <w:r>
                          <w:rPr>
                            <w:rFonts w:ascii="宋体" w:hAnsi="宋体" w:cs="宋体" w:eastAsia="宋体" w:hint="default"/>
                            <w:sz w:val="18"/>
                            <w:szCs w:val="18"/>
                          </w:rPr>
                          <w:t>发改委</w:t>
                        </w: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6"/>
                          <w:ind w:left="3" w:right="-6"/>
                          <w:jc w:val="left"/>
                          <w:rPr>
                            <w:rFonts w:ascii="宋体" w:hAnsi="宋体" w:cs="宋体" w:eastAsia="宋体" w:hint="default"/>
                            <w:sz w:val="18"/>
                            <w:szCs w:val="18"/>
                          </w:rPr>
                        </w:pPr>
                        <w:r>
                          <w:rPr>
                            <w:rFonts w:ascii="宋体" w:hAnsi="宋体" w:cs="宋体" w:eastAsia="宋体" w:hint="default"/>
                            <w:sz w:val="18"/>
                            <w:szCs w:val="18"/>
                          </w:rPr>
                          <w:t>临床诊疗中心、高层次的人才培养基地和高水准的科研创新与转化平台，培育一批品牌优势明显、</w:t>
                        </w:r>
                      </w:p>
                    </w:tc>
                  </w:tr>
                  <w:tr>
                    <w:trPr>
                      <w:trHeight w:val="312"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6"/>
                          <w:ind w:left="3" w:right="0"/>
                          <w:jc w:val="left"/>
                          <w:rPr>
                            <w:rFonts w:ascii="宋体" w:hAnsi="宋体" w:cs="宋体" w:eastAsia="宋体" w:hint="default"/>
                            <w:sz w:val="18"/>
                            <w:szCs w:val="18"/>
                          </w:rPr>
                        </w:pPr>
                        <w:r>
                          <w:rPr>
                            <w:rFonts w:ascii="宋体" w:hAnsi="宋体" w:cs="宋体" w:eastAsia="宋体" w:hint="default"/>
                            <w:sz w:val="18"/>
                            <w:szCs w:val="18"/>
                          </w:rPr>
                          <w:t>跨区域提供高水平服务的医疗集团，打造一批以高水平医院为依托的“互联网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医疗健康”协作平</w:t>
                        </w:r>
                      </w:p>
                    </w:tc>
                  </w:tr>
                  <w:tr>
                    <w:trPr>
                      <w:trHeight w:val="308"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6"/>
                          <w:ind w:left="3" w:right="0"/>
                          <w:jc w:val="left"/>
                          <w:rPr>
                            <w:rFonts w:ascii="宋体" w:hAnsi="宋体" w:cs="宋体" w:eastAsia="宋体" w:hint="default"/>
                            <w:sz w:val="18"/>
                            <w:szCs w:val="18"/>
                          </w:rPr>
                        </w:pPr>
                        <w:r>
                          <w:rPr>
                            <w:rFonts w:ascii="宋体" w:hAnsi="宋体" w:cs="宋体" w:eastAsia="宋体" w:hint="default"/>
                            <w:spacing w:val="-1"/>
                            <w:sz w:val="18"/>
                            <w:szCs w:val="18"/>
                          </w:rPr>
                          <w:t>台，形成一批以区域医疗中心为核心的专科联盟，相关地区重点病种治疗水平与京、沪等地差距大</w:t>
                        </w:r>
                      </w:p>
                    </w:tc>
                  </w:tr>
                  <w:tr>
                    <w:trPr>
                      <w:trHeight w:val="368" w:hRule="exact"/>
                    </w:trPr>
                    <w:tc>
                      <w:tcPr>
                        <w:tcW w:w="832" w:type="dxa"/>
                        <w:tcBorders>
                          <w:top w:val="nil" w:sz="6" w:space="0" w:color="auto"/>
                          <w:left w:val="nil" w:sz="6" w:space="0" w:color="auto"/>
                          <w:bottom w:val="single" w:sz="6" w:space="0" w:color="000000"/>
                          <w:right w:val="single" w:sz="6" w:space="0" w:color="000000"/>
                        </w:tcBorders>
                      </w:tcPr>
                      <w:p>
                        <w:pPr/>
                      </w:p>
                    </w:tc>
                    <w:tc>
                      <w:tcPr>
                        <w:tcW w:w="1086" w:type="dxa"/>
                        <w:tcBorders>
                          <w:top w:val="nil" w:sz="6" w:space="0" w:color="auto"/>
                          <w:left w:val="single" w:sz="6" w:space="0" w:color="000000"/>
                          <w:bottom w:val="single" w:sz="6" w:space="0" w:color="000000"/>
                          <w:right w:val="single" w:sz="6" w:space="0" w:color="000000"/>
                        </w:tcBorders>
                      </w:tcPr>
                      <w:p>
                        <w:pPr/>
                      </w:p>
                    </w:tc>
                    <w:tc>
                      <w:tcPr>
                        <w:tcW w:w="7745" w:type="dxa"/>
                        <w:tcBorders>
                          <w:top w:val="nil" w:sz="6" w:space="0" w:color="auto"/>
                          <w:left w:val="single" w:sz="6" w:space="0" w:color="000000"/>
                          <w:bottom w:val="single" w:sz="6" w:space="0" w:color="000000"/>
                          <w:right w:val="nil" w:sz="6" w:space="0" w:color="auto"/>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幅缩小，跨省、跨区域就医大幅减少，推动分级诊疗制度建设取得突破性进展。</w:t>
                        </w:r>
                      </w:p>
                    </w:tc>
                  </w:tr>
                  <w:tr>
                    <w:trPr>
                      <w:trHeight w:val="427" w:hRule="exact"/>
                    </w:trPr>
                    <w:tc>
                      <w:tcPr>
                        <w:tcW w:w="9663" w:type="dxa"/>
                        <w:gridSpan w:val="3"/>
                        <w:tcBorders>
                          <w:top w:val="single" w:sz="6" w:space="0" w:color="000000"/>
                          <w:left w:val="nil" w:sz="6" w:space="0" w:color="auto"/>
                          <w:bottom w:val="single" w:sz="6" w:space="0" w:color="000000"/>
                          <w:right w:val="nil" w:sz="6" w:space="0" w:color="auto"/>
                        </w:tcBorders>
                        <w:shd w:val="clear" w:color="auto" w:fill="D6D6D6"/>
                      </w:tcPr>
                      <w:p>
                        <w:pPr>
                          <w:pStyle w:val="TableParagraph"/>
                          <w:spacing w:line="240" w:lineRule="auto" w:before="62"/>
                          <w:ind w:left="366" w:right="0"/>
                          <w:jc w:val="center"/>
                          <w:rPr>
                            <w:rFonts w:ascii="宋体" w:hAnsi="宋体" w:cs="宋体" w:eastAsia="宋体" w:hint="default"/>
                            <w:sz w:val="18"/>
                            <w:szCs w:val="18"/>
                          </w:rPr>
                        </w:pPr>
                        <w:r>
                          <w:rPr>
                            <w:rFonts w:ascii="宋体" w:hAnsi="宋体" w:cs="宋体" w:eastAsia="宋体" w:hint="default"/>
                            <w:b/>
                            <w:bCs/>
                            <w:sz w:val="18"/>
                            <w:szCs w:val="18"/>
                          </w:rPr>
                          <w:t>医卫互联网业务近年政策</w:t>
                        </w:r>
                        <w:r>
                          <w:rPr>
                            <w:rFonts w:ascii="宋体" w:hAnsi="宋体" w:cs="宋体" w:eastAsia="宋体" w:hint="default"/>
                            <w:sz w:val="18"/>
                            <w:szCs w:val="18"/>
                          </w:rPr>
                        </w:r>
                      </w:p>
                    </w:tc>
                  </w:tr>
                  <w:tr>
                    <w:trPr>
                      <w:trHeight w:val="394" w:hRule="exact"/>
                    </w:trPr>
                    <w:tc>
                      <w:tcPr>
                        <w:tcW w:w="832" w:type="dxa"/>
                        <w:tcBorders>
                          <w:top w:val="single" w:sz="6" w:space="0" w:color="000000"/>
                          <w:left w:val="nil" w:sz="6" w:space="0" w:color="auto"/>
                          <w:bottom w:val="nil" w:sz="6" w:space="0" w:color="auto"/>
                          <w:right w:val="single" w:sz="6" w:space="0" w:color="000000"/>
                        </w:tcBorders>
                      </w:tcPr>
                      <w:p>
                        <w:pPr/>
                      </w:p>
                    </w:tc>
                    <w:tc>
                      <w:tcPr>
                        <w:tcW w:w="108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single" w:sz="6" w:space="0" w:color="000000"/>
                          <w:left w:val="single" w:sz="6" w:space="0" w:color="000000"/>
                          <w:bottom w:val="nil" w:sz="6" w:space="0" w:color="auto"/>
                          <w:right w:val="nil" w:sz="6" w:space="0" w:color="auto"/>
                        </w:tcBorders>
                      </w:tcPr>
                      <w:p>
                        <w:pPr>
                          <w:pStyle w:val="TableParagraph"/>
                          <w:spacing w:line="240" w:lineRule="auto" w:before="81"/>
                          <w:ind w:right="11"/>
                          <w:jc w:val="right"/>
                          <w:rPr>
                            <w:rFonts w:ascii="宋体" w:hAnsi="宋体" w:cs="宋体" w:eastAsia="宋体" w:hint="default"/>
                            <w:sz w:val="18"/>
                            <w:szCs w:val="18"/>
                          </w:rPr>
                        </w:pPr>
                        <w:r>
                          <w:rPr>
                            <w:rFonts w:ascii="宋体" w:hAnsi="宋体" w:cs="宋体" w:eastAsia="宋体" w:hint="default"/>
                            <w:sz w:val="18"/>
                            <w:szCs w:val="18"/>
                          </w:rPr>
                          <w:t>《关于印发进一步改善医疗服务行动计划（</w:t>
                        </w:r>
                        <w:r>
                          <w:rPr>
                            <w:rFonts w:ascii="Times New Roman" w:hAnsi="Times New Roman" w:cs="Times New Roman" w:eastAsia="Times New Roman" w:hint="default"/>
                            <w:sz w:val="18"/>
                            <w:szCs w:val="18"/>
                          </w:rPr>
                          <w:t>2018-2021</w:t>
                        </w:r>
                        <w:r>
                          <w:rPr>
                            <w:rFonts w:ascii="Times New Roman" w:hAnsi="Times New Roman" w:cs="Times New Roman" w:eastAsia="Times New Roman" w:hint="default"/>
                            <w:spacing w:val="38"/>
                            <w:sz w:val="18"/>
                            <w:szCs w:val="18"/>
                          </w:rPr>
                          <w:t> </w:t>
                        </w:r>
                        <w:r>
                          <w:rPr>
                            <w:rFonts w:ascii="宋体" w:hAnsi="宋体" w:cs="宋体" w:eastAsia="宋体" w:hint="default"/>
                            <w:spacing w:val="-5"/>
                            <w:sz w:val="18"/>
                            <w:szCs w:val="18"/>
                          </w:rPr>
                          <w:t>年）》，以“互联网</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”为手段，建设智</w:t>
                        </w:r>
                      </w:p>
                    </w:tc>
                  </w:tr>
                  <w:tr>
                    <w:trPr>
                      <w:trHeight w:val="318" w:hRule="exact"/>
                    </w:trPr>
                    <w:tc>
                      <w:tcPr>
                        <w:tcW w:w="832" w:type="dxa"/>
                        <w:tcBorders>
                          <w:top w:val="nil" w:sz="6" w:space="0" w:color="auto"/>
                          <w:left w:val="nil" w:sz="6" w:space="0" w:color="auto"/>
                          <w:bottom w:val="nil" w:sz="6" w:space="0" w:color="auto"/>
                          <w:right w:val="single" w:sz="6" w:space="0" w:color="000000"/>
                        </w:tcBorders>
                      </w:tcPr>
                      <w:p>
                        <w:pPr>
                          <w:pStyle w:val="TableParagraph"/>
                          <w:spacing w:line="240" w:lineRule="auto" w:before="6"/>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2018</w:t>
                        </w:r>
                        <w:r>
                          <w:rPr>
                            <w:rFonts w:ascii="宋体" w:hAnsi="宋体" w:cs="宋体" w:eastAsia="宋体" w:hint="default"/>
                            <w:spacing w:val="-1"/>
                            <w:sz w:val="18"/>
                            <w:szCs w:val="18"/>
                          </w:rPr>
                          <w:t>年</w:t>
                        </w:r>
                      </w:p>
                    </w:tc>
                    <w:tc>
                      <w:tcPr>
                        <w:tcW w:w="1086" w:type="dxa"/>
                        <w:tcBorders>
                          <w:top w:val="nil" w:sz="6" w:space="0" w:color="auto"/>
                          <w:left w:val="single" w:sz="6" w:space="0" w:color="000000"/>
                          <w:bottom w:val="nil" w:sz="6" w:space="0" w:color="auto"/>
                          <w:right w:val="single" w:sz="6" w:space="0" w:color="000000"/>
                        </w:tcBorders>
                      </w:tcPr>
                      <w:p>
                        <w:pPr>
                          <w:pStyle w:val="TableParagraph"/>
                          <w:spacing w:line="240" w:lineRule="auto" w:before="26"/>
                          <w:ind w:right="0"/>
                          <w:jc w:val="center"/>
                          <w:rPr>
                            <w:rFonts w:ascii="宋体" w:hAnsi="宋体" w:cs="宋体" w:eastAsia="宋体" w:hint="default"/>
                            <w:sz w:val="18"/>
                            <w:szCs w:val="18"/>
                          </w:rPr>
                        </w:pPr>
                        <w:r>
                          <w:rPr>
                            <w:rFonts w:ascii="宋体" w:hAnsi="宋体" w:cs="宋体" w:eastAsia="宋体" w:hint="default"/>
                            <w:sz w:val="18"/>
                            <w:szCs w:val="18"/>
                          </w:rPr>
                          <w:t>国家中医药</w:t>
                        </w: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6"/>
                          <w:ind w:left="3" w:right="0"/>
                          <w:jc w:val="left"/>
                          <w:rPr>
                            <w:rFonts w:ascii="宋体" w:hAnsi="宋体" w:cs="宋体" w:eastAsia="宋体" w:hint="default"/>
                            <w:sz w:val="18"/>
                            <w:szCs w:val="18"/>
                          </w:rPr>
                        </w:pPr>
                        <w:r>
                          <w:rPr>
                            <w:rFonts w:ascii="宋体" w:hAnsi="宋体" w:cs="宋体" w:eastAsia="宋体" w:hint="default"/>
                            <w:spacing w:val="-1"/>
                            <w:sz w:val="18"/>
                            <w:szCs w:val="18"/>
                          </w:rPr>
                          <w:t>慧医院。应用互联网、物联网等新技术，实现配药发药、内部物流、患者安全管理等信息化、智能</w:t>
                        </w:r>
                      </w:p>
                    </w:tc>
                  </w:tr>
                  <w:tr>
                    <w:trPr>
                      <w:trHeight w:val="379" w:hRule="exact"/>
                    </w:trPr>
                    <w:tc>
                      <w:tcPr>
                        <w:tcW w:w="832" w:type="dxa"/>
                        <w:tcBorders>
                          <w:top w:val="nil" w:sz="6" w:space="0" w:color="auto"/>
                          <w:left w:val="nil" w:sz="6" w:space="0" w:color="auto"/>
                          <w:bottom w:val="single" w:sz="6" w:space="0" w:color="000000"/>
                          <w:right w:val="single" w:sz="6" w:space="0" w:color="000000"/>
                        </w:tcBorders>
                      </w:tcPr>
                      <w:p>
                        <w:pPr/>
                      </w:p>
                    </w:tc>
                    <w:tc>
                      <w:tcPr>
                        <w:tcW w:w="108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管理局</w:t>
                        </w:r>
                      </w:p>
                    </w:tc>
                    <w:tc>
                      <w:tcPr>
                        <w:tcW w:w="7745" w:type="dxa"/>
                        <w:tcBorders>
                          <w:top w:val="nil" w:sz="6" w:space="0" w:color="auto"/>
                          <w:left w:val="single" w:sz="6" w:space="0" w:color="000000"/>
                          <w:bottom w:val="single" w:sz="6" w:space="0" w:color="000000"/>
                          <w:right w:val="nil" w:sz="6" w:space="0" w:color="auto"/>
                        </w:tcBorders>
                      </w:tcPr>
                      <w:p>
                        <w:pPr>
                          <w:pStyle w:val="TableParagraph"/>
                          <w:spacing w:line="240" w:lineRule="auto" w:before="1"/>
                          <w:ind w:left="3" w:right="0"/>
                          <w:jc w:val="left"/>
                          <w:rPr>
                            <w:rFonts w:ascii="宋体" w:hAnsi="宋体" w:cs="宋体" w:eastAsia="宋体" w:hint="default"/>
                            <w:sz w:val="18"/>
                            <w:szCs w:val="18"/>
                          </w:rPr>
                        </w:pPr>
                        <w:r>
                          <w:rPr>
                            <w:rFonts w:ascii="宋体" w:hAnsi="宋体" w:cs="宋体" w:eastAsia="宋体" w:hint="default"/>
                            <w:sz w:val="18"/>
                            <w:szCs w:val="18"/>
                          </w:rPr>
                          <w:t>化。</w:t>
                        </w:r>
                      </w:p>
                    </w:tc>
                  </w:tr>
                  <w:tr>
                    <w:trPr>
                      <w:trHeight w:val="739"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2018</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国务院</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0" w:lineRule="auto" w:before="61"/>
                          <w:ind w:left="3" w:right="71" w:firstLine="360"/>
                          <w:jc w:val="left"/>
                          <w:rPr>
                            <w:rFonts w:ascii="宋体" w:hAnsi="宋体" w:cs="宋体" w:eastAsia="宋体" w:hint="default"/>
                            <w:sz w:val="18"/>
                            <w:szCs w:val="18"/>
                          </w:rPr>
                        </w:pPr>
                        <w:r>
                          <w:rPr>
                            <w:rFonts w:ascii="宋体" w:hAnsi="宋体" w:cs="宋体" w:eastAsia="宋体" w:hint="default"/>
                            <w:sz w:val="18"/>
                            <w:szCs w:val="18"/>
                          </w:rPr>
                          <w:t>《政府工作报告》中明确提出加速互联网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医疗、异地就医直接结算、分级诊疗、医联体等领 域建设。</w:t>
                        </w:r>
                      </w:p>
                    </w:tc>
                  </w:tr>
                  <w:tr>
                    <w:trPr>
                      <w:trHeight w:val="375" w:hRule="exact"/>
                    </w:trPr>
                    <w:tc>
                      <w:tcPr>
                        <w:tcW w:w="832" w:type="dxa"/>
                        <w:tcBorders>
                          <w:top w:val="single" w:sz="6" w:space="0" w:color="000000"/>
                          <w:left w:val="nil" w:sz="6" w:space="0" w:color="auto"/>
                          <w:bottom w:val="nil" w:sz="6" w:space="0" w:color="auto"/>
                          <w:right w:val="single" w:sz="6" w:space="0" w:color="000000"/>
                        </w:tcBorders>
                      </w:tcPr>
                      <w:p>
                        <w:pPr/>
                      </w:p>
                    </w:tc>
                    <w:tc>
                      <w:tcPr>
                        <w:tcW w:w="1086" w:type="dxa"/>
                        <w:tcBorders>
                          <w:top w:val="single" w:sz="6" w:space="0" w:color="000000"/>
                          <w:left w:val="single" w:sz="6" w:space="0" w:color="000000"/>
                          <w:bottom w:val="nil" w:sz="6" w:space="0" w:color="auto"/>
                          <w:right w:val="single" w:sz="6" w:space="0" w:color="000000"/>
                        </w:tcBorders>
                      </w:tcPr>
                      <w:p>
                        <w:pPr/>
                      </w:p>
                    </w:tc>
                    <w:tc>
                      <w:tcPr>
                        <w:tcW w:w="7745" w:type="dxa"/>
                        <w:tcBorders>
                          <w:top w:val="single" w:sz="6" w:space="0" w:color="000000"/>
                          <w:left w:val="single" w:sz="6" w:space="0" w:color="000000"/>
                          <w:bottom w:val="nil" w:sz="6" w:space="0" w:color="auto"/>
                          <w:right w:val="nil" w:sz="6" w:space="0" w:color="auto"/>
                        </w:tcBorders>
                      </w:tcPr>
                      <w:p>
                        <w:pPr>
                          <w:pStyle w:val="TableParagraph"/>
                          <w:spacing w:line="240" w:lineRule="auto" w:before="61"/>
                          <w:ind w:right="59"/>
                          <w:jc w:val="right"/>
                          <w:rPr>
                            <w:rFonts w:ascii="宋体" w:hAnsi="宋体" w:cs="宋体" w:eastAsia="宋体" w:hint="default"/>
                            <w:sz w:val="18"/>
                            <w:szCs w:val="18"/>
                          </w:rPr>
                        </w:pPr>
                        <w:r>
                          <w:rPr>
                            <w:rFonts w:ascii="宋体" w:hAnsi="宋体" w:cs="宋体" w:eastAsia="宋体" w:hint="default"/>
                            <w:sz w:val="18"/>
                            <w:szCs w:val="18"/>
                          </w:rPr>
                          <w:t>《关于促进“互联网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医疗健康”发展的意见》，意见指出医疗机构运用“互联网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 </w:t>
                        </w:r>
                        <w:r>
                          <w:rPr>
                            <w:rFonts w:ascii="宋体" w:hAnsi="宋体" w:cs="宋体" w:eastAsia="宋体" w:hint="default"/>
                            <w:sz w:val="18"/>
                            <w:szCs w:val="18"/>
                          </w:rPr>
                          <w:t>优化现</w:t>
                        </w:r>
                      </w:p>
                    </w:tc>
                  </w:tr>
                  <w:tr>
                    <w:trPr>
                      <w:trHeight w:val="312"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5"/>
                          <w:ind w:left="3" w:right="0"/>
                          <w:jc w:val="left"/>
                          <w:rPr>
                            <w:rFonts w:ascii="宋体" w:hAnsi="宋体" w:cs="宋体" w:eastAsia="宋体" w:hint="default"/>
                            <w:sz w:val="18"/>
                            <w:szCs w:val="18"/>
                          </w:rPr>
                        </w:pPr>
                        <w:r>
                          <w:rPr>
                            <w:rFonts w:ascii="宋体" w:hAnsi="宋体" w:cs="宋体" w:eastAsia="宋体" w:hint="default"/>
                            <w:sz w:val="18"/>
                            <w:szCs w:val="18"/>
                          </w:rPr>
                          <w:t>有医疗服务，推动互联网与医疗健康深度融合。三级医院在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年前实现院内医疗服务信息互通</w:t>
                        </w:r>
                      </w:p>
                    </w:tc>
                  </w:tr>
                  <w:tr>
                    <w:trPr>
                      <w:trHeight w:val="312" w:hRule="exact"/>
                    </w:trPr>
                    <w:tc>
                      <w:tcPr>
                        <w:tcW w:w="832" w:type="dxa"/>
                        <w:tcBorders>
                          <w:top w:val="nil" w:sz="6" w:space="0" w:color="auto"/>
                          <w:left w:val="nil" w:sz="6" w:space="0" w:color="auto"/>
                          <w:bottom w:val="nil" w:sz="6" w:space="0" w:color="auto"/>
                          <w:right w:val="single" w:sz="6" w:space="0" w:color="000000"/>
                        </w:tcBorders>
                      </w:tcPr>
                      <w:p>
                        <w:pPr>
                          <w:pStyle w:val="TableParagraph"/>
                          <w:spacing w:line="240" w:lineRule="auto" w:before="5"/>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2018</w:t>
                        </w:r>
                        <w:r>
                          <w:rPr>
                            <w:rFonts w:ascii="宋体" w:hAnsi="宋体" w:cs="宋体" w:eastAsia="宋体" w:hint="default"/>
                            <w:spacing w:val="-1"/>
                            <w:sz w:val="18"/>
                            <w:szCs w:val="18"/>
                          </w:rPr>
                          <w:t>年</w:t>
                        </w:r>
                      </w:p>
                    </w:tc>
                    <w:tc>
                      <w:tcPr>
                        <w:tcW w:w="108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国务院</w:t>
                        </w: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5"/>
                          <w:ind w:left="3" w:right="0"/>
                          <w:jc w:val="left"/>
                          <w:rPr>
                            <w:rFonts w:ascii="Times New Roman" w:hAnsi="Times New Roman" w:cs="Times New Roman" w:eastAsia="Times New Roman" w:hint="default"/>
                            <w:sz w:val="18"/>
                            <w:szCs w:val="18"/>
                          </w:rPr>
                        </w:pPr>
                        <w:r>
                          <w:rPr>
                            <w:rFonts w:ascii="宋体" w:hAnsi="宋体" w:cs="宋体" w:eastAsia="宋体" w:hint="default"/>
                            <w:spacing w:val="-5"/>
                            <w:sz w:val="18"/>
                            <w:szCs w:val="18"/>
                          </w:rPr>
                          <w:t>共享、二级以上医院要健全医院信息平台功能，整合院内各类系统资源，提升医院管理效率。到</w:t>
                        </w:r>
                        <w:r>
                          <w:rPr>
                            <w:rFonts w:ascii="Times New Roman" w:hAnsi="Times New Roman" w:cs="Times New Roman" w:eastAsia="Times New Roman" w:hint="default"/>
                            <w:spacing w:val="-5"/>
                            <w:sz w:val="18"/>
                            <w:szCs w:val="18"/>
                          </w:rPr>
                          <w:t>2020</w:t>
                        </w:r>
                      </w:p>
                    </w:tc>
                  </w:tr>
                  <w:tr>
                    <w:trPr>
                      <w:trHeight w:val="307"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5"/>
                          <w:ind w:left="3" w:right="0"/>
                          <w:jc w:val="left"/>
                          <w:rPr>
                            <w:rFonts w:ascii="宋体" w:hAnsi="宋体" w:cs="宋体" w:eastAsia="宋体" w:hint="default"/>
                            <w:sz w:val="18"/>
                            <w:szCs w:val="18"/>
                          </w:rPr>
                        </w:pPr>
                        <w:r>
                          <w:rPr>
                            <w:rFonts w:ascii="宋体" w:hAnsi="宋体" w:cs="宋体" w:eastAsia="宋体" w:hint="default"/>
                            <w:sz w:val="18"/>
                            <w:szCs w:val="18"/>
                          </w:rPr>
                          <w:t>年，二级以上医院普遍提供分时段预约诊疗、智能导医分诊、候诊提醒</w:t>
                        </w:r>
                        <w:r>
                          <w:rPr>
                            <w:rFonts w:ascii="宋体" w:hAnsi="宋体" w:cs="宋体" w:eastAsia="宋体" w:hint="default"/>
                            <w:spacing w:val="-2"/>
                            <w:sz w:val="18"/>
                            <w:szCs w:val="18"/>
                          </w:rPr>
                          <w:t> </w:t>
                        </w:r>
                        <w:r>
                          <w:rPr>
                            <w:rFonts w:ascii="宋体" w:hAnsi="宋体" w:cs="宋体" w:eastAsia="宋体" w:hint="default"/>
                            <w:sz w:val="18"/>
                            <w:szCs w:val="18"/>
                          </w:rPr>
                          <w:t>、检验检查结果查询、诊</w:t>
                        </w:r>
                      </w:p>
                    </w:tc>
                  </w:tr>
                  <w:tr>
                    <w:trPr>
                      <w:trHeight w:val="369" w:hRule="exact"/>
                    </w:trPr>
                    <w:tc>
                      <w:tcPr>
                        <w:tcW w:w="832" w:type="dxa"/>
                        <w:tcBorders>
                          <w:top w:val="nil" w:sz="6" w:space="0" w:color="auto"/>
                          <w:left w:val="nil" w:sz="6" w:space="0" w:color="auto"/>
                          <w:bottom w:val="single" w:sz="6" w:space="0" w:color="000000"/>
                          <w:right w:val="single" w:sz="6" w:space="0" w:color="000000"/>
                        </w:tcBorders>
                      </w:tcPr>
                      <w:p>
                        <w:pPr/>
                      </w:p>
                    </w:tc>
                    <w:tc>
                      <w:tcPr>
                        <w:tcW w:w="1086" w:type="dxa"/>
                        <w:tcBorders>
                          <w:top w:val="nil" w:sz="6" w:space="0" w:color="auto"/>
                          <w:left w:val="single" w:sz="6" w:space="0" w:color="000000"/>
                          <w:bottom w:val="single" w:sz="6" w:space="0" w:color="000000"/>
                          <w:right w:val="single" w:sz="6" w:space="0" w:color="000000"/>
                        </w:tcBorders>
                      </w:tcPr>
                      <w:p>
                        <w:pPr/>
                      </w:p>
                    </w:tc>
                    <w:tc>
                      <w:tcPr>
                        <w:tcW w:w="7745" w:type="dxa"/>
                        <w:tcBorders>
                          <w:top w:val="nil" w:sz="6" w:space="0" w:color="auto"/>
                          <w:left w:val="single" w:sz="6" w:space="0" w:color="000000"/>
                          <w:bottom w:val="single" w:sz="6" w:space="0" w:color="000000"/>
                          <w:right w:val="nil" w:sz="6" w:space="0" w:color="auto"/>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间结算、移动支付等线上服务。</w:t>
                        </w:r>
                      </w:p>
                    </w:tc>
                  </w:tr>
                  <w:tr>
                    <w:trPr>
                      <w:trHeight w:val="375" w:hRule="exact"/>
                    </w:trPr>
                    <w:tc>
                      <w:tcPr>
                        <w:tcW w:w="832" w:type="dxa"/>
                        <w:tcBorders>
                          <w:top w:val="single" w:sz="6" w:space="0" w:color="000000"/>
                          <w:left w:val="nil" w:sz="6" w:space="0" w:color="auto"/>
                          <w:bottom w:val="nil" w:sz="6" w:space="0" w:color="auto"/>
                          <w:right w:val="single" w:sz="6" w:space="0" w:color="000000"/>
                        </w:tcBorders>
                      </w:tcPr>
                      <w:p>
                        <w:pPr/>
                      </w:p>
                    </w:tc>
                    <w:tc>
                      <w:tcPr>
                        <w:tcW w:w="1086" w:type="dxa"/>
                        <w:tcBorders>
                          <w:top w:val="single" w:sz="6" w:space="0" w:color="000000"/>
                          <w:left w:val="single" w:sz="6" w:space="0" w:color="000000"/>
                          <w:bottom w:val="nil" w:sz="6" w:space="0" w:color="auto"/>
                          <w:right w:val="single" w:sz="6" w:space="0" w:color="000000"/>
                        </w:tcBorders>
                      </w:tcPr>
                      <w:p>
                        <w:pPr/>
                      </w:p>
                    </w:tc>
                    <w:tc>
                      <w:tcPr>
                        <w:tcW w:w="7745" w:type="dxa"/>
                        <w:tcBorders>
                          <w:top w:val="single" w:sz="6" w:space="0" w:color="000000"/>
                          <w:left w:val="single" w:sz="6" w:space="0" w:color="000000"/>
                          <w:bottom w:val="nil" w:sz="6" w:space="0" w:color="auto"/>
                          <w:right w:val="nil" w:sz="6" w:space="0" w:color="auto"/>
                        </w:tcBorders>
                      </w:tcPr>
                      <w:p>
                        <w:pPr>
                          <w:pStyle w:val="TableParagraph"/>
                          <w:spacing w:line="240" w:lineRule="auto" w:before="61"/>
                          <w:ind w:right="11"/>
                          <w:jc w:val="right"/>
                          <w:rPr>
                            <w:rFonts w:ascii="宋体" w:hAnsi="宋体" w:cs="宋体" w:eastAsia="宋体" w:hint="default"/>
                            <w:sz w:val="18"/>
                            <w:szCs w:val="18"/>
                          </w:rPr>
                        </w:pPr>
                        <w:r>
                          <w:rPr>
                            <w:rFonts w:ascii="宋体" w:hAnsi="宋体" w:cs="宋体" w:eastAsia="宋体" w:hint="default"/>
                            <w:sz w:val="18"/>
                            <w:szCs w:val="18"/>
                          </w:rPr>
                          <w:t>《关于深入开展“互联网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医疗健康” 便民惠民活动的通知》，明确到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年，二级以上医</w:t>
                        </w:r>
                      </w:p>
                    </w:tc>
                  </w:tr>
                  <w:tr>
                    <w:trPr>
                      <w:trHeight w:val="619" w:hRule="exact"/>
                    </w:trPr>
                    <w:tc>
                      <w:tcPr>
                        <w:tcW w:w="832" w:type="dxa"/>
                        <w:tcBorders>
                          <w:top w:val="nil" w:sz="6" w:space="0" w:color="auto"/>
                          <w:left w:val="nil" w:sz="6" w:space="0" w:color="auto"/>
                          <w:bottom w:val="nil" w:sz="6" w:space="0" w:color="auto"/>
                          <w:right w:val="single" w:sz="6" w:space="0" w:color="000000"/>
                        </w:tcBorders>
                      </w:tcPr>
                      <w:p>
                        <w:pPr>
                          <w:pStyle w:val="TableParagraph"/>
                          <w:spacing w:line="240" w:lineRule="auto" w:before="161"/>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2018</w:t>
                        </w:r>
                        <w:r>
                          <w:rPr>
                            <w:rFonts w:ascii="宋体" w:hAnsi="宋体" w:cs="宋体" w:eastAsia="宋体" w:hint="default"/>
                            <w:spacing w:val="-1"/>
                            <w:sz w:val="18"/>
                            <w:szCs w:val="18"/>
                          </w:rPr>
                          <w:t>年</w:t>
                        </w:r>
                      </w:p>
                    </w:tc>
                    <w:tc>
                      <w:tcPr>
                        <w:tcW w:w="1086" w:type="dxa"/>
                        <w:tcBorders>
                          <w:top w:val="nil" w:sz="6" w:space="0" w:color="auto"/>
                          <w:left w:val="single" w:sz="6" w:space="0" w:color="000000"/>
                          <w:bottom w:val="nil" w:sz="6" w:space="0" w:color="auto"/>
                          <w:right w:val="single" w:sz="6"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nil" w:sz="6" w:space="0" w:color="auto"/>
                          <w:left w:val="single" w:sz="6" w:space="0" w:color="000000"/>
                          <w:bottom w:val="nil" w:sz="6" w:space="0" w:color="auto"/>
                          <w:right w:val="nil" w:sz="6" w:space="0" w:color="auto"/>
                        </w:tcBorders>
                      </w:tcPr>
                      <w:p>
                        <w:pPr>
                          <w:pStyle w:val="TableParagraph"/>
                          <w:spacing w:line="316" w:lineRule="auto" w:before="5"/>
                          <w:ind w:left="3" w:right="11"/>
                          <w:jc w:val="left"/>
                          <w:rPr>
                            <w:rFonts w:ascii="宋体" w:hAnsi="宋体" w:cs="宋体" w:eastAsia="宋体" w:hint="default"/>
                            <w:sz w:val="18"/>
                            <w:szCs w:val="18"/>
                          </w:rPr>
                        </w:pPr>
                        <w:r>
                          <w:rPr>
                            <w:rFonts w:ascii="宋体" w:hAnsi="宋体" w:cs="宋体" w:eastAsia="宋体" w:hint="default"/>
                            <w:spacing w:val="-1"/>
                            <w:sz w:val="18"/>
                            <w:szCs w:val="18"/>
                          </w:rPr>
                          <w:t>疗机构普遍提供分时段预约诊疗、智能导医分诊、候诊提醒、检验检查结果查询等线上服务，让患</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1"/>
                            <w:sz w:val="18"/>
                            <w:szCs w:val="18"/>
                          </w:rPr>
                          <w:t>者少排队、少跑腿；三级医院要实现院内医疗服务信息互通共享，有条件的医院要尽快实现等一系</w:t>
                        </w:r>
                      </w:p>
                    </w:tc>
                  </w:tr>
                  <w:tr>
                    <w:trPr>
                      <w:trHeight w:val="369" w:hRule="exact"/>
                    </w:trPr>
                    <w:tc>
                      <w:tcPr>
                        <w:tcW w:w="832" w:type="dxa"/>
                        <w:tcBorders>
                          <w:top w:val="nil" w:sz="6" w:space="0" w:color="auto"/>
                          <w:left w:val="nil" w:sz="6" w:space="0" w:color="auto"/>
                          <w:bottom w:val="single" w:sz="6" w:space="0" w:color="000000"/>
                          <w:right w:val="single" w:sz="6" w:space="0" w:color="000000"/>
                        </w:tcBorders>
                      </w:tcPr>
                      <w:p>
                        <w:pPr/>
                      </w:p>
                    </w:tc>
                    <w:tc>
                      <w:tcPr>
                        <w:tcW w:w="1086" w:type="dxa"/>
                        <w:tcBorders>
                          <w:top w:val="nil" w:sz="6" w:space="0" w:color="auto"/>
                          <w:left w:val="single" w:sz="6" w:space="0" w:color="000000"/>
                          <w:bottom w:val="single" w:sz="6" w:space="0" w:color="000000"/>
                          <w:right w:val="single" w:sz="6" w:space="0" w:color="000000"/>
                        </w:tcBorders>
                      </w:tcPr>
                      <w:p>
                        <w:pPr/>
                      </w:p>
                    </w:tc>
                    <w:tc>
                      <w:tcPr>
                        <w:tcW w:w="7745" w:type="dxa"/>
                        <w:tcBorders>
                          <w:top w:val="nil" w:sz="6" w:space="0" w:color="auto"/>
                          <w:left w:val="single" w:sz="6" w:space="0" w:color="000000"/>
                          <w:bottom w:val="single" w:sz="6" w:space="0" w:color="000000"/>
                          <w:right w:val="nil" w:sz="6" w:space="0" w:color="auto"/>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列目标。</w:t>
                        </w:r>
                      </w:p>
                    </w:tc>
                  </w:tr>
                  <w:tr>
                    <w:trPr>
                      <w:trHeight w:val="374" w:hRule="exact"/>
                    </w:trPr>
                    <w:tc>
                      <w:tcPr>
                        <w:tcW w:w="832" w:type="dxa"/>
                        <w:tcBorders>
                          <w:top w:val="single" w:sz="6" w:space="0" w:color="000000"/>
                          <w:left w:val="nil" w:sz="6" w:space="0" w:color="auto"/>
                          <w:bottom w:val="nil" w:sz="6" w:space="0" w:color="auto"/>
                          <w:right w:val="single" w:sz="6" w:space="0" w:color="000000"/>
                        </w:tcBorders>
                      </w:tcPr>
                      <w:p>
                        <w:pPr/>
                      </w:p>
                    </w:tc>
                    <w:tc>
                      <w:tcPr>
                        <w:tcW w:w="1086" w:type="dxa"/>
                        <w:tcBorders>
                          <w:top w:val="single" w:sz="6" w:space="0" w:color="000000"/>
                          <w:left w:val="single" w:sz="6" w:space="0" w:color="000000"/>
                          <w:bottom w:val="nil" w:sz="6" w:space="0" w:color="auto"/>
                          <w:right w:val="single" w:sz="6" w:space="0" w:color="000000"/>
                        </w:tcBorders>
                      </w:tcPr>
                      <w:p>
                        <w:pPr/>
                      </w:p>
                    </w:tc>
                    <w:tc>
                      <w:tcPr>
                        <w:tcW w:w="7745" w:type="dxa"/>
                        <w:tcBorders>
                          <w:top w:val="single" w:sz="6" w:space="0" w:color="000000"/>
                          <w:left w:val="single" w:sz="6" w:space="0" w:color="000000"/>
                          <w:bottom w:val="nil" w:sz="6" w:space="0" w:color="auto"/>
                          <w:right w:val="nil" w:sz="6" w:space="0" w:color="auto"/>
                        </w:tcBorders>
                      </w:tcPr>
                      <w:p>
                        <w:pPr>
                          <w:pStyle w:val="TableParagraph"/>
                          <w:spacing w:line="240" w:lineRule="auto" w:before="61"/>
                          <w:ind w:right="100"/>
                          <w:jc w:val="right"/>
                          <w:rPr>
                            <w:rFonts w:ascii="宋体" w:hAnsi="宋体" w:cs="宋体" w:eastAsia="宋体" w:hint="default"/>
                            <w:sz w:val="18"/>
                            <w:szCs w:val="18"/>
                          </w:rPr>
                        </w:pPr>
                        <w:r>
                          <w:rPr>
                            <w:rFonts w:ascii="宋体" w:hAnsi="宋体" w:cs="宋体" w:eastAsia="宋体" w:hint="default"/>
                            <w:spacing w:val="-1"/>
                            <w:sz w:val="18"/>
                            <w:szCs w:val="18"/>
                          </w:rPr>
                          <w:t>国家卫健委《关于开展“互联网</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护理服务”试点工作的通知》，</w:t>
                        </w: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年国家卫健委在北京市</w:t>
                        </w:r>
                      </w:p>
                    </w:tc>
                  </w:tr>
                  <w:tr>
                    <w:trPr>
                      <w:trHeight w:val="312"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6"/>
                          <w:ind w:left="3" w:right="0"/>
                          <w:jc w:val="left"/>
                          <w:rPr>
                            <w:rFonts w:ascii="宋体" w:hAnsi="宋体" w:cs="宋体" w:eastAsia="宋体" w:hint="default"/>
                            <w:sz w:val="18"/>
                            <w:szCs w:val="18"/>
                          </w:rPr>
                        </w:pPr>
                        <w:r>
                          <w:rPr>
                            <w:rFonts w:ascii="宋体" w:hAnsi="宋体" w:cs="宋体" w:eastAsia="宋体" w:hint="default"/>
                            <w:sz w:val="18"/>
                            <w:szCs w:val="18"/>
                          </w:rPr>
                          <w:t>天津市、上海市、江苏省、浙江省、广东省试点“互联网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护理服务”，其他省份结合本地区实际</w:t>
                        </w:r>
                      </w:p>
                    </w:tc>
                  </w:tr>
                  <w:tr>
                    <w:trPr>
                      <w:trHeight w:val="312" w:hRule="exact"/>
                    </w:trPr>
                    <w:tc>
                      <w:tcPr>
                        <w:tcW w:w="832" w:type="dxa"/>
                        <w:tcBorders>
                          <w:top w:val="nil" w:sz="6" w:space="0" w:color="auto"/>
                          <w:left w:val="nil" w:sz="6" w:space="0" w:color="auto"/>
                          <w:bottom w:val="nil" w:sz="6" w:space="0" w:color="auto"/>
                          <w:right w:val="single" w:sz="6" w:space="0" w:color="000000"/>
                        </w:tcBorders>
                      </w:tcPr>
                      <w:p>
                        <w:pPr>
                          <w:pStyle w:val="TableParagraph"/>
                          <w:spacing w:line="240" w:lineRule="auto" w:before="6"/>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center"/>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6"/>
                          <w:ind w:left="3" w:right="0"/>
                          <w:jc w:val="left"/>
                          <w:rPr>
                            <w:rFonts w:ascii="宋体" w:hAnsi="宋体" w:cs="宋体" w:eastAsia="宋体" w:hint="default"/>
                            <w:sz w:val="18"/>
                            <w:szCs w:val="18"/>
                          </w:rPr>
                        </w:pPr>
                        <w:r>
                          <w:rPr>
                            <w:rFonts w:ascii="宋体" w:hAnsi="宋体" w:cs="宋体" w:eastAsia="宋体" w:hint="default"/>
                            <w:sz w:val="18"/>
                            <w:szCs w:val="18"/>
                          </w:rPr>
                          <w:t>情况选取试点城市或地区开展试点工作。《通知》对“互联网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护理服务”的提供主体、服务对象</w:t>
                        </w:r>
                      </w:p>
                    </w:tc>
                  </w:tr>
                  <w:tr>
                    <w:trPr>
                      <w:trHeight w:val="312" w:hRule="exact"/>
                    </w:trPr>
                    <w:tc>
                      <w:tcPr>
                        <w:tcW w:w="832" w:type="dxa"/>
                        <w:tcBorders>
                          <w:top w:val="nil" w:sz="6" w:space="0" w:color="auto"/>
                          <w:left w:val="nil" w:sz="6" w:space="0" w:color="auto"/>
                          <w:bottom w:val="nil" w:sz="6" w:space="0" w:color="auto"/>
                          <w:right w:val="single" w:sz="6" w:space="0" w:color="000000"/>
                        </w:tcBorders>
                      </w:tcPr>
                      <w:p>
                        <w:pPr/>
                      </w:p>
                    </w:tc>
                    <w:tc>
                      <w:tcPr>
                        <w:tcW w:w="1086" w:type="dxa"/>
                        <w:tcBorders>
                          <w:top w:val="nil" w:sz="6" w:space="0" w:color="auto"/>
                          <w:left w:val="single" w:sz="6" w:space="0" w:color="000000"/>
                          <w:bottom w:val="nil" w:sz="6" w:space="0" w:color="auto"/>
                          <w:right w:val="single" w:sz="6" w:space="0" w:color="000000"/>
                        </w:tcBorders>
                      </w:tcPr>
                      <w:p>
                        <w:pPr/>
                      </w:p>
                    </w:tc>
                    <w:tc>
                      <w:tcPr>
                        <w:tcW w:w="7745" w:type="dxa"/>
                        <w:tcBorders>
                          <w:top w:val="nil" w:sz="6" w:space="0" w:color="auto"/>
                          <w:left w:val="single" w:sz="6" w:space="0" w:color="000000"/>
                          <w:bottom w:val="nil" w:sz="6" w:space="0" w:color="auto"/>
                          <w:right w:val="nil" w:sz="6" w:space="0" w:color="auto"/>
                        </w:tcBorders>
                      </w:tcPr>
                      <w:p>
                        <w:pPr>
                          <w:pStyle w:val="TableParagraph"/>
                          <w:spacing w:line="240" w:lineRule="auto" w:before="6"/>
                          <w:ind w:left="3" w:right="0"/>
                          <w:jc w:val="left"/>
                          <w:rPr>
                            <w:rFonts w:ascii="宋体" w:hAnsi="宋体" w:cs="宋体" w:eastAsia="宋体" w:hint="default"/>
                            <w:sz w:val="18"/>
                            <w:szCs w:val="18"/>
                          </w:rPr>
                        </w:pPr>
                        <w:r>
                          <w:rPr>
                            <w:rFonts w:ascii="宋体" w:hAnsi="宋体" w:cs="宋体" w:eastAsia="宋体" w:hint="default"/>
                            <w:sz w:val="18"/>
                            <w:szCs w:val="18"/>
                          </w:rPr>
                          <w:t>服务项目、服务行为、服务管理、第三方信息技术平台、相关责任、风险防控、支撑机制</w:t>
                        </w:r>
                        <w:r>
                          <w:rPr>
                            <w:rFonts w:ascii="Times New Roman" w:hAnsi="Times New Roman" w:cs="Times New Roman" w:eastAsia="Times New Roman" w:hint="default"/>
                            <w:sz w:val="18"/>
                            <w:szCs w:val="18"/>
                          </w:rPr>
                          <w:t>9</w:t>
                        </w:r>
                        <w:r>
                          <w:rPr>
                            <w:rFonts w:ascii="宋体" w:hAnsi="宋体" w:cs="宋体" w:eastAsia="宋体" w:hint="default"/>
                            <w:sz w:val="18"/>
                            <w:szCs w:val="18"/>
                          </w:rPr>
                          <w:t>项试点</w:t>
                        </w:r>
                      </w:p>
                    </w:tc>
                  </w:tr>
                  <w:tr>
                    <w:trPr>
                      <w:trHeight w:val="361" w:hRule="exact"/>
                    </w:trPr>
                    <w:tc>
                      <w:tcPr>
                        <w:tcW w:w="832" w:type="dxa"/>
                        <w:tcBorders>
                          <w:top w:val="nil" w:sz="6" w:space="0" w:color="auto"/>
                          <w:left w:val="nil" w:sz="6" w:space="0" w:color="auto"/>
                          <w:bottom w:val="single" w:sz="4" w:space="0" w:color="000000"/>
                          <w:right w:val="single" w:sz="6" w:space="0" w:color="000000"/>
                        </w:tcBorders>
                      </w:tcPr>
                      <w:p>
                        <w:pPr/>
                      </w:p>
                    </w:tc>
                    <w:tc>
                      <w:tcPr>
                        <w:tcW w:w="1086" w:type="dxa"/>
                        <w:tcBorders>
                          <w:top w:val="nil" w:sz="6" w:space="0" w:color="auto"/>
                          <w:left w:val="single" w:sz="6" w:space="0" w:color="000000"/>
                          <w:bottom w:val="single" w:sz="4" w:space="0" w:color="000000"/>
                          <w:right w:val="single" w:sz="6" w:space="0" w:color="000000"/>
                        </w:tcBorders>
                      </w:tcPr>
                      <w:p>
                        <w:pPr/>
                      </w:p>
                    </w:tc>
                    <w:tc>
                      <w:tcPr>
                        <w:tcW w:w="7745" w:type="dxa"/>
                        <w:tcBorders>
                          <w:top w:val="nil" w:sz="6" w:space="0" w:color="auto"/>
                          <w:left w:val="single" w:sz="6" w:space="0" w:color="000000"/>
                          <w:bottom w:val="single" w:sz="4" w:space="0" w:color="000000"/>
                          <w:right w:val="nil" w:sz="6" w:space="0" w:color="auto"/>
                        </w:tcBorders>
                      </w:tcPr>
                      <w:p>
                        <w:pPr>
                          <w:pStyle w:val="TableParagraph"/>
                          <w:spacing w:line="240" w:lineRule="auto" w:before="6"/>
                          <w:ind w:left="3" w:right="0"/>
                          <w:jc w:val="left"/>
                          <w:rPr>
                            <w:rFonts w:ascii="宋体" w:hAnsi="宋体" w:cs="宋体" w:eastAsia="宋体" w:hint="default"/>
                            <w:sz w:val="18"/>
                            <w:szCs w:val="18"/>
                          </w:rPr>
                        </w:pPr>
                        <w:r>
                          <w:rPr>
                            <w:rFonts w:ascii="宋体" w:hAnsi="宋体" w:cs="宋体" w:eastAsia="宋体" w:hint="default"/>
                            <w:sz w:val="18"/>
                            <w:szCs w:val="18"/>
                          </w:rPr>
                          <w:t>内容提出了原则性要求。</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3"/>
          <w:szCs w:val="13"/>
        </w:rPr>
      </w:pPr>
    </w:p>
    <w:p>
      <w:pPr>
        <w:pStyle w:val="BodyText"/>
        <w:spacing w:line="240" w:lineRule="auto"/>
        <w:ind w:left="0" w:right="1041"/>
        <w:jc w:val="right"/>
      </w:pPr>
      <w:r>
        <w:rPr/>
        <w:t>、</w:t>
      </w:r>
    </w:p>
    <w:p>
      <w:pPr>
        <w:spacing w:line="240" w:lineRule="auto" w:before="4"/>
        <w:rPr>
          <w:rFonts w:ascii="宋体" w:hAnsi="宋体" w:cs="宋体" w:eastAsia="宋体" w:hint="default"/>
          <w:sz w:val="26"/>
          <w:szCs w:val="26"/>
        </w:rPr>
      </w:pPr>
    </w:p>
    <w:p>
      <w:pPr>
        <w:pStyle w:val="BodyText"/>
        <w:spacing w:line="240" w:lineRule="auto" w:before="44"/>
        <w:ind w:left="0" w:right="1041"/>
        <w:jc w:val="right"/>
      </w:pPr>
      <w:r>
        <w:rPr/>
        <w:t>、</w:t>
      </w:r>
    </w:p>
    <w:p>
      <w:pPr>
        <w:spacing w:after="0" w:line="240" w:lineRule="auto"/>
        <w:jc w:val="right"/>
        <w:sectPr>
          <w:pgSz w:w="11910" w:h="16840"/>
          <w:pgMar w:header="907" w:footer="1016" w:top="1100" w:bottom="1200" w:left="10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BodyText"/>
        <w:spacing w:line="240" w:lineRule="auto" w:before="44"/>
        <w:ind w:left="0" w:right="1041"/>
        <w:jc w:val="right"/>
      </w:pPr>
      <w:r>
        <w:rPr/>
        <w:pict>
          <v:shape style="position:absolute;margin-left:55.860001pt;margin-top:-54.178272pt;width:483.9pt;height:615.5pt;mso-position-horizontal-relative:page;mso-position-vertical-relative:paragraph;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32"/>
                    <w:gridCol w:w="1086"/>
                    <w:gridCol w:w="7745"/>
                  </w:tblGrid>
                  <w:tr>
                    <w:trPr>
                      <w:trHeight w:val="1053" w:hRule="exact"/>
                    </w:trPr>
                    <w:tc>
                      <w:tcPr>
                        <w:tcW w:w="832" w:type="dxa"/>
                        <w:tcBorders>
                          <w:top w:val="single" w:sz="4"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2020</w:t>
                        </w:r>
                        <w:r>
                          <w:rPr>
                            <w:rFonts w:ascii="宋体" w:hAnsi="宋体" w:cs="宋体" w:eastAsia="宋体" w:hint="default"/>
                            <w:spacing w:val="-1"/>
                            <w:sz w:val="18"/>
                            <w:szCs w:val="18"/>
                          </w:rPr>
                          <w:t>年</w:t>
                        </w:r>
                      </w:p>
                    </w:tc>
                    <w:tc>
                      <w:tcPr>
                        <w:tcW w:w="108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3"/>
                          <w:ind w:right="263"/>
                          <w:jc w:val="right"/>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single" w:sz="4" w:space="0" w:color="000000"/>
                          <w:left w:val="single" w:sz="6" w:space="0" w:color="000000"/>
                          <w:bottom w:val="single" w:sz="6" w:space="0" w:color="000000"/>
                          <w:right w:val="nil" w:sz="6" w:space="0" w:color="auto"/>
                        </w:tcBorders>
                      </w:tcPr>
                      <w:p>
                        <w:pPr>
                          <w:pStyle w:val="TableParagraph"/>
                          <w:spacing w:line="309" w:lineRule="auto" w:before="66"/>
                          <w:ind w:left="3" w:right="11" w:firstLine="360"/>
                          <w:jc w:val="both"/>
                          <w:rPr>
                            <w:rFonts w:ascii="宋体" w:hAnsi="宋体" w:cs="宋体" w:eastAsia="宋体" w:hint="default"/>
                            <w:sz w:val="18"/>
                            <w:szCs w:val="18"/>
                          </w:rPr>
                        </w:pPr>
                        <w:r>
                          <w:rPr>
                            <w:rFonts w:ascii="宋体" w:hAnsi="宋体" w:cs="宋体" w:eastAsia="宋体" w:hint="default"/>
                            <w:spacing w:val="-1"/>
                            <w:sz w:val="18"/>
                            <w:szCs w:val="18"/>
                          </w:rPr>
                          <w:t>《关于加强信息化支撑新型冠状病毒感染的肺炎疫情防控工作的通知》，通知指出强化数据采</w:t>
                        </w:r>
                        <w:r>
                          <w:rPr>
                            <w:rFonts w:ascii="宋体" w:hAnsi="宋体" w:cs="宋体" w:eastAsia="宋体" w:hint="default"/>
                            <w:sz w:val="18"/>
                            <w:szCs w:val="18"/>
                          </w:rPr>
                          <w:t> 集分析应用、积极开展远程医疗服务、规范互联网诊疗咨询服务、深化“互联网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”政务服务、加 强基础和安全保障。</w:t>
                        </w:r>
                      </w:p>
                    </w:tc>
                  </w:tr>
                  <w:tr>
                    <w:trPr>
                      <w:trHeight w:val="1363"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2020</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12" w:lineRule="auto" w:before="62"/>
                          <w:ind w:left="3" w:right="11" w:firstLine="360"/>
                          <w:jc w:val="left"/>
                          <w:rPr>
                            <w:rFonts w:ascii="宋体" w:hAnsi="宋体" w:cs="宋体" w:eastAsia="宋体" w:hint="default"/>
                            <w:sz w:val="18"/>
                            <w:szCs w:val="18"/>
                          </w:rPr>
                        </w:pPr>
                        <w:r>
                          <w:rPr>
                            <w:rFonts w:ascii="宋体" w:hAnsi="宋体" w:cs="宋体" w:eastAsia="宋体" w:hint="default"/>
                            <w:spacing w:val="-3"/>
                            <w:sz w:val="18"/>
                            <w:szCs w:val="18"/>
                          </w:rPr>
                          <w:t>《关于在疫情防控中做好互联网诊疗咨询服务工作的通知》，要充分发挥互联网医疗服务优势</w:t>
                        </w:r>
                        <w:r>
                          <w:rPr>
                            <w:rFonts w:ascii="宋体" w:hAnsi="宋体" w:cs="宋体" w:eastAsia="宋体" w:hint="default"/>
                            <w:sz w:val="18"/>
                            <w:szCs w:val="18"/>
                          </w:rPr>
                          <w:t> 大力开展互联网诊疗服务，特别是对发热患者的互联网诊疗咨询服务，进一步完善“互联网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 </w:t>
                        </w:r>
                        <w:r>
                          <w:rPr>
                            <w:rFonts w:ascii="宋体" w:hAnsi="宋体" w:cs="宋体" w:eastAsia="宋体" w:hint="default"/>
                            <w:spacing w:val="-1"/>
                            <w:sz w:val="18"/>
                            <w:szCs w:val="18"/>
                          </w:rPr>
                          <w:t>健康”服务功能，包括但不限于线上健康评估、健康指导、健康宣教、就诊指导、慢病复诊、心理</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疏导等，推动互联网诊疗咨询服务在疫情防控中发挥更为重要的作用。</w:t>
                        </w:r>
                      </w:p>
                    </w:tc>
                  </w:tr>
                  <w:tr>
                    <w:trPr>
                      <w:trHeight w:val="427" w:hRule="exact"/>
                    </w:trPr>
                    <w:tc>
                      <w:tcPr>
                        <w:tcW w:w="9663" w:type="dxa"/>
                        <w:gridSpan w:val="3"/>
                        <w:tcBorders>
                          <w:top w:val="single" w:sz="6" w:space="0" w:color="000000"/>
                          <w:left w:val="nil" w:sz="6" w:space="0" w:color="auto"/>
                          <w:bottom w:val="single" w:sz="6" w:space="0" w:color="000000"/>
                          <w:right w:val="nil" w:sz="6" w:space="0" w:color="auto"/>
                        </w:tcBorders>
                        <w:shd w:val="clear" w:color="auto" w:fill="D6D6D6"/>
                      </w:tcPr>
                      <w:p>
                        <w:pPr>
                          <w:pStyle w:val="TableParagraph"/>
                          <w:spacing w:line="240" w:lineRule="auto" w:before="62"/>
                          <w:ind w:left="366" w:right="0"/>
                          <w:jc w:val="center"/>
                          <w:rPr>
                            <w:rFonts w:ascii="宋体" w:hAnsi="宋体" w:cs="宋体" w:eastAsia="宋体" w:hint="default"/>
                            <w:sz w:val="18"/>
                            <w:szCs w:val="18"/>
                          </w:rPr>
                        </w:pPr>
                        <w:r>
                          <w:rPr>
                            <w:rFonts w:ascii="宋体" w:hAnsi="宋体" w:cs="宋体" w:eastAsia="宋体" w:hint="default"/>
                            <w:b/>
                            <w:bCs/>
                            <w:sz w:val="18"/>
                            <w:szCs w:val="18"/>
                          </w:rPr>
                          <w:t>医卫物联网业务近年政策</w:t>
                        </w:r>
                        <w:r>
                          <w:rPr>
                            <w:rFonts w:ascii="宋体" w:hAnsi="宋体" w:cs="宋体" w:eastAsia="宋体" w:hint="default"/>
                            <w:sz w:val="18"/>
                            <w:szCs w:val="18"/>
                          </w:rPr>
                        </w:r>
                      </w:p>
                    </w:tc>
                  </w:tr>
                  <w:tr>
                    <w:trPr>
                      <w:trHeight w:val="1363"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工信部</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7" w:lineRule="auto" w:before="60"/>
                          <w:ind w:left="3" w:right="23" w:firstLine="360"/>
                          <w:jc w:val="left"/>
                          <w:rPr>
                            <w:rFonts w:ascii="宋体" w:hAnsi="宋体" w:cs="宋体" w:eastAsia="宋体" w:hint="default"/>
                            <w:sz w:val="18"/>
                            <w:szCs w:val="18"/>
                          </w:rPr>
                        </w:pPr>
                        <w:r>
                          <w:rPr>
                            <w:rFonts w:ascii="宋体" w:hAnsi="宋体" w:cs="宋体" w:eastAsia="宋体" w:hint="default"/>
                            <w:sz w:val="18"/>
                            <w:szCs w:val="18"/>
                          </w:rPr>
                          <w:t>《信息通信行业发展规划物联网分册（</w:t>
                        </w:r>
                        <w:r>
                          <w:rPr>
                            <w:rFonts w:ascii="Times New Roman" w:hAnsi="Times New Roman" w:cs="Times New Roman" w:eastAsia="Times New Roman" w:hint="default"/>
                            <w:sz w:val="18"/>
                            <w:szCs w:val="18"/>
                          </w:rPr>
                          <w:t>2016-2020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年）》，明确指出我国物联网加速进入“跨 界融合、集成创新和规模化发展”的新阶段，</w:t>
                        </w:r>
                        <w:r>
                          <w:rPr>
                            <w:rFonts w:ascii="宋体" w:hAnsi="宋体" w:cs="宋体" w:eastAsia="宋体" w:hint="default"/>
                            <w:spacing w:val="-2"/>
                            <w:sz w:val="18"/>
                            <w:szCs w:val="18"/>
                          </w:rPr>
                          <w:t> </w:t>
                        </w:r>
                        <w:r>
                          <w:rPr>
                            <w:rFonts w:ascii="宋体" w:hAnsi="宋体" w:cs="宋体" w:eastAsia="宋体" w:hint="default"/>
                            <w:sz w:val="18"/>
                            <w:szCs w:val="18"/>
                          </w:rPr>
                          <w:t>提出强化产业生态布局、完善技术创新体系、完善</w:t>
                        </w:r>
                        <w:r>
                          <w:rPr>
                            <w:rFonts w:ascii="宋体" w:hAnsi="宋体" w:cs="宋体" w:eastAsia="宋体" w:hint="default"/>
                            <w:sz w:val="18"/>
                            <w:szCs w:val="18"/>
                          </w:rPr>
                          <w:t> 标准体系、推进规模应用、完善公共服务体系、提升安全保障能力等六大重点任务，为我国未来</w:t>
                        </w:r>
                        <w:r>
                          <w:rPr>
                            <w:rFonts w:ascii="Times New Roman" w:hAnsi="Times New Roman" w:cs="Times New Roman" w:eastAsia="Times New Roman" w:hint="default"/>
                            <w:sz w:val="18"/>
                            <w:szCs w:val="18"/>
                          </w:rPr>
                          <w:t>5 </w:t>
                        </w:r>
                        <w:r>
                          <w:rPr>
                            <w:rFonts w:ascii="宋体" w:hAnsi="宋体" w:cs="宋体" w:eastAsia="宋体" w:hint="default"/>
                            <w:sz w:val="18"/>
                            <w:szCs w:val="18"/>
                          </w:rPr>
                          <w:t>年物联网产业发展指明了方向。</w:t>
                        </w:r>
                      </w:p>
                    </w:tc>
                  </w:tr>
                  <w:tr>
                    <w:trPr>
                      <w:trHeight w:val="1051"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2018</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263"/>
                          <w:jc w:val="right"/>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9" w:lineRule="auto" w:before="60"/>
                          <w:ind w:left="3" w:right="11" w:firstLine="360"/>
                          <w:jc w:val="left"/>
                          <w:rPr>
                            <w:rFonts w:ascii="宋体" w:hAnsi="宋体" w:cs="宋体" w:eastAsia="宋体" w:hint="default"/>
                            <w:sz w:val="18"/>
                            <w:szCs w:val="18"/>
                          </w:rPr>
                        </w:pPr>
                        <w:r>
                          <w:rPr>
                            <w:rFonts w:ascii="宋体" w:hAnsi="宋体" w:cs="宋体" w:eastAsia="宋体" w:hint="default"/>
                            <w:sz w:val="18"/>
                            <w:szCs w:val="18"/>
                          </w:rPr>
                          <w:t>《全国医院信息化建设标准与规范（试行）》，内容涵盖</w:t>
                        </w:r>
                        <w:r>
                          <w:rPr>
                            <w:rFonts w:ascii="Times New Roman" w:hAnsi="Times New Roman" w:cs="Times New Roman" w:eastAsia="Times New Roman" w:hint="default"/>
                            <w:sz w:val="18"/>
                            <w:szCs w:val="18"/>
                          </w:rPr>
                          <w:t>5</w:t>
                        </w:r>
                        <w:r>
                          <w:rPr>
                            <w:rFonts w:ascii="宋体" w:hAnsi="宋体" w:cs="宋体" w:eastAsia="宋体" w:hint="default"/>
                            <w:sz w:val="18"/>
                            <w:szCs w:val="18"/>
                          </w:rPr>
                          <w:t>大方面、</w:t>
                        </w:r>
                        <w:r>
                          <w:rPr>
                            <w:rFonts w:ascii="Times New Roman" w:hAnsi="Times New Roman" w:cs="Times New Roman" w:eastAsia="Times New Roman" w:hint="default"/>
                            <w:sz w:val="18"/>
                            <w:szCs w:val="18"/>
                          </w:rPr>
                          <w:t>21</w:t>
                        </w:r>
                        <w:r>
                          <w:rPr>
                            <w:rFonts w:ascii="宋体" w:hAnsi="宋体" w:cs="宋体" w:eastAsia="宋体" w:hint="default"/>
                            <w:sz w:val="18"/>
                            <w:szCs w:val="18"/>
                          </w:rPr>
                          <w:t>类内容要求，细化就诊 </w:t>
                        </w:r>
                        <w:r>
                          <w:rPr>
                            <w:rFonts w:ascii="宋体" w:hAnsi="宋体" w:cs="宋体" w:eastAsia="宋体" w:hint="default"/>
                            <w:spacing w:val="-1"/>
                            <w:sz w:val="18"/>
                            <w:szCs w:val="18"/>
                          </w:rPr>
                          <w:t>效率、电子病历、分级诊疗等方面要求，对于二级、三乙、三甲医院信息化要求模块提出了不同的</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要求标准。</w:t>
                        </w:r>
                      </w:p>
                    </w:tc>
                  </w:tr>
                  <w:tr>
                    <w:trPr>
                      <w:trHeight w:val="739"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卫健委</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0" w:lineRule="auto" w:before="60"/>
                          <w:ind w:left="3" w:right="100" w:firstLine="360"/>
                          <w:jc w:val="left"/>
                          <w:rPr>
                            <w:rFonts w:ascii="宋体" w:hAnsi="宋体" w:cs="宋体" w:eastAsia="宋体" w:hint="default"/>
                            <w:sz w:val="18"/>
                            <w:szCs w:val="18"/>
                          </w:rPr>
                        </w:pPr>
                        <w:r>
                          <w:rPr>
                            <w:rFonts w:ascii="宋体" w:hAnsi="宋体" w:cs="宋体" w:eastAsia="宋体" w:hint="default"/>
                            <w:spacing w:val="-4"/>
                            <w:sz w:val="18"/>
                            <w:szCs w:val="18"/>
                          </w:rPr>
                          <w:t>关于印发进一步改善医疗服务行动计划（</w:t>
                        </w:r>
                        <w:r>
                          <w:rPr>
                            <w:rFonts w:ascii="Times New Roman" w:hAnsi="Times New Roman" w:cs="Times New Roman" w:eastAsia="Times New Roman" w:hint="default"/>
                            <w:spacing w:val="-4"/>
                            <w:sz w:val="18"/>
                            <w:szCs w:val="18"/>
                          </w:rPr>
                          <w:t>2018-2020</w:t>
                        </w:r>
                        <w:r>
                          <w:rPr>
                            <w:rFonts w:ascii="宋体" w:hAnsi="宋体" w:cs="宋体" w:eastAsia="宋体" w:hint="default"/>
                            <w:spacing w:val="-4"/>
                            <w:sz w:val="18"/>
                            <w:szCs w:val="18"/>
                          </w:rPr>
                          <w:t>年）的通知》，通知旨在指导医疗机构科学</w:t>
                        </w:r>
                        <w:r>
                          <w:rPr>
                            <w:rFonts w:ascii="宋体" w:hAnsi="宋体" w:cs="宋体" w:eastAsia="宋体" w:hint="default"/>
                            <w:sz w:val="18"/>
                            <w:szCs w:val="18"/>
                          </w:rPr>
                          <w:t> 规范开展智慧医院建设，逐步建立适合国情的医疗机构智慧服务分级评估体系。</w:t>
                        </w:r>
                      </w:p>
                    </w:tc>
                  </w:tr>
                  <w:tr>
                    <w:trPr>
                      <w:trHeight w:val="427" w:hRule="exact"/>
                    </w:trPr>
                    <w:tc>
                      <w:tcPr>
                        <w:tcW w:w="9663" w:type="dxa"/>
                        <w:gridSpan w:val="3"/>
                        <w:tcBorders>
                          <w:top w:val="single" w:sz="6" w:space="0" w:color="000000"/>
                          <w:left w:val="nil" w:sz="6" w:space="0" w:color="auto"/>
                          <w:bottom w:val="single" w:sz="6" w:space="0" w:color="000000"/>
                          <w:right w:val="nil" w:sz="6" w:space="0" w:color="auto"/>
                        </w:tcBorders>
                        <w:shd w:val="clear" w:color="auto" w:fill="D6D6D6"/>
                      </w:tcPr>
                      <w:p>
                        <w:pPr>
                          <w:pStyle w:val="TableParagraph"/>
                          <w:spacing w:line="240" w:lineRule="auto" w:before="60"/>
                          <w:ind w:left="1" w:right="0"/>
                          <w:jc w:val="center"/>
                          <w:rPr>
                            <w:rFonts w:ascii="宋体" w:hAnsi="宋体" w:cs="宋体" w:eastAsia="宋体" w:hint="default"/>
                            <w:sz w:val="18"/>
                            <w:szCs w:val="18"/>
                          </w:rPr>
                        </w:pPr>
                        <w:r>
                          <w:rPr>
                            <w:rFonts w:ascii="宋体" w:hAnsi="宋体" w:cs="宋体" w:eastAsia="宋体" w:hint="default"/>
                            <w:b/>
                            <w:bCs/>
                            <w:sz w:val="18"/>
                            <w:szCs w:val="18"/>
                          </w:rPr>
                          <w:t>医保业务近年政策</w:t>
                        </w:r>
                        <w:r>
                          <w:rPr>
                            <w:rFonts w:ascii="宋体" w:hAnsi="宋体" w:cs="宋体" w:eastAsia="宋体" w:hint="default"/>
                            <w:sz w:val="18"/>
                            <w:szCs w:val="18"/>
                          </w:rPr>
                        </w:r>
                      </w:p>
                    </w:tc>
                  </w:tr>
                  <w:tr>
                    <w:trPr>
                      <w:trHeight w:val="1363"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医保局</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12" w:lineRule="auto" w:before="61"/>
                          <w:ind w:left="3" w:right="11" w:firstLine="360"/>
                          <w:jc w:val="both"/>
                          <w:rPr>
                            <w:rFonts w:ascii="宋体" w:hAnsi="宋体" w:cs="宋体" w:eastAsia="宋体" w:hint="default"/>
                            <w:sz w:val="18"/>
                            <w:szCs w:val="18"/>
                          </w:rPr>
                        </w:pPr>
                        <w:r>
                          <w:rPr>
                            <w:rFonts w:ascii="宋体" w:hAnsi="宋体" w:cs="宋体" w:eastAsia="宋体" w:hint="default"/>
                            <w:spacing w:val="-1"/>
                            <w:sz w:val="18"/>
                            <w:szCs w:val="18"/>
                          </w:rPr>
                          <w:t>《关于印发医疗保障标准化工作指导意见的通知》，根据《意见》，我国将建立国家医疗保障</w:t>
                        </w:r>
                        <w:r>
                          <w:rPr>
                            <w:rFonts w:ascii="宋体" w:hAnsi="宋体" w:cs="宋体" w:eastAsia="宋体" w:hint="default"/>
                            <w:sz w:val="18"/>
                            <w:szCs w:val="18"/>
                          </w:rPr>
                          <w:t> </w:t>
                        </w:r>
                        <w:r>
                          <w:rPr>
                            <w:rFonts w:ascii="宋体" w:hAnsi="宋体" w:cs="宋体" w:eastAsia="宋体" w:hint="default"/>
                            <w:spacing w:val="-1"/>
                            <w:sz w:val="18"/>
                            <w:szCs w:val="18"/>
                          </w:rPr>
                          <w:t>局主导、相关部门认同、各地协同推进的标准化工作机制，形成与医疗保障改革发展相适应的标准</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1"/>
                            <w:sz w:val="18"/>
                            <w:szCs w:val="18"/>
                          </w:rPr>
                          <w:t>化体系；到</w:t>
                        </w:r>
                        <w:r>
                          <w:rPr>
                            <w:rFonts w:ascii="Times New Roman" w:hAnsi="Times New Roman" w:cs="Times New Roman" w:eastAsia="Times New Roman" w:hint="default"/>
                            <w:spacing w:val="-1"/>
                            <w:sz w:val="18"/>
                            <w:szCs w:val="18"/>
                          </w:rPr>
                          <w:t>2020</w:t>
                        </w:r>
                        <w:r>
                          <w:rPr>
                            <w:rFonts w:ascii="宋体" w:hAnsi="宋体" w:cs="宋体" w:eastAsia="宋体" w:hint="default"/>
                            <w:spacing w:val="-1"/>
                            <w:sz w:val="18"/>
                            <w:szCs w:val="18"/>
                          </w:rPr>
                          <w:t>年，在全国统一医疗保障信息系统建设的基础上，逐步实现疾病诊断和手术操作等</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Times New Roman" w:hAnsi="Times New Roman" w:cs="Times New Roman" w:eastAsia="Times New Roman" w:hint="default"/>
                            <w:sz w:val="18"/>
                            <w:szCs w:val="18"/>
                          </w:rPr>
                          <w:t>15</w:t>
                        </w:r>
                        <w:r>
                          <w:rPr>
                            <w:rFonts w:ascii="宋体" w:hAnsi="宋体" w:cs="宋体" w:eastAsia="宋体" w:hint="default"/>
                            <w:sz w:val="18"/>
                            <w:szCs w:val="18"/>
                          </w:rPr>
                          <w:t>项信息业务编码标准的落地使用。</w:t>
                        </w:r>
                      </w:p>
                    </w:tc>
                  </w:tr>
                  <w:tr>
                    <w:trPr>
                      <w:trHeight w:val="1051"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263"/>
                          <w:jc w:val="right"/>
                          <w:rPr>
                            <w:rFonts w:ascii="宋体" w:hAnsi="宋体" w:cs="宋体" w:eastAsia="宋体" w:hint="default"/>
                            <w:sz w:val="18"/>
                            <w:szCs w:val="18"/>
                          </w:rPr>
                        </w:pPr>
                        <w:r>
                          <w:rPr>
                            <w:rFonts w:ascii="宋体" w:hAnsi="宋体" w:cs="宋体" w:eastAsia="宋体" w:hint="default"/>
                            <w:sz w:val="18"/>
                            <w:szCs w:val="18"/>
                          </w:rPr>
                          <w:t>医保局</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9" w:lineRule="auto" w:before="61"/>
                          <w:ind w:left="3" w:right="11" w:firstLine="360"/>
                          <w:jc w:val="left"/>
                          <w:rPr>
                            <w:rFonts w:ascii="宋体" w:hAnsi="宋体" w:cs="宋体" w:eastAsia="宋体" w:hint="default"/>
                            <w:sz w:val="18"/>
                            <w:szCs w:val="18"/>
                          </w:rPr>
                        </w:pPr>
                        <w:r>
                          <w:rPr>
                            <w:rFonts w:ascii="宋体" w:hAnsi="宋体" w:cs="宋体" w:eastAsia="宋体" w:hint="default"/>
                            <w:spacing w:val="-1"/>
                            <w:sz w:val="18"/>
                            <w:szCs w:val="18"/>
                          </w:rPr>
                          <w:t>《关于按疾病诊断相关分组付费国家试点城市名单的通知》，确定了北京、天津、河北省邯郸</w:t>
                        </w:r>
                        <w:r>
                          <w:rPr>
                            <w:rFonts w:ascii="宋体" w:hAnsi="宋体" w:cs="宋体" w:eastAsia="宋体" w:hint="default"/>
                            <w:sz w:val="18"/>
                            <w:szCs w:val="18"/>
                          </w:rPr>
                          <w:t> 市等 </w:t>
                        </w:r>
                        <w:r>
                          <w:rPr>
                            <w:rFonts w:ascii="Times New Roman" w:hAnsi="Times New Roman" w:cs="Times New Roman" w:eastAsia="Times New Roman" w:hint="default"/>
                            <w:sz w:val="18"/>
                            <w:szCs w:val="18"/>
                          </w:rPr>
                          <w:t>30 </w:t>
                        </w:r>
                        <w:r>
                          <w:rPr>
                            <w:rFonts w:ascii="宋体" w:hAnsi="宋体" w:cs="宋体" w:eastAsia="宋体" w:hint="default"/>
                            <w:sz w:val="18"/>
                            <w:szCs w:val="18"/>
                          </w:rPr>
                          <w:t>个城市 </w:t>
                        </w:r>
                        <w:r>
                          <w:rPr>
                            <w:rFonts w:ascii="Times New Roman" w:hAnsi="Times New Roman" w:cs="Times New Roman" w:eastAsia="Times New Roman" w:hint="default"/>
                            <w:sz w:val="18"/>
                            <w:szCs w:val="18"/>
                          </w:rPr>
                          <w:t>DRGs </w:t>
                        </w:r>
                        <w:r>
                          <w:rPr>
                            <w:rFonts w:ascii="宋体" w:hAnsi="宋体" w:cs="宋体" w:eastAsia="宋体" w:hint="default"/>
                            <w:sz w:val="18"/>
                            <w:szCs w:val="18"/>
                          </w:rPr>
                          <w:t>付费国家试点城市，并要求各试点城市确保 </w:t>
                        </w:r>
                        <w:r>
                          <w:rPr>
                            <w:rFonts w:ascii="Times New Roman" w:hAnsi="Times New Roman" w:cs="Times New Roman" w:eastAsia="Times New Roman" w:hint="default"/>
                            <w:sz w:val="18"/>
                            <w:szCs w:val="18"/>
                          </w:rPr>
                          <w:t>2020 </w:t>
                        </w:r>
                        <w:r>
                          <w:rPr>
                            <w:rFonts w:ascii="宋体" w:hAnsi="宋体" w:cs="宋体" w:eastAsia="宋体" w:hint="default"/>
                            <w:sz w:val="18"/>
                            <w:szCs w:val="18"/>
                          </w:rPr>
                          <w:t>年模拟运行， </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35"/>
                            <w:sz w:val="18"/>
                            <w:szCs w:val="18"/>
                          </w:rPr>
                          <w:t> </w:t>
                        </w:r>
                        <w:r>
                          <w:rPr>
                            <w:rFonts w:ascii="宋体" w:hAnsi="宋体" w:cs="宋体" w:eastAsia="宋体" w:hint="default"/>
                            <w:sz w:val="18"/>
                            <w:szCs w:val="18"/>
                          </w:rPr>
                          <w:t>年 启动实际付费。</w:t>
                        </w:r>
                      </w:p>
                    </w:tc>
                  </w:tr>
                  <w:tr>
                    <w:trPr>
                      <w:trHeight w:val="1363"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医保局</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0" w:lineRule="auto" w:before="61"/>
                          <w:ind w:left="3" w:right="11" w:firstLine="360"/>
                          <w:jc w:val="both"/>
                          <w:rPr>
                            <w:rFonts w:ascii="宋体" w:hAnsi="宋体" w:cs="宋体" w:eastAsia="宋体" w:hint="default"/>
                            <w:sz w:val="18"/>
                            <w:szCs w:val="18"/>
                          </w:rPr>
                        </w:pPr>
                        <w:r>
                          <w:rPr>
                            <w:rFonts w:ascii="宋体" w:hAnsi="宋体" w:cs="宋体" w:eastAsia="宋体" w:hint="default"/>
                            <w:spacing w:val="-1"/>
                            <w:sz w:val="18"/>
                            <w:szCs w:val="18"/>
                          </w:rPr>
                          <w:t>《关于切实做好</w:t>
                        </w: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年跨省异地就医住院费用直接结算工作的通知》，《通知》明确，</w:t>
                        </w: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r>
                          <w:rPr>
                            <w:rFonts w:ascii="宋体" w:hAnsi="宋体" w:cs="宋体" w:eastAsia="宋体" w:hint="default"/>
                            <w:sz w:val="18"/>
                            <w:szCs w:val="18"/>
                          </w:rPr>
                          <w:t> </w:t>
                        </w:r>
                        <w:r>
                          <w:rPr>
                            <w:rFonts w:ascii="宋体" w:hAnsi="宋体" w:cs="宋体" w:eastAsia="宋体" w:hint="default"/>
                            <w:spacing w:val="-1"/>
                            <w:sz w:val="18"/>
                            <w:szCs w:val="18"/>
                          </w:rPr>
                          <w:t>年底前，力争将全国</w:t>
                        </w:r>
                        <w:r>
                          <w:rPr>
                            <w:rFonts w:ascii="Times New Roman" w:hAnsi="Times New Roman" w:cs="Times New Roman" w:eastAsia="Times New Roman" w:hint="default"/>
                            <w:spacing w:val="-1"/>
                            <w:sz w:val="18"/>
                            <w:szCs w:val="18"/>
                          </w:rPr>
                          <w:t>85</w:t>
                        </w:r>
                        <w:r>
                          <w:rPr>
                            <w:rFonts w:ascii="宋体" w:hAnsi="宋体" w:cs="宋体" w:eastAsia="宋体" w:hint="default"/>
                            <w:spacing w:val="-1"/>
                            <w:sz w:val="18"/>
                            <w:szCs w:val="18"/>
                          </w:rPr>
                          <w:t>％以上三级定点医院、</w:t>
                        </w:r>
                        <w:r>
                          <w:rPr>
                            <w:rFonts w:ascii="Times New Roman" w:hAnsi="Times New Roman" w:cs="Times New Roman" w:eastAsia="Times New Roman" w:hint="default"/>
                            <w:spacing w:val="-1"/>
                            <w:sz w:val="18"/>
                            <w:szCs w:val="18"/>
                          </w:rPr>
                          <w:t>50</w:t>
                        </w:r>
                        <w:r>
                          <w:rPr>
                            <w:rFonts w:ascii="宋体" w:hAnsi="宋体" w:cs="宋体" w:eastAsia="宋体" w:hint="default"/>
                            <w:spacing w:val="-1"/>
                            <w:sz w:val="18"/>
                            <w:szCs w:val="18"/>
                          </w:rPr>
                          <w:t>％以上二级定点医院、</w:t>
                        </w:r>
                        <w:r>
                          <w:rPr>
                            <w:rFonts w:ascii="Times New Roman" w:hAnsi="Times New Roman" w:cs="Times New Roman" w:eastAsia="Times New Roman" w:hint="default"/>
                            <w:spacing w:val="-1"/>
                            <w:sz w:val="18"/>
                            <w:szCs w:val="18"/>
                          </w:rPr>
                          <w:t>10</w:t>
                        </w:r>
                        <w:r>
                          <w:rPr>
                            <w:rFonts w:ascii="宋体" w:hAnsi="宋体" w:cs="宋体" w:eastAsia="宋体" w:hint="default"/>
                            <w:spacing w:val="-1"/>
                            <w:sz w:val="18"/>
                            <w:szCs w:val="18"/>
                          </w:rPr>
                          <w:t>％以上其他定点医院接入</w:t>
                        </w:r>
                        <w:r>
                          <w:rPr>
                            <w:rFonts w:ascii="宋体" w:hAnsi="宋体" w:cs="宋体" w:eastAsia="宋体" w:hint="default"/>
                            <w:spacing w:val="-69"/>
                            <w:sz w:val="18"/>
                            <w:szCs w:val="18"/>
                          </w:rPr>
                          <w:t> </w:t>
                        </w:r>
                        <w:r>
                          <w:rPr>
                            <w:rFonts w:ascii="宋体" w:hAnsi="宋体" w:cs="宋体" w:eastAsia="宋体" w:hint="default"/>
                            <w:spacing w:val="-1"/>
                            <w:sz w:val="18"/>
                            <w:szCs w:val="18"/>
                          </w:rPr>
                          <w:t>国家异地就医结算系统；</w:t>
                        </w:r>
                        <w:r>
                          <w:rPr>
                            <w:rFonts w:ascii="Times New Roman" w:hAnsi="Times New Roman" w:cs="Times New Roman" w:eastAsia="Times New Roman" w:hint="default"/>
                            <w:spacing w:val="-1"/>
                            <w:sz w:val="18"/>
                            <w:szCs w:val="18"/>
                          </w:rPr>
                          <w:t>2020</w:t>
                        </w:r>
                        <w:r>
                          <w:rPr>
                            <w:rFonts w:ascii="宋体" w:hAnsi="宋体" w:cs="宋体" w:eastAsia="宋体" w:hint="default"/>
                            <w:spacing w:val="-1"/>
                            <w:sz w:val="18"/>
                            <w:szCs w:val="18"/>
                          </w:rPr>
                          <w:t>年年底前，基本实现符合条件的跨省异地就医患者在所有定点医院住</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院能直接结算。</w:t>
                        </w:r>
                      </w:p>
                    </w:tc>
                  </w:tr>
                  <w:tr>
                    <w:trPr>
                      <w:trHeight w:val="1051" w:hRule="exact"/>
                    </w:trPr>
                    <w:tc>
                      <w:tcPr>
                        <w:tcW w:w="83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263"/>
                          <w:jc w:val="right"/>
                          <w:rPr>
                            <w:rFonts w:ascii="宋体" w:hAnsi="宋体" w:cs="宋体" w:eastAsia="宋体" w:hint="default"/>
                            <w:sz w:val="18"/>
                            <w:szCs w:val="18"/>
                          </w:rPr>
                        </w:pPr>
                        <w:r>
                          <w:rPr>
                            <w:rFonts w:ascii="宋体" w:hAnsi="宋体" w:cs="宋体" w:eastAsia="宋体" w:hint="default"/>
                            <w:sz w:val="18"/>
                            <w:szCs w:val="18"/>
                          </w:rPr>
                          <w:t>医保局</w:t>
                        </w:r>
                      </w:p>
                    </w:tc>
                    <w:tc>
                      <w:tcPr>
                        <w:tcW w:w="7745" w:type="dxa"/>
                        <w:tcBorders>
                          <w:top w:val="single" w:sz="6" w:space="0" w:color="000000"/>
                          <w:left w:val="single" w:sz="6" w:space="0" w:color="000000"/>
                          <w:bottom w:val="single" w:sz="6" w:space="0" w:color="000000"/>
                          <w:right w:val="nil" w:sz="6" w:space="0" w:color="auto"/>
                        </w:tcBorders>
                      </w:tcPr>
                      <w:p>
                        <w:pPr>
                          <w:pStyle w:val="TableParagraph"/>
                          <w:spacing w:line="300" w:lineRule="auto" w:before="61"/>
                          <w:ind w:left="3" w:right="11" w:firstLine="360"/>
                          <w:jc w:val="both"/>
                          <w:rPr>
                            <w:rFonts w:ascii="宋体" w:hAnsi="宋体" w:cs="宋体" w:eastAsia="宋体" w:hint="default"/>
                            <w:sz w:val="18"/>
                            <w:szCs w:val="18"/>
                          </w:rPr>
                        </w:pPr>
                        <w:r>
                          <w:rPr>
                            <w:rFonts w:ascii="宋体" w:hAnsi="宋体" w:cs="宋体" w:eastAsia="宋体" w:hint="default"/>
                            <w:spacing w:val="-3"/>
                            <w:sz w:val="18"/>
                            <w:szCs w:val="18"/>
                          </w:rPr>
                          <w:t>《关于完善“互联网</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”医疗服务价格和医保支付政策的指导意见》，《指导意见》明确，“互</w:t>
                        </w:r>
                        <w:r>
                          <w:rPr>
                            <w:rFonts w:ascii="宋体" w:hAnsi="宋体" w:cs="宋体" w:eastAsia="宋体" w:hint="default"/>
                            <w:sz w:val="18"/>
                            <w:szCs w:val="18"/>
                          </w:rPr>
                          <w:t> </w:t>
                        </w:r>
                        <w:r>
                          <w:rPr>
                            <w:rFonts w:ascii="宋体" w:hAnsi="宋体" w:cs="宋体" w:eastAsia="宋体" w:hint="default"/>
                            <w:spacing w:val="-1"/>
                            <w:sz w:val="18"/>
                            <w:szCs w:val="18"/>
                          </w:rPr>
                          <w:t>联网</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”医疗服务价格纳入现行医疗服务价格的政策体系统一管理。对符合条件的“互联网</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”医疗</w:t>
                        </w:r>
                        <w:r>
                          <w:rPr>
                            <w:rFonts w:ascii="宋体" w:hAnsi="宋体" w:cs="宋体" w:eastAsia="宋体" w:hint="default"/>
                            <w:sz w:val="18"/>
                            <w:szCs w:val="18"/>
                          </w:rPr>
                          <w:t> 服务，按照线上线下公平的原则配套医保支付政策。</w:t>
                        </w:r>
                      </w:p>
                    </w:tc>
                  </w:tr>
                  <w:tr>
                    <w:trPr>
                      <w:trHeight w:val="1049" w:hRule="exact"/>
                    </w:trPr>
                    <w:tc>
                      <w:tcPr>
                        <w:tcW w:w="832" w:type="dxa"/>
                        <w:tcBorders>
                          <w:top w:val="single" w:sz="6" w:space="0" w:color="000000"/>
                          <w:left w:val="nil" w:sz="6" w:space="0" w:color="auto"/>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3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p>
                    </w:tc>
                    <w:tc>
                      <w:tcPr>
                        <w:tcW w:w="108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263"/>
                          <w:jc w:val="right"/>
                          <w:rPr>
                            <w:rFonts w:ascii="宋体" w:hAnsi="宋体" w:cs="宋体" w:eastAsia="宋体" w:hint="default"/>
                            <w:sz w:val="18"/>
                            <w:szCs w:val="18"/>
                          </w:rPr>
                        </w:pPr>
                        <w:r>
                          <w:rPr>
                            <w:rFonts w:ascii="宋体" w:hAnsi="宋体" w:cs="宋体" w:eastAsia="宋体" w:hint="default"/>
                            <w:sz w:val="18"/>
                            <w:szCs w:val="18"/>
                          </w:rPr>
                          <w:t>医保局</w:t>
                        </w:r>
                      </w:p>
                    </w:tc>
                    <w:tc>
                      <w:tcPr>
                        <w:tcW w:w="7745" w:type="dxa"/>
                        <w:tcBorders>
                          <w:top w:val="single" w:sz="6" w:space="0" w:color="000000"/>
                          <w:left w:val="single" w:sz="6" w:space="0" w:color="000000"/>
                          <w:bottom w:val="single" w:sz="4" w:space="0" w:color="000000"/>
                          <w:right w:val="nil" w:sz="6" w:space="0" w:color="auto"/>
                        </w:tcBorders>
                      </w:tcPr>
                      <w:p>
                        <w:pPr>
                          <w:pStyle w:val="TableParagraph"/>
                          <w:spacing w:line="309" w:lineRule="auto" w:before="61"/>
                          <w:ind w:left="3" w:right="11" w:firstLine="360"/>
                          <w:jc w:val="both"/>
                          <w:rPr>
                            <w:rFonts w:ascii="宋体" w:hAnsi="宋体" w:cs="宋体" w:eastAsia="宋体" w:hint="default"/>
                            <w:sz w:val="18"/>
                            <w:szCs w:val="18"/>
                          </w:rPr>
                        </w:pPr>
                        <w:r>
                          <w:rPr>
                            <w:rFonts w:ascii="宋体" w:hAnsi="宋体" w:cs="宋体" w:eastAsia="宋体" w:hint="default"/>
                            <w:spacing w:val="-2"/>
                            <w:sz w:val="18"/>
                            <w:szCs w:val="18"/>
                          </w:rPr>
                          <w:t>《关于印发疾病诊断相关分组（</w:t>
                        </w:r>
                        <w:r>
                          <w:rPr>
                            <w:rFonts w:ascii="Times New Roman" w:hAnsi="Times New Roman" w:cs="Times New Roman" w:eastAsia="Times New Roman" w:hint="default"/>
                            <w:spacing w:val="-2"/>
                            <w:sz w:val="18"/>
                            <w:szCs w:val="18"/>
                          </w:rPr>
                          <w:t>DRG</w:t>
                        </w:r>
                        <w:r>
                          <w:rPr>
                            <w:rFonts w:ascii="宋体" w:hAnsi="宋体" w:cs="宋体" w:eastAsia="宋体" w:hint="default"/>
                            <w:spacing w:val="-2"/>
                            <w:sz w:val="18"/>
                            <w:szCs w:val="18"/>
                          </w:rPr>
                          <w:t>）付费国家试点技术规范和分组方案的通知》，</w:t>
                        </w:r>
                        <w:r>
                          <w:rPr>
                            <w:rFonts w:ascii="Times New Roman" w:hAnsi="Times New Roman" w:cs="Times New Roman" w:eastAsia="Times New Roman" w:hint="default"/>
                            <w:spacing w:val="-2"/>
                            <w:sz w:val="18"/>
                            <w:szCs w:val="18"/>
                          </w:rPr>
                          <w:t>DRG</w:t>
                        </w:r>
                        <w:r>
                          <w:rPr>
                            <w:rFonts w:ascii="宋体" w:hAnsi="宋体" w:cs="宋体" w:eastAsia="宋体" w:hint="default"/>
                            <w:spacing w:val="-2"/>
                            <w:sz w:val="18"/>
                            <w:szCs w:val="18"/>
                          </w:rPr>
                          <w:t>付费</w:t>
                        </w:r>
                        <w:r>
                          <w:rPr>
                            <w:rFonts w:ascii="宋体" w:hAnsi="宋体" w:cs="宋体" w:eastAsia="宋体" w:hint="default"/>
                            <w:sz w:val="18"/>
                            <w:szCs w:val="18"/>
                          </w:rPr>
                          <w:t> </w:t>
                        </w:r>
                        <w:r>
                          <w:rPr>
                            <w:rFonts w:ascii="宋体" w:hAnsi="宋体" w:cs="宋体" w:eastAsia="宋体" w:hint="default"/>
                            <w:spacing w:val="-1"/>
                            <w:sz w:val="18"/>
                            <w:szCs w:val="18"/>
                          </w:rPr>
                          <w:t>国家试点迈出关键性一步。此举目的就是要打造前期试点城市“一盘棋”，精准“本地化”，具体</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付费符合各地实际，使</w:t>
                        </w:r>
                        <w:r>
                          <w:rPr>
                            <w:rFonts w:ascii="Times New Roman" w:hAnsi="Times New Roman" w:cs="Times New Roman" w:eastAsia="Times New Roman" w:hint="default"/>
                            <w:sz w:val="18"/>
                            <w:szCs w:val="18"/>
                          </w:rPr>
                          <w:t>CHS-DRG</w:t>
                        </w:r>
                        <w:r>
                          <w:rPr>
                            <w:rFonts w:ascii="宋体" w:hAnsi="宋体" w:cs="宋体" w:eastAsia="宋体" w:hint="default"/>
                            <w:sz w:val="18"/>
                            <w:szCs w:val="18"/>
                          </w:rPr>
                          <w:t>成为国家医保领域的“通用语言”。</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BodyText"/>
        <w:spacing w:line="240" w:lineRule="auto" w:before="44"/>
        <w:ind w:left="0" w:right="1041"/>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300" w:lineRule="auto"/>
        <w:ind w:left="492" w:right="1115"/>
        <w:jc w:val="left"/>
      </w:pPr>
      <w:r>
        <w:rPr>
          <w:rFonts w:ascii="Times New Roman" w:hAnsi="Times New Roman" w:cs="Times New Roman" w:eastAsia="Times New Roman" w:hint="default"/>
        </w:rPr>
        <w:t>2</w:t>
      </w:r>
      <w:r>
        <w:rPr/>
        <w:t>、医疗卫生健康信息化的发展趋势分析 </w:t>
      </w:r>
      <w:r>
        <w:rPr>
          <w:spacing w:val="-2"/>
        </w:rPr>
        <w:t>自上世纪</w:t>
      </w:r>
      <w:r>
        <w:rPr>
          <w:rFonts w:ascii="Times New Roman" w:hAnsi="Times New Roman" w:cs="Times New Roman" w:eastAsia="Times New Roman" w:hint="default"/>
          <w:spacing w:val="-2"/>
        </w:rPr>
        <w:t>70</w:t>
      </w:r>
      <w:r>
        <w:rPr>
          <w:spacing w:val="-2"/>
        </w:rPr>
        <w:t>年代开始，我国医疗信息化经过了几十年的发展，当下随着政策的持续推动，信息技术的不断更迭，医疗信</w:t>
      </w:r>
    </w:p>
    <w:p>
      <w:pPr>
        <w:pStyle w:val="BodyText"/>
        <w:spacing w:line="309" w:lineRule="auto" w:before="13"/>
        <w:ind w:left="132" w:right="1115"/>
        <w:jc w:val="left"/>
      </w:pPr>
      <w:r>
        <w:rPr/>
        <w:t>息化已从以医院管理流程信息化为出发点的</w:t>
      </w:r>
      <w:r>
        <w:rPr>
          <w:rFonts w:ascii="Times New Roman" w:hAnsi="Times New Roman" w:cs="Times New Roman" w:eastAsia="Times New Roman" w:hint="default"/>
        </w:rPr>
        <w:t>HIS</w:t>
      </w:r>
      <w:r>
        <w:rPr/>
        <w:t>（第一阶段），跨越到以围绕患者诊疗流程信息化的</w:t>
      </w:r>
      <w:r>
        <w:rPr>
          <w:rFonts w:ascii="Times New Roman" w:hAnsi="Times New Roman" w:cs="Times New Roman" w:eastAsia="Times New Roman" w:hint="default"/>
        </w:rPr>
        <w:t>CIS</w:t>
      </w:r>
      <w:r>
        <w:rPr/>
        <w:t>（第二阶段），再 </w:t>
      </w:r>
      <w:r>
        <w:rPr>
          <w:spacing w:val="-2"/>
        </w:rPr>
        <w:t>到连接院外区域性卫生医疗信息互通（第三阶段）。医疗信息化建设实现了从个体到整体、从局部到广域的发展，内涵与功</w:t>
      </w:r>
      <w:r>
        <w:rPr>
          <w:spacing w:val="-66"/>
        </w:rPr>
        <w:t> </w:t>
      </w:r>
      <w:r>
        <w:rPr>
          <w:spacing w:val="-66"/>
        </w:rPr>
      </w:r>
      <w:r>
        <w:rPr/>
        <w:t>能得到强化，服务范围不断延伸，基于医疗数据应用不断深入。</w:t>
      </w:r>
    </w:p>
    <w:p>
      <w:pPr>
        <w:spacing w:after="0" w:line="309" w:lineRule="auto"/>
        <w:jc w:val="left"/>
        <w:sectPr>
          <w:pgSz w:w="11910" w:h="16840"/>
          <w:pgMar w:header="907" w:footer="1016" w:top="1100" w:bottom="1200" w:left="1000" w:right="0"/>
        </w:sectPr>
      </w:pPr>
    </w:p>
    <w:p>
      <w:pPr>
        <w:spacing w:line="240" w:lineRule="auto" w:before="13"/>
        <w:rPr>
          <w:rFonts w:ascii="宋体" w:hAnsi="宋体" w:cs="宋体" w:eastAsia="宋体" w:hint="default"/>
          <w:sz w:val="22"/>
          <w:szCs w:val="22"/>
        </w:rPr>
      </w:pPr>
    </w:p>
    <w:p>
      <w:pPr>
        <w:pStyle w:val="BodyText"/>
        <w:spacing w:line="309" w:lineRule="auto" w:before="44"/>
        <w:ind w:right="1132" w:firstLine="360"/>
        <w:jc w:val="both"/>
      </w:pPr>
      <w:r>
        <w:rPr>
          <w:spacing w:val="-2"/>
        </w:rPr>
        <w:t>基于此，医疗卫生信息化行业也将逐步从以往以流程建设为主向以患者为中心的面向诊疗过程以提高医疗服务水平的方</w:t>
      </w:r>
      <w:r>
        <w:rPr/>
        <w:t> 向发展，医疗卫生信息化产品也将提供更为便捷的医疗数据集采、传输、分析服务。未来，我们认为基于物联网、</w:t>
      </w:r>
      <w:r>
        <w:rPr>
          <w:rFonts w:ascii="Times New Roman" w:hAnsi="Times New Roman" w:cs="Times New Roman" w:eastAsia="Times New Roman" w:hint="default"/>
        </w:rPr>
        <w:t>5G</w:t>
      </w:r>
      <w:r>
        <w:rPr/>
        <w:t>、大 数据分析、</w:t>
      </w:r>
      <w:r>
        <w:rPr>
          <w:rFonts w:ascii="Times New Roman" w:hAnsi="Times New Roman" w:cs="Times New Roman" w:eastAsia="Times New Roman" w:hint="default"/>
        </w:rPr>
        <w:t>AI</w:t>
      </w:r>
      <w:r>
        <w:rPr/>
        <w:t>等技术的医疗卫生信息化整体解决方案将是行业发展的主要方向。</w:t>
      </w:r>
    </w:p>
    <w:p>
      <w:pPr>
        <w:pStyle w:val="BodyText"/>
        <w:spacing w:line="300" w:lineRule="auto" w:before="5"/>
        <w:ind w:left="472" w:right="882"/>
        <w:jc w:val="left"/>
      </w:pPr>
      <w:r>
        <w:rPr>
          <w:rFonts w:ascii="Times New Roman" w:hAnsi="Times New Roman" w:cs="Times New Roman" w:eastAsia="Times New Roman" w:hint="default"/>
        </w:rPr>
        <w:t>3</w:t>
      </w:r>
      <w:r>
        <w:rPr/>
        <w:t>、公司所处行业市场格局 </w:t>
      </w:r>
      <w:r>
        <w:rPr>
          <w:spacing w:val="-2"/>
        </w:rPr>
        <w:t>目前行业内厂商众多，且区域分布较为明显，市场份额较为分散，根据全国医疗信息化联盟统计，我国医疗信息化行业</w:t>
      </w:r>
    </w:p>
    <w:p>
      <w:pPr>
        <w:pStyle w:val="BodyText"/>
        <w:spacing w:line="300" w:lineRule="auto" w:before="31"/>
        <w:ind w:left="472" w:right="882" w:hanging="360"/>
        <w:jc w:val="left"/>
      </w:pPr>
      <w:r>
        <w:rPr/>
        <w:t>市场规模排名前七的企业占比合计</w:t>
      </w:r>
      <w:r>
        <w:rPr>
          <w:rFonts w:ascii="Times New Roman" w:hAnsi="Times New Roman" w:cs="Times New Roman" w:eastAsia="Times New Roman" w:hint="default"/>
        </w:rPr>
        <w:t>28.8%</w:t>
      </w:r>
      <w:r>
        <w:rPr/>
        <w:t>，预计前十的规模占比仅在</w:t>
      </w:r>
      <w:r>
        <w:rPr>
          <w:rFonts w:ascii="Times New Roman" w:hAnsi="Times New Roman" w:cs="Times New Roman" w:eastAsia="Times New Roman" w:hint="default"/>
        </w:rPr>
        <w:t>30%</w:t>
      </w:r>
      <w:r>
        <w:rPr/>
        <w:t>左右，呈现出较低的市场集中度。 </w:t>
      </w:r>
      <w:r>
        <w:rPr>
          <w:spacing w:val="-2"/>
        </w:rPr>
        <w:t>当下面对不断增长的行业规模及不断深化的行业需求，行业大额订单比例正在不断增加，而行业中的头部公司依靠较强</w:t>
      </w:r>
    </w:p>
    <w:p>
      <w:pPr>
        <w:pStyle w:val="BodyText"/>
        <w:spacing w:line="316" w:lineRule="auto" w:before="31"/>
        <w:ind w:right="882"/>
        <w:jc w:val="left"/>
      </w:pPr>
      <w:r>
        <w:rPr>
          <w:spacing w:val="-2"/>
        </w:rPr>
        <w:t>的综合服务能力拿单优势明显，将充分受益；同时，头部公司多为上市公司，能够借助资本市场通过并购扩大场份额及丰富</w:t>
      </w:r>
      <w:r>
        <w:rPr>
          <w:spacing w:val="-66"/>
        </w:rPr>
        <w:t> </w:t>
      </w:r>
      <w:r>
        <w:rPr>
          <w:spacing w:val="-66"/>
        </w:rPr>
      </w:r>
      <w:r>
        <w:rPr/>
        <w:t>自身产品线，因此整个行业的产业集中度势必将会进一步提升。</w:t>
      </w:r>
    </w:p>
    <w:p>
      <w:pPr>
        <w:pStyle w:val="Heading5"/>
        <w:spacing w:line="240" w:lineRule="auto"/>
        <w:ind w:right="882"/>
        <w:jc w:val="left"/>
        <w:rPr>
          <w:b w:val="0"/>
          <w:bCs w:val="0"/>
        </w:rPr>
      </w:pPr>
      <w:r>
        <w:rPr/>
        <w:t>（二）公司发展战略及</w:t>
      </w:r>
      <w:r>
        <w:rPr>
          <w:rFonts w:ascii="Times New Roman" w:hAnsi="Times New Roman" w:cs="Times New Roman" w:eastAsia="Times New Roman" w:hint="default"/>
        </w:rPr>
        <w:t>2020</w:t>
      </w:r>
      <w:r>
        <w:rPr/>
        <w:t>年经营规划</w:t>
      </w:r>
      <w:r>
        <w:rPr>
          <w:b w:val="0"/>
          <w:bCs w:val="0"/>
        </w:rPr>
      </w:r>
    </w:p>
    <w:p>
      <w:pPr>
        <w:pStyle w:val="BodyText"/>
        <w:spacing w:line="304" w:lineRule="auto" w:before="63"/>
        <w:ind w:right="882" w:firstLine="360"/>
        <w:jc w:val="left"/>
      </w:pPr>
      <w:r>
        <w:rPr>
          <w:rFonts w:ascii="Times New Roman" w:hAnsi="Times New Roman" w:cs="Times New Roman" w:eastAsia="Times New Roman" w:hint="default"/>
          <w:spacing w:val="-2"/>
        </w:rPr>
        <w:t>2020</w:t>
      </w:r>
      <w:r>
        <w:rPr>
          <w:spacing w:val="-2"/>
        </w:rPr>
        <w:t>年，公司将继续坚持立足医疗卫生信息化行业，以“一体两翼”加新设的医保事业部的业务板块协同发展，持续扩</w:t>
      </w:r>
      <w:r>
        <w:rPr/>
        <w:t> </w:t>
      </w:r>
      <w:r>
        <w:rPr>
          <w:spacing w:val="-3"/>
        </w:rPr>
        <w:t>大综合优势提高市场占有率。同时，在“卫健委</w:t>
      </w:r>
      <w:r>
        <w:rPr>
          <w:rFonts w:ascii="Times New Roman" w:hAnsi="Times New Roman" w:cs="Times New Roman" w:eastAsia="Times New Roman" w:hint="default"/>
          <w:spacing w:val="-3"/>
        </w:rPr>
        <w:t>+</w:t>
      </w:r>
      <w:r>
        <w:rPr>
          <w:spacing w:val="-3"/>
        </w:rPr>
        <w:t>医保局”共同精细化管理的新阶段、新形势下，充分结合</w:t>
      </w:r>
      <w:r>
        <w:rPr>
          <w:rFonts w:ascii="Times New Roman" w:hAnsi="Times New Roman" w:cs="Times New Roman" w:eastAsia="Times New Roman" w:hint="default"/>
          <w:spacing w:val="-3"/>
        </w:rPr>
        <w:t>5G</w:t>
      </w:r>
      <w:r>
        <w:rPr>
          <w:spacing w:val="-3"/>
        </w:rPr>
        <w:t>、</w:t>
      </w:r>
      <w:r>
        <w:rPr>
          <w:rFonts w:ascii="Times New Roman" w:hAnsi="Times New Roman" w:cs="Times New Roman" w:eastAsia="Times New Roman" w:hint="default"/>
          <w:spacing w:val="-3"/>
        </w:rPr>
        <w:t>AI</w:t>
      </w:r>
      <w:r>
        <w:rPr>
          <w:spacing w:val="-3"/>
        </w:rPr>
        <w:t>、区块链、</w:t>
      </w:r>
      <w:r>
        <w:rPr>
          <w:spacing w:val="-69"/>
        </w:rPr>
        <w:t> </w:t>
      </w:r>
      <w:r>
        <w:rPr>
          <w:spacing w:val="-69"/>
        </w:rPr>
      </w:r>
      <w:r>
        <w:rPr>
          <w:spacing w:val="-2"/>
        </w:rPr>
        <w:t>物联网等新型信息技术为医卫健康信息化发展带来创新应用场景，切合市场的期待，以“多态智联”的新型产品架构，拓展</w:t>
      </w:r>
      <w:r>
        <w:rPr>
          <w:spacing w:val="-66"/>
        </w:rPr>
        <w:t> </w:t>
      </w:r>
      <w:r>
        <w:rPr>
          <w:spacing w:val="-66"/>
        </w:rPr>
      </w:r>
      <w:r>
        <w:rPr/>
        <w:t>全新平台型</w:t>
      </w:r>
      <w:r>
        <w:rPr>
          <w:rFonts w:ascii="Times New Roman" w:hAnsi="Times New Roman" w:cs="Times New Roman" w:eastAsia="Times New Roman" w:hint="default"/>
        </w:rPr>
        <w:t>HIS</w:t>
      </w:r>
      <w:r>
        <w:rPr/>
        <w:t>系统、数据中台、区块链医疗、智慧医保等创新应用产品市场，为医疗机构、政府监管、各类健康服务行业 提供适度超前的全方位医疗健康卫生信息化支撑解决方案。</w:t>
      </w:r>
    </w:p>
    <w:p>
      <w:pPr>
        <w:spacing w:line="300" w:lineRule="auto" w:before="28"/>
        <w:ind w:left="472" w:right="882"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、紧跟医疗卫生信息化行业发展趋势，保持产品创新领先优势</w:t>
      </w:r>
      <w:r>
        <w:rPr>
          <w:rFonts w:ascii="宋体" w:hAnsi="宋体" w:cs="宋体" w:eastAsia="宋体" w:hint="default"/>
          <w:b/>
          <w:bCs/>
          <w:w w:val="99"/>
          <w:sz w:val="18"/>
          <w:szCs w:val="18"/>
        </w:rPr>
        <w:t> </w:t>
      </w:r>
      <w:r>
        <w:rPr>
          <w:rFonts w:ascii="宋体" w:hAnsi="宋体" w:cs="宋体" w:eastAsia="宋体" w:hint="default"/>
          <w:spacing w:val="-2"/>
          <w:sz w:val="18"/>
          <w:szCs w:val="18"/>
        </w:rPr>
        <w:t>近年，国家对医疗卫生信息化中的医联体、医共体建设、电子病历和新技术应用方面政策的频繁颁布和实施，激发了医</w:t>
      </w:r>
    </w:p>
    <w:p>
      <w:pPr>
        <w:pStyle w:val="BodyText"/>
        <w:spacing w:line="312" w:lineRule="auto" w:before="31"/>
        <w:ind w:right="1041"/>
        <w:jc w:val="both"/>
      </w:pPr>
      <w:r>
        <w:rPr/>
        <w:t>疗机构和健康机构对医疗卫生信息化系统产品和服务的需求，可以预见我国医疗卫生信息化产业还将持续高速增长。另外， </w:t>
      </w:r>
      <w:r>
        <w:rPr>
          <w:spacing w:val="-4"/>
        </w:rPr>
        <w:t>由于新型冠状病毒肺炎疫情爆发，暴露出国家公共卫生体系、传染病防治工作还有很多系统性问题，结合</w:t>
      </w:r>
      <w:r>
        <w:rPr>
          <w:rFonts w:ascii="Times New Roman" w:hAnsi="Times New Roman" w:cs="Times New Roman" w:eastAsia="Times New Roman" w:hint="default"/>
          <w:spacing w:val="-4"/>
        </w:rPr>
        <w:t>2003</w:t>
      </w:r>
      <w:r>
        <w:rPr>
          <w:spacing w:val="-4"/>
        </w:rPr>
        <w:t>年“非典疫情”</w:t>
      </w:r>
      <w:r>
        <w:rPr>
          <w:spacing w:val="-37"/>
        </w:rPr>
        <w:t> </w:t>
      </w:r>
      <w:r>
        <w:rPr>
          <w:spacing w:val="-37"/>
        </w:rPr>
      </w:r>
      <w:r>
        <w:rPr>
          <w:spacing w:val="-4"/>
        </w:rPr>
        <w:t>的经验判断，此次新冠肺炎疫情结束后，国家势必将推出更多行业政策，加速全国公共卫生、传染病防治领域的供给侧改革，</w:t>
      </w:r>
      <w:r>
        <w:rPr>
          <w:spacing w:val="-43"/>
        </w:rPr>
        <w:t> </w:t>
      </w:r>
      <w:r>
        <w:rPr>
          <w:spacing w:val="-43"/>
        </w:rPr>
      </w:r>
      <w:r>
        <w:rPr/>
        <w:t>继而驱动全国范围内区域卫生信息系统大规模的升级，新的机遇、新的市场已经到来。</w:t>
      </w:r>
    </w:p>
    <w:p>
      <w:pPr>
        <w:pStyle w:val="BodyText"/>
        <w:spacing w:line="314" w:lineRule="auto" w:before="22"/>
        <w:ind w:right="1034" w:firstLine="360"/>
        <w:jc w:val="left"/>
      </w:pPr>
      <w:r>
        <w:rPr>
          <w:rFonts w:ascii="Times New Roman" w:hAnsi="Times New Roman" w:cs="Times New Roman" w:eastAsia="Times New Roman" w:hint="default"/>
          <w:spacing w:val="-2"/>
        </w:rPr>
        <w:t>2020</w:t>
      </w:r>
      <w:r>
        <w:rPr>
          <w:spacing w:val="-2"/>
        </w:rPr>
        <w:t>年，公司将紧跟医疗卫生信息化行业的发展趋势，保持医疗信息化业务持续增长的驱动力，同时作为区域医疗信息</w:t>
      </w:r>
      <w:r>
        <w:rPr/>
        <w:t> </w:t>
      </w:r>
      <w:r>
        <w:rPr>
          <w:spacing w:val="-2"/>
        </w:rPr>
        <w:t>化领域的头部企业，将在公共卫生产品、区域医疗、远程医疗、分级诊疗等行业热点方向加大研发投入，全面布局流行病防</w:t>
      </w:r>
      <w:r>
        <w:rPr>
          <w:spacing w:val="-65"/>
        </w:rPr>
        <w:t> </w:t>
      </w:r>
      <w:r>
        <w:rPr>
          <w:spacing w:val="-65"/>
        </w:rPr>
      </w:r>
      <w:r>
        <w:rPr>
          <w:spacing w:val="-2"/>
        </w:rPr>
        <w:t>控整体解决方案，助力国家完善重大疫情防控体制机制、健全国家公共卫生应急管理体系，以保证公司产品在新形势下继续</w:t>
      </w:r>
      <w:r>
        <w:rPr>
          <w:spacing w:val="-65"/>
        </w:rPr>
        <w:t> </w:t>
      </w:r>
      <w:r>
        <w:rPr>
          <w:spacing w:val="-65"/>
        </w:rPr>
      </w:r>
      <w:r>
        <w:rPr/>
        <w:t>保持竞争优势，能够向全国市场输出如卫生应急管理系统，传染性疾病防疫系统、基层医疗机构管理信息系统等成熟产品， </w:t>
      </w:r>
      <w:r>
        <w:rPr>
          <w:spacing w:val="-2"/>
        </w:rPr>
        <w:t>实现进一步拓展行业应用的深度和广度；同时，继续深化完善现有营销服务体系，严控项目管理，严把工程质量关，提升服</w:t>
      </w:r>
      <w:r>
        <w:rPr>
          <w:spacing w:val="-65"/>
        </w:rPr>
        <w:t> </w:t>
      </w:r>
      <w:r>
        <w:rPr>
          <w:spacing w:val="-65"/>
        </w:rPr>
      </w:r>
      <w:r>
        <w:rPr>
          <w:spacing w:val="-2"/>
        </w:rPr>
        <w:t>务意识，树立创业慧康在医疗信息化市场品牌自信和优势；通过紧密配合客户，寻求创新合作模式，打造一批行业重点、亮</w:t>
      </w:r>
      <w:r>
        <w:rPr>
          <w:spacing w:val="-65"/>
        </w:rPr>
        <w:t> </w:t>
      </w:r>
      <w:r>
        <w:rPr>
          <w:spacing w:val="-65"/>
        </w:rPr>
      </w:r>
      <w:r>
        <w:rPr>
          <w:spacing w:val="-2"/>
        </w:rPr>
        <w:t>点医院、区域卫生项目，为传统业务持续增长提供驱动力，为公司业绩持续稳定增长奠定基础，夯实公司医疗卫生信息化行</w:t>
      </w:r>
      <w:r>
        <w:rPr>
          <w:spacing w:val="-66"/>
        </w:rPr>
        <w:t> </w:t>
      </w:r>
      <w:r>
        <w:rPr>
          <w:spacing w:val="-66"/>
        </w:rPr>
      </w:r>
      <w:r>
        <w:rPr/>
        <w:t>业地位。</w:t>
      </w:r>
    </w:p>
    <w:p>
      <w:pPr>
        <w:spacing w:line="300" w:lineRule="auto" w:before="20"/>
        <w:ind w:left="472" w:right="1112"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、顺应市场需求，持续打造“互联网</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医疗”大生态</w:t>
      </w:r>
      <w:r>
        <w:rPr>
          <w:rFonts w:ascii="宋体" w:hAnsi="宋体" w:cs="宋体" w:eastAsia="宋体" w:hint="default"/>
          <w:b/>
          <w:bCs/>
          <w:w w:val="99"/>
          <w:sz w:val="18"/>
          <w:szCs w:val="18"/>
        </w:rPr>
        <w:t> </w:t>
      </w:r>
      <w:r>
        <w:rPr>
          <w:rFonts w:ascii="宋体" w:hAnsi="宋体" w:cs="宋体" w:eastAsia="宋体" w:hint="default"/>
          <w:sz w:val="18"/>
          <w:szCs w:val="18"/>
        </w:rPr>
        <w:t>十九大以来，党中央、国务院一直高度重视“互联网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医疗健康”工作，同时，国务院、卫健委、工信部等连续发文，</w:t>
      </w:r>
    </w:p>
    <w:p>
      <w:pPr>
        <w:pStyle w:val="BodyText"/>
        <w:spacing w:line="316" w:lineRule="auto" w:before="13"/>
        <w:ind w:left="472" w:right="882" w:hanging="360"/>
        <w:jc w:val="left"/>
      </w:pPr>
      <w:r>
        <w:rPr/>
        <w:t>共同推动了互联网医疗行业的发展。 </w:t>
      </w:r>
      <w:r>
        <w:rPr>
          <w:spacing w:val="-2"/>
        </w:rPr>
        <w:t>另外，</w:t>
      </w:r>
      <w:r>
        <w:rPr>
          <w:rFonts w:ascii="Times New Roman" w:hAnsi="Times New Roman" w:cs="Times New Roman" w:eastAsia="Times New Roman" w:hint="default"/>
          <w:spacing w:val="-2"/>
        </w:rPr>
        <w:t>2020</w:t>
      </w:r>
      <w:r>
        <w:rPr>
          <w:spacing w:val="-2"/>
        </w:rPr>
        <w:t>年初，受疫情影响，互联网医疗接诊数量激增，互联网医院建设明显增速，各省纷纷开设互联网医院助力防</w:t>
      </w:r>
    </w:p>
    <w:p>
      <w:pPr>
        <w:pStyle w:val="BodyText"/>
        <w:spacing w:line="300" w:lineRule="auto"/>
        <w:ind w:right="1112"/>
        <w:jc w:val="left"/>
      </w:pPr>
      <w:r>
        <w:rPr/>
        <w:t>疫，据中国社会科学院统计，疫情期间有超过</w:t>
      </w:r>
      <w:r>
        <w:rPr>
          <w:rFonts w:ascii="Times New Roman" w:hAnsi="Times New Roman" w:cs="Times New Roman" w:eastAsia="Times New Roman" w:hint="default"/>
        </w:rPr>
        <w:t>200</w:t>
      </w:r>
      <w:r>
        <w:rPr/>
        <w:t>家公立医院开展新冠肺炎免费互联网诊疗和线上咨询服务，全国超过万名 医生进行互联网问诊，线上问诊和咨询习惯被逐渐养成为“互联网</w:t>
      </w:r>
      <w:r>
        <w:rPr>
          <w:rFonts w:ascii="Times New Roman" w:hAnsi="Times New Roman" w:cs="Times New Roman" w:eastAsia="Times New Roman" w:hint="default"/>
        </w:rPr>
        <w:t>+</w:t>
      </w:r>
      <w:r>
        <w:rPr/>
        <w:t>医疗健康”的发展奠定了市场基础，此外，随着“互联 网</w:t>
      </w:r>
      <w:r>
        <w:rPr>
          <w:rFonts w:ascii="Times New Roman" w:hAnsi="Times New Roman" w:cs="Times New Roman" w:eastAsia="Times New Roman" w:hint="default"/>
        </w:rPr>
        <w:t>+</w:t>
      </w:r>
      <w:r>
        <w:rPr/>
        <w:t>诊疗”纳入医保支付的政策发布，为“互联网</w:t>
      </w:r>
      <w:r>
        <w:rPr>
          <w:rFonts w:ascii="Times New Roman" w:hAnsi="Times New Roman" w:cs="Times New Roman" w:eastAsia="Times New Roman" w:hint="default"/>
        </w:rPr>
        <w:t>+</w:t>
      </w:r>
      <w:r>
        <w:rPr/>
        <w:t>医疗健康”的发展奠定了政策基础，预计新冠疫情以后，全国二级以上 医院有望逐步建设互联网医院，“互联网</w:t>
      </w:r>
      <w:r>
        <w:rPr>
          <w:rFonts w:ascii="Times New Roman" w:hAnsi="Times New Roman" w:cs="Times New Roman" w:eastAsia="Times New Roman" w:hint="default"/>
        </w:rPr>
        <w:t>+</w:t>
      </w:r>
      <w:r>
        <w:rPr/>
        <w:t>诊疗”建设将迎来新的一轮建设潮。</w:t>
      </w:r>
    </w:p>
    <w:p>
      <w:pPr>
        <w:pStyle w:val="BodyText"/>
        <w:spacing w:line="309" w:lineRule="auto" w:before="13"/>
        <w:ind w:right="1132" w:firstLine="360"/>
        <w:jc w:val="both"/>
      </w:pPr>
      <w:r>
        <w:rPr>
          <w:rFonts w:ascii="Times New Roman" w:hAnsi="Times New Roman" w:cs="Times New Roman" w:eastAsia="Times New Roman" w:hint="default"/>
          <w:spacing w:val="-2"/>
        </w:rPr>
        <w:t>2020</w:t>
      </w:r>
      <w:r>
        <w:rPr>
          <w:spacing w:val="-2"/>
        </w:rPr>
        <w:t>年，公司在互联网医疗方面，将继续推进落实“百城云平台”战略，对现有的区域卫生信息平台、区域医疗平台及</w:t>
      </w:r>
      <w:r>
        <w:rPr/>
        <w:t> 互联网</w:t>
      </w:r>
      <w:r>
        <w:rPr>
          <w:rFonts w:ascii="Times New Roman" w:hAnsi="Times New Roman" w:cs="Times New Roman" w:eastAsia="Times New Roman" w:hint="default"/>
        </w:rPr>
        <w:t>APP</w:t>
      </w:r>
      <w:r>
        <w:rPr/>
        <w:t>进行整合，通过互联网</w:t>
      </w:r>
      <w:r>
        <w:rPr>
          <w:rFonts w:ascii="Times New Roman" w:hAnsi="Times New Roman" w:cs="Times New Roman" w:eastAsia="Times New Roman" w:hint="default"/>
        </w:rPr>
        <w:t>+</w:t>
      </w:r>
      <w:r>
        <w:rPr/>
        <w:t>人工智能、移动支付、区块链等技术手段，拓展线上医疗服务空间，探索为医疗产业提 </w:t>
      </w:r>
      <w:r>
        <w:rPr>
          <w:spacing w:val="-2"/>
        </w:rPr>
        <w:t>供线上线下一体的互联网化的诊疗、健康咨询、后端数据应用及运营服务。同时，深化与蚂蚁金服、腾讯、平安等互联网巨</w:t>
      </w:r>
      <w:r>
        <w:rPr>
          <w:spacing w:val="-66"/>
        </w:rPr>
        <w:t> </w:t>
      </w:r>
      <w:r>
        <w:rPr>
          <w:spacing w:val="-66"/>
        </w:rPr>
      </w:r>
      <w:r>
        <w:rPr>
          <w:spacing w:val="-2"/>
        </w:rPr>
        <w:t>头的战略合作，推动公司医疗互联网运营业务在医疗急救、健康养老、健康保险、健康金融等领域的合作，持续打造由医疗</w:t>
      </w:r>
      <w:r>
        <w:rPr>
          <w:spacing w:val="-65"/>
        </w:rPr>
        <w:t> </w:t>
      </w:r>
      <w:r>
        <w:rPr>
          <w:spacing w:val="-65"/>
        </w:rPr>
      </w:r>
      <w:r>
        <w:rPr/>
        <w:t>机构、线下药店、保险机构、银行、电信服务商等组成的产业联盟，实现互联网</w:t>
      </w:r>
      <w:r>
        <w:rPr>
          <w:rFonts w:ascii="Times New Roman" w:hAnsi="Times New Roman" w:cs="Times New Roman" w:eastAsia="Times New Roman" w:hint="default"/>
        </w:rPr>
        <w:t>+</w:t>
      </w:r>
      <w:r>
        <w:rPr/>
        <w:t>医疗的生态体系。</w:t>
      </w:r>
    </w:p>
    <w:p>
      <w:pPr>
        <w:pStyle w:val="BodyText"/>
        <w:spacing w:line="316" w:lineRule="auto" w:before="5"/>
        <w:ind w:right="882" w:firstLine="360"/>
        <w:jc w:val="left"/>
      </w:pPr>
      <w:r>
        <w:rPr>
          <w:spacing w:val="-2"/>
        </w:rPr>
        <w:t>在健康城市运营方面，将基于“闵行模式”和“健康中山”的成功经验，继续复制拓展。同时，积极探索“新虹桥”双</w:t>
      </w:r>
      <w:r>
        <w:rPr/>
        <w:t> </w:t>
      </w:r>
      <w:r>
        <w:rPr>
          <w:spacing w:val="-2"/>
        </w:rPr>
        <w:t>向互联互通、共融共享的合作模式，充分发挥“新虹桥国际医学园区”集约化的特色，与公司医疗卫生信息化业务应用、互</w:t>
      </w:r>
    </w:p>
    <w:p>
      <w:pPr>
        <w:spacing w:after="0" w:line="316"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882"/>
        <w:jc w:val="left"/>
      </w:pPr>
      <w:r>
        <w:rPr>
          <w:spacing w:val="-2"/>
        </w:rPr>
        <w:t>联网医院，健康城市云平台、大数据应用等对接，并通过公司远程诊疗平台、大数据平台和分析技术实现园区高品质医疗资</w:t>
      </w:r>
      <w:r>
        <w:rPr>
          <w:spacing w:val="-66"/>
        </w:rPr>
        <w:t> </w:t>
      </w:r>
      <w:r>
        <w:rPr>
          <w:spacing w:val="-66"/>
        </w:rPr>
      </w:r>
      <w:r>
        <w:rPr/>
        <w:t>源在全国范围的互联网运营落地。</w:t>
      </w:r>
    </w:p>
    <w:p>
      <w:pPr>
        <w:spacing w:line="300" w:lineRule="auto" w:before="19"/>
        <w:ind w:left="472" w:right="882"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、深度挖掘“万物互联”医疗场景，补齐智能医疗最后一公里</w:t>
      </w:r>
      <w:r>
        <w:rPr>
          <w:rFonts w:ascii="宋体" w:hAnsi="宋体" w:cs="宋体" w:eastAsia="宋体" w:hint="default"/>
          <w:b/>
          <w:bCs/>
          <w:w w:val="99"/>
          <w:sz w:val="18"/>
          <w:szCs w:val="18"/>
        </w:rPr>
        <w:t> </w:t>
      </w:r>
      <w:r>
        <w:rPr>
          <w:rFonts w:ascii="宋体" w:hAnsi="宋体" w:cs="宋体" w:eastAsia="宋体" w:hint="default"/>
          <w:spacing w:val="-2"/>
          <w:sz w:val="18"/>
          <w:szCs w:val="18"/>
        </w:rPr>
        <w:t>目前，受国家政策导向，我国物联网行业已进入“跨界融合、集成创新”的新阶段，“万物互联”在诊前、诊中、诊后</w:t>
      </w:r>
    </w:p>
    <w:p>
      <w:pPr>
        <w:pStyle w:val="BodyText"/>
        <w:spacing w:line="316" w:lineRule="auto" w:before="31"/>
        <w:ind w:right="882"/>
        <w:jc w:val="left"/>
      </w:pPr>
      <w:r>
        <w:rPr>
          <w:spacing w:val="-2"/>
        </w:rPr>
        <w:t>的全周期医疗场景中已广泛应用。相信随着新技术、新产品应用的不断丰富，物联网技术融入现代医疗服务的趋势将不断加</w:t>
      </w:r>
      <w:r>
        <w:rPr>
          <w:spacing w:val="-65"/>
        </w:rPr>
        <w:t> </w:t>
      </w:r>
      <w:r>
        <w:rPr>
          <w:spacing w:val="-65"/>
        </w:rPr>
      </w:r>
      <w:r>
        <w:rPr/>
        <w:t>深，将使医疗工作更加智能化、便捷化，显著的提升医疗工作的效率，也将逐步成为海量医疗数据的新入口。</w:t>
      </w:r>
    </w:p>
    <w:p>
      <w:pPr>
        <w:pStyle w:val="BodyText"/>
        <w:spacing w:line="314" w:lineRule="auto" w:before="19"/>
        <w:ind w:right="1034" w:firstLine="360"/>
        <w:jc w:val="left"/>
      </w:pPr>
      <w:r>
        <w:rPr>
          <w:rFonts w:ascii="Times New Roman" w:hAnsi="Times New Roman" w:cs="Times New Roman" w:eastAsia="Times New Roman" w:hint="default"/>
          <w:spacing w:val="-2"/>
        </w:rPr>
        <w:t>2020</w:t>
      </w:r>
      <w:r>
        <w:rPr>
          <w:spacing w:val="-2"/>
        </w:rPr>
        <w:t>年，公司将契合医疗行业的前沿智能化需求，借助公司广泛的、本地化的，能够提供软硬件一体化智慧医疗平台服</w:t>
      </w:r>
      <w:r>
        <w:rPr/>
        <w:t> </w:t>
      </w:r>
      <w:r>
        <w:rPr>
          <w:spacing w:val="-2"/>
        </w:rPr>
        <w:t>务及运维管理服务的综合性服务团队，对现有客户院内就医体系及医院内的各类场景需求进行深度挖掘，运用最新的物联网</w:t>
      </w:r>
      <w:r>
        <w:rPr>
          <w:spacing w:val="-64"/>
        </w:rPr>
        <w:t> </w:t>
      </w:r>
      <w:r>
        <w:rPr>
          <w:spacing w:val="-64"/>
        </w:rPr>
      </w:r>
      <w:r>
        <w:rPr/>
        <w:t>相关技术，继续建立智慧物联支撑平台，并在此基础上建设和完善物联网模块产品体系，建立更紧密的医院医患协同网络， </w:t>
      </w:r>
      <w:r>
        <w:rPr>
          <w:spacing w:val="-2"/>
        </w:rPr>
        <w:t>实现更加实时、便捷的医疗健康信息互联互通。同时，探索利用大数据技术在智能医疗场景中的应用，提高对设备终端数据</w:t>
      </w:r>
      <w:r>
        <w:rPr>
          <w:spacing w:val="-66"/>
        </w:rPr>
        <w:t> </w:t>
      </w:r>
      <w:r>
        <w:rPr>
          <w:spacing w:val="-66"/>
        </w:rPr>
      </w:r>
      <w:r>
        <w:rPr/>
        <w:t>的“加工能力”，通过“加工”实现终端海量数据的“增值”，补齐大数据</w:t>
      </w:r>
      <w:r>
        <w:rPr>
          <w:rFonts w:ascii="Times New Roman" w:hAnsi="Times New Roman" w:cs="Times New Roman" w:eastAsia="Times New Roman" w:hint="default"/>
        </w:rPr>
        <w:t>+</w:t>
      </w:r>
      <w:r>
        <w:rPr/>
        <w:t>智能医疗的最后一公里。</w:t>
      </w:r>
    </w:p>
    <w:p>
      <w:pPr>
        <w:pStyle w:val="Heading5"/>
        <w:spacing w:line="240" w:lineRule="auto" w:before="1"/>
        <w:ind w:right="882"/>
        <w:jc w:val="left"/>
        <w:rPr>
          <w:b w:val="0"/>
          <w:bCs w:val="0"/>
        </w:rPr>
      </w:pPr>
      <w:r>
        <w:rPr>
          <w:rFonts w:ascii="Times New Roman" w:hAnsi="Times New Roman" w:cs="Times New Roman" w:eastAsia="Times New Roman" w:hint="default"/>
        </w:rPr>
        <w:t>4</w:t>
      </w:r>
      <w:r>
        <w:rPr/>
        <w:t>、把握“卫健委</w:t>
      </w:r>
      <w:r>
        <w:rPr>
          <w:rFonts w:ascii="Times New Roman" w:hAnsi="Times New Roman" w:cs="Times New Roman" w:eastAsia="Times New Roman" w:hint="default"/>
        </w:rPr>
        <w:t>+</w:t>
      </w:r>
      <w:r>
        <w:rPr/>
        <w:t>医保局”的行业新形势，拓展医疗卫生信息化新领域</w:t>
      </w:r>
      <w:r>
        <w:rPr>
          <w:b w:val="0"/>
          <w:bCs w:val="0"/>
        </w:rPr>
      </w:r>
    </w:p>
    <w:p>
      <w:pPr>
        <w:pStyle w:val="BodyText"/>
        <w:spacing w:line="304" w:lineRule="auto" w:before="63"/>
        <w:ind w:right="1028" w:firstLine="360"/>
        <w:jc w:val="left"/>
      </w:pPr>
      <w:r>
        <w:rPr>
          <w:rFonts w:ascii="Times New Roman" w:hAnsi="Times New Roman" w:cs="Times New Roman" w:eastAsia="Times New Roman" w:hint="default"/>
        </w:rPr>
        <w:t>2020</w:t>
      </w:r>
      <w:r>
        <w:rPr/>
        <w:t>年</w:t>
      </w:r>
      <w:r>
        <w:rPr>
          <w:rFonts w:ascii="Times New Roman" w:hAnsi="Times New Roman" w:cs="Times New Roman" w:eastAsia="Times New Roman" w:hint="default"/>
        </w:rPr>
        <w:t>1</w:t>
      </w:r>
      <w:r>
        <w:rPr/>
        <w:t>月，全国医疗保障工作会议总结了</w:t>
      </w:r>
      <w:r>
        <w:rPr>
          <w:rFonts w:ascii="Times New Roman" w:hAnsi="Times New Roman" w:cs="Times New Roman" w:eastAsia="Times New Roman" w:hint="default"/>
        </w:rPr>
        <w:t>2019</w:t>
      </w:r>
      <w:r>
        <w:rPr/>
        <w:t>年医疗保障工作，并研究部署</w:t>
      </w:r>
      <w:r>
        <w:rPr>
          <w:rFonts w:ascii="Times New Roman" w:hAnsi="Times New Roman" w:cs="Times New Roman" w:eastAsia="Times New Roman" w:hint="default"/>
        </w:rPr>
        <w:t>2020</w:t>
      </w:r>
      <w:r>
        <w:rPr/>
        <w:t>年医疗保障重点工作。会议做出了建 </w:t>
      </w:r>
      <w:r>
        <w:rPr>
          <w:spacing w:val="-2"/>
        </w:rPr>
        <w:t>立医保药品目录动态调整机制，深入推进</w:t>
      </w:r>
      <w:r>
        <w:rPr>
          <w:spacing w:val="5"/>
        </w:rPr>
        <w:t> </w:t>
      </w:r>
      <w:r>
        <w:rPr>
          <w:rFonts w:ascii="Times New Roman" w:hAnsi="Times New Roman" w:cs="Times New Roman" w:eastAsia="Times New Roman" w:hint="default"/>
          <w:spacing w:val="-2"/>
        </w:rPr>
        <w:t>DRG</w:t>
      </w:r>
      <w:r>
        <w:rPr>
          <w:spacing w:val="-2"/>
        </w:rPr>
        <w:t>试点，完善医保支付制度；研究推进区域一体化地区异地就医门诊直接结算，</w:t>
      </w:r>
      <w:r>
        <w:rPr/>
        <w:t> 推广医保电子凭证，加快医保信息平台建设和编码标准落地等工作部署。</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月，国务院发布了关于深化医疗保障制度 改革的意见（以下简称“意见”）。《意见》表明以医药联动改革的整体性、系统性、协同性为原则，到 </w:t>
      </w:r>
      <w:r>
        <w:rPr>
          <w:rFonts w:ascii="Times New Roman" w:hAnsi="Times New Roman" w:cs="Times New Roman" w:eastAsia="Times New Roman" w:hint="default"/>
        </w:rPr>
        <w:t>2030</w:t>
      </w:r>
      <w:r>
        <w:rPr>
          <w:rFonts w:ascii="Times New Roman" w:hAnsi="Times New Roman" w:cs="Times New Roman" w:eastAsia="Times New Roman" w:hint="default"/>
          <w:spacing w:val="-13"/>
        </w:rPr>
        <w:t> </w:t>
      </w:r>
      <w:r>
        <w:rPr/>
        <w:t>年，全面建 </w:t>
      </w:r>
      <w:r>
        <w:rPr>
          <w:spacing w:val="-2"/>
        </w:rPr>
        <w:t>成以基本医疗保险为主体，医疗救助为托底，补充医疗保险、商业健康保险、慈善捐赠、医疗互助共同发展的医疗保障制度</w:t>
      </w:r>
      <w:r>
        <w:rPr>
          <w:spacing w:val="-65"/>
        </w:rPr>
        <w:t> </w:t>
      </w:r>
      <w:r>
        <w:rPr>
          <w:spacing w:val="-65"/>
        </w:rPr>
      </w:r>
      <w:r>
        <w:rPr/>
        <w:t>体系。</w:t>
      </w:r>
    </w:p>
    <w:p>
      <w:pPr>
        <w:pStyle w:val="BodyText"/>
        <w:spacing w:line="309" w:lineRule="auto" w:before="28"/>
        <w:ind w:right="882" w:firstLine="360"/>
        <w:jc w:val="left"/>
      </w:pPr>
      <w:r>
        <w:rPr>
          <w:spacing w:val="-4"/>
        </w:rPr>
        <w:t>随着政策的深化，医疗保障信息化建设是推进我国医疗保障体系改革的必然要求，医保信息化建设大年已经开启。同时，</w:t>
      </w:r>
      <w:r>
        <w:rPr/>
        <w:t> 在“卫健委</w:t>
      </w:r>
      <w:r>
        <w:rPr>
          <w:rFonts w:ascii="Times New Roman" w:hAnsi="Times New Roman" w:cs="Times New Roman" w:eastAsia="Times New Roman" w:hint="default"/>
        </w:rPr>
        <w:t>+</w:t>
      </w:r>
      <w:r>
        <w:rPr/>
        <w:t>医保局”共同精细化管理的新阶段、新形势下，医疗卫生信息化与医保信息化建设已是密不可分，自上而下带 动各级医保平台的建设将积极带动医疗信息化行业的发展。</w:t>
      </w:r>
    </w:p>
    <w:p>
      <w:pPr>
        <w:pStyle w:val="BodyText"/>
        <w:spacing w:line="312" w:lineRule="auto" w:before="24"/>
        <w:ind w:right="882" w:firstLine="360"/>
        <w:jc w:val="left"/>
      </w:pPr>
      <w:r>
        <w:rPr>
          <w:rFonts w:ascii="Times New Roman" w:hAnsi="Times New Roman" w:cs="Times New Roman" w:eastAsia="Times New Roman" w:hint="default"/>
          <w:spacing w:val="-4"/>
        </w:rPr>
        <w:t>2020</w:t>
      </w:r>
      <w:r>
        <w:rPr>
          <w:spacing w:val="-4"/>
        </w:rPr>
        <w:t>年，公司作为国家医疗保障信息平台承建单位之一，除了高质量参与完成国家医疗保障信息平台建设的既定工作外，</w:t>
      </w:r>
      <w:r>
        <w:rPr/>
        <w:t> </w:t>
      </w:r>
      <w:r>
        <w:rPr>
          <w:spacing w:val="-2"/>
        </w:rPr>
        <w:t>将积极贯彻响应国家医保局全国一盘棋的战略布局，充分利用长期积累的医疗信息化建设经验，不断探索创新，加强业务协</w:t>
      </w:r>
      <w:r>
        <w:rPr>
          <w:spacing w:val="-65"/>
        </w:rPr>
        <w:t> </w:t>
      </w:r>
      <w:r>
        <w:rPr>
          <w:spacing w:val="-65"/>
        </w:rPr>
      </w:r>
      <w:r>
        <w:rPr>
          <w:spacing w:val="-2"/>
        </w:rPr>
        <w:t>调，实现医保信息化领域的医疗健康全流程产品布局，提高公司在未来省市级医保局的信息化建设业务的竞争力，为公司业</w:t>
      </w:r>
      <w:r>
        <w:rPr>
          <w:spacing w:val="-65"/>
        </w:rPr>
        <w:t> </w:t>
      </w:r>
      <w:r>
        <w:rPr>
          <w:spacing w:val="-65"/>
        </w:rPr>
      </w:r>
      <w:r>
        <w:rPr/>
        <w:t>绩提供新的增长点。</w:t>
      </w:r>
    </w:p>
    <w:p>
      <w:pPr>
        <w:spacing w:line="240" w:lineRule="auto" w:before="12"/>
        <w:rPr>
          <w:rFonts w:ascii="宋体" w:hAnsi="宋体" w:cs="宋体" w:eastAsia="宋体" w:hint="default"/>
          <w:sz w:val="20"/>
          <w:szCs w:val="20"/>
        </w:rPr>
      </w:pPr>
    </w:p>
    <w:p>
      <w:pPr>
        <w:pStyle w:val="Heading2"/>
        <w:spacing w:line="240" w:lineRule="auto"/>
        <w:ind w:right="882"/>
        <w:jc w:val="left"/>
        <w:rPr>
          <w:b w:val="0"/>
          <w:bCs w:val="0"/>
        </w:rPr>
      </w:pPr>
      <w:bookmarkStart w:name="十、接待调研、沟通、采访等活动登记表" w:id="60"/>
      <w:bookmarkEnd w:id="60"/>
      <w:r>
        <w:rPr>
          <w:b w:val="0"/>
          <w:bCs w:val="0"/>
        </w:rPr>
      </w:r>
      <w:r>
        <w:rPr/>
        <w:t>十、接待调研、沟通、采访等活动登记表</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报告期内接待调研、沟通、采访等活动登记表" w:id="61"/>
      <w:bookmarkEnd w:id="61"/>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178"/>
        <w:gridCol w:w="2177"/>
        <w:gridCol w:w="2177"/>
        <w:gridCol w:w="3037"/>
      </w:tblGrid>
      <w:tr>
        <w:trPr>
          <w:trHeight w:val="402"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22"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42"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02"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电话会议</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hyperlink r:id="rId14">
              <w:r>
                <w:rPr>
                  <w:rFonts w:ascii="Times New Roman"/>
                  <w:sz w:val="18"/>
                </w:rPr>
                <w:t>http://www.cninfo.com.cn</w:t>
              </w:r>
            </w:hyperlink>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hyperlink r:id="rId14">
              <w:r>
                <w:rPr>
                  <w:rFonts w:ascii="Times New Roman"/>
                  <w:sz w:val="18"/>
                </w:rPr>
                <w:t>http://www.cninfo.com.cn</w:t>
              </w:r>
            </w:hyperlink>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hyperlink r:id="rId14">
              <w:r>
                <w:rPr>
                  <w:rFonts w:ascii="Times New Roman"/>
                  <w:sz w:val="18"/>
                </w:rPr>
                <w:t>http://www.cninfo.com.cn</w:t>
              </w:r>
            </w:hyperlink>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hyperlink r:id="rId14">
              <w:r>
                <w:rPr>
                  <w:rFonts w:ascii="Times New Roman"/>
                  <w:sz w:val="18"/>
                </w:rPr>
                <w:t>http://www.cninfo.com.cn</w:t>
              </w:r>
            </w:hyperlink>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right="3782"/>
        <w:jc w:val="center"/>
        <w:rPr>
          <w:b w:val="0"/>
          <w:bCs w:val="0"/>
        </w:rPr>
      </w:pPr>
      <w:bookmarkStart w:name="第五节重要事项" w:id="62"/>
      <w:bookmarkEnd w:id="62"/>
      <w:r>
        <w:rPr>
          <w:b w:val="0"/>
          <w:bCs w:val="0"/>
        </w:rPr>
      </w:r>
      <w:bookmarkStart w:name="_bookmark3" w:id="63"/>
      <w:bookmarkEnd w:id="63"/>
      <w:r>
        <w:rPr>
          <w:b w:val="0"/>
          <w:bCs w:val="0"/>
        </w:rPr>
      </w:r>
      <w:r>
        <w:rPr/>
        <w:t>第五节重要事项</w:t>
      </w:r>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right="882"/>
        <w:jc w:val="left"/>
        <w:rPr>
          <w:b w:val="0"/>
          <w:bCs w:val="0"/>
        </w:rPr>
      </w:pPr>
      <w:bookmarkStart w:name="一、公司普通股利润分配及资本公积金转增股本情况" w:id="64"/>
      <w:bookmarkEnd w:id="64"/>
      <w:r>
        <w:rPr>
          <w:b w:val="0"/>
          <w:bCs w:val="0"/>
        </w:rPr>
      </w:r>
      <w:r>
        <w:rPr/>
        <w:t>一、公司普通股利润分配及资本公积金转增股本情况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报告期内普通股利润分配政策，特别是现金分红政策的制定、执行或调整情况</w:t>
      </w:r>
    </w:p>
    <w:p>
      <w:pPr>
        <w:pStyle w:val="BodyText"/>
        <w:spacing w:line="360" w:lineRule="auto" w:before="117"/>
        <w:ind w:right="3014"/>
        <w:jc w:val="left"/>
      </w:pPr>
      <w:r>
        <w:rPr/>
        <w:t>□ 适用 √ 不适用 公司报告期利润分配预案及资本公积金转增股本预案与公司章程和分红管理办法等的相关规定一致</w:t>
      </w:r>
    </w:p>
    <w:p>
      <w:pPr>
        <w:pStyle w:val="BodyText"/>
        <w:spacing w:line="360" w:lineRule="auto" w:before="25"/>
        <w:ind w:right="4274"/>
        <w:jc w:val="left"/>
      </w:pPr>
      <w:r>
        <w:rPr/>
        <w:t>√ 是 □ 否 □</w:t>
      </w:r>
      <w:r>
        <w:rPr>
          <w:spacing w:val="-1"/>
        </w:rPr>
        <w:t> </w:t>
      </w:r>
      <w:r>
        <w:rPr/>
        <w:t>不适用</w:t>
      </w:r>
      <w:r>
        <w:rPr/>
        <w:t> 公司报告期利润分配预案及资本公积金转增股本预案符合公司章程等的相关规定。 本年度利润分配及资本公积金转增股本情况</w:t>
      </w:r>
    </w:p>
    <w:tbl>
      <w:tblPr>
        <w:tblW w:w="0" w:type="auto"/>
        <w:jc w:val="left"/>
        <w:tblInd w:w="109" w:type="dxa"/>
        <w:tblLayout w:type="fixed"/>
        <w:tblCellMar>
          <w:top w:w="0" w:type="dxa"/>
          <w:left w:w="0" w:type="dxa"/>
          <w:bottom w:w="0" w:type="dxa"/>
          <w:right w:w="0" w:type="dxa"/>
        </w:tblCellMar>
        <w:tblLook w:val="01E0"/>
      </w:tblPr>
      <w:tblGrid>
        <w:gridCol w:w="3717"/>
        <w:gridCol w:w="5851"/>
      </w:tblGrid>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股派息数（元）（含税）</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0.45</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739,744,675</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现金分红金额（元）（含税）</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33,288,510.38</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pacing w:val="-9"/>
                <w:sz w:val="18"/>
                <w:szCs w:val="18"/>
              </w:rPr>
              <w:t>以其他方式（如回购股份）现金分红金额（元）</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现金分红总额（含其他方式）（元）</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33,288,510.38</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695,565,719.40</w:t>
            </w:r>
          </w:p>
        </w:tc>
      </w:tr>
      <w:tr>
        <w:trPr>
          <w:trHeight w:val="714"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83"/>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 额的比例</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714"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公司发展阶段不易区分但有重大资金支出安排的，进行利润分配时，现金分红在本次利润分配中所占比例最低应达到</w:t>
            </w:r>
          </w:p>
          <w:p>
            <w:pPr>
              <w:pStyle w:val="TableParagraph"/>
              <w:spacing w:line="240" w:lineRule="auto" w:before="7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2978"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经天健会计师事务所（特殊普通合伙）审计，公司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年度实现净利润 </w:t>
            </w:r>
            <w:r>
              <w:rPr>
                <w:rFonts w:ascii="Times New Roman" w:hAnsi="Times New Roman" w:cs="Times New Roman" w:eastAsia="Times New Roman" w:hint="default"/>
                <w:sz w:val="18"/>
                <w:szCs w:val="18"/>
              </w:rPr>
              <w:t>318,711,981.33</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元，其中母公司实现净利</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润</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224,216,596.21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元，根据《公司章程》规定，按</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提取法定盈余公积金</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22,421,659.62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元后，当年实现未分配利润为</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201,794,936.59</w:t>
            </w:r>
            <w:r>
              <w:rPr>
                <w:rFonts w:ascii="Times New Roman" w:hAnsi="Times New Roman" w:cs="Times New Roman" w:eastAsia="Times New Roman" w:hint="default"/>
                <w:spacing w:val="17"/>
                <w:sz w:val="18"/>
                <w:szCs w:val="18"/>
              </w:rPr>
              <w:t> </w:t>
            </w:r>
            <w:r>
              <w:rPr>
                <w:rFonts w:ascii="宋体" w:hAnsi="宋体" w:cs="宋体" w:eastAsia="宋体" w:hint="default"/>
                <w:spacing w:val="9"/>
                <w:sz w:val="18"/>
                <w:szCs w:val="18"/>
              </w:rPr>
              <w:t>元，</w:t>
            </w:r>
            <w:r>
              <w:rPr>
                <w:rFonts w:ascii="宋体" w:hAnsi="宋体" w:cs="宋体" w:eastAsia="宋体" w:hint="default"/>
                <w:spacing w:val="-70"/>
                <w:sz w:val="18"/>
                <w:szCs w:val="18"/>
              </w:rPr>
              <w:t> </w:t>
            </w:r>
            <w:r>
              <w:rPr>
                <w:rFonts w:ascii="宋体" w:hAnsi="宋体" w:cs="宋体" w:eastAsia="宋体" w:hint="default"/>
                <w:spacing w:val="18"/>
                <w:sz w:val="18"/>
                <w:szCs w:val="18"/>
              </w:rPr>
              <w:t>加上年初可供未分配利润</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518,047,721.51</w:t>
            </w:r>
            <w:r>
              <w:rPr>
                <w:rFonts w:ascii="Times New Roman" w:hAnsi="Times New Roman" w:cs="Times New Roman" w:eastAsia="Times New Roman" w:hint="default"/>
                <w:spacing w:val="17"/>
                <w:sz w:val="18"/>
                <w:szCs w:val="18"/>
              </w:rPr>
              <w:t> </w:t>
            </w:r>
            <w:r>
              <w:rPr>
                <w:rFonts w:ascii="宋体" w:hAnsi="宋体" w:cs="宋体" w:eastAsia="宋体" w:hint="default"/>
                <w:spacing w:val="9"/>
                <w:sz w:val="18"/>
                <w:szCs w:val="18"/>
              </w:rPr>
              <w:t>元，</w:t>
            </w:r>
            <w:r>
              <w:rPr>
                <w:rFonts w:ascii="宋体" w:hAnsi="宋体" w:cs="宋体" w:eastAsia="宋体" w:hint="default"/>
                <w:spacing w:val="-70"/>
                <w:sz w:val="18"/>
                <w:szCs w:val="18"/>
              </w:rPr>
              <w:t> </w:t>
            </w:r>
            <w:r>
              <w:rPr>
                <w:rFonts w:ascii="宋体" w:hAnsi="宋体" w:cs="宋体" w:eastAsia="宋体" w:hint="default"/>
                <w:spacing w:val="9"/>
                <w:sz w:val="18"/>
                <w:szCs w:val="18"/>
              </w:rPr>
              <w:t>扣除</w:t>
            </w:r>
            <w:r>
              <w:rPr>
                <w:rFonts w:ascii="宋体" w:hAnsi="宋体" w:cs="宋体" w:eastAsia="宋体" w:hint="default"/>
                <w:spacing w:val="-2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0"/>
                <w:sz w:val="18"/>
                <w:szCs w:val="18"/>
              </w:rPr>
              <w:t> </w:t>
            </w:r>
            <w:r>
              <w:rPr>
                <w:rFonts w:ascii="宋体" w:hAnsi="宋体" w:cs="宋体" w:eastAsia="宋体" w:hint="default"/>
                <w:spacing w:val="16"/>
                <w:sz w:val="18"/>
                <w:szCs w:val="18"/>
              </w:rPr>
              <w:t>月已实施的</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0"/>
                <w:sz w:val="18"/>
                <w:szCs w:val="18"/>
              </w:rPr>
              <w:t> </w:t>
            </w:r>
            <w:r>
              <w:rPr>
                <w:rFonts w:ascii="宋体" w:hAnsi="宋体" w:cs="宋体" w:eastAsia="宋体" w:hint="default"/>
                <w:spacing w:val="16"/>
                <w:sz w:val="18"/>
                <w:szCs w:val="18"/>
              </w:rPr>
              <w:t>年度利润分配</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24,276,938.70</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元</w:t>
            </w:r>
            <w:r>
              <w:rPr>
                <w:rFonts w:ascii="宋体" w:hAnsi="宋体" w:cs="宋体" w:eastAsia="宋体" w:hint="default"/>
                <w:spacing w:val="-65"/>
                <w:sz w:val="18"/>
                <w:szCs w:val="18"/>
              </w:rPr>
              <w:t> </w:t>
            </w:r>
            <w:r>
              <w:rPr>
                <w:rFonts w:ascii="宋体" w:hAnsi="宋体" w:cs="宋体" w:eastAsia="宋体" w:hint="default"/>
                <w:sz w:val="18"/>
                <w:szCs w:val="18"/>
              </w:rPr>
              <w:t>，</w:t>
            </w:r>
            <w:r>
              <w:rPr>
                <w:rFonts w:ascii="宋体" w:hAnsi="宋体" w:cs="宋体" w:eastAsia="宋体" w:hint="default"/>
                <w:spacing w:val="-67"/>
                <w:sz w:val="18"/>
                <w:szCs w:val="18"/>
              </w:rPr>
              <w:t> </w:t>
            </w:r>
            <w:r>
              <w:rPr>
                <w:rFonts w:ascii="宋体" w:hAnsi="宋体" w:cs="宋体" w:eastAsia="宋体" w:hint="default"/>
                <w:sz w:val="18"/>
                <w:szCs w:val="18"/>
              </w:rPr>
              <w:t>公</w:t>
            </w:r>
            <w:r>
              <w:rPr>
                <w:rFonts w:ascii="宋体" w:hAnsi="宋体" w:cs="宋体" w:eastAsia="宋体" w:hint="default"/>
                <w:spacing w:val="-65"/>
                <w:sz w:val="18"/>
                <w:szCs w:val="18"/>
              </w:rPr>
              <w:t> </w:t>
            </w:r>
            <w:r>
              <w:rPr>
                <w:rFonts w:ascii="宋体" w:hAnsi="宋体" w:cs="宋体" w:eastAsia="宋体" w:hint="default"/>
                <w:sz w:val="18"/>
                <w:szCs w:val="18"/>
              </w:rPr>
              <w:t>司</w:t>
            </w:r>
            <w:r>
              <w:rPr>
                <w:rFonts w:ascii="宋体" w:hAnsi="宋体" w:cs="宋体" w:eastAsia="宋体" w:hint="default"/>
                <w:spacing w:val="-65"/>
                <w:sz w:val="18"/>
                <w:szCs w:val="18"/>
              </w:rPr>
              <w:t> </w:t>
            </w:r>
            <w:r>
              <w:rPr>
                <w:rFonts w:ascii="宋体" w:hAnsi="宋体" w:cs="宋体" w:eastAsia="宋体" w:hint="default"/>
                <w:sz w:val="18"/>
                <w:szCs w:val="18"/>
              </w:rPr>
              <w:t>截</w:t>
            </w:r>
            <w:r>
              <w:rPr>
                <w:rFonts w:ascii="宋体" w:hAnsi="宋体" w:cs="宋体" w:eastAsia="宋体" w:hint="default"/>
                <w:spacing w:val="-67"/>
                <w:sz w:val="18"/>
                <w:szCs w:val="18"/>
              </w:rPr>
              <w:t> </w:t>
            </w:r>
            <w:r>
              <w:rPr>
                <w:rFonts w:ascii="宋体" w:hAnsi="宋体" w:cs="宋体" w:eastAsia="宋体" w:hint="default"/>
                <w:sz w:val="18"/>
                <w:szCs w:val="18"/>
              </w:rPr>
              <w:t>至</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日</w:t>
            </w:r>
            <w:r>
              <w:rPr>
                <w:rFonts w:ascii="宋体" w:hAnsi="宋体" w:cs="宋体" w:eastAsia="宋体" w:hint="default"/>
                <w:spacing w:val="-65"/>
                <w:sz w:val="18"/>
                <w:szCs w:val="18"/>
              </w:rPr>
              <w:t> </w:t>
            </w:r>
            <w:r>
              <w:rPr>
                <w:rFonts w:ascii="宋体" w:hAnsi="宋体" w:cs="宋体" w:eastAsia="宋体" w:hint="default"/>
                <w:sz w:val="18"/>
                <w:szCs w:val="18"/>
              </w:rPr>
              <w:t>可</w:t>
            </w:r>
            <w:r>
              <w:rPr>
                <w:rFonts w:ascii="宋体" w:hAnsi="宋体" w:cs="宋体" w:eastAsia="宋体" w:hint="default"/>
                <w:spacing w:val="-67"/>
                <w:sz w:val="18"/>
                <w:szCs w:val="18"/>
              </w:rPr>
              <w:t> </w:t>
            </w:r>
            <w:r>
              <w:rPr>
                <w:rFonts w:ascii="宋体" w:hAnsi="宋体" w:cs="宋体" w:eastAsia="宋体" w:hint="default"/>
                <w:sz w:val="18"/>
                <w:szCs w:val="18"/>
              </w:rPr>
              <w:t>供</w:t>
            </w:r>
            <w:r>
              <w:rPr>
                <w:rFonts w:ascii="宋体" w:hAnsi="宋体" w:cs="宋体" w:eastAsia="宋体" w:hint="default"/>
                <w:spacing w:val="-65"/>
                <w:sz w:val="18"/>
                <w:szCs w:val="18"/>
              </w:rPr>
              <w:t> </w:t>
            </w:r>
            <w:r>
              <w:rPr>
                <w:rFonts w:ascii="宋体" w:hAnsi="宋体" w:cs="宋体" w:eastAsia="宋体" w:hint="default"/>
                <w:sz w:val="18"/>
                <w:szCs w:val="18"/>
              </w:rPr>
              <w:t>分</w:t>
            </w:r>
            <w:r>
              <w:rPr>
                <w:rFonts w:ascii="宋体" w:hAnsi="宋体" w:cs="宋体" w:eastAsia="宋体" w:hint="default"/>
                <w:spacing w:val="-65"/>
                <w:sz w:val="18"/>
                <w:szCs w:val="18"/>
              </w:rPr>
              <w:t> </w:t>
            </w:r>
            <w:r>
              <w:rPr>
                <w:rFonts w:ascii="宋体" w:hAnsi="宋体" w:cs="宋体" w:eastAsia="宋体" w:hint="default"/>
                <w:sz w:val="18"/>
                <w:szCs w:val="18"/>
              </w:rPr>
              <w:t>配</w:t>
            </w:r>
            <w:r>
              <w:rPr>
                <w:rFonts w:ascii="宋体" w:hAnsi="宋体" w:cs="宋体" w:eastAsia="宋体" w:hint="default"/>
                <w:spacing w:val="-67"/>
                <w:sz w:val="18"/>
                <w:szCs w:val="18"/>
              </w:rPr>
              <w:t> </w:t>
            </w:r>
            <w:r>
              <w:rPr>
                <w:rFonts w:ascii="宋体" w:hAnsi="宋体" w:cs="宋体" w:eastAsia="宋体" w:hint="default"/>
                <w:sz w:val="18"/>
                <w:szCs w:val="18"/>
              </w:rPr>
              <w:t>利</w:t>
            </w:r>
            <w:r>
              <w:rPr>
                <w:rFonts w:ascii="宋体" w:hAnsi="宋体" w:cs="宋体" w:eastAsia="宋体" w:hint="default"/>
                <w:spacing w:val="-65"/>
                <w:sz w:val="18"/>
                <w:szCs w:val="18"/>
              </w:rPr>
              <w:t> </w:t>
            </w:r>
            <w:r>
              <w:rPr>
                <w:rFonts w:ascii="宋体" w:hAnsi="宋体" w:cs="宋体" w:eastAsia="宋体" w:hint="default"/>
                <w:sz w:val="18"/>
                <w:szCs w:val="18"/>
              </w:rPr>
              <w:t>润</w:t>
            </w:r>
            <w:r>
              <w:rPr>
                <w:rFonts w:ascii="宋体" w:hAnsi="宋体" w:cs="宋体" w:eastAsia="宋体" w:hint="default"/>
                <w:spacing w:val="-65"/>
                <w:sz w:val="18"/>
                <w:szCs w:val="18"/>
              </w:rPr>
              <w:t> </w:t>
            </w:r>
            <w:r>
              <w:rPr>
                <w:rFonts w:ascii="宋体" w:hAnsi="宋体" w:cs="宋体" w:eastAsia="宋体" w:hint="default"/>
                <w:sz w:val="18"/>
                <w:szCs w:val="18"/>
              </w:rPr>
              <w:t>为</w:t>
            </w:r>
            <w:r>
              <w:rPr>
                <w:rFonts w:ascii="宋体" w:hAnsi="宋体" w:cs="宋体" w:eastAsia="宋体" w:hint="default"/>
                <w:spacing w:val="-65"/>
                <w:sz w:val="18"/>
                <w:szCs w:val="18"/>
              </w:rPr>
              <w:t> </w:t>
            </w:r>
            <w:r>
              <w:rPr>
                <w:rFonts w:ascii="宋体" w:hAnsi="宋体" w:cs="宋体" w:eastAsia="宋体" w:hint="default"/>
                <w:sz w:val="18"/>
                <w:szCs w:val="18"/>
              </w:rPr>
              <w:t>人</w:t>
            </w:r>
            <w:r>
              <w:rPr>
                <w:rFonts w:ascii="宋体" w:hAnsi="宋体" w:cs="宋体" w:eastAsia="宋体" w:hint="default"/>
                <w:spacing w:val="-67"/>
                <w:sz w:val="18"/>
                <w:szCs w:val="18"/>
              </w:rPr>
              <w:t> </w:t>
            </w:r>
            <w:r>
              <w:rPr>
                <w:rFonts w:ascii="宋体" w:hAnsi="宋体" w:cs="宋体" w:eastAsia="宋体" w:hint="default"/>
                <w:sz w:val="18"/>
                <w:szCs w:val="18"/>
              </w:rPr>
              <w:t>民</w:t>
            </w:r>
            <w:r>
              <w:rPr>
                <w:rFonts w:ascii="宋体" w:hAnsi="宋体" w:cs="宋体" w:eastAsia="宋体" w:hint="default"/>
                <w:spacing w:val="-65"/>
                <w:sz w:val="18"/>
                <w:szCs w:val="18"/>
              </w:rPr>
              <w:t> </w:t>
            </w:r>
            <w:r>
              <w:rPr>
                <w:rFonts w:ascii="宋体" w:hAnsi="宋体" w:cs="宋体" w:eastAsia="宋体" w:hint="default"/>
                <w:sz w:val="18"/>
                <w:szCs w:val="18"/>
              </w:rPr>
              <w:t>币</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695,565,719.40</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元</w:t>
            </w:r>
            <w:r>
              <w:rPr>
                <w:rFonts w:ascii="宋体" w:hAnsi="宋体" w:cs="宋体" w:eastAsia="宋体" w:hint="default"/>
                <w:spacing w:val="-65"/>
                <w:sz w:val="18"/>
                <w:szCs w:val="18"/>
              </w:rPr>
              <w:t> </w:t>
            </w:r>
            <w:r>
              <w:rPr>
                <w:rFonts w:ascii="宋体" w:hAnsi="宋体" w:cs="宋体" w:eastAsia="宋体" w:hint="default"/>
                <w:sz w:val="18"/>
                <w:szCs w:val="18"/>
              </w:rPr>
              <w:t>，</w:t>
            </w:r>
            <w:r>
              <w:rPr>
                <w:rFonts w:ascii="宋体" w:hAnsi="宋体" w:cs="宋体" w:eastAsia="宋体" w:hint="default"/>
                <w:spacing w:val="-67"/>
                <w:sz w:val="18"/>
                <w:szCs w:val="18"/>
              </w:rPr>
              <w:t> </w:t>
            </w:r>
            <w:r>
              <w:rPr>
                <w:rFonts w:ascii="宋体" w:hAnsi="宋体" w:cs="宋体" w:eastAsia="宋体" w:hint="default"/>
                <w:sz w:val="18"/>
                <w:szCs w:val="18"/>
              </w:rPr>
              <w:t>资</w:t>
            </w:r>
            <w:r>
              <w:rPr>
                <w:rFonts w:ascii="宋体" w:hAnsi="宋体" w:cs="宋体" w:eastAsia="宋体" w:hint="default"/>
                <w:spacing w:val="-65"/>
                <w:sz w:val="18"/>
                <w:szCs w:val="18"/>
              </w:rPr>
              <w:t> </w:t>
            </w:r>
            <w:r>
              <w:rPr>
                <w:rFonts w:ascii="宋体" w:hAnsi="宋体" w:cs="宋体" w:eastAsia="宋体" w:hint="default"/>
                <w:sz w:val="18"/>
                <w:szCs w:val="18"/>
              </w:rPr>
              <w:t>本</w:t>
            </w:r>
            <w:r>
              <w:rPr>
                <w:rFonts w:ascii="宋体" w:hAnsi="宋体" w:cs="宋体" w:eastAsia="宋体" w:hint="default"/>
                <w:spacing w:val="-65"/>
                <w:sz w:val="18"/>
                <w:szCs w:val="18"/>
              </w:rPr>
              <w:t> </w:t>
            </w:r>
            <w:r>
              <w:rPr>
                <w:rFonts w:ascii="宋体" w:hAnsi="宋体" w:cs="宋体" w:eastAsia="宋体" w:hint="default"/>
                <w:sz w:val="18"/>
                <w:szCs w:val="18"/>
              </w:rPr>
              <w:t>公</w:t>
            </w:r>
            <w:r>
              <w:rPr>
                <w:rFonts w:ascii="宋体" w:hAnsi="宋体" w:cs="宋体" w:eastAsia="宋体" w:hint="default"/>
                <w:spacing w:val="-67"/>
                <w:sz w:val="18"/>
                <w:szCs w:val="18"/>
              </w:rPr>
              <w:t> </w:t>
            </w:r>
            <w:r>
              <w:rPr>
                <w:rFonts w:ascii="宋体" w:hAnsi="宋体" w:cs="宋体" w:eastAsia="宋体" w:hint="default"/>
                <w:sz w:val="18"/>
                <w:szCs w:val="18"/>
              </w:rPr>
              <w:t>积</w:t>
            </w:r>
            <w:r>
              <w:rPr>
                <w:rFonts w:ascii="宋体" w:hAnsi="宋体" w:cs="宋体" w:eastAsia="宋体" w:hint="default"/>
                <w:spacing w:val="-65"/>
                <w:sz w:val="18"/>
                <w:szCs w:val="18"/>
              </w:rPr>
              <w:t> </w:t>
            </w:r>
            <w:r>
              <w:rPr>
                <w:rFonts w:ascii="宋体" w:hAnsi="宋体" w:cs="宋体" w:eastAsia="宋体" w:hint="default"/>
                <w:sz w:val="18"/>
                <w:szCs w:val="18"/>
              </w:rPr>
              <w:t>金</w:t>
            </w:r>
            <w:r>
              <w:rPr>
                <w:rFonts w:ascii="宋体" w:hAnsi="宋体" w:cs="宋体" w:eastAsia="宋体" w:hint="default"/>
                <w:spacing w:val="-65"/>
                <w:sz w:val="18"/>
                <w:szCs w:val="18"/>
              </w:rPr>
              <w:t> </w:t>
            </w:r>
            <w:r>
              <w:rPr>
                <w:rFonts w:ascii="宋体" w:hAnsi="宋体" w:cs="宋体" w:eastAsia="宋体" w:hint="default"/>
                <w:sz w:val="18"/>
                <w:szCs w:val="18"/>
              </w:rPr>
              <w:t>人</w:t>
            </w:r>
            <w:r>
              <w:rPr>
                <w:rFonts w:ascii="宋体" w:hAnsi="宋体" w:cs="宋体" w:eastAsia="宋体" w:hint="default"/>
                <w:spacing w:val="-65"/>
                <w:sz w:val="18"/>
                <w:szCs w:val="18"/>
              </w:rPr>
              <w:t> </w:t>
            </w:r>
            <w:r>
              <w:rPr>
                <w:rFonts w:ascii="宋体" w:hAnsi="宋体" w:cs="宋体" w:eastAsia="宋体" w:hint="default"/>
                <w:sz w:val="18"/>
                <w:szCs w:val="18"/>
              </w:rPr>
              <w:t>民</w:t>
            </w:r>
            <w:r>
              <w:rPr>
                <w:rFonts w:ascii="宋体" w:hAnsi="宋体" w:cs="宋体" w:eastAsia="宋体" w:hint="default"/>
                <w:spacing w:val="-65"/>
                <w:sz w:val="18"/>
                <w:szCs w:val="18"/>
              </w:rPr>
              <w:t> </w:t>
            </w:r>
            <w:r>
              <w:rPr>
                <w:rFonts w:ascii="宋体" w:hAnsi="宋体" w:cs="宋体" w:eastAsia="宋体" w:hint="default"/>
                <w:sz w:val="18"/>
                <w:szCs w:val="18"/>
              </w:rPr>
              <w:t>币</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1,089,675,196.35</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元。</w:t>
            </w:r>
          </w:p>
          <w:p>
            <w:pPr>
              <w:pStyle w:val="TableParagraph"/>
              <w:spacing w:line="300" w:lineRule="auto" w:before="103"/>
              <w:ind w:left="101" w:right="101" w:firstLine="360"/>
              <w:jc w:val="left"/>
              <w:rPr>
                <w:rFonts w:ascii="宋体" w:hAnsi="宋体" w:cs="宋体" w:eastAsia="宋体" w:hint="default"/>
                <w:sz w:val="18"/>
                <w:szCs w:val="18"/>
              </w:rPr>
            </w:pPr>
            <w:r>
              <w:rPr>
                <w:rFonts w:ascii="宋体" w:hAnsi="宋体" w:cs="宋体" w:eastAsia="宋体" w:hint="default"/>
                <w:spacing w:val="-2"/>
                <w:sz w:val="18"/>
                <w:szCs w:val="18"/>
              </w:rPr>
              <w:t>经统筹考虑公司资金使用情况，</w:t>
            </w:r>
            <w:r>
              <w:rPr>
                <w:rFonts w:ascii="Times New Roman" w:hAnsi="Times New Roman" w:cs="Times New Roman" w:eastAsia="Times New Roman" w:hint="default"/>
                <w:spacing w:val="-2"/>
                <w:sz w:val="18"/>
                <w:szCs w:val="18"/>
              </w:rPr>
              <w:t>2019</w:t>
            </w:r>
            <w:r>
              <w:rPr>
                <w:rFonts w:ascii="Times New Roman" w:hAnsi="Times New Roman" w:cs="Times New Roman" w:eastAsia="Times New Roman" w:hint="default"/>
                <w:spacing w:val="10"/>
                <w:sz w:val="18"/>
                <w:szCs w:val="18"/>
              </w:rPr>
              <w:t> </w:t>
            </w:r>
            <w:r>
              <w:rPr>
                <w:rFonts w:ascii="宋体" w:hAnsi="宋体" w:cs="宋体" w:eastAsia="宋体" w:hint="default"/>
                <w:spacing w:val="-1"/>
                <w:sz w:val="18"/>
                <w:szCs w:val="18"/>
              </w:rPr>
              <w:t>年利润分配预案为：以实施权益分派股权登记日的总股本扣减拟回购注销的限</w:t>
            </w:r>
            <w:r>
              <w:rPr>
                <w:rFonts w:ascii="宋体" w:hAnsi="宋体" w:cs="宋体" w:eastAsia="宋体" w:hint="default"/>
                <w:sz w:val="18"/>
                <w:szCs w:val="18"/>
              </w:rPr>
              <w:t> 制性股票后的股本为基数，以未分配利润向除持有拟回购注销限制性股票的股东以外的全体股东每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股派发现金股利</w:t>
            </w:r>
          </w:p>
          <w:p>
            <w:pPr>
              <w:pStyle w:val="TableParagraph"/>
              <w:spacing w:line="240" w:lineRule="auto" w:before="1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元（含税），以资本公积每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股，剩余未分配利润结转以后年度分配。</w:t>
            </w:r>
          </w:p>
        </w:tc>
      </w:tr>
    </w:tbl>
    <w:p>
      <w:pPr>
        <w:spacing w:line="360" w:lineRule="auto" w:before="89"/>
        <w:ind w:left="112" w:right="882" w:firstLine="300"/>
        <w:jc w:val="left"/>
        <w:rPr>
          <w:rFonts w:ascii="宋体" w:hAnsi="宋体" w:cs="宋体" w:eastAsia="宋体" w:hint="default"/>
          <w:sz w:val="15"/>
          <w:szCs w:val="15"/>
        </w:rPr>
      </w:pPr>
      <w:r>
        <w:rPr>
          <w:rFonts w:ascii="宋体" w:hAnsi="宋体" w:cs="宋体" w:eastAsia="宋体" w:hint="default"/>
          <w:sz w:val="15"/>
          <w:szCs w:val="15"/>
        </w:rPr>
        <w:t>注：上表所涉及的股本基数及现金分配总额，为以本报告披露日公司总股本</w:t>
      </w:r>
      <w:r>
        <w:rPr>
          <w:rFonts w:ascii="宋体" w:hAnsi="宋体" w:cs="宋体" w:eastAsia="宋体" w:hint="default"/>
          <w:spacing w:val="-46"/>
          <w:sz w:val="15"/>
          <w:szCs w:val="15"/>
        </w:rPr>
        <w:t> </w:t>
      </w:r>
      <w:r>
        <w:rPr>
          <w:rFonts w:ascii="Times New Roman" w:hAnsi="Times New Roman" w:cs="Times New Roman" w:eastAsia="Times New Roman" w:hint="default"/>
          <w:sz w:val="15"/>
          <w:szCs w:val="15"/>
        </w:rPr>
        <w:t>739,751,425</w:t>
      </w:r>
      <w:r>
        <w:rPr>
          <w:rFonts w:ascii="Times New Roman" w:hAnsi="Times New Roman" w:cs="Times New Roman" w:eastAsia="Times New Roman" w:hint="default"/>
          <w:spacing w:val="-6"/>
          <w:sz w:val="15"/>
          <w:szCs w:val="15"/>
        </w:rPr>
        <w:t> </w:t>
      </w:r>
      <w:r>
        <w:rPr>
          <w:rFonts w:ascii="宋体" w:hAnsi="宋体" w:cs="宋体" w:eastAsia="宋体" w:hint="default"/>
          <w:sz w:val="15"/>
          <w:szCs w:val="15"/>
        </w:rPr>
        <w:t>股扣除拟回购注销的</w:t>
      </w:r>
      <w:r>
        <w:rPr>
          <w:rFonts w:ascii="宋体" w:hAnsi="宋体" w:cs="宋体" w:eastAsia="宋体" w:hint="default"/>
          <w:spacing w:val="-46"/>
          <w:sz w:val="15"/>
          <w:szCs w:val="15"/>
        </w:rPr>
        <w:t> </w:t>
      </w:r>
      <w:r>
        <w:rPr>
          <w:rFonts w:ascii="Times New Roman" w:hAnsi="Times New Roman" w:cs="Times New Roman" w:eastAsia="Times New Roman" w:hint="default"/>
          <w:sz w:val="15"/>
          <w:szCs w:val="15"/>
        </w:rPr>
        <w:t>6,750</w:t>
      </w:r>
      <w:r>
        <w:rPr>
          <w:rFonts w:ascii="Times New Roman" w:hAnsi="Times New Roman" w:cs="Times New Roman" w:eastAsia="Times New Roman" w:hint="default"/>
          <w:spacing w:val="-9"/>
          <w:sz w:val="15"/>
          <w:szCs w:val="15"/>
        </w:rPr>
        <w:t> </w:t>
      </w:r>
      <w:r>
        <w:rPr>
          <w:rFonts w:ascii="宋体" w:hAnsi="宋体" w:cs="宋体" w:eastAsia="宋体" w:hint="default"/>
          <w:sz w:val="15"/>
          <w:szCs w:val="15"/>
        </w:rPr>
        <w:t>股股权激励限售股所测算的</w:t>
      </w:r>
      <w:r>
        <w:rPr>
          <w:rFonts w:ascii="宋体" w:hAnsi="宋体" w:cs="宋体" w:eastAsia="宋体" w:hint="default"/>
          <w:w w:val="99"/>
          <w:sz w:val="15"/>
          <w:szCs w:val="15"/>
        </w:rPr>
        <w:t> </w:t>
      </w:r>
      <w:r>
        <w:rPr>
          <w:rFonts w:ascii="宋体" w:hAnsi="宋体" w:cs="宋体" w:eastAsia="宋体" w:hint="default"/>
          <w:sz w:val="15"/>
          <w:szCs w:val="15"/>
        </w:rPr>
        <w:t>数据。公司最终实施利润分配的分配总额，将以利润分配方案实施时股权登记日的股本扣除应回购注销的股权激励限售股为基数计算。</w:t>
      </w:r>
    </w:p>
    <w:p>
      <w:pPr>
        <w:pStyle w:val="BodyText"/>
        <w:spacing w:line="240" w:lineRule="auto" w:before="58"/>
        <w:ind w:right="882"/>
        <w:jc w:val="left"/>
      </w:pPr>
      <w:r>
        <w:rPr/>
        <w:t>公司近</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年（包括本报告期）的普通股股利分配方案（预案）、资本公积金转增股本方案（预案）情况</w:t>
      </w:r>
    </w:p>
    <w:p>
      <w:pPr>
        <w:pStyle w:val="BodyText"/>
        <w:spacing w:line="240" w:lineRule="auto" w:before="101"/>
        <w:ind w:left="472" w:right="882"/>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t>年年度利润分配预案为：以截至第六届董事会第七会议公告日公司总股本</w:t>
      </w:r>
      <w:r>
        <w:rPr>
          <w:rFonts w:ascii="Times New Roman" w:hAnsi="Times New Roman" w:cs="Times New Roman" w:eastAsia="Times New Roman" w:hint="default"/>
        </w:rPr>
        <w:t>242,801,887</w:t>
      </w:r>
      <w:r>
        <w:rPr/>
        <w:t>股为基数，以未分配利润</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882"/>
        <w:jc w:val="left"/>
      </w:pPr>
      <w:r>
        <w:rPr>
          <w:spacing w:val="-1"/>
        </w:rPr>
        <w:t>向全体股东每</w:t>
      </w:r>
      <w:r>
        <w:rPr>
          <w:rFonts w:ascii="Times New Roman" w:hAnsi="Times New Roman" w:cs="Times New Roman" w:eastAsia="Times New Roman" w:hint="default"/>
          <w:spacing w:val="-1"/>
        </w:rPr>
        <w:t>10</w:t>
      </w:r>
      <w:r>
        <w:rPr>
          <w:spacing w:val="-1"/>
        </w:rPr>
        <w:t>股派发现金股利</w:t>
      </w:r>
      <w:r>
        <w:rPr>
          <w:rFonts w:ascii="Times New Roman" w:hAnsi="Times New Roman" w:cs="Times New Roman" w:eastAsia="Times New Roman" w:hint="default"/>
          <w:spacing w:val="-1"/>
        </w:rPr>
        <w:t>1.00</w:t>
      </w:r>
      <w:r>
        <w:rPr>
          <w:spacing w:val="-1"/>
        </w:rPr>
        <w:t>元（含税），同时以资本公积金向全体股东每</w:t>
      </w:r>
      <w:r>
        <w:rPr>
          <w:rFonts w:ascii="Times New Roman" w:hAnsi="Times New Roman" w:cs="Times New Roman" w:eastAsia="Times New Roman" w:hint="default"/>
          <w:spacing w:val="-1"/>
        </w:rPr>
        <w:t>10</w:t>
      </w:r>
      <w:r>
        <w:rPr>
          <w:spacing w:val="-1"/>
        </w:rPr>
        <w:t>股转增</w:t>
      </w:r>
      <w:r>
        <w:rPr>
          <w:rFonts w:ascii="Times New Roman" w:hAnsi="Times New Roman" w:cs="Times New Roman" w:eastAsia="Times New Roman" w:hint="default"/>
          <w:spacing w:val="-1"/>
        </w:rPr>
        <w:t>10</w:t>
      </w:r>
      <w:r>
        <w:rPr>
          <w:spacing w:val="-1"/>
        </w:rPr>
        <w:t>股。利润分配方案实施时若公</w:t>
      </w:r>
      <w:r>
        <w:rPr>
          <w:spacing w:val="-74"/>
        </w:rPr>
        <w:t> </w:t>
      </w:r>
      <w:r>
        <w:rPr>
          <w:spacing w:val="-74"/>
        </w:rPr>
      </w:r>
      <w:r>
        <w:rPr/>
        <w:t>司股本发生变动，将按照分配总额不变的原则进行调整。</w:t>
      </w:r>
    </w:p>
    <w:p>
      <w:pPr>
        <w:pStyle w:val="BodyText"/>
        <w:spacing w:line="300" w:lineRule="auto" w:before="31"/>
        <w:ind w:right="1141" w:firstLine="36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t>年年度利润分配预案为：以截至第六届董事会第十八次会议公告日公司总股本</w:t>
      </w:r>
      <w:r>
        <w:rPr>
          <w:rFonts w:ascii="Times New Roman" w:hAnsi="Times New Roman" w:cs="Times New Roman" w:eastAsia="Times New Roman" w:hint="default"/>
        </w:rPr>
        <w:t>485,538,774</w:t>
      </w:r>
      <w:r>
        <w:rPr/>
        <w:t>股为基数，以未分配 利润向全体股东每</w:t>
      </w:r>
      <w:r>
        <w:rPr>
          <w:rFonts w:ascii="Times New Roman" w:hAnsi="Times New Roman" w:cs="Times New Roman" w:eastAsia="Times New Roman" w:hint="default"/>
        </w:rPr>
        <w:t>10</w:t>
      </w:r>
      <w:r>
        <w:rPr/>
        <w:t>股派发现金股利</w:t>
      </w:r>
      <w:r>
        <w:rPr>
          <w:rFonts w:ascii="Times New Roman" w:hAnsi="Times New Roman" w:cs="Times New Roman" w:eastAsia="Times New Roman" w:hint="default"/>
        </w:rPr>
        <w:t>0.50</w:t>
      </w:r>
      <w:r>
        <w:rPr/>
        <w:t>元（含税），同时以资本公积金向全体股东每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股。利润分配方案实施时 若公司股本发生变动，将按照分配总额不变的原则进行调整。</w:t>
      </w:r>
    </w:p>
    <w:p>
      <w:pPr>
        <w:pStyle w:val="BodyText"/>
        <w:spacing w:line="300" w:lineRule="auto" w:before="31"/>
        <w:ind w:right="1131" w:firstLine="360"/>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t>年利润分配预案为：以未来实施权益分派股权登记日的总股本扣减拟回购注销的限制性股票后的股本为基数， </w:t>
      </w:r>
      <w:r>
        <w:rPr>
          <w:spacing w:val="-1"/>
        </w:rPr>
        <w:t>以未分配利润向除持有拟回购注销限制性股票的股东以外的全体股东每</w:t>
      </w:r>
      <w:r>
        <w:rPr>
          <w:rFonts w:ascii="Times New Roman" w:hAnsi="Times New Roman" w:cs="Times New Roman" w:eastAsia="Times New Roman" w:hint="default"/>
          <w:spacing w:val="-1"/>
        </w:rPr>
        <w:t>10</w:t>
      </w:r>
      <w:r>
        <w:rPr>
          <w:spacing w:val="-1"/>
        </w:rPr>
        <w:t>股派发现金股利</w:t>
      </w:r>
      <w:r>
        <w:rPr>
          <w:rFonts w:ascii="Times New Roman" w:hAnsi="Times New Roman" w:cs="Times New Roman" w:eastAsia="Times New Roman" w:hint="default"/>
          <w:spacing w:val="-1"/>
        </w:rPr>
        <w:t>0.45</w:t>
      </w:r>
      <w:r>
        <w:rPr>
          <w:spacing w:val="-1"/>
        </w:rPr>
        <w:t>元（含税），以资本公积每</w:t>
      </w:r>
      <w:r>
        <w:rPr>
          <w:rFonts w:ascii="Times New Roman" w:hAnsi="Times New Roman" w:cs="Times New Roman" w:eastAsia="Times New Roman" w:hint="default"/>
          <w:spacing w:val="-1"/>
        </w:rPr>
        <w:t>10</w:t>
      </w:r>
      <w:r>
        <w:rPr>
          <w:rFonts w:ascii="Times New Roman" w:hAnsi="Times New Roman" w:cs="Times New Roman" w:eastAsia="Times New Roman" w:hint="default"/>
          <w:spacing w:val="-26"/>
        </w:rPr>
        <w:t> </w:t>
      </w:r>
      <w:r>
        <w:rPr>
          <w:rFonts w:ascii="Times New Roman" w:hAnsi="Times New Roman" w:cs="Times New Roman" w:eastAsia="Times New Roman" w:hint="default"/>
          <w:spacing w:val="-26"/>
        </w:rPr>
      </w:r>
      <w:r>
        <w:rPr/>
        <w:t>股转增</w:t>
      </w:r>
      <w:r>
        <w:rPr>
          <w:rFonts w:ascii="Times New Roman" w:hAnsi="Times New Roman" w:cs="Times New Roman" w:eastAsia="Times New Roman" w:hint="default"/>
        </w:rPr>
        <w:t>5</w:t>
      </w:r>
      <w:r>
        <w:rPr/>
        <w:t>股。利润分配方案实施时若公司股本发生变动，将按照分配总额不变的原则进行调整。</w:t>
      </w:r>
    </w:p>
    <w:p>
      <w:pPr>
        <w:spacing w:line="240" w:lineRule="auto" w:before="5"/>
        <w:rPr>
          <w:rFonts w:ascii="宋体" w:hAnsi="宋体" w:cs="宋体" w:eastAsia="宋体" w:hint="default"/>
          <w:sz w:val="24"/>
          <w:szCs w:val="24"/>
        </w:rPr>
      </w:pPr>
    </w:p>
    <w:p>
      <w:pPr>
        <w:pStyle w:val="BodyText"/>
        <w:spacing w:line="240" w:lineRule="auto" w:before="44"/>
        <w:ind w:right="882"/>
        <w:jc w:val="left"/>
      </w:pPr>
      <w:r>
        <w:rPr/>
        <w:t>公司近三年（包括本报告期）普通股现金分红情况表</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197"/>
        <w:gridCol w:w="1195"/>
        <w:gridCol w:w="1196"/>
        <w:gridCol w:w="1196"/>
        <w:gridCol w:w="1196"/>
        <w:gridCol w:w="1196"/>
        <w:gridCol w:w="1196"/>
        <w:gridCol w:w="1196"/>
      </w:tblGrid>
      <w:tr>
        <w:trPr>
          <w:trHeight w:val="2586"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316" w:lineRule="auto"/>
              <w:ind w:left="141" w:right="142"/>
              <w:jc w:val="left"/>
              <w:rPr>
                <w:rFonts w:ascii="宋体" w:hAnsi="宋体" w:cs="宋体" w:eastAsia="宋体" w:hint="default"/>
                <w:sz w:val="18"/>
                <w:szCs w:val="18"/>
              </w:rPr>
            </w:pPr>
            <w:r>
              <w:rPr>
                <w:rFonts w:ascii="宋体" w:hAnsi="宋体" w:cs="宋体" w:eastAsia="宋体" w:hint="default"/>
                <w:sz w:val="18"/>
                <w:szCs w:val="18"/>
              </w:rPr>
              <w:t>现金分红金 额（含税）</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43" w:right="140"/>
              <w:jc w:val="both"/>
              <w:rPr>
                <w:rFonts w:ascii="宋体" w:hAnsi="宋体" w:cs="宋体" w:eastAsia="宋体" w:hint="default"/>
                <w:sz w:val="18"/>
                <w:szCs w:val="18"/>
              </w:rPr>
            </w:pPr>
            <w:r>
              <w:rPr>
                <w:rFonts w:ascii="宋体" w:hAnsi="宋体" w:cs="宋体" w:eastAsia="宋体" w:hint="default"/>
                <w:sz w:val="18"/>
                <w:szCs w:val="18"/>
              </w:rPr>
              <w:t>分红年度合 并报表中归 属于上市公 司普通股股 东的净利润</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42" w:right="141"/>
              <w:jc w:val="center"/>
              <w:rPr>
                <w:rFonts w:ascii="宋体" w:hAnsi="宋体" w:cs="宋体" w:eastAsia="宋体" w:hint="default"/>
                <w:sz w:val="18"/>
                <w:szCs w:val="18"/>
              </w:rPr>
            </w:pPr>
            <w:r>
              <w:rPr>
                <w:rFonts w:ascii="宋体" w:hAnsi="宋体" w:cs="宋体" w:eastAsia="宋体" w:hint="default"/>
                <w:sz w:val="18"/>
                <w:szCs w:val="18"/>
              </w:rPr>
              <w:t>现金分红金 额占合并报 表中归属于 上市公司普 通股股东的 净利润的比 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42"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6"/>
              <w:ind w:left="142" w:right="142"/>
              <w:jc w:val="both"/>
              <w:rPr>
                <w:rFonts w:ascii="宋体" w:hAnsi="宋体" w:cs="宋体" w:eastAsia="宋体" w:hint="default"/>
                <w:sz w:val="18"/>
                <w:szCs w:val="18"/>
              </w:rPr>
            </w:pPr>
            <w:r>
              <w:rPr>
                <w:rFonts w:ascii="宋体" w:hAnsi="宋体" w:cs="宋体" w:eastAsia="宋体" w:hint="default"/>
                <w:sz w:val="18"/>
                <w:szCs w:val="18"/>
              </w:rPr>
              <w:t>（如回购股 份）现金分 红的金额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43" w:right="140"/>
              <w:jc w:val="center"/>
              <w:rPr>
                <w:rFonts w:ascii="宋体" w:hAnsi="宋体" w:cs="宋体" w:eastAsia="宋体" w:hint="default"/>
                <w:sz w:val="18"/>
                <w:szCs w:val="18"/>
              </w:rPr>
            </w:pPr>
            <w:r>
              <w:rPr>
                <w:rFonts w:ascii="宋体" w:hAnsi="宋体" w:cs="宋体" w:eastAsia="宋体" w:hint="default"/>
                <w:sz w:val="18"/>
                <w:szCs w:val="18"/>
              </w:rPr>
              <w:t>以其他方式 现金分红金 额占合并报 表中归属于 上市公司普 通股股东的 净利润的比 例</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3"/>
              <w:ind w:left="142" w:right="141"/>
              <w:jc w:val="center"/>
              <w:rPr>
                <w:rFonts w:ascii="宋体" w:hAnsi="宋体" w:cs="宋体" w:eastAsia="宋体" w:hint="default"/>
                <w:sz w:val="18"/>
                <w:szCs w:val="18"/>
              </w:rPr>
            </w:pPr>
            <w:r>
              <w:rPr>
                <w:rFonts w:ascii="宋体" w:hAnsi="宋体" w:cs="宋体" w:eastAsia="宋体" w:hint="default"/>
                <w:sz w:val="18"/>
                <w:szCs w:val="18"/>
              </w:rPr>
              <w:t>现金分红总 额（含其他 方式）</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41" w:right="142"/>
              <w:jc w:val="center"/>
              <w:rPr>
                <w:rFonts w:ascii="宋体" w:hAnsi="宋体" w:cs="宋体" w:eastAsia="宋体" w:hint="default"/>
                <w:sz w:val="18"/>
                <w:szCs w:val="18"/>
              </w:rPr>
            </w:pPr>
            <w:r>
              <w:rPr>
                <w:rFonts w:ascii="宋体" w:hAnsi="宋体" w:cs="宋体" w:eastAsia="宋体" w:hint="default"/>
                <w:sz w:val="18"/>
                <w:szCs w:val="18"/>
              </w:rPr>
              <w:t>现金分红总 额（含其他 方式）占合 并报表中归 属于上市公 司普通股股 东的净利润 的比率</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33,288,510.3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314,070,351.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10.60%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33,288,510.3</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10.60%</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24,276,938.7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212,681,116.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11.41%</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24,276,938.7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11.41%</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24,262,441.7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163,244,227.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14.86%</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24,262,441.7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14.86%</w:t>
            </w:r>
          </w:p>
        </w:tc>
      </w:tr>
    </w:tbl>
    <w:p>
      <w:pPr>
        <w:pStyle w:val="BodyText"/>
        <w:spacing w:line="240" w:lineRule="auto" w:before="50"/>
        <w:ind w:right="882"/>
        <w:jc w:val="left"/>
      </w:pPr>
      <w:r>
        <w:rPr/>
        <w:t>公司报告期内盈利且母公司可供普通股股东分配利润为正但未提出普通股现金红利分配预案</w:t>
      </w:r>
    </w:p>
    <w:p>
      <w:pPr>
        <w:pStyle w:val="BodyText"/>
        <w:spacing w:line="240" w:lineRule="auto" w:before="117"/>
        <w:ind w:right="882"/>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882"/>
        <w:jc w:val="left"/>
        <w:rPr>
          <w:b w:val="0"/>
          <w:bCs w:val="0"/>
        </w:rPr>
      </w:pPr>
      <w:bookmarkStart w:name="二、承诺事项履行情况" w:id="65"/>
      <w:bookmarkEnd w:id="65"/>
      <w:r>
        <w:rPr>
          <w:b w:val="0"/>
          <w:bCs w:val="0"/>
        </w:rPr>
      </w:r>
      <w:r>
        <w:rPr/>
        <w:t>二、承诺事项履行情况</w:t>
      </w:r>
      <w:r>
        <w:rPr>
          <w:b w:val="0"/>
          <w:bCs w:val="0"/>
        </w:rPr>
      </w:r>
    </w:p>
    <w:p>
      <w:pPr>
        <w:spacing w:line="240" w:lineRule="auto" w:before="9"/>
        <w:rPr>
          <w:rFonts w:ascii="宋体" w:hAnsi="宋体" w:cs="宋体" w:eastAsia="宋体" w:hint="default"/>
          <w:b/>
          <w:bCs/>
          <w:sz w:val="24"/>
          <w:szCs w:val="24"/>
        </w:rPr>
      </w:pPr>
    </w:p>
    <w:p>
      <w:pPr>
        <w:pStyle w:val="Heading3"/>
        <w:spacing w:line="259" w:lineRule="auto"/>
        <w:ind w:right="882"/>
        <w:jc w:val="left"/>
        <w:rPr>
          <w:b w:val="0"/>
          <w:bCs w:val="0"/>
        </w:rPr>
      </w:pPr>
      <w:bookmarkStart w:name="1、公司实际控制人、股东、关联方、收购人以及公司等承诺相关方在报告期内履行完毕及" w:id="66"/>
      <w:bookmarkEnd w:id="66"/>
      <w:r>
        <w:rPr>
          <w:b w:val="0"/>
          <w:bCs w:val="0"/>
        </w:rPr>
      </w:r>
      <w:r>
        <w:rPr>
          <w:rFonts w:ascii="Times New Roman" w:hAnsi="Times New Roman" w:cs="Times New Roman" w:eastAsia="Times New Roman" w:hint="default"/>
          <w:spacing w:val="3"/>
          <w:w w:val="95"/>
        </w:rPr>
        <w:t>1</w:t>
      </w:r>
      <w:r>
        <w:rPr>
          <w:spacing w:val="3"/>
          <w:w w:val="95"/>
        </w:rPr>
        <w:t>、公司实际控制人、股东、关联方、收购人以及公司等承诺相关方在报告期内履行完毕及截至报告期末</w:t>
      </w:r>
      <w:r>
        <w:rPr>
          <w:spacing w:val="95"/>
          <w:w w:val="95"/>
        </w:rPr>
        <w:t> </w:t>
      </w:r>
      <w:r>
        <w:rPr>
          <w:spacing w:val="95"/>
          <w:w w:val="95"/>
        </w:rPr>
      </w:r>
      <w:r>
        <w:rPr/>
        <w:t>尚未履行完毕的承诺事项</w:t>
      </w:r>
      <w:r>
        <w:rPr>
          <w:b w:val="0"/>
          <w:bCs w:val="0"/>
        </w:rPr>
      </w:r>
    </w:p>
    <w:p>
      <w:pPr>
        <w:spacing w:line="240" w:lineRule="auto" w:before="3"/>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2"/>
        <w:gridCol w:w="675"/>
        <w:gridCol w:w="630"/>
        <w:gridCol w:w="5475"/>
        <w:gridCol w:w="630"/>
        <w:gridCol w:w="615"/>
        <w:gridCol w:w="750"/>
      </w:tblGrid>
      <w:tr>
        <w:trPr>
          <w:trHeight w:val="714" w:hRule="exact"/>
        </w:trPr>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01" w:right="119" w:hanging="180"/>
              <w:jc w:val="left"/>
              <w:rPr>
                <w:rFonts w:ascii="宋体" w:hAnsi="宋体" w:cs="宋体" w:eastAsia="宋体" w:hint="default"/>
                <w:sz w:val="18"/>
                <w:szCs w:val="18"/>
              </w:rPr>
            </w:pPr>
            <w:r>
              <w:rPr>
                <w:rFonts w:ascii="宋体" w:hAnsi="宋体" w:cs="宋体" w:eastAsia="宋体" w:hint="default"/>
                <w:sz w:val="18"/>
                <w:szCs w:val="18"/>
              </w:rPr>
              <w:t>承诺来 源</w:t>
            </w:r>
          </w:p>
        </w:tc>
        <w:tc>
          <w:tcPr>
            <w:tcW w:w="6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41" w:right="151" w:hanging="89"/>
              <w:jc w:val="left"/>
              <w:rPr>
                <w:rFonts w:ascii="宋体" w:hAnsi="宋体" w:cs="宋体" w:eastAsia="宋体" w:hint="default"/>
                <w:sz w:val="18"/>
                <w:szCs w:val="18"/>
              </w:rPr>
            </w:pPr>
            <w:r>
              <w:rPr>
                <w:rFonts w:ascii="宋体" w:hAnsi="宋体" w:cs="宋体" w:eastAsia="宋体" w:hint="default"/>
                <w:sz w:val="18"/>
                <w:szCs w:val="18"/>
              </w:rPr>
              <w:t>承诺 方</w:t>
            </w:r>
          </w:p>
        </w:tc>
        <w:tc>
          <w:tcPr>
            <w:tcW w:w="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30" w:right="128"/>
              <w:jc w:val="left"/>
              <w:rPr>
                <w:rFonts w:ascii="宋体" w:hAnsi="宋体" w:cs="宋体" w:eastAsia="宋体" w:hint="default"/>
                <w:sz w:val="18"/>
                <w:szCs w:val="18"/>
              </w:rPr>
            </w:pPr>
            <w:r>
              <w:rPr>
                <w:rFonts w:ascii="宋体" w:hAnsi="宋体" w:cs="宋体" w:eastAsia="宋体" w:hint="default"/>
                <w:sz w:val="18"/>
                <w:szCs w:val="18"/>
              </w:rPr>
              <w:t>承诺 类型</w:t>
            </w:r>
          </w:p>
        </w:tc>
        <w:tc>
          <w:tcPr>
            <w:tcW w:w="54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30" w:right="127"/>
              <w:jc w:val="left"/>
              <w:rPr>
                <w:rFonts w:ascii="宋体" w:hAnsi="宋体" w:cs="宋体" w:eastAsia="宋体" w:hint="default"/>
                <w:sz w:val="18"/>
                <w:szCs w:val="18"/>
              </w:rPr>
            </w:pPr>
            <w:r>
              <w:rPr>
                <w:rFonts w:ascii="宋体" w:hAnsi="宋体" w:cs="宋体" w:eastAsia="宋体" w:hint="default"/>
                <w:sz w:val="18"/>
                <w:szCs w:val="18"/>
              </w:rPr>
              <w:t>承诺 时间</w:t>
            </w:r>
          </w:p>
        </w:tc>
        <w:tc>
          <w:tcPr>
            <w:tcW w:w="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22" w:right="121"/>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7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88" w:right="189"/>
              <w:jc w:val="left"/>
              <w:rPr>
                <w:rFonts w:ascii="宋体" w:hAnsi="宋体" w:cs="宋体" w:eastAsia="宋体" w:hint="default"/>
                <w:sz w:val="18"/>
                <w:szCs w:val="18"/>
              </w:rPr>
            </w:pPr>
            <w:r>
              <w:rPr>
                <w:rFonts w:ascii="宋体" w:hAnsi="宋体" w:cs="宋体" w:eastAsia="宋体" w:hint="default"/>
                <w:sz w:val="18"/>
                <w:szCs w:val="18"/>
              </w:rPr>
              <w:t>履行 情况</w:t>
            </w:r>
          </w:p>
        </w:tc>
      </w:tr>
      <w:tr>
        <w:trPr>
          <w:trHeight w:val="1227" w:hRule="exact"/>
        </w:trPr>
        <w:tc>
          <w:tcPr>
            <w:tcW w:w="79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316" w:lineRule="auto"/>
              <w:ind w:left="101" w:right="138"/>
              <w:jc w:val="left"/>
              <w:rPr>
                <w:rFonts w:ascii="宋体" w:hAnsi="宋体" w:cs="宋体" w:eastAsia="宋体" w:hint="default"/>
                <w:sz w:val="18"/>
                <w:szCs w:val="18"/>
              </w:rPr>
            </w:pPr>
            <w:r>
              <w:rPr>
                <w:rFonts w:ascii="宋体" w:hAnsi="宋体" w:cs="宋体" w:eastAsia="宋体" w:hint="default"/>
                <w:sz w:val="18"/>
                <w:szCs w:val="18"/>
              </w:rPr>
              <w:t>资产重 组时所</w:t>
            </w:r>
          </w:p>
        </w:tc>
        <w:tc>
          <w:tcPr>
            <w:tcW w:w="675"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03" w:right="154"/>
              <w:jc w:val="both"/>
              <w:rPr>
                <w:rFonts w:ascii="宋体" w:hAnsi="宋体" w:cs="宋体" w:eastAsia="宋体" w:hint="default"/>
                <w:sz w:val="18"/>
                <w:szCs w:val="18"/>
              </w:rPr>
            </w:pPr>
            <w:r>
              <w:rPr>
                <w:rFonts w:ascii="宋体" w:hAnsi="宋体" w:cs="宋体" w:eastAsia="宋体" w:hint="default"/>
                <w:sz w:val="18"/>
                <w:szCs w:val="18"/>
              </w:rPr>
              <w:t>股份 锁定 承诺</w:t>
            </w:r>
          </w:p>
        </w:tc>
        <w:tc>
          <w:tcPr>
            <w:tcW w:w="5475" w:type="dxa"/>
            <w:tcBorders>
              <w:top w:val="single" w:sz="4" w:space="0" w:color="000000"/>
              <w:left w:val="single" w:sz="4" w:space="0" w:color="000000"/>
              <w:bottom w:val="nil" w:sz="6" w:space="0" w:color="auto"/>
              <w:right w:val="single" w:sz="4" w:space="0" w:color="000000"/>
            </w:tcBorders>
          </w:tcPr>
          <w:p>
            <w:pPr>
              <w:pStyle w:val="TableParagraph"/>
              <w:spacing w:line="312" w:lineRule="auto" w:before="49"/>
              <w:ind w:left="102" w:right="102"/>
              <w:jc w:val="both"/>
              <w:rPr>
                <w:rFonts w:ascii="宋体" w:hAnsi="宋体" w:cs="宋体" w:eastAsia="宋体" w:hint="default"/>
                <w:sz w:val="18"/>
                <w:szCs w:val="18"/>
              </w:rPr>
            </w:pPr>
            <w:r>
              <w:rPr>
                <w:rFonts w:ascii="宋体" w:hAnsi="宋体" w:cs="宋体" w:eastAsia="宋体" w:hint="default"/>
                <w:sz w:val="18"/>
                <w:szCs w:val="18"/>
              </w:rPr>
              <w:t>自认购的创业慧康新增股份在法定登记机构登记于本人名下并上市 之日起</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个月内，不转让或者委托他人管理本人拥有的该等新增股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份（若本人在实际转让上市公司股份前，上市公司发生转增股本、 送红股等除权行为的，则实际可转让股份数将进行相应调整）。</w:t>
            </w:r>
          </w:p>
        </w:tc>
        <w:tc>
          <w:tcPr>
            <w:tcW w:w="6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5"/>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个 月</w:t>
            </w:r>
          </w:p>
        </w:tc>
        <w:tc>
          <w:tcPr>
            <w:tcW w:w="75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02" w:right="275"/>
              <w:jc w:val="left"/>
              <w:rPr>
                <w:rFonts w:ascii="宋体" w:hAnsi="宋体" w:cs="宋体" w:eastAsia="宋体" w:hint="default"/>
                <w:sz w:val="18"/>
                <w:szCs w:val="18"/>
              </w:rPr>
            </w:pPr>
            <w:r>
              <w:rPr>
                <w:rFonts w:ascii="宋体" w:hAnsi="宋体" w:cs="宋体" w:eastAsia="宋体" w:hint="default"/>
                <w:sz w:val="18"/>
                <w:szCs w:val="18"/>
              </w:rPr>
              <w:t>履行 完毕</w:t>
            </w:r>
          </w:p>
        </w:tc>
      </w:tr>
      <w:tr>
        <w:trPr>
          <w:trHeight w:val="111" w:hRule="exact"/>
        </w:trPr>
        <w:tc>
          <w:tcPr>
            <w:tcW w:w="792" w:type="dxa"/>
            <w:vMerge w:val="restart"/>
            <w:tcBorders>
              <w:top w:val="nil" w:sz="6" w:space="0" w:color="auto"/>
              <w:left w:val="single" w:sz="4" w:space="0" w:color="000000"/>
              <w:right w:val="single" w:sz="4" w:space="0" w:color="000000"/>
            </w:tcBorders>
            <w:shd w:val="clear" w:color="auto" w:fill="D2D2D2"/>
          </w:tcPr>
          <w:p>
            <w:pPr>
              <w:pStyle w:val="TableParagraph"/>
              <w:spacing w:line="181" w:lineRule="exact"/>
              <w:ind w:left="101" w:right="0"/>
              <w:jc w:val="left"/>
              <w:rPr>
                <w:rFonts w:ascii="宋体" w:hAnsi="宋体" w:cs="宋体" w:eastAsia="宋体" w:hint="default"/>
                <w:sz w:val="18"/>
                <w:szCs w:val="18"/>
              </w:rPr>
            </w:pPr>
            <w:r>
              <w:rPr>
                <w:rFonts w:ascii="宋体" w:hAnsi="宋体" w:cs="宋体" w:eastAsia="宋体" w:hint="default"/>
                <w:sz w:val="18"/>
                <w:szCs w:val="18"/>
              </w:rPr>
              <w:t>作承诺</w:t>
            </w:r>
          </w:p>
        </w:tc>
        <w:tc>
          <w:tcPr>
            <w:tcW w:w="675" w:type="dxa"/>
            <w:tcBorders>
              <w:top w:val="nil" w:sz="6" w:space="0" w:color="auto"/>
              <w:left w:val="single" w:sz="4" w:space="0" w:color="000000"/>
              <w:bottom w:val="single" w:sz="4" w:space="0" w:color="000000"/>
              <w:right w:val="single" w:sz="4" w:space="0" w:color="000000"/>
            </w:tcBorders>
          </w:tcPr>
          <w:p>
            <w:pPr/>
          </w:p>
        </w:tc>
        <w:tc>
          <w:tcPr>
            <w:tcW w:w="630" w:type="dxa"/>
            <w:tcBorders>
              <w:top w:val="nil" w:sz="6" w:space="0" w:color="auto"/>
              <w:left w:val="single" w:sz="4" w:space="0" w:color="000000"/>
              <w:bottom w:val="single" w:sz="4" w:space="0" w:color="000000"/>
              <w:right w:val="single" w:sz="4" w:space="0" w:color="000000"/>
            </w:tcBorders>
          </w:tcPr>
          <w:p>
            <w:pPr/>
          </w:p>
        </w:tc>
        <w:tc>
          <w:tcPr>
            <w:tcW w:w="5475" w:type="dxa"/>
            <w:tcBorders>
              <w:top w:val="nil" w:sz="6" w:space="0" w:color="auto"/>
              <w:left w:val="single" w:sz="4" w:space="0" w:color="000000"/>
              <w:bottom w:val="single" w:sz="4" w:space="0" w:color="000000"/>
              <w:right w:val="single" w:sz="4" w:space="0" w:color="000000"/>
            </w:tcBorders>
          </w:tcPr>
          <w:p>
            <w:pPr/>
          </w:p>
        </w:tc>
        <w:tc>
          <w:tcPr>
            <w:tcW w:w="630" w:type="dxa"/>
            <w:tcBorders>
              <w:top w:val="nil" w:sz="6" w:space="0" w:color="auto"/>
              <w:left w:val="single" w:sz="4" w:space="0" w:color="000000"/>
              <w:bottom w:val="single" w:sz="4" w:space="0" w:color="000000"/>
              <w:right w:val="single" w:sz="4" w:space="0" w:color="000000"/>
            </w:tcBorders>
          </w:tcPr>
          <w:p>
            <w:pPr/>
          </w:p>
        </w:tc>
        <w:tc>
          <w:tcPr>
            <w:tcW w:w="615" w:type="dxa"/>
            <w:tcBorders>
              <w:top w:val="nil" w:sz="6" w:space="0" w:color="auto"/>
              <w:left w:val="single" w:sz="4" w:space="0" w:color="000000"/>
              <w:bottom w:val="single" w:sz="4" w:space="0" w:color="000000"/>
              <w:right w:val="single" w:sz="4" w:space="0" w:color="000000"/>
            </w:tcBorders>
          </w:tcPr>
          <w:p>
            <w:pPr/>
          </w:p>
        </w:tc>
        <w:tc>
          <w:tcPr>
            <w:tcW w:w="750" w:type="dxa"/>
            <w:tcBorders>
              <w:top w:val="nil" w:sz="6" w:space="0" w:color="auto"/>
              <w:left w:val="single" w:sz="4" w:space="0" w:color="000000"/>
              <w:bottom w:val="single" w:sz="4" w:space="0" w:color="000000"/>
              <w:right w:val="single" w:sz="4" w:space="0" w:color="000000"/>
            </w:tcBorders>
          </w:tcPr>
          <w:p>
            <w:pPr/>
          </w:p>
        </w:tc>
      </w:tr>
      <w:tr>
        <w:trPr>
          <w:trHeight w:val="90" w:hRule="exact"/>
        </w:trPr>
        <w:tc>
          <w:tcPr>
            <w:tcW w:w="792" w:type="dxa"/>
            <w:vMerge/>
            <w:tcBorders>
              <w:left w:val="single" w:sz="4" w:space="0" w:color="000000"/>
              <w:bottom w:val="nil" w:sz="6" w:space="0" w:color="auto"/>
              <w:right w:val="single" w:sz="4" w:space="0" w:color="000000"/>
            </w:tcBorders>
            <w:shd w:val="clear" w:color="auto" w:fill="D2D2D2"/>
          </w:tcPr>
          <w:p>
            <w:pPr/>
          </w:p>
        </w:tc>
        <w:tc>
          <w:tcPr>
            <w:tcW w:w="675" w:type="dxa"/>
            <w:tcBorders>
              <w:top w:val="single" w:sz="4" w:space="0" w:color="000000"/>
              <w:left w:val="single" w:sz="4" w:space="0" w:color="000000"/>
              <w:bottom w:val="nil" w:sz="6" w:space="0" w:color="auto"/>
              <w:right w:val="single" w:sz="4" w:space="0" w:color="000000"/>
            </w:tcBorders>
          </w:tcPr>
          <w:p>
            <w:pPr/>
          </w:p>
        </w:tc>
        <w:tc>
          <w:tcPr>
            <w:tcW w:w="630" w:type="dxa"/>
            <w:tcBorders>
              <w:top w:val="single" w:sz="4" w:space="0" w:color="000000"/>
              <w:left w:val="single" w:sz="4" w:space="0" w:color="000000"/>
              <w:bottom w:val="nil" w:sz="6" w:space="0" w:color="auto"/>
              <w:right w:val="single" w:sz="4" w:space="0" w:color="000000"/>
            </w:tcBorders>
          </w:tcPr>
          <w:p>
            <w:pPr/>
          </w:p>
        </w:tc>
        <w:tc>
          <w:tcPr>
            <w:tcW w:w="5475" w:type="dxa"/>
            <w:tcBorders>
              <w:top w:val="single" w:sz="4" w:space="0" w:color="000000"/>
              <w:left w:val="single" w:sz="4" w:space="0" w:color="000000"/>
              <w:bottom w:val="nil" w:sz="6" w:space="0" w:color="auto"/>
              <w:right w:val="single" w:sz="4" w:space="0" w:color="000000"/>
            </w:tcBorders>
          </w:tcPr>
          <w:p>
            <w:pPr/>
          </w:p>
        </w:tc>
        <w:tc>
          <w:tcPr>
            <w:tcW w:w="630" w:type="dxa"/>
            <w:tcBorders>
              <w:top w:val="single" w:sz="4" w:space="0" w:color="000000"/>
              <w:left w:val="single" w:sz="4" w:space="0" w:color="000000"/>
              <w:bottom w:val="nil" w:sz="6" w:space="0" w:color="auto"/>
              <w:right w:val="single" w:sz="4" w:space="0" w:color="000000"/>
            </w:tcBorders>
          </w:tcPr>
          <w:p>
            <w:pPr/>
          </w:p>
        </w:tc>
        <w:tc>
          <w:tcPr>
            <w:tcW w:w="615" w:type="dxa"/>
            <w:tcBorders>
              <w:top w:val="single" w:sz="4" w:space="0" w:color="000000"/>
              <w:left w:val="single" w:sz="4" w:space="0" w:color="000000"/>
              <w:bottom w:val="nil" w:sz="6" w:space="0" w:color="auto"/>
              <w:right w:val="single" w:sz="4" w:space="0" w:color="000000"/>
            </w:tcBorders>
          </w:tcPr>
          <w:p>
            <w:pPr/>
          </w:p>
        </w:tc>
        <w:tc>
          <w:tcPr>
            <w:tcW w:w="750" w:type="dxa"/>
            <w:tcBorders>
              <w:top w:val="single" w:sz="4" w:space="0" w:color="000000"/>
              <w:left w:val="single" w:sz="4" w:space="0" w:color="000000"/>
              <w:bottom w:val="nil" w:sz="6" w:space="0" w:color="auto"/>
              <w:right w:val="single" w:sz="4" w:space="0" w:color="000000"/>
            </w:tcBorders>
          </w:tcPr>
          <w:p>
            <w:pPr/>
          </w:p>
        </w:tc>
      </w:tr>
      <w:tr>
        <w:trPr>
          <w:trHeight w:val="582" w:hRule="exact"/>
        </w:trPr>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1"/>
              <w:ind w:left="102"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0" w:type="dxa"/>
            <w:tcBorders>
              <w:top w:val="nil" w:sz="6" w:space="0" w:color="auto"/>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8"/>
                <w:szCs w:val="18"/>
              </w:rPr>
            </w:pPr>
            <w:r>
              <w:rPr>
                <w:rFonts w:ascii="宋体" w:hAnsi="宋体" w:cs="宋体" w:eastAsia="宋体" w:hint="default"/>
                <w:sz w:val="18"/>
                <w:szCs w:val="18"/>
              </w:rPr>
              <w:t>关于</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同业</w:t>
            </w:r>
          </w:p>
        </w:tc>
        <w:tc>
          <w:tcPr>
            <w:tcW w:w="5475" w:type="dxa"/>
            <w:tcBorders>
              <w:top w:val="nil" w:sz="6" w:space="0" w:color="auto"/>
              <w:left w:val="single" w:sz="4" w:space="0" w:color="000000"/>
              <w:bottom w:val="single" w:sz="4" w:space="0" w:color="000000"/>
              <w:right w:val="single" w:sz="4" w:space="0" w:color="000000"/>
            </w:tcBorders>
          </w:tcPr>
          <w:p>
            <w:pPr>
              <w:pStyle w:val="TableParagraph"/>
              <w:spacing w:line="214" w:lineRule="exact"/>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、在本承诺签署之日，本人及所控制的公司和拥有权益的公司均未</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生产、开发任何与创业慧康产品构成竞争或可能竞争的产品，未直</w:t>
            </w:r>
          </w:p>
        </w:tc>
        <w:tc>
          <w:tcPr>
            <w:tcW w:w="63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101" w:right="0"/>
              <w:jc w:val="left"/>
              <w:rPr>
                <w:rFonts w:ascii="Times New Roman" w:hAnsi="Times New Roman" w:cs="Times New Roman" w:eastAsia="Times New Roman" w:hint="default"/>
                <w:sz w:val="18"/>
                <w:szCs w:val="18"/>
              </w:rPr>
            </w:pPr>
            <w:r>
              <w:rPr>
                <w:rFonts w:ascii="Times New Roman"/>
                <w:sz w:val="18"/>
              </w:rPr>
              <w:t>2016</w:t>
            </w:r>
          </w:p>
          <w:p>
            <w:pPr>
              <w:pStyle w:val="TableParagraph"/>
              <w:spacing w:line="240" w:lineRule="auto" w:before="65"/>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p>
        </w:tc>
        <w:tc>
          <w:tcPr>
            <w:tcW w:w="6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7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1"/>
              <w:ind w:left="102" w:right="0"/>
              <w:jc w:val="left"/>
              <w:rPr>
                <w:rFonts w:ascii="宋体" w:hAnsi="宋体" w:cs="宋体" w:eastAsia="宋体" w:hint="default"/>
                <w:sz w:val="18"/>
                <w:szCs w:val="18"/>
              </w:rPr>
            </w:pPr>
            <w:r>
              <w:rPr>
                <w:rFonts w:ascii="宋体" w:hAnsi="宋体" w:cs="宋体" w:eastAsia="宋体" w:hint="default"/>
                <w:sz w:val="18"/>
                <w:szCs w:val="18"/>
              </w:rPr>
              <w:t>正常</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r>
        <w:rPr/>
        <w:pict>
          <v:shape style="position:absolute;margin-left:124.199997pt;margin-top:360.200012pt;width:37.25pt;height:407.75pt;mso-position-horizontal-relative:page;mso-position-vertical-relative:page;z-index:-114606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7"/>
                    <w:rPr>
                      <w:rFonts w:ascii="Times New Roman" w:hAnsi="Times New Roman" w:cs="Times New Roman" w:eastAsia="Times New Roman" w:hint="default"/>
                      <w:sz w:val="22"/>
                      <w:szCs w:val="22"/>
                    </w:rPr>
                  </w:pPr>
                </w:p>
                <w:p>
                  <w:pPr>
                    <w:pStyle w:val="BodyText"/>
                    <w:spacing w:line="240" w:lineRule="auto"/>
                    <w:ind w:left="0" w:right="0"/>
                    <w:jc w:val="left"/>
                  </w:pPr>
                  <w:r>
                    <w:rPr/>
                    <w:t>；</w:t>
                  </w:r>
                </w:p>
              </w:txbxContent>
            </v:textbox>
            <w10:wrap type="none"/>
          </v:shape>
        </w:pict>
      </w:r>
      <w:r>
        <w:rPr/>
        <w:pict>
          <v:group style="position:absolute;margin-left:130.199997pt;margin-top:360.200012pt;width:31.25pt;height:407.85pt;mso-position-horizontal-relative:page;mso-position-vertical-relative:page;z-index:-1146040" coordorigin="2604,7204" coordsize="625,8157">
            <v:shape style="position:absolute;left:2604;top:7204;width:625;height:8157" coordorigin="2604,7204" coordsize="625,8157" path="m2604,7204l3229,7204,3229,15361,2604,15361,2604,7204xe" filled="true" fillcolor="#ffffff" stroked="false">
              <v:path arrowok="t"/>
              <v:fill type="solid"/>
            </v:shape>
            <w10:wrap type="none"/>
          </v:group>
        </w:pict>
      </w:r>
    </w:p>
    <w:tbl>
      <w:tblPr>
        <w:tblW w:w="0" w:type="auto"/>
        <w:jc w:val="left"/>
        <w:tblInd w:w="109" w:type="dxa"/>
        <w:tblLayout w:type="fixed"/>
        <w:tblCellMar>
          <w:top w:w="0" w:type="dxa"/>
          <w:left w:w="0" w:type="dxa"/>
          <w:bottom w:w="0" w:type="dxa"/>
          <w:right w:w="0" w:type="dxa"/>
        </w:tblCellMar>
        <w:tblLook w:val="01E0"/>
      </w:tblPr>
      <w:tblGrid>
        <w:gridCol w:w="792"/>
        <w:gridCol w:w="675"/>
        <w:gridCol w:w="630"/>
        <w:gridCol w:w="5475"/>
        <w:gridCol w:w="630"/>
        <w:gridCol w:w="615"/>
        <w:gridCol w:w="750"/>
      </w:tblGrid>
      <w:tr>
        <w:trPr>
          <w:trHeight w:val="322" w:hRule="exact"/>
        </w:trPr>
        <w:tc>
          <w:tcPr>
            <w:tcW w:w="792" w:type="dxa"/>
            <w:vMerge w:val="restart"/>
            <w:tcBorders>
              <w:top w:val="single" w:sz="4" w:space="0" w:color="000000"/>
              <w:left w:val="single" w:sz="4" w:space="0" w:color="000000"/>
              <w:right w:val="single" w:sz="4" w:space="0" w:color="000000"/>
            </w:tcBorders>
            <w:shd w:val="clear" w:color="auto" w:fill="D2D2D2"/>
          </w:tcPr>
          <w:p>
            <w:pPr/>
          </w:p>
        </w:tc>
        <w:tc>
          <w:tcPr>
            <w:tcW w:w="675" w:type="dxa"/>
            <w:vMerge w:val="restart"/>
            <w:tcBorders>
              <w:top w:val="single" w:sz="4" w:space="0" w:color="000000"/>
              <w:left w:val="single" w:sz="4" w:space="0" w:color="000000"/>
              <w:right w:val="single" w:sz="4" w:space="0" w:color="000000"/>
            </w:tcBorders>
          </w:tcPr>
          <w:p>
            <w:pPr/>
          </w:p>
        </w:tc>
        <w:tc>
          <w:tcPr>
            <w:tcW w:w="6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竞</w:t>
            </w:r>
          </w:p>
        </w:tc>
        <w:tc>
          <w:tcPr>
            <w:tcW w:w="54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接或间接经营任何与创业慧康经营的业务构成竞争或可能竞争的业</w:t>
            </w:r>
          </w:p>
        </w:tc>
        <w:tc>
          <w:tcPr>
            <w:tcW w:w="6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p>
        </w:tc>
        <w:tc>
          <w:tcPr>
            <w:tcW w:w="615" w:type="dxa"/>
            <w:vMerge w:val="restart"/>
            <w:tcBorders>
              <w:top w:val="single" w:sz="4" w:space="0" w:color="000000"/>
              <w:left w:val="single" w:sz="4" w:space="0" w:color="000000"/>
              <w:right w:val="single" w:sz="4" w:space="0" w:color="000000"/>
            </w:tcBorders>
          </w:tcPr>
          <w:p>
            <w:pPr/>
          </w:p>
        </w:tc>
        <w:tc>
          <w:tcPr>
            <w:tcW w:w="7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履行</w:t>
            </w: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争、</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务，也未参与投资任何与创业慧康生产的产品或经营的业务构成竞</w:t>
            </w: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关联</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争或可能竞争的其他企业。</w:t>
            </w:r>
            <w:r>
              <w:rPr>
                <w:rFonts w:ascii="Times New Roman" w:hAnsi="Times New Roman" w:cs="Times New Roman" w:eastAsia="Times New Roman" w:hint="default"/>
                <w:sz w:val="18"/>
                <w:szCs w:val="18"/>
              </w:rPr>
              <w:t>2</w:t>
            </w:r>
            <w:r>
              <w:rPr>
                <w:rFonts w:ascii="宋体" w:hAnsi="宋体" w:cs="宋体" w:eastAsia="宋体" w:hint="default"/>
                <w:sz w:val="18"/>
                <w:szCs w:val="18"/>
              </w:rPr>
              <w:t>、自本承诺签署之日起，本人及所控制</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交</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的公司和拥有权益的公司将不生产、开发任何与创业慧康产品构成</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易、</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竞争或可能竞争的产品，不直接或间接经营任何与创业慧康经营的</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资金</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业务构成竞争或可能竞争的业务，不参与投资任何与创业慧康生产</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占用</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的产品或经营的业务构成竞争或可能竞争的其他企业。</w:t>
            </w:r>
            <w:r>
              <w:rPr>
                <w:rFonts w:ascii="Times New Roman" w:hAnsi="Times New Roman" w:cs="Times New Roman" w:eastAsia="Times New Roman" w:hint="default"/>
                <w:sz w:val="18"/>
                <w:szCs w:val="18"/>
              </w:rPr>
              <w:t>3</w:t>
            </w:r>
            <w:r>
              <w:rPr>
                <w:rFonts w:ascii="宋体" w:hAnsi="宋体" w:cs="宋体" w:eastAsia="宋体" w:hint="default"/>
                <w:sz w:val="18"/>
                <w:szCs w:val="18"/>
              </w:rPr>
              <w:t>、自本承诺</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方面</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签署之日起，如创业慧康进一步拓展其产品和业务范围，本人及所</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的承</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控制的公司和拥有权益的公司将不与创业慧康拓展后的产品和业务</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诺</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相竞争；若与创业慧康拓展后的产品和业务相竞争，本人及所控制</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的公司和拥有权益的公司将采取以下方式避免同业竞争：①停止生</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产或经营相竞争的产品和业务；②将相竞争的业务纳入创业慧康经</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营；③向无关联关系的第三方转让该业务。</w:t>
            </w:r>
            <w:r>
              <w:rPr>
                <w:rFonts w:ascii="Times New Roman" w:hAnsi="Times New Roman" w:cs="Times New Roman" w:eastAsia="Times New Roman" w:hint="default"/>
                <w:sz w:val="18"/>
                <w:szCs w:val="18"/>
              </w:rPr>
              <w:t>4</w:t>
            </w:r>
            <w:r>
              <w:rPr>
                <w:rFonts w:ascii="宋体" w:hAnsi="宋体" w:cs="宋体" w:eastAsia="宋体" w:hint="default"/>
                <w:sz w:val="18"/>
                <w:szCs w:val="18"/>
              </w:rPr>
              <w:t>、如本承诺未被遵守，</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vMerge/>
            <w:tcBorders>
              <w:left w:val="single" w:sz="4" w:space="0" w:color="000000"/>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5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bottom w:val="single" w:sz="4" w:space="0" w:color="000000"/>
              <w:right w:val="single" w:sz="4" w:space="0" w:color="000000"/>
            </w:tcBorders>
          </w:tcPr>
          <w:p>
            <w:pPr/>
          </w:p>
        </w:tc>
        <w:tc>
          <w:tcPr>
            <w:tcW w:w="630" w:type="dxa"/>
            <w:tcBorders>
              <w:top w:val="nil" w:sz="6" w:space="0" w:color="auto"/>
              <w:left w:val="single" w:sz="4" w:space="0" w:color="000000"/>
              <w:bottom w:val="single" w:sz="4" w:space="0" w:color="000000"/>
              <w:right w:val="single" w:sz="4" w:space="0" w:color="000000"/>
            </w:tcBorders>
          </w:tcPr>
          <w:p>
            <w:pPr/>
          </w:p>
        </w:tc>
        <w:tc>
          <w:tcPr>
            <w:tcW w:w="54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本人将向创业慧康赔偿一切直接或间接损失。</w:t>
            </w:r>
          </w:p>
        </w:tc>
        <w:tc>
          <w:tcPr>
            <w:tcW w:w="630" w:type="dxa"/>
            <w:tcBorders>
              <w:top w:val="nil" w:sz="6" w:space="0" w:color="auto"/>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50" w:type="dxa"/>
            <w:tcBorders>
              <w:top w:val="nil" w:sz="6" w:space="0" w:color="auto"/>
              <w:left w:val="single" w:sz="4" w:space="0" w:color="000000"/>
              <w:bottom w:val="single" w:sz="4" w:space="0" w:color="000000"/>
              <w:right w:val="single" w:sz="4" w:space="0" w:color="000000"/>
            </w:tcBorders>
          </w:tcPr>
          <w:p>
            <w:pPr/>
          </w:p>
        </w:tc>
      </w:tr>
      <w:tr>
        <w:trPr>
          <w:trHeight w:val="1338" w:hRule="exact"/>
        </w:trPr>
        <w:tc>
          <w:tcPr>
            <w:tcW w:w="792" w:type="dxa"/>
            <w:vMerge/>
            <w:tcBorders>
              <w:left w:val="single" w:sz="4" w:space="0" w:color="000000"/>
              <w:right w:val="single" w:sz="4" w:space="0" w:color="000000"/>
            </w:tcBorders>
            <w:shd w:val="clear" w:color="auto" w:fill="D2D2D2"/>
          </w:tcPr>
          <w:p>
            <w:pP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2" w:right="201"/>
              <w:jc w:val="left"/>
              <w:rPr>
                <w:rFonts w:ascii="宋体" w:hAnsi="宋体" w:cs="宋体" w:eastAsia="宋体" w:hint="default"/>
                <w:sz w:val="18"/>
                <w:szCs w:val="18"/>
              </w:rPr>
            </w:pPr>
            <w:r>
              <w:rPr>
                <w:rFonts w:ascii="宋体" w:hAnsi="宋体" w:cs="宋体" w:eastAsia="宋体" w:hint="default"/>
                <w:sz w:val="18"/>
                <w:szCs w:val="18"/>
              </w:rPr>
              <w:t>周建 新</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6" w:lineRule="auto"/>
              <w:ind w:left="103" w:right="154"/>
              <w:jc w:val="both"/>
              <w:rPr>
                <w:rFonts w:ascii="宋体" w:hAnsi="宋体" w:cs="宋体" w:eastAsia="宋体" w:hint="default"/>
                <w:sz w:val="18"/>
                <w:szCs w:val="18"/>
              </w:rPr>
            </w:pPr>
            <w:r>
              <w:rPr>
                <w:rFonts w:ascii="宋体" w:hAnsi="宋体" w:cs="宋体" w:eastAsia="宋体" w:hint="default"/>
                <w:sz w:val="18"/>
                <w:szCs w:val="18"/>
              </w:rPr>
              <w:t>股份 限售 承诺</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0"/>
              <w:ind w:left="102" w:right="102"/>
              <w:jc w:val="both"/>
              <w:rPr>
                <w:rFonts w:ascii="宋体" w:hAnsi="宋体" w:cs="宋体" w:eastAsia="宋体" w:hint="default"/>
                <w:sz w:val="18"/>
                <w:szCs w:val="18"/>
              </w:rPr>
            </w:pPr>
            <w:r>
              <w:rPr>
                <w:rFonts w:ascii="宋体" w:hAnsi="宋体" w:cs="宋体" w:eastAsia="宋体" w:hint="default"/>
                <w:sz w:val="18"/>
                <w:szCs w:val="18"/>
              </w:rPr>
              <w:t>自认购的创业慧康新增股份在法定登记机构登记于本人名下并上市 之日起</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个月内，不转让或者委托他人管理本人拥有的该等新增股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份（若本人在实际转让上市公司股份前，上市公司发生转增股本、 送红股等除权行为的，则实际可转让股份数将进行相应调整）。</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5"/>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个 月</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2" w:right="275"/>
              <w:jc w:val="left"/>
              <w:rPr>
                <w:rFonts w:ascii="宋体" w:hAnsi="宋体" w:cs="宋体" w:eastAsia="宋体" w:hint="default"/>
                <w:sz w:val="18"/>
                <w:szCs w:val="18"/>
              </w:rPr>
            </w:pPr>
            <w:r>
              <w:rPr>
                <w:rFonts w:ascii="宋体" w:hAnsi="宋体" w:cs="宋体" w:eastAsia="宋体" w:hint="default"/>
                <w:sz w:val="18"/>
                <w:szCs w:val="18"/>
              </w:rPr>
              <w:t>履行 完毕</w:t>
            </w:r>
          </w:p>
        </w:tc>
      </w:tr>
      <w:tr>
        <w:trPr>
          <w:trHeight w:val="362" w:hRule="exact"/>
        </w:trPr>
        <w:tc>
          <w:tcPr>
            <w:tcW w:w="792" w:type="dxa"/>
            <w:vMerge/>
            <w:tcBorders>
              <w:left w:val="single" w:sz="4" w:space="0" w:color="000000"/>
              <w:right w:val="single" w:sz="4" w:space="0" w:color="000000"/>
            </w:tcBorders>
            <w:shd w:val="clear" w:color="auto" w:fill="D2D2D2"/>
          </w:tcPr>
          <w:p>
            <w:pPr/>
          </w:p>
        </w:tc>
        <w:tc>
          <w:tcPr>
            <w:tcW w:w="675" w:type="dxa"/>
            <w:tcBorders>
              <w:top w:val="single" w:sz="4" w:space="0" w:color="000000"/>
              <w:left w:val="single" w:sz="4" w:space="0" w:color="000000"/>
              <w:bottom w:val="nil" w:sz="6" w:space="0" w:color="auto"/>
              <w:right w:val="single" w:sz="4" w:space="0" w:color="000000"/>
            </w:tcBorders>
          </w:tcPr>
          <w:p>
            <w:pPr/>
          </w:p>
        </w:tc>
        <w:tc>
          <w:tcPr>
            <w:tcW w:w="630" w:type="dxa"/>
            <w:tcBorders>
              <w:top w:val="single" w:sz="4" w:space="0" w:color="000000"/>
              <w:left w:val="single" w:sz="4" w:space="0" w:color="000000"/>
              <w:bottom w:val="nil" w:sz="6" w:space="0" w:color="auto"/>
              <w:right w:val="single" w:sz="4" w:space="0" w:color="000000"/>
            </w:tcBorders>
          </w:tcPr>
          <w:p>
            <w:pPr/>
          </w:p>
        </w:tc>
        <w:tc>
          <w:tcPr>
            <w:tcW w:w="54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、鑫粟科技、铜粟投资若在取得本次发行的股份时，持有慧康物联</w:t>
            </w:r>
          </w:p>
        </w:tc>
        <w:tc>
          <w:tcPr>
            <w:tcW w:w="630" w:type="dxa"/>
            <w:tcBorders>
              <w:top w:val="single" w:sz="4" w:space="0" w:color="000000"/>
              <w:left w:val="single" w:sz="4" w:space="0" w:color="000000"/>
              <w:bottom w:val="nil" w:sz="6" w:space="0" w:color="auto"/>
              <w:right w:val="single" w:sz="4" w:space="0" w:color="000000"/>
            </w:tcBorders>
          </w:tcPr>
          <w:p>
            <w:pPr/>
          </w:p>
        </w:tc>
        <w:tc>
          <w:tcPr>
            <w:tcW w:w="615" w:type="dxa"/>
            <w:tcBorders>
              <w:top w:val="single" w:sz="4" w:space="0" w:color="000000"/>
              <w:left w:val="single" w:sz="4" w:space="0" w:color="000000"/>
              <w:bottom w:val="nil" w:sz="6" w:space="0" w:color="auto"/>
              <w:right w:val="single" w:sz="4" w:space="0" w:color="000000"/>
            </w:tcBorders>
          </w:tcPr>
          <w:p>
            <w:pPr/>
          </w:p>
        </w:tc>
        <w:tc>
          <w:tcPr>
            <w:tcW w:w="750" w:type="dxa"/>
            <w:tcBorders>
              <w:top w:val="single" w:sz="4" w:space="0" w:color="000000"/>
              <w:left w:val="single" w:sz="4" w:space="0" w:color="000000"/>
              <w:bottom w:val="nil" w:sz="6" w:space="0" w:color="auto"/>
              <w:right w:val="single" w:sz="4" w:space="0" w:color="000000"/>
            </w:tcBorders>
          </w:tcPr>
          <w:p>
            <w:pPr/>
          </w:p>
        </w:tc>
      </w:tr>
      <w:tr>
        <w:trPr>
          <w:trHeight w:val="301"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股权时间超过</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个月，则其于本次发行中取得的上市公司股份自股</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份上市之日起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个月不得交易或转让。前述</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个月期限届满后，</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铜粟</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具体的解锁期间及解锁比例如下：（</w:t>
            </w:r>
            <w:r>
              <w:rPr>
                <w:rFonts w:ascii="Times New Roman" w:hAnsi="Times New Roman" w:cs="Times New Roman" w:eastAsia="Times New Roman" w:hint="default"/>
                <w:sz w:val="18"/>
                <w:szCs w:val="18"/>
              </w:rPr>
              <w:t>1</w:t>
            </w:r>
            <w:r>
              <w:rPr>
                <w:rFonts w:ascii="宋体" w:hAnsi="宋体" w:cs="宋体" w:eastAsia="宋体" w:hint="default"/>
                <w:sz w:val="18"/>
                <w:szCs w:val="18"/>
              </w:rPr>
              <w:t>）自股份上市之日起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pacing w:val="-3"/>
                <w:sz w:val="18"/>
                <w:szCs w:val="18"/>
              </w:rPr>
              <w:t>届满，且依据《利润补偿协议》达到</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年度利润承诺，在具备证</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管理</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券期货从业资格的审计机构出具相应年度慧康物联利润承诺实现情</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由公</w:t>
            </w:r>
          </w:p>
        </w:tc>
        <w:tc>
          <w:tcPr>
            <w:tcW w:w="75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2" w:right="0"/>
              <w:jc w:val="left"/>
              <w:rPr>
                <w:rFonts w:ascii="宋体" w:hAnsi="宋体" w:cs="宋体" w:eastAsia="宋体" w:hint="default"/>
                <w:sz w:val="18"/>
                <w:szCs w:val="18"/>
              </w:rPr>
            </w:pPr>
            <w:r>
              <w:rPr>
                <w:rFonts w:ascii="宋体" w:hAnsi="宋体" w:cs="宋体" w:eastAsia="宋体" w:hint="default"/>
                <w:spacing w:val="-3"/>
                <w:sz w:val="18"/>
                <w:szCs w:val="18"/>
              </w:rPr>
              <w:t>况的《年度专项审核报告》后</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个工作日起，可转让或交易不超过</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司董</w:t>
            </w: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其于本次发行中取得的上市公司股份数量的</w:t>
            </w:r>
            <w:r>
              <w:rPr>
                <w:rFonts w:ascii="宋体" w:hAnsi="宋体" w:cs="宋体" w:eastAsia="宋体" w:hint="default"/>
                <w:spacing w:val="-44"/>
                <w:sz w:val="18"/>
                <w:szCs w:val="18"/>
              </w:rPr>
              <w:t> </w:t>
            </w:r>
            <w:r>
              <w:rPr>
                <w:rFonts w:ascii="Times New Roman" w:hAnsi="Times New Roman" w:cs="Times New Roman" w:eastAsia="Times New Roman" w:hint="default"/>
                <w:spacing w:val="-6"/>
                <w:sz w:val="18"/>
                <w:szCs w:val="18"/>
              </w:rPr>
              <w:t>20%</w:t>
            </w: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）自股份上市</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事会</w:t>
            </w: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（原</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个月届满，且依据《利润补偿协议》达到</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根据</w:t>
            </w:r>
          </w:p>
        </w:tc>
        <w:tc>
          <w:tcPr>
            <w:tcW w:w="750"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承诺，在具备证券期货从业资格的审计机构出具相应年度慧康物联</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相关</w:t>
            </w:r>
          </w:p>
        </w:tc>
        <w:tc>
          <w:tcPr>
            <w:tcW w:w="75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铜粟</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2" w:right="0"/>
              <w:jc w:val="left"/>
              <w:rPr>
                <w:rFonts w:ascii="宋体" w:hAnsi="宋体" w:cs="宋体" w:eastAsia="宋体" w:hint="default"/>
                <w:sz w:val="18"/>
                <w:szCs w:val="18"/>
              </w:rPr>
            </w:pPr>
            <w:r>
              <w:rPr>
                <w:rFonts w:ascii="宋体" w:hAnsi="宋体" w:cs="宋体" w:eastAsia="宋体" w:hint="default"/>
                <w:sz w:val="18"/>
                <w:szCs w:val="18"/>
              </w:rPr>
              <w:t>利润承诺实现情况的《年度专项审核报告》后</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6"/>
                <w:sz w:val="18"/>
                <w:szCs w:val="18"/>
              </w:rPr>
              <w:t> </w:t>
            </w:r>
            <w:r>
              <w:rPr>
                <w:rFonts w:ascii="宋体" w:hAnsi="宋体" w:cs="宋体" w:eastAsia="宋体" w:hint="default"/>
                <w:spacing w:val="-3"/>
                <w:sz w:val="18"/>
                <w:szCs w:val="18"/>
              </w:rPr>
              <w:t>个工作日起，新增</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法律</w:t>
            </w:r>
          </w:p>
        </w:tc>
        <w:tc>
          <w:tcPr>
            <w:tcW w:w="750" w:type="dxa"/>
            <w:tcBorders>
              <w:top w:val="nil" w:sz="6" w:space="0" w:color="auto"/>
              <w:left w:val="single" w:sz="4" w:space="0" w:color="000000"/>
              <w:bottom w:val="nil" w:sz="6" w:space="0" w:color="auto"/>
              <w:right w:val="single" w:sz="4" w:space="0" w:color="000000"/>
            </w:tcBorders>
          </w:tcPr>
          <w:p>
            <w:pPr/>
          </w:p>
        </w:tc>
      </w:tr>
      <w:tr>
        <w:trPr>
          <w:trHeight w:val="1248"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316" w:lineRule="auto"/>
              <w:ind w:left="102" w:right="21"/>
              <w:jc w:val="left"/>
              <w:rPr>
                <w:rFonts w:ascii="宋体" w:hAnsi="宋体" w:cs="宋体" w:eastAsia="宋体" w:hint="default"/>
                <w:sz w:val="18"/>
                <w:szCs w:val="18"/>
              </w:rPr>
            </w:pPr>
            <w:r>
              <w:rPr>
                <w:rFonts w:ascii="宋体" w:hAnsi="宋体" w:cs="宋体" w:eastAsia="宋体" w:hint="default"/>
                <w:sz w:val="18"/>
                <w:szCs w:val="18"/>
              </w:rPr>
              <w:t>投资 管理 有限 公司）</w:t>
            </w: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316" w:lineRule="auto" w:before="152"/>
              <w:ind w:left="103" w:right="154"/>
              <w:jc w:val="both"/>
              <w:rPr>
                <w:rFonts w:ascii="宋体" w:hAnsi="宋体" w:cs="宋体" w:eastAsia="宋体" w:hint="default"/>
                <w:sz w:val="18"/>
                <w:szCs w:val="18"/>
              </w:rPr>
            </w:pPr>
            <w:r>
              <w:rPr>
                <w:rFonts w:ascii="宋体" w:hAnsi="宋体" w:cs="宋体" w:eastAsia="宋体" w:hint="default"/>
                <w:sz w:val="18"/>
                <w:szCs w:val="18"/>
              </w:rPr>
              <w:t>股份 限售 承诺</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312" w:lineRule="auto" w:before="17"/>
              <w:ind w:left="102" w:right="102"/>
              <w:jc w:val="left"/>
              <w:rPr>
                <w:rFonts w:ascii="宋体" w:hAnsi="宋体" w:cs="宋体" w:eastAsia="宋体" w:hint="default"/>
                <w:sz w:val="18"/>
                <w:szCs w:val="18"/>
              </w:rPr>
            </w:pPr>
            <w:r>
              <w:rPr>
                <w:rFonts w:ascii="宋体" w:hAnsi="宋体" w:cs="宋体" w:eastAsia="宋体" w:hint="default"/>
                <w:sz w:val="18"/>
                <w:szCs w:val="18"/>
              </w:rPr>
              <w:t>可转让或交易不超过其于本次发行中取得的上市公司股份数量的 </w:t>
            </w:r>
            <w:r>
              <w:rPr>
                <w:rFonts w:ascii="Times New Roman" w:hAnsi="Times New Roman" w:cs="Times New Roman" w:eastAsia="Times New Roman" w:hint="default"/>
                <w:spacing w:val="-1"/>
                <w:sz w:val="18"/>
                <w:szCs w:val="18"/>
              </w:rPr>
              <w:t>20%</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）利润承诺期届满，在具备证券期货从业资格的审计机构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出具相应年度慧康物联利润承诺实现情况的《利润承诺期专项审核 报告》以及对标的资产进行减值测试的《减值测试报告》后</w:t>
            </w:r>
            <w:r>
              <w:rPr>
                <w:rFonts w:ascii="宋体" w:hAnsi="宋体" w:cs="宋体" w:eastAsia="宋体" w:hint="default"/>
                <w:spacing w:val="-71"/>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个工</w:t>
            </w: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1"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316" w:lineRule="auto"/>
              <w:ind w:left="103" w:right="140"/>
              <w:jc w:val="both"/>
              <w:rPr>
                <w:rFonts w:ascii="宋体" w:hAnsi="宋体" w:cs="宋体" w:eastAsia="宋体" w:hint="default"/>
                <w:sz w:val="18"/>
                <w:szCs w:val="18"/>
              </w:rPr>
            </w:pPr>
            <w:r>
              <w:rPr>
                <w:rFonts w:ascii="宋体" w:hAnsi="宋体" w:cs="宋体" w:eastAsia="宋体" w:hint="default"/>
                <w:sz w:val="18"/>
                <w:szCs w:val="18"/>
              </w:rPr>
              <w:t>法规 的规 定及 主管</w:t>
            </w:r>
          </w:p>
        </w:tc>
        <w:tc>
          <w:tcPr>
            <w:tcW w:w="75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316" w:lineRule="auto"/>
              <w:ind w:left="102" w:right="275"/>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浙江</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作日起，且以履行了《利润补偿协议》的利润补偿和标的资产减值</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部门</w:t>
            </w: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鑫粟</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2" w:right="0"/>
              <w:jc w:val="left"/>
              <w:rPr>
                <w:rFonts w:ascii="宋体" w:hAnsi="宋体" w:cs="宋体" w:eastAsia="宋体" w:hint="default"/>
                <w:sz w:val="18"/>
                <w:szCs w:val="18"/>
              </w:rPr>
            </w:pPr>
            <w:r>
              <w:rPr>
                <w:rFonts w:ascii="宋体" w:hAnsi="宋体" w:cs="宋体" w:eastAsia="宋体" w:hint="default"/>
                <w:sz w:val="18"/>
                <w:szCs w:val="18"/>
              </w:rPr>
              <w:t>测试所需补偿义务为前提，余下其于本次发行中取得的上市公司股</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审核</w:t>
            </w:r>
          </w:p>
        </w:tc>
        <w:tc>
          <w:tcPr>
            <w:tcW w:w="75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科技</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2" w:right="0"/>
              <w:jc w:val="left"/>
              <w:rPr>
                <w:rFonts w:ascii="宋体" w:hAnsi="宋体" w:cs="宋体" w:eastAsia="宋体" w:hint="default"/>
                <w:sz w:val="18"/>
                <w:szCs w:val="18"/>
              </w:rPr>
            </w:pPr>
            <w:r>
              <w:rPr>
                <w:rFonts w:ascii="宋体" w:hAnsi="宋体" w:cs="宋体" w:eastAsia="宋体" w:hint="default"/>
                <w:sz w:val="18"/>
                <w:szCs w:val="18"/>
              </w:rPr>
              <w:t>份可以转让或交易。</w:t>
            </w:r>
            <w:r>
              <w:rPr>
                <w:rFonts w:ascii="Times New Roman" w:hAnsi="Times New Roman" w:cs="Times New Roman" w:eastAsia="Times New Roman" w:hint="default"/>
                <w:sz w:val="18"/>
                <w:szCs w:val="18"/>
              </w:rPr>
              <w:t>2</w:t>
            </w:r>
            <w:r>
              <w:rPr>
                <w:rFonts w:ascii="宋体" w:hAnsi="宋体" w:cs="宋体" w:eastAsia="宋体" w:hint="default"/>
                <w:sz w:val="18"/>
                <w:szCs w:val="18"/>
              </w:rPr>
              <w:t>、鑫粟科技、铜粟投资若在取得本次发行的股</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的要</w:t>
            </w: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份时，持有慧康物联股权时间未超过</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个月，则股份锁定期为其于</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求进</w:t>
            </w: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本次发行中取得的上市公司股份上市之日起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36 </w:t>
            </w:r>
            <w:r>
              <w:rPr>
                <w:rFonts w:ascii="宋体" w:hAnsi="宋体" w:cs="宋体" w:eastAsia="宋体" w:hint="default"/>
                <w:spacing w:val="-6"/>
                <w:sz w:val="18"/>
                <w:szCs w:val="18"/>
              </w:rPr>
              <w:t>个月。自股份上市之</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行确</w:t>
            </w: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（原</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日起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0"/>
                <w:sz w:val="18"/>
                <w:szCs w:val="18"/>
              </w:rPr>
              <w:t> </w:t>
            </w:r>
            <w:r>
              <w:rPr>
                <w:rFonts w:ascii="宋体" w:hAnsi="宋体" w:cs="宋体" w:eastAsia="宋体" w:hint="default"/>
                <w:spacing w:val="-3"/>
                <w:sz w:val="18"/>
                <w:szCs w:val="18"/>
              </w:rPr>
              <w:t>个月届满，在具备证券期货从业资格的审计机构出具相应年</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3" w:right="0"/>
              <w:jc w:val="left"/>
              <w:rPr>
                <w:rFonts w:ascii="宋体" w:hAnsi="宋体" w:cs="宋体" w:eastAsia="宋体" w:hint="default"/>
                <w:sz w:val="18"/>
                <w:szCs w:val="18"/>
              </w:rPr>
            </w:pPr>
            <w:r>
              <w:rPr>
                <w:rFonts w:ascii="宋体" w:hAnsi="宋体" w:cs="宋体" w:eastAsia="宋体" w:hint="default"/>
                <w:sz w:val="18"/>
                <w:szCs w:val="18"/>
              </w:rPr>
              <w:t>定</w:t>
            </w:r>
          </w:p>
        </w:tc>
        <w:tc>
          <w:tcPr>
            <w:tcW w:w="750"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度慧康物联利润承诺实现情况的《利润承诺期专项审核报告》以及</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鑫粟</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2" w:right="0"/>
              <w:jc w:val="left"/>
              <w:rPr>
                <w:rFonts w:ascii="宋体" w:hAnsi="宋体" w:cs="宋体" w:eastAsia="宋体" w:hint="default"/>
                <w:sz w:val="18"/>
                <w:szCs w:val="18"/>
              </w:rPr>
            </w:pPr>
            <w:r>
              <w:rPr>
                <w:rFonts w:ascii="宋体" w:hAnsi="宋体" w:cs="宋体" w:eastAsia="宋体" w:hint="default"/>
                <w:sz w:val="18"/>
                <w:szCs w:val="18"/>
              </w:rPr>
              <w:t>对标的资产进行减值测试的《减值测试报告》后</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7"/>
                <w:sz w:val="18"/>
                <w:szCs w:val="18"/>
              </w:rPr>
              <w:t> </w:t>
            </w:r>
            <w:r>
              <w:rPr>
                <w:rFonts w:ascii="宋体" w:hAnsi="宋体" w:cs="宋体" w:eastAsia="宋体" w:hint="default"/>
                <w:spacing w:val="-3"/>
                <w:sz w:val="18"/>
                <w:szCs w:val="18"/>
              </w:rPr>
              <w:t>个工作日起，且</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9"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2" w:right="0"/>
              <w:jc w:val="left"/>
              <w:rPr>
                <w:rFonts w:ascii="宋体" w:hAnsi="宋体" w:cs="宋体" w:eastAsia="宋体" w:hint="default"/>
                <w:sz w:val="18"/>
                <w:szCs w:val="18"/>
              </w:rPr>
            </w:pPr>
            <w:r>
              <w:rPr>
                <w:rFonts w:ascii="宋体" w:hAnsi="宋体" w:cs="宋体" w:eastAsia="宋体" w:hint="default"/>
                <w:sz w:val="18"/>
                <w:szCs w:val="18"/>
              </w:rPr>
              <w:t>科技</w:t>
            </w: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2" w:right="0"/>
              <w:jc w:val="left"/>
              <w:rPr>
                <w:rFonts w:ascii="宋体" w:hAnsi="宋体" w:cs="宋体" w:eastAsia="宋体" w:hint="default"/>
                <w:sz w:val="18"/>
                <w:szCs w:val="18"/>
              </w:rPr>
            </w:pPr>
            <w:r>
              <w:rPr>
                <w:rFonts w:ascii="宋体" w:hAnsi="宋体" w:cs="宋体" w:eastAsia="宋体" w:hint="default"/>
                <w:sz w:val="18"/>
                <w:szCs w:val="18"/>
              </w:rPr>
              <w:t>以履行了《利润补偿协议》的利润补偿和标的资产减值测试所需补</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偿义务为前提，其于本次发行中取得的上市公司股份可以转让或交</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792" w:type="dxa"/>
            <w:vMerge/>
            <w:tcBorders>
              <w:left w:val="single" w:sz="4" w:space="0" w:color="000000"/>
              <w:bottom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single" w:sz="4" w:space="0" w:color="000000"/>
              <w:right w:val="single" w:sz="4" w:space="0" w:color="000000"/>
            </w:tcBorders>
          </w:tcPr>
          <w:p>
            <w:pPr/>
          </w:p>
        </w:tc>
        <w:tc>
          <w:tcPr>
            <w:tcW w:w="630" w:type="dxa"/>
            <w:tcBorders>
              <w:top w:val="nil" w:sz="6" w:space="0" w:color="auto"/>
              <w:left w:val="single" w:sz="4" w:space="0" w:color="000000"/>
              <w:bottom w:val="single" w:sz="4" w:space="0" w:color="000000"/>
              <w:right w:val="single" w:sz="4" w:space="0" w:color="000000"/>
            </w:tcBorders>
          </w:tcPr>
          <w:p>
            <w:pPr/>
          </w:p>
        </w:tc>
        <w:tc>
          <w:tcPr>
            <w:tcW w:w="54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易。本次交易中发行的上市公司新增股份的限售期最终由创业慧康</w:t>
            </w:r>
          </w:p>
        </w:tc>
        <w:tc>
          <w:tcPr>
            <w:tcW w:w="630" w:type="dxa"/>
            <w:tcBorders>
              <w:top w:val="nil" w:sz="6" w:space="0" w:color="auto"/>
              <w:left w:val="single" w:sz="4" w:space="0" w:color="000000"/>
              <w:bottom w:val="single" w:sz="4" w:space="0" w:color="000000"/>
              <w:right w:val="single" w:sz="4" w:space="0" w:color="000000"/>
            </w:tcBorders>
          </w:tcPr>
          <w:p>
            <w:pPr/>
          </w:p>
        </w:tc>
        <w:tc>
          <w:tcPr>
            <w:tcW w:w="615" w:type="dxa"/>
            <w:tcBorders>
              <w:top w:val="nil" w:sz="6" w:space="0" w:color="auto"/>
              <w:left w:val="single" w:sz="4" w:space="0" w:color="000000"/>
              <w:bottom w:val="single" w:sz="4" w:space="0" w:color="000000"/>
              <w:right w:val="single" w:sz="4" w:space="0" w:color="000000"/>
            </w:tcBorders>
          </w:tcPr>
          <w:p>
            <w:pPr/>
          </w:p>
        </w:tc>
        <w:tc>
          <w:tcPr>
            <w:tcW w:w="75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792"/>
        <w:gridCol w:w="675"/>
        <w:gridCol w:w="630"/>
        <w:gridCol w:w="5475"/>
        <w:gridCol w:w="630"/>
        <w:gridCol w:w="615"/>
        <w:gridCol w:w="750"/>
      </w:tblGrid>
      <w:tr>
        <w:trPr>
          <w:trHeight w:val="674" w:hRule="exact"/>
        </w:trPr>
        <w:tc>
          <w:tcPr>
            <w:tcW w:w="792" w:type="dxa"/>
            <w:vMerge w:val="restart"/>
            <w:tcBorders>
              <w:top w:val="single" w:sz="4" w:space="0" w:color="000000"/>
              <w:left w:val="single" w:sz="4" w:space="0" w:color="000000"/>
              <w:right w:val="single" w:sz="4" w:space="0" w:color="000000"/>
            </w:tcBorders>
            <w:shd w:val="clear" w:color="auto" w:fill="D2D2D2"/>
          </w:tcPr>
          <w:p>
            <w:pPr/>
          </w:p>
        </w:tc>
        <w:tc>
          <w:tcPr>
            <w:tcW w:w="675"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40"/>
              <w:jc w:val="left"/>
              <w:rPr>
                <w:rFonts w:ascii="宋体" w:hAnsi="宋体" w:cs="宋体" w:eastAsia="宋体" w:hint="default"/>
                <w:sz w:val="18"/>
                <w:szCs w:val="18"/>
              </w:rPr>
            </w:pPr>
            <w:r>
              <w:rPr>
                <w:rFonts w:ascii="宋体" w:hAnsi="宋体" w:cs="宋体" w:eastAsia="宋体" w:hint="default"/>
                <w:sz w:val="18"/>
                <w:szCs w:val="18"/>
              </w:rPr>
              <w:t>股东大会授权董事会根据相关法律法规的规定及主管部门审核的要 求进行确定，但应当事先取得承诺人书面同意。</w:t>
            </w:r>
          </w:p>
        </w:tc>
        <w:tc>
          <w:tcPr>
            <w:tcW w:w="630"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r>
      <w:tr>
        <w:trPr>
          <w:trHeight w:val="13152" w:hRule="exact"/>
        </w:trPr>
        <w:tc>
          <w:tcPr>
            <w:tcW w:w="792" w:type="dxa"/>
            <w:vMerge/>
            <w:tcBorders>
              <w:left w:val="single" w:sz="4" w:space="0" w:color="000000"/>
              <w:bottom w:val="single" w:sz="4" w:space="0" w:color="000000"/>
              <w:right w:val="single" w:sz="4" w:space="0" w:color="000000"/>
            </w:tcBorders>
            <w:shd w:val="clear" w:color="auto" w:fill="D2D2D2"/>
          </w:tcPr>
          <w:p>
            <w:pP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6" w:lineRule="auto"/>
              <w:ind w:left="102" w:right="21"/>
              <w:jc w:val="left"/>
              <w:rPr>
                <w:rFonts w:ascii="宋体" w:hAnsi="宋体" w:cs="宋体" w:eastAsia="宋体" w:hint="default"/>
                <w:sz w:val="18"/>
                <w:szCs w:val="18"/>
              </w:rPr>
            </w:pPr>
            <w:r>
              <w:rPr>
                <w:rFonts w:ascii="宋体" w:hAnsi="宋体" w:cs="宋体" w:eastAsia="宋体" w:hint="default"/>
                <w:sz w:val="18"/>
                <w:szCs w:val="18"/>
              </w:rPr>
              <w:t>宁波 铜粟 投资 管理 有限 公司； 浙江 鑫粟 科技 有限 公司； 周建</w:t>
            </w:r>
          </w:p>
          <w:p>
            <w:pPr>
              <w:pStyle w:val="TableParagraph"/>
              <w:spacing w:line="240" w:lineRule="auto" w:before="19"/>
              <w:ind w:left="102" w:right="0"/>
              <w:jc w:val="left"/>
              <w:rPr>
                <w:rFonts w:ascii="宋体" w:hAnsi="宋体" w:cs="宋体" w:eastAsia="宋体" w:hint="default"/>
                <w:sz w:val="18"/>
                <w:szCs w:val="18"/>
              </w:rPr>
            </w:pPr>
            <w:r>
              <w:rPr>
                <w:rFonts w:ascii="宋体" w:hAnsi="宋体" w:cs="宋体" w:eastAsia="宋体" w:hint="default"/>
                <w:sz w:val="18"/>
                <w:szCs w:val="18"/>
              </w:rPr>
              <w:t>新</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7"/>
              <w:ind w:left="103" w:right="154"/>
              <w:jc w:val="left"/>
              <w:rPr>
                <w:rFonts w:ascii="宋体" w:hAnsi="宋体" w:cs="宋体" w:eastAsia="宋体" w:hint="default"/>
                <w:sz w:val="18"/>
                <w:szCs w:val="18"/>
              </w:rPr>
            </w:pPr>
            <w:r>
              <w:rPr>
                <w:rFonts w:ascii="宋体" w:hAnsi="宋体" w:cs="宋体" w:eastAsia="宋体" w:hint="default"/>
                <w:sz w:val="18"/>
                <w:szCs w:val="18"/>
              </w:rPr>
              <w:t>关于 同业 竞 争、 关联 交 易、 资金 占用 方面 的承 诺</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2" w:right="90"/>
              <w:jc w:val="left"/>
              <w:rPr>
                <w:rFonts w:ascii="宋体" w:hAnsi="宋体" w:cs="宋体" w:eastAsia="宋体" w:hint="default"/>
                <w:sz w:val="18"/>
                <w:szCs w:val="18"/>
              </w:rPr>
            </w:pPr>
            <w:r>
              <w:rPr>
                <w:rFonts w:ascii="宋体" w:hAnsi="宋体" w:cs="宋体" w:eastAsia="宋体" w:hint="default"/>
                <w:sz w:val="18"/>
                <w:szCs w:val="18"/>
              </w:rPr>
              <w:t>一、关于避免同业竞争的承诺本承诺人现就有关避免同业竞争事宜 </w:t>
            </w:r>
            <w:r>
              <w:rPr>
                <w:rFonts w:ascii="宋体" w:hAnsi="宋体" w:cs="宋体" w:eastAsia="宋体" w:hint="default"/>
                <w:spacing w:val="-2"/>
                <w:sz w:val="18"/>
                <w:szCs w:val="18"/>
              </w:rPr>
              <w:t>作出确认、承诺和保证如下：</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、慧康物联与上市公司重组后，非经</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3"/>
                <w:sz w:val="18"/>
                <w:szCs w:val="18"/>
              </w:rPr>
              <w:t>上市公司董事会和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或股东大会书面同意，本公司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本人不单独或与他</w:t>
            </w:r>
            <w:r>
              <w:rPr>
                <w:rFonts w:ascii="宋体" w:hAnsi="宋体" w:cs="宋体" w:eastAsia="宋体" w:hint="default"/>
                <w:spacing w:val="-61"/>
                <w:sz w:val="18"/>
                <w:szCs w:val="18"/>
              </w:rPr>
              <w:t> </w:t>
            </w:r>
            <w:r>
              <w:rPr>
                <w:rFonts w:ascii="宋体" w:hAnsi="宋体" w:cs="宋体" w:eastAsia="宋体" w:hint="default"/>
                <w:sz w:val="18"/>
                <w:szCs w:val="18"/>
              </w:rPr>
              <w:t>人，以任何形式（包括但不限于投资、并购、联营、合资、合作、 合伙、承包或租赁经营、参股）直接或间接从事或参与或协助从事 或参与任何与慧康物联及其控制的企业目前及今后进行的金融自助 </w:t>
            </w:r>
            <w:r>
              <w:rPr>
                <w:rFonts w:ascii="宋体" w:hAnsi="宋体" w:cs="宋体" w:eastAsia="宋体" w:hint="default"/>
                <w:spacing w:val="-2"/>
                <w:sz w:val="18"/>
                <w:szCs w:val="18"/>
              </w:rPr>
              <w:t>设备维保业务构成或可能构成竞争的业务或活动；</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、慧康物联与上</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市公司重组后，本公司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本人承诺将不会以任何形式支持上市公司、 慧康物联及其控制的企业以外的他人从事与上市公司、慧康物联及 其控制的企业目前及今后进行的金融自助设备维保业务构成或可能 构成竞争的业务及以其他方式参与（不论直接或间接）任何与上市 公司、慧康物联及其控制的企业目前及今后进行的金融自助设备维 </w:t>
            </w:r>
            <w:r>
              <w:rPr>
                <w:rFonts w:ascii="宋体" w:hAnsi="宋体" w:cs="宋体" w:eastAsia="宋体" w:hint="default"/>
                <w:spacing w:val="-2"/>
                <w:sz w:val="18"/>
                <w:szCs w:val="18"/>
              </w:rPr>
              <w:t>保业务构成竞争或可能构成竞争的业务或活动；</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、慧康物联与上市</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公司重组后，本公司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本人如有任何与慧康物联金融自助设备维保的 竞争性业务机会，应立即通知上市公司，并将在本公司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本人合法权 利范围内竭尽全力地首先促使该业务机会以不亚于提供给本公司</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本人的条件提供给上市公司；</w:t>
            </w:r>
            <w:r>
              <w:rPr>
                <w:rFonts w:ascii="Times New Roman" w:hAnsi="Times New Roman" w:cs="Times New Roman" w:eastAsia="Times New Roman" w:hint="default"/>
                <w:sz w:val="18"/>
                <w:szCs w:val="18"/>
              </w:rPr>
              <w:t>4</w:t>
            </w:r>
            <w:r>
              <w:rPr>
                <w:rFonts w:ascii="宋体" w:hAnsi="宋体" w:cs="宋体" w:eastAsia="宋体" w:hint="default"/>
                <w:sz w:val="18"/>
                <w:szCs w:val="18"/>
              </w:rPr>
              <w:t>、本公司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本人将充分尊重上市公司 及慧康物联的独立法人地位，保障上市公司、慧康物联及其控制的 企业的独立经营、自主决策；</w:t>
            </w:r>
            <w:r>
              <w:rPr>
                <w:rFonts w:ascii="Times New Roman" w:hAnsi="Times New Roman" w:cs="Times New Roman" w:eastAsia="Times New Roman" w:hint="default"/>
                <w:sz w:val="18"/>
                <w:szCs w:val="18"/>
              </w:rPr>
              <w:t>5</w:t>
            </w:r>
            <w:r>
              <w:rPr>
                <w:rFonts w:ascii="宋体" w:hAnsi="宋体" w:cs="宋体" w:eastAsia="宋体" w:hint="default"/>
                <w:sz w:val="18"/>
                <w:szCs w:val="18"/>
              </w:rPr>
              <w:t>、本公司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本人承诺不以现在于慧康 物联任职职位或未来可能于上市公司所任职位便利谋求不正当利 益，进而损害上市公司、慧康物联其他股东的权益。如因本公司或 本公司控制</w:t>
            </w:r>
            <w:r>
              <w:rPr>
                <w:rFonts w:ascii="Times New Roman" w:hAnsi="Times New Roman" w:cs="Times New Roman" w:eastAsia="Times New Roman" w:hint="default"/>
                <w:sz w:val="18"/>
                <w:szCs w:val="18"/>
              </w:rPr>
              <w:t>/</w:t>
            </w:r>
            <w:r>
              <w:rPr>
                <w:rFonts w:ascii="宋体" w:hAnsi="宋体" w:cs="宋体" w:eastAsia="宋体" w:hint="default"/>
                <w:sz w:val="18"/>
                <w:szCs w:val="18"/>
              </w:rPr>
              <w:t>本人或本人控制的其他企业违反上述声明与承诺而导 致上市公司、慧康物联及其控制的企业的权益受到损害的，本公司</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本人将对因违反承诺给上市公司、慧康物联造成的损失，以现金形 </w:t>
            </w:r>
            <w:r>
              <w:rPr>
                <w:rFonts w:ascii="宋体" w:hAnsi="宋体" w:cs="宋体" w:eastAsia="宋体" w:hint="default"/>
                <w:spacing w:val="-2"/>
                <w:sz w:val="18"/>
                <w:szCs w:val="18"/>
              </w:rPr>
              <w:t>式进行充分赔偿；</w:t>
            </w: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、本承诺自签署之日起生效，生效后即构成对本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3"/>
                <w:sz w:val="18"/>
                <w:szCs w:val="18"/>
              </w:rPr>
              <w:t>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本人有约束力的法律文件。如违反本承诺，本公司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本人愿意承</w:t>
            </w:r>
            <w:r>
              <w:rPr>
                <w:rFonts w:ascii="宋体" w:hAnsi="宋体" w:cs="宋体" w:eastAsia="宋体" w:hint="default"/>
                <w:spacing w:val="-62"/>
                <w:sz w:val="18"/>
                <w:szCs w:val="18"/>
              </w:rPr>
              <w:t> </w:t>
            </w:r>
            <w:r>
              <w:rPr>
                <w:rFonts w:ascii="宋体" w:hAnsi="宋体" w:cs="宋体" w:eastAsia="宋体" w:hint="default"/>
                <w:sz w:val="18"/>
                <w:szCs w:val="18"/>
              </w:rPr>
              <w:t>担法律责任；</w:t>
            </w:r>
            <w:r>
              <w:rPr>
                <w:rFonts w:ascii="Times New Roman" w:hAnsi="Times New Roman" w:cs="Times New Roman" w:eastAsia="Times New Roman" w:hint="default"/>
                <w:sz w:val="18"/>
                <w:szCs w:val="18"/>
              </w:rPr>
              <w:t>7</w:t>
            </w:r>
            <w:r>
              <w:rPr>
                <w:rFonts w:ascii="宋体" w:hAnsi="宋体" w:cs="宋体" w:eastAsia="宋体" w:hint="default"/>
                <w:sz w:val="18"/>
                <w:szCs w:val="18"/>
              </w:rPr>
              <w:t>、本承诺在本公司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本人直接或间接持有上市公司股 份期间内持续有效且不可变更或撤销。二、关于减少和规范关联交 易的承诺为减少并规范本承诺人及所控制的企业与创业慧康之间的 关联交易，本承诺人现作出确认、承诺和保证如下：</w:t>
            </w:r>
            <w:r>
              <w:rPr>
                <w:rFonts w:ascii="Times New Roman" w:hAnsi="Times New Roman" w:cs="Times New Roman" w:eastAsia="Times New Roman" w:hint="default"/>
                <w:sz w:val="18"/>
                <w:szCs w:val="18"/>
              </w:rPr>
              <w:t>1</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 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本公司控制的企业（如有）与上市公司及其控股子公司之 间已存在及将来不可避免发生的关联交易事项，保证遵循市场交易 的公平原则即正常的商业条款与上市公司及其控股子公司发生交 易。如未按市场交易的公平原则与上市公司及其控股子公司发生交 易，而给上市公司及其控股子公司造成损失或已经造成损失，由本 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本公司承担赔偿责任；</w:t>
            </w:r>
            <w:r>
              <w:rPr>
                <w:rFonts w:ascii="Times New Roman" w:hAnsi="Times New Roman" w:cs="Times New Roman" w:eastAsia="Times New Roman" w:hint="default"/>
                <w:sz w:val="18"/>
                <w:szCs w:val="18"/>
              </w:rPr>
              <w:t>2</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本公司将善意履行作为上市公司 股东的义务，充分尊重上市公司的独立法人地位，保障上市公司独 立经营、自主决策。本人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本公司将严格按照中国《公司法》以及上 市公司的公司章程的规定，促使经本人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本公司提名的上市公司董事</w:t>
            </w:r>
          </w:p>
          <w:p>
            <w:pPr>
              <w:pStyle w:val="TableParagraph"/>
              <w:spacing w:line="300" w:lineRule="auto" w:before="5"/>
              <w:ind w:left="102" w:right="179"/>
              <w:jc w:val="left"/>
              <w:rPr>
                <w:rFonts w:ascii="宋体" w:hAnsi="宋体" w:cs="宋体" w:eastAsia="宋体" w:hint="default"/>
                <w:sz w:val="18"/>
                <w:szCs w:val="18"/>
              </w:rPr>
            </w:pPr>
            <w:r>
              <w:rPr>
                <w:rFonts w:ascii="宋体" w:hAnsi="宋体" w:cs="宋体" w:eastAsia="宋体" w:hint="default"/>
                <w:sz w:val="18"/>
                <w:szCs w:val="18"/>
              </w:rPr>
              <w:t>（如有）依法履行其应尽的诚信和勤勉责任；</w:t>
            </w:r>
            <w:r>
              <w:rPr>
                <w:rFonts w:ascii="Times New Roman" w:hAnsi="Times New Roman" w:cs="Times New Roman" w:eastAsia="Times New Roman" w:hint="default"/>
                <w:sz w:val="18"/>
                <w:szCs w:val="18"/>
              </w:rPr>
              <w:t>3</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本公司以及 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本公司控股或实际控制的其他公司或者其他企业或经济组织</w:t>
            </w:r>
          </w:p>
          <w:p>
            <w:pPr>
              <w:pStyle w:val="TableParagraph"/>
              <w:spacing w:line="240" w:lineRule="auto" w:before="13"/>
              <w:ind w:left="102" w:right="0"/>
              <w:jc w:val="left"/>
              <w:rPr>
                <w:rFonts w:ascii="宋体" w:hAnsi="宋体" w:cs="宋体" w:eastAsia="宋体" w:hint="default"/>
                <w:sz w:val="18"/>
                <w:szCs w:val="18"/>
              </w:rPr>
            </w:pPr>
            <w:r>
              <w:rPr>
                <w:rFonts w:ascii="宋体" w:hAnsi="宋体" w:cs="宋体" w:eastAsia="宋体" w:hint="default"/>
                <w:sz w:val="18"/>
                <w:szCs w:val="18"/>
              </w:rPr>
              <w:t>（以下统称“本人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本公司的关联企业”，如有），将来尽可能避免</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2016</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316" w:lineRule="auto"/>
              <w:ind w:left="102" w:right="275"/>
              <w:jc w:val="left"/>
              <w:rPr>
                <w:rFonts w:ascii="宋体" w:hAnsi="宋体" w:cs="宋体" w:eastAsia="宋体" w:hint="default"/>
                <w:sz w:val="18"/>
                <w:szCs w:val="18"/>
              </w:rPr>
            </w:pPr>
            <w:r>
              <w:rPr>
                <w:rFonts w:ascii="宋体" w:hAnsi="宋体" w:cs="宋体" w:eastAsia="宋体" w:hint="default"/>
                <w:sz w:val="18"/>
                <w:szCs w:val="18"/>
              </w:rPr>
              <w:t>正常 履行</w:t>
            </w:r>
          </w:p>
        </w:tc>
      </w:tr>
    </w:tbl>
    <w:p>
      <w:pPr>
        <w:spacing w:after="0" w:line="316" w:lineRule="auto"/>
        <w:jc w:val="left"/>
        <w:rPr>
          <w:rFonts w:ascii="宋体" w:hAnsi="宋体" w:cs="宋体" w:eastAsia="宋体" w:hint="default"/>
          <w:sz w:val="18"/>
          <w:szCs w:val="18"/>
        </w:rPr>
        <w:sectPr>
          <w:footerReference w:type="default" r:id="rId33"/>
          <w:pgSz w:w="11910" w:h="16840"/>
          <w:pgMar w:footer="1016" w:header="907" w:top="1100" w:bottom="1200" w:left="1020" w:right="0"/>
          <w:pgNumType w:start="5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792"/>
        <w:gridCol w:w="675"/>
        <w:gridCol w:w="630"/>
        <w:gridCol w:w="5475"/>
        <w:gridCol w:w="630"/>
        <w:gridCol w:w="615"/>
        <w:gridCol w:w="750"/>
      </w:tblGrid>
      <w:tr>
        <w:trPr>
          <w:trHeight w:val="322" w:hRule="exact"/>
        </w:trPr>
        <w:tc>
          <w:tcPr>
            <w:tcW w:w="792" w:type="dxa"/>
            <w:vMerge w:val="restart"/>
            <w:tcBorders>
              <w:top w:val="single" w:sz="4" w:space="0" w:color="000000"/>
              <w:left w:val="single" w:sz="4" w:space="0" w:color="000000"/>
              <w:right w:val="single" w:sz="4" w:space="0" w:color="000000"/>
            </w:tcBorders>
            <w:shd w:val="clear" w:color="auto" w:fill="D2D2D2"/>
          </w:tcPr>
          <w:p>
            <w:pPr/>
          </w:p>
        </w:tc>
        <w:tc>
          <w:tcPr>
            <w:tcW w:w="675" w:type="dxa"/>
            <w:vMerge w:val="restart"/>
            <w:tcBorders>
              <w:top w:val="single" w:sz="4" w:space="0" w:color="000000"/>
              <w:left w:val="single" w:sz="4" w:space="0" w:color="000000"/>
              <w:right w:val="single" w:sz="4" w:space="0" w:color="000000"/>
            </w:tcBorders>
          </w:tcPr>
          <w:p>
            <w:pPr/>
          </w:p>
        </w:tc>
        <w:tc>
          <w:tcPr>
            <w:tcW w:w="630" w:type="dxa"/>
            <w:vMerge w:val="restart"/>
            <w:tcBorders>
              <w:top w:val="single" w:sz="4" w:space="0" w:color="000000"/>
              <w:left w:val="single" w:sz="4" w:space="0" w:color="000000"/>
              <w:right w:val="single" w:sz="4" w:space="0" w:color="000000"/>
            </w:tcBorders>
          </w:tcPr>
          <w:p>
            <w:pPr/>
          </w:p>
        </w:tc>
        <w:tc>
          <w:tcPr>
            <w:tcW w:w="54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与上市公司发生关联交易；</w:t>
            </w:r>
            <w:r>
              <w:rPr>
                <w:rFonts w:ascii="Times New Roman" w:hAnsi="Times New Roman" w:cs="Times New Roman" w:eastAsia="Times New Roman" w:hint="default"/>
                <w:sz w:val="18"/>
                <w:szCs w:val="18"/>
              </w:rPr>
              <w:t>4</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本公司的关联企</w:t>
            </w:r>
          </w:p>
        </w:tc>
        <w:tc>
          <w:tcPr>
            <w:tcW w:w="630" w:type="dxa"/>
            <w:vMerge w:val="restart"/>
            <w:tcBorders>
              <w:top w:val="single" w:sz="4" w:space="0" w:color="000000"/>
              <w:left w:val="single" w:sz="4" w:space="0" w:color="000000"/>
              <w:right w:val="single" w:sz="4" w:space="0" w:color="000000"/>
            </w:tcBorders>
          </w:tcPr>
          <w:p>
            <w:pPr/>
          </w:p>
        </w:tc>
        <w:tc>
          <w:tcPr>
            <w:tcW w:w="615" w:type="dxa"/>
            <w:vMerge w:val="restart"/>
            <w:tcBorders>
              <w:top w:val="single" w:sz="4" w:space="0" w:color="000000"/>
              <w:left w:val="single" w:sz="4" w:space="0" w:color="000000"/>
              <w:right w:val="single" w:sz="4" w:space="0" w:color="000000"/>
            </w:tcBorders>
          </w:tcPr>
          <w:p>
            <w:pPr/>
          </w:p>
        </w:tc>
        <w:tc>
          <w:tcPr>
            <w:tcW w:w="750" w:type="dxa"/>
            <w:vMerge w:val="restart"/>
            <w:tcBorders>
              <w:top w:val="single" w:sz="4" w:space="0" w:color="000000"/>
              <w:left w:val="single" w:sz="4" w:space="0" w:color="000000"/>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业承诺不以借款、代偿债务、代垫款项或者其他方式占用上市公司</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3"/>
                <w:sz w:val="18"/>
                <w:szCs w:val="18"/>
              </w:rPr>
              <w:t>资金，也不要求上市公司为本人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本公司及本人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本公司的关联企业进</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行违规担保；</w:t>
            </w:r>
            <w:r>
              <w:rPr>
                <w:rFonts w:ascii="Times New Roman" w:hAnsi="Times New Roman" w:cs="Times New Roman" w:eastAsia="Times New Roman" w:hint="default"/>
                <w:sz w:val="18"/>
                <w:szCs w:val="18"/>
              </w:rPr>
              <w:t>5</w:t>
            </w:r>
            <w:r>
              <w:rPr>
                <w:rFonts w:ascii="宋体" w:hAnsi="宋体" w:cs="宋体" w:eastAsia="宋体" w:hint="default"/>
                <w:sz w:val="18"/>
                <w:szCs w:val="18"/>
              </w:rPr>
              <w:t>、如果上市公司在今后的经营活动中必须与本人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pacing w:val="-3"/>
                <w:sz w:val="18"/>
                <w:szCs w:val="18"/>
              </w:rPr>
              <w:t>公司或本人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本公司的关联企业发生不可避免的关联交易，本人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司将促使此等交易严格按照国家有关法律法规、上市公司章程和上</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市公司的有关规定履行有关程序，在上市公司股东大会对关联交易</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进行表决时，本人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本公司严格履行回避表决的义务；与上市公司依</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法签订协议，及时进行信息披露；保证按照正常的商业条件进行，</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且本人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本公司的关联企业将不会要求或接受上市公</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司给予比在任何一项市场公平交易中第三者更优惠的条件，保证不</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通过关联交易损害上市公司及其他股东的合法权益；</w:t>
            </w:r>
            <w:r>
              <w:rPr>
                <w:rFonts w:ascii="Times New Roman" w:hAnsi="Times New Roman" w:cs="Times New Roman" w:eastAsia="Times New Roman" w:hint="default"/>
                <w:sz w:val="18"/>
                <w:szCs w:val="18"/>
              </w:rPr>
              <w:t>6</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本公司的关联企业将严格和善意地履行其与上市公司签</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pacing w:val="-3"/>
                <w:sz w:val="18"/>
                <w:szCs w:val="18"/>
              </w:rPr>
              <w:t>订的各种关联交易协议。本人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本公司及本人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本公司的关联企业将不</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会向上市公司谋求任何超出上述协议规定以外的利益或收益；</w:t>
            </w:r>
            <w:r>
              <w:rPr>
                <w:rFonts w:ascii="Times New Roman" w:hAnsi="Times New Roman" w:cs="Times New Roman" w:eastAsia="Times New Roman" w:hint="default"/>
                <w:sz w:val="18"/>
                <w:szCs w:val="18"/>
              </w:rPr>
              <w:t>7</w:t>
            </w:r>
            <w:r>
              <w:rPr>
                <w:rFonts w:ascii="宋体" w:hAnsi="宋体" w:cs="宋体" w:eastAsia="宋体" w:hint="default"/>
                <w:sz w:val="18"/>
                <w:szCs w:val="18"/>
              </w:rPr>
              <w:t>、如</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违反上述承诺给上市公司造成损失，本人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本公司将向上市公司作出</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赔偿。三、关于不存在资金占用情形的承诺慧康物联实际控制人周</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建新承诺：截至本承诺出具日，本人及本人控制的其他企业不存在</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56" w:hRule="exact"/>
        </w:trPr>
        <w:tc>
          <w:tcPr>
            <w:tcW w:w="792" w:type="dxa"/>
            <w:vMerge/>
            <w:tcBorders>
              <w:left w:val="single" w:sz="4" w:space="0" w:color="000000"/>
              <w:bottom w:val="single" w:sz="4" w:space="0" w:color="000000"/>
              <w:right w:val="single" w:sz="4" w:space="0" w:color="000000"/>
            </w:tcBorders>
            <w:shd w:val="clear" w:color="auto" w:fill="D2D2D2"/>
          </w:tcPr>
          <w:p>
            <w:pPr/>
          </w:p>
        </w:tc>
        <w:tc>
          <w:tcPr>
            <w:tcW w:w="675" w:type="dxa"/>
            <w:vMerge/>
            <w:tcBorders>
              <w:left w:val="single" w:sz="4" w:space="0" w:color="000000"/>
              <w:bottom w:val="single" w:sz="4" w:space="0" w:color="000000"/>
              <w:right w:val="single" w:sz="4" w:space="0" w:color="000000"/>
            </w:tcBorders>
          </w:tcPr>
          <w:p>
            <w:pPr/>
          </w:p>
        </w:tc>
        <w:tc>
          <w:tcPr>
            <w:tcW w:w="630" w:type="dxa"/>
            <w:vMerge/>
            <w:tcBorders>
              <w:left w:val="single" w:sz="4" w:space="0" w:color="000000"/>
              <w:bottom w:val="single" w:sz="4" w:space="0" w:color="000000"/>
              <w:right w:val="single" w:sz="4" w:space="0" w:color="000000"/>
            </w:tcBorders>
          </w:tcPr>
          <w:p>
            <w:pPr/>
          </w:p>
        </w:tc>
        <w:tc>
          <w:tcPr>
            <w:tcW w:w="54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对杭州慧康物联网科技有限公司非经营性资金占用的情形。</w:t>
            </w:r>
          </w:p>
        </w:tc>
        <w:tc>
          <w:tcPr>
            <w:tcW w:w="630"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50" w:type="dxa"/>
            <w:vMerge/>
            <w:tcBorders>
              <w:left w:val="single" w:sz="4" w:space="0" w:color="000000"/>
              <w:bottom w:val="single" w:sz="4" w:space="0" w:color="000000"/>
              <w:right w:val="single" w:sz="4" w:space="0" w:color="000000"/>
            </w:tcBorders>
          </w:tcPr>
          <w:p>
            <w:pPr/>
          </w:p>
        </w:tc>
      </w:tr>
      <w:tr>
        <w:trPr>
          <w:trHeight w:val="362" w:hRule="exact"/>
        </w:trPr>
        <w:tc>
          <w:tcPr>
            <w:tcW w:w="792" w:type="dxa"/>
            <w:tcBorders>
              <w:top w:val="single" w:sz="4" w:space="0" w:color="000000"/>
              <w:left w:val="single" w:sz="4" w:space="0" w:color="000000"/>
              <w:bottom w:val="nil" w:sz="6" w:space="0" w:color="auto"/>
              <w:right w:val="single" w:sz="4" w:space="0" w:color="000000"/>
            </w:tcBorders>
            <w:shd w:val="clear" w:color="auto" w:fill="D2D2D2"/>
          </w:tcPr>
          <w:p>
            <w:pPr/>
          </w:p>
        </w:tc>
        <w:tc>
          <w:tcPr>
            <w:tcW w:w="675" w:type="dxa"/>
            <w:tcBorders>
              <w:top w:val="single" w:sz="4" w:space="0" w:color="000000"/>
              <w:left w:val="single" w:sz="4" w:space="0" w:color="000000"/>
              <w:bottom w:val="nil" w:sz="6" w:space="0" w:color="auto"/>
              <w:right w:val="single" w:sz="4" w:space="0" w:color="000000"/>
            </w:tcBorders>
          </w:tcPr>
          <w:p>
            <w:pPr/>
          </w:p>
        </w:tc>
        <w:tc>
          <w:tcPr>
            <w:tcW w:w="630" w:type="dxa"/>
            <w:tcBorders>
              <w:top w:val="single" w:sz="4" w:space="0" w:color="000000"/>
              <w:left w:val="single" w:sz="4" w:space="0" w:color="000000"/>
              <w:bottom w:val="nil" w:sz="6" w:space="0" w:color="auto"/>
              <w:right w:val="single" w:sz="4" w:space="0" w:color="000000"/>
            </w:tcBorders>
          </w:tcPr>
          <w:p>
            <w:pPr/>
          </w:p>
        </w:tc>
        <w:tc>
          <w:tcPr>
            <w:tcW w:w="54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、本公司将严格遵守公司本次发行上市前其做出的股份限售安排和</w:t>
            </w:r>
          </w:p>
        </w:tc>
        <w:tc>
          <w:tcPr>
            <w:tcW w:w="630" w:type="dxa"/>
            <w:tcBorders>
              <w:top w:val="single" w:sz="4" w:space="0" w:color="000000"/>
              <w:left w:val="single" w:sz="4" w:space="0" w:color="000000"/>
              <w:bottom w:val="nil" w:sz="6" w:space="0" w:color="auto"/>
              <w:right w:val="single" w:sz="4" w:space="0" w:color="000000"/>
            </w:tcBorders>
          </w:tcPr>
          <w:p>
            <w:pPr/>
          </w:p>
        </w:tc>
        <w:tc>
          <w:tcPr>
            <w:tcW w:w="615" w:type="dxa"/>
            <w:tcBorders>
              <w:top w:val="single" w:sz="4" w:space="0" w:color="000000"/>
              <w:left w:val="single" w:sz="4" w:space="0" w:color="000000"/>
              <w:bottom w:val="nil" w:sz="6" w:space="0" w:color="auto"/>
              <w:right w:val="single" w:sz="4" w:space="0" w:color="000000"/>
            </w:tcBorders>
          </w:tcPr>
          <w:p>
            <w:pPr/>
          </w:p>
        </w:tc>
        <w:tc>
          <w:tcPr>
            <w:tcW w:w="750"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自愿锁定的承诺，在锁定期满后两年内进行减持的，合计减持数量</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不超过公司本次发行上市时本公司所持公司股份的</w:t>
            </w:r>
            <w:r>
              <w:rPr>
                <w:rFonts w:ascii="宋体" w:hAnsi="宋体" w:cs="宋体" w:eastAsia="宋体" w:hint="default"/>
                <w:spacing w:val="-43"/>
                <w:sz w:val="18"/>
                <w:szCs w:val="18"/>
              </w:rPr>
              <w:t> </w:t>
            </w:r>
            <w:r>
              <w:rPr>
                <w:rFonts w:ascii="Times New Roman" w:hAnsi="Times New Roman" w:cs="Times New Roman" w:eastAsia="Times New Roman" w:hint="default"/>
                <w:spacing w:val="-8"/>
                <w:sz w:val="18"/>
                <w:szCs w:val="18"/>
              </w:rPr>
              <w:t>10%</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、本公司</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1555"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102" w:right="201"/>
              <w:jc w:val="both"/>
              <w:rPr>
                <w:rFonts w:ascii="宋体" w:hAnsi="宋体" w:cs="宋体" w:eastAsia="宋体" w:hint="default"/>
                <w:sz w:val="18"/>
                <w:szCs w:val="18"/>
              </w:rPr>
            </w:pPr>
            <w:r>
              <w:rPr>
                <w:rFonts w:ascii="宋体" w:hAnsi="宋体" w:cs="宋体" w:eastAsia="宋体" w:hint="default"/>
                <w:sz w:val="18"/>
                <w:szCs w:val="18"/>
              </w:rPr>
              <w:t>杭州 阜康 投资 有限 公司</w:t>
            </w: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0"/>
              <w:ind w:left="103" w:right="154"/>
              <w:jc w:val="both"/>
              <w:rPr>
                <w:rFonts w:ascii="宋体" w:hAnsi="宋体" w:cs="宋体" w:eastAsia="宋体" w:hint="default"/>
                <w:sz w:val="18"/>
                <w:szCs w:val="18"/>
              </w:rPr>
            </w:pPr>
            <w:r>
              <w:rPr>
                <w:rFonts w:ascii="宋体" w:hAnsi="宋体" w:cs="宋体" w:eastAsia="宋体" w:hint="default"/>
                <w:sz w:val="18"/>
                <w:szCs w:val="18"/>
              </w:rPr>
              <w:t>股份 减持 承诺</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309" w:lineRule="auto" w:before="5"/>
              <w:ind w:left="102" w:right="11"/>
              <w:jc w:val="left"/>
              <w:rPr>
                <w:rFonts w:ascii="宋体" w:hAnsi="宋体" w:cs="宋体" w:eastAsia="宋体" w:hint="default"/>
                <w:sz w:val="18"/>
                <w:szCs w:val="18"/>
              </w:rPr>
            </w:pPr>
            <w:r>
              <w:rPr>
                <w:rFonts w:ascii="宋体" w:hAnsi="宋体" w:cs="宋体" w:eastAsia="宋体" w:hint="default"/>
                <w:sz w:val="18"/>
                <w:szCs w:val="18"/>
              </w:rPr>
              <w:t>在锁定期满后两年内进行减持时，减持价格不低于本次公开发行股 </w:t>
            </w:r>
            <w:r>
              <w:rPr>
                <w:rFonts w:ascii="宋体" w:hAnsi="宋体" w:cs="宋体" w:eastAsia="宋体" w:hint="default"/>
                <w:spacing w:val="-3"/>
                <w:sz w:val="18"/>
                <w:szCs w:val="18"/>
              </w:rPr>
              <w:t>票的发行价格。</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、本公司在减持创业慧康股份前，应提前</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个交易</w:t>
            </w:r>
            <w:r>
              <w:rPr>
                <w:rFonts w:ascii="宋体" w:hAnsi="宋体" w:cs="宋体" w:eastAsia="宋体" w:hint="default"/>
                <w:spacing w:val="-77"/>
                <w:sz w:val="18"/>
                <w:szCs w:val="18"/>
              </w:rPr>
              <w:t> </w:t>
            </w:r>
            <w:r>
              <w:rPr>
                <w:rFonts w:ascii="宋体" w:hAnsi="宋体" w:cs="宋体" w:eastAsia="宋体" w:hint="default"/>
                <w:sz w:val="18"/>
                <w:szCs w:val="18"/>
              </w:rPr>
              <w:t>日公告，并按照深圳证券交易所的规则及时、准确、完整地履行信 </w:t>
            </w:r>
            <w:r>
              <w:rPr>
                <w:rFonts w:ascii="宋体" w:hAnsi="宋体" w:cs="宋体" w:eastAsia="宋体" w:hint="default"/>
                <w:spacing w:val="-5"/>
                <w:sz w:val="18"/>
                <w:szCs w:val="18"/>
              </w:rPr>
              <w:t>息披露义务。</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、本公司将根据相关法律法规及深圳证券交易所规则，</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2"/>
                <w:sz w:val="18"/>
                <w:szCs w:val="18"/>
              </w:rPr>
              <w:t>结合证券市场情况、公司股票走势及公开信息、承诺人需要等情况，</w:t>
            </w: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right="38"/>
              <w:jc w:val="center"/>
              <w:rPr>
                <w:rFonts w:ascii="宋体" w:hAnsi="宋体" w:cs="宋体" w:eastAsia="宋体" w:hint="default"/>
                <w:sz w:val="18"/>
                <w:szCs w:val="18"/>
              </w:rPr>
            </w:pPr>
            <w:r>
              <w:rPr>
                <w:rFonts w:ascii="宋体" w:hAnsi="宋体" w:cs="宋体" w:eastAsia="宋体" w:hint="default"/>
                <w:sz w:val="18"/>
                <w:szCs w:val="18"/>
              </w:rPr>
              <w:t>长期</w:t>
            </w:r>
          </w:p>
        </w:tc>
        <w:tc>
          <w:tcPr>
            <w:tcW w:w="7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316" w:lineRule="auto"/>
              <w:ind w:left="102" w:right="275"/>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7"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自主决策、择机进行减持。</w:t>
            </w:r>
            <w:r>
              <w:rPr>
                <w:rFonts w:ascii="Times New Roman" w:hAnsi="Times New Roman" w:cs="Times New Roman" w:eastAsia="Times New Roman" w:hint="default"/>
                <w:sz w:val="18"/>
                <w:szCs w:val="18"/>
              </w:rPr>
              <w:t>5</w:t>
            </w:r>
            <w:r>
              <w:rPr>
                <w:rFonts w:ascii="宋体" w:hAnsi="宋体" w:cs="宋体" w:eastAsia="宋体" w:hint="default"/>
                <w:sz w:val="18"/>
                <w:szCs w:val="18"/>
              </w:rPr>
              <w:t>、本公司在减持创业慧康股份时应符合</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相关法律法规及深圳证券交易所的相关规则要求，减持方式包括但</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37"/>
              <w:ind w:right="36"/>
              <w:jc w:val="center"/>
              <w:rPr>
                <w:rFonts w:ascii="宋体" w:hAnsi="宋体" w:cs="宋体" w:eastAsia="宋体" w:hint="default"/>
                <w:sz w:val="18"/>
                <w:szCs w:val="18"/>
              </w:rPr>
            </w:pPr>
            <w:r>
              <w:rPr>
                <w:rFonts w:ascii="宋体" w:hAnsi="宋体" w:cs="宋体" w:eastAsia="宋体" w:hint="default"/>
                <w:sz w:val="18"/>
                <w:szCs w:val="18"/>
              </w:rPr>
              <w:t>首次公</w:t>
            </w:r>
          </w:p>
        </w:tc>
        <w:tc>
          <w:tcPr>
            <w:tcW w:w="675" w:type="dxa"/>
            <w:tcBorders>
              <w:top w:val="nil" w:sz="6" w:space="0" w:color="auto"/>
              <w:left w:val="single" w:sz="4" w:space="0" w:color="000000"/>
              <w:bottom w:val="single" w:sz="4" w:space="0" w:color="000000"/>
              <w:right w:val="single" w:sz="4" w:space="0" w:color="000000"/>
            </w:tcBorders>
          </w:tcPr>
          <w:p>
            <w:pPr/>
          </w:p>
        </w:tc>
        <w:tc>
          <w:tcPr>
            <w:tcW w:w="630" w:type="dxa"/>
            <w:tcBorders>
              <w:top w:val="nil" w:sz="6" w:space="0" w:color="auto"/>
              <w:left w:val="single" w:sz="4" w:space="0" w:color="000000"/>
              <w:bottom w:val="single" w:sz="4" w:space="0" w:color="000000"/>
              <w:right w:val="single" w:sz="4" w:space="0" w:color="000000"/>
            </w:tcBorders>
          </w:tcPr>
          <w:p>
            <w:pPr/>
          </w:p>
        </w:tc>
        <w:tc>
          <w:tcPr>
            <w:tcW w:w="54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2"/>
                <w:sz w:val="18"/>
                <w:szCs w:val="18"/>
              </w:rPr>
              <w:t>不限于交易所集中竞价交易方式、大宗交易方式、协议转让方式等。</w:t>
            </w:r>
          </w:p>
        </w:tc>
        <w:tc>
          <w:tcPr>
            <w:tcW w:w="630" w:type="dxa"/>
            <w:tcBorders>
              <w:top w:val="nil" w:sz="6" w:space="0" w:color="auto"/>
              <w:left w:val="single" w:sz="4" w:space="0" w:color="000000"/>
              <w:bottom w:val="single" w:sz="4" w:space="0" w:color="000000"/>
              <w:right w:val="single" w:sz="4" w:space="0" w:color="000000"/>
            </w:tcBorders>
          </w:tcPr>
          <w:p>
            <w:pPr/>
          </w:p>
        </w:tc>
        <w:tc>
          <w:tcPr>
            <w:tcW w:w="615" w:type="dxa"/>
            <w:tcBorders>
              <w:top w:val="nil" w:sz="6" w:space="0" w:color="auto"/>
              <w:left w:val="single" w:sz="4" w:space="0" w:color="000000"/>
              <w:bottom w:val="single" w:sz="4" w:space="0" w:color="000000"/>
              <w:right w:val="single" w:sz="4" w:space="0" w:color="000000"/>
            </w:tcBorders>
          </w:tcPr>
          <w:p>
            <w:pPr/>
          </w:p>
        </w:tc>
        <w:tc>
          <w:tcPr>
            <w:tcW w:w="750" w:type="dxa"/>
            <w:tcBorders>
              <w:top w:val="nil" w:sz="6" w:space="0" w:color="auto"/>
              <w:left w:val="single" w:sz="4" w:space="0" w:color="000000"/>
              <w:bottom w:val="single" w:sz="4" w:space="0" w:color="000000"/>
              <w:right w:val="single" w:sz="4" w:space="0" w:color="000000"/>
            </w:tcBorders>
          </w:tcPr>
          <w:p>
            <w:pPr/>
          </w:p>
        </w:tc>
      </w:tr>
      <w:tr>
        <w:trPr>
          <w:trHeight w:val="329"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27" w:lineRule="exact"/>
              <w:ind w:right="36"/>
              <w:jc w:val="center"/>
              <w:rPr>
                <w:rFonts w:ascii="宋体" w:hAnsi="宋体" w:cs="宋体" w:eastAsia="宋体" w:hint="default"/>
                <w:sz w:val="18"/>
                <w:szCs w:val="18"/>
              </w:rPr>
            </w:pPr>
            <w:r>
              <w:rPr>
                <w:rFonts w:ascii="宋体" w:hAnsi="宋体" w:cs="宋体" w:eastAsia="宋体" w:hint="default"/>
                <w:sz w:val="18"/>
                <w:szCs w:val="18"/>
              </w:rPr>
              <w:t>开发行</w:t>
            </w:r>
          </w:p>
        </w:tc>
        <w:tc>
          <w:tcPr>
            <w:tcW w:w="675" w:type="dxa"/>
            <w:tcBorders>
              <w:top w:val="single" w:sz="4" w:space="0" w:color="000000"/>
              <w:left w:val="single" w:sz="4" w:space="0" w:color="000000"/>
              <w:bottom w:val="nil" w:sz="6" w:space="0" w:color="auto"/>
              <w:right w:val="single" w:sz="4" w:space="0" w:color="000000"/>
            </w:tcBorders>
          </w:tcPr>
          <w:p>
            <w:pPr/>
          </w:p>
        </w:tc>
        <w:tc>
          <w:tcPr>
            <w:tcW w:w="630" w:type="dxa"/>
            <w:tcBorders>
              <w:top w:val="single" w:sz="4" w:space="0" w:color="000000"/>
              <w:left w:val="single" w:sz="4" w:space="0" w:color="000000"/>
              <w:bottom w:val="nil" w:sz="6" w:space="0" w:color="auto"/>
              <w:right w:val="single" w:sz="4" w:space="0" w:color="000000"/>
            </w:tcBorders>
          </w:tcPr>
          <w:p>
            <w:pPr/>
          </w:p>
        </w:tc>
        <w:tc>
          <w:tcPr>
            <w:tcW w:w="54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、本人将严格遵守公司本次发行上市前其做出的股份限售安排和自</w:t>
            </w:r>
          </w:p>
        </w:tc>
        <w:tc>
          <w:tcPr>
            <w:tcW w:w="630" w:type="dxa"/>
            <w:tcBorders>
              <w:top w:val="single" w:sz="4" w:space="0" w:color="000000"/>
              <w:left w:val="single" w:sz="4" w:space="0" w:color="000000"/>
              <w:bottom w:val="nil" w:sz="6" w:space="0" w:color="auto"/>
              <w:right w:val="single" w:sz="4" w:space="0" w:color="000000"/>
            </w:tcBorders>
          </w:tcPr>
          <w:p>
            <w:pPr/>
          </w:p>
        </w:tc>
        <w:tc>
          <w:tcPr>
            <w:tcW w:w="615" w:type="dxa"/>
            <w:tcBorders>
              <w:top w:val="single" w:sz="4" w:space="0" w:color="000000"/>
              <w:left w:val="single" w:sz="4" w:space="0" w:color="000000"/>
              <w:bottom w:val="nil" w:sz="6" w:space="0" w:color="auto"/>
              <w:right w:val="single" w:sz="4" w:space="0" w:color="000000"/>
            </w:tcBorders>
          </w:tcPr>
          <w:p>
            <w:pPr/>
          </w:p>
        </w:tc>
        <w:tc>
          <w:tcPr>
            <w:tcW w:w="750" w:type="dxa"/>
            <w:tcBorders>
              <w:top w:val="single" w:sz="4" w:space="0" w:color="000000"/>
              <w:left w:val="single" w:sz="4" w:space="0" w:color="000000"/>
              <w:bottom w:val="nil" w:sz="6" w:space="0" w:color="auto"/>
              <w:right w:val="single" w:sz="4" w:space="0" w:color="000000"/>
            </w:tcBorders>
          </w:tcPr>
          <w:p>
            <w:pPr/>
          </w:p>
        </w:tc>
      </w:tr>
      <w:tr>
        <w:trPr>
          <w:trHeight w:val="308"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10" w:lineRule="exact"/>
              <w:ind w:right="36"/>
              <w:jc w:val="center"/>
              <w:rPr>
                <w:rFonts w:ascii="宋体" w:hAnsi="宋体" w:cs="宋体" w:eastAsia="宋体" w:hint="default"/>
                <w:sz w:val="18"/>
                <w:szCs w:val="18"/>
              </w:rPr>
            </w:pPr>
            <w:r>
              <w:rPr>
                <w:rFonts w:ascii="宋体" w:hAnsi="宋体" w:cs="宋体" w:eastAsia="宋体" w:hint="default"/>
                <w:sz w:val="18"/>
                <w:szCs w:val="18"/>
              </w:rPr>
              <w:t>或再融</w:t>
            </w: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02" w:right="0"/>
              <w:jc w:val="left"/>
              <w:rPr>
                <w:rFonts w:ascii="宋体" w:hAnsi="宋体" w:cs="宋体" w:eastAsia="宋体" w:hint="default"/>
                <w:sz w:val="18"/>
                <w:szCs w:val="18"/>
              </w:rPr>
            </w:pPr>
            <w:r>
              <w:rPr>
                <w:rFonts w:ascii="宋体" w:hAnsi="宋体" w:cs="宋体" w:eastAsia="宋体" w:hint="default"/>
                <w:sz w:val="18"/>
                <w:szCs w:val="18"/>
              </w:rPr>
              <w:t>愿锁定的承诺，在锁定期满后两年内进行减持的，合计减持数量不</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14" w:lineRule="exact"/>
              <w:ind w:right="36"/>
              <w:jc w:val="center"/>
              <w:rPr>
                <w:rFonts w:ascii="宋体" w:hAnsi="宋体" w:cs="宋体" w:eastAsia="宋体" w:hint="default"/>
                <w:sz w:val="18"/>
                <w:szCs w:val="18"/>
              </w:rPr>
            </w:pPr>
            <w:r>
              <w:rPr>
                <w:rFonts w:ascii="宋体" w:hAnsi="宋体" w:cs="宋体" w:eastAsia="宋体" w:hint="default"/>
                <w:sz w:val="18"/>
                <w:szCs w:val="18"/>
              </w:rPr>
              <w:t>资时所</w:t>
            </w: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102" w:right="0"/>
              <w:jc w:val="left"/>
              <w:rPr>
                <w:rFonts w:ascii="宋体" w:hAnsi="宋体" w:cs="宋体" w:eastAsia="宋体" w:hint="default"/>
                <w:sz w:val="18"/>
                <w:szCs w:val="18"/>
              </w:rPr>
            </w:pPr>
            <w:r>
              <w:rPr>
                <w:rFonts w:ascii="宋体" w:hAnsi="宋体" w:cs="宋体" w:eastAsia="宋体" w:hint="default"/>
                <w:sz w:val="18"/>
                <w:szCs w:val="18"/>
              </w:rPr>
              <w:t>超过公司本次发行上市时本人所持公司股份的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（如因送股、资</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41"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10" w:lineRule="exact"/>
              <w:ind w:right="36"/>
              <w:jc w:val="center"/>
              <w:rPr>
                <w:rFonts w:ascii="宋体" w:hAnsi="宋体" w:cs="宋体" w:eastAsia="宋体" w:hint="default"/>
                <w:sz w:val="18"/>
                <w:szCs w:val="18"/>
              </w:rPr>
            </w:pPr>
            <w:r>
              <w:rPr>
                <w:rFonts w:ascii="宋体" w:hAnsi="宋体" w:cs="宋体" w:eastAsia="宋体" w:hint="default"/>
                <w:sz w:val="18"/>
                <w:szCs w:val="18"/>
              </w:rPr>
              <w:t>作承诺</w:t>
            </w: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02" w:right="0"/>
              <w:jc w:val="left"/>
              <w:rPr>
                <w:rFonts w:ascii="宋体" w:hAnsi="宋体" w:cs="宋体" w:eastAsia="宋体" w:hint="default"/>
                <w:sz w:val="18"/>
                <w:szCs w:val="18"/>
              </w:rPr>
            </w:pPr>
            <w:r>
              <w:rPr>
                <w:rFonts w:ascii="宋体" w:hAnsi="宋体" w:cs="宋体" w:eastAsia="宋体" w:hint="default"/>
                <w:sz w:val="18"/>
                <w:szCs w:val="18"/>
              </w:rPr>
              <w:t>本公积金转增股本的，则须按照深圳证券交易所的有关规定进行调</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0"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pacing w:val="-8"/>
                <w:sz w:val="18"/>
                <w:szCs w:val="18"/>
              </w:rPr>
              <w:t>整，下同）。</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、本人在锁定期满后两年内进行减持时，减持价格（如</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1254"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316" w:lineRule="auto" w:before="147"/>
              <w:ind w:left="103" w:right="154"/>
              <w:jc w:val="both"/>
              <w:rPr>
                <w:rFonts w:ascii="宋体" w:hAnsi="宋体" w:cs="宋体" w:eastAsia="宋体" w:hint="default"/>
                <w:sz w:val="18"/>
                <w:szCs w:val="18"/>
              </w:rPr>
            </w:pPr>
            <w:r>
              <w:rPr>
                <w:rFonts w:ascii="宋体" w:hAnsi="宋体" w:cs="宋体" w:eastAsia="宋体" w:hint="default"/>
                <w:sz w:val="18"/>
                <w:szCs w:val="18"/>
              </w:rPr>
              <w:t>股份 减持 承诺</w:t>
            </w: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312" w:lineRule="auto" w:before="12"/>
              <w:ind w:left="102" w:right="102"/>
              <w:jc w:val="both"/>
              <w:rPr>
                <w:rFonts w:ascii="宋体" w:hAnsi="宋体" w:cs="宋体" w:eastAsia="宋体" w:hint="default"/>
                <w:sz w:val="18"/>
                <w:szCs w:val="18"/>
              </w:rPr>
            </w:pPr>
            <w:r>
              <w:rPr>
                <w:rFonts w:ascii="宋体" w:hAnsi="宋体" w:cs="宋体" w:eastAsia="宋体" w:hint="default"/>
                <w:sz w:val="18"/>
                <w:szCs w:val="18"/>
              </w:rPr>
              <w:t>因派息、送股、资本公积金转增股本、增发新股等原因除权、除息 的，则须按照深圳证券交易所的有关规定进行调整，下同）不低于 </w:t>
            </w:r>
            <w:r>
              <w:rPr>
                <w:rFonts w:ascii="宋体" w:hAnsi="宋体" w:cs="宋体" w:eastAsia="宋体" w:hint="default"/>
                <w:spacing w:val="-2"/>
                <w:sz w:val="18"/>
                <w:szCs w:val="18"/>
              </w:rPr>
              <w:t>本次公开发行股票的发行价格。</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、本人在减持公司股份前，应提前</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个交易日公告，并按照深圳证券交易所的规则及时、准确、完整</w:t>
            </w:r>
          </w:p>
        </w:tc>
        <w:tc>
          <w:tcPr>
            <w:tcW w:w="63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1"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38"/>
              <w:jc w:val="center"/>
              <w:rPr>
                <w:rFonts w:ascii="宋体" w:hAnsi="宋体" w:cs="宋体" w:eastAsia="宋体" w:hint="default"/>
                <w:sz w:val="18"/>
                <w:szCs w:val="18"/>
              </w:rPr>
            </w:pPr>
            <w:r>
              <w:rPr>
                <w:rFonts w:ascii="宋体" w:hAnsi="宋体" w:cs="宋体" w:eastAsia="宋体" w:hint="default"/>
                <w:sz w:val="18"/>
                <w:szCs w:val="18"/>
              </w:rPr>
              <w:t>长期</w:t>
            </w:r>
          </w:p>
        </w:tc>
        <w:tc>
          <w:tcPr>
            <w:tcW w:w="75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316" w:lineRule="auto"/>
              <w:ind w:left="102" w:right="275"/>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2"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地履行信息披露义务。</w:t>
            </w:r>
            <w:r>
              <w:rPr>
                <w:rFonts w:ascii="Times New Roman" w:hAnsi="Times New Roman" w:cs="Times New Roman" w:eastAsia="Times New Roman" w:hint="default"/>
                <w:sz w:val="18"/>
                <w:szCs w:val="18"/>
              </w:rPr>
              <w:t>4</w:t>
            </w:r>
            <w:r>
              <w:rPr>
                <w:rFonts w:ascii="宋体" w:hAnsi="宋体" w:cs="宋体" w:eastAsia="宋体" w:hint="default"/>
                <w:sz w:val="18"/>
                <w:szCs w:val="18"/>
              </w:rPr>
              <w:t>、本人将根据相关法律法规及深圳证券交易</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所规则，结合证券市场情况、公司股票走势及公开信息、承诺人需</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要等情况，自主决策、择机进行减持。</w:t>
            </w:r>
            <w:r>
              <w:rPr>
                <w:rFonts w:ascii="Times New Roman" w:hAnsi="Times New Roman" w:cs="Times New Roman" w:eastAsia="Times New Roman" w:hint="default"/>
                <w:sz w:val="18"/>
                <w:szCs w:val="18"/>
              </w:rPr>
              <w:t>5</w:t>
            </w:r>
            <w:r>
              <w:rPr>
                <w:rFonts w:ascii="宋体" w:hAnsi="宋体" w:cs="宋体" w:eastAsia="宋体" w:hint="default"/>
                <w:sz w:val="18"/>
                <w:szCs w:val="18"/>
              </w:rPr>
              <w:t>、本人在减持公司股份时应</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792" w:type="dxa"/>
            <w:tcBorders>
              <w:top w:val="nil" w:sz="6" w:space="0" w:color="auto"/>
              <w:left w:val="single" w:sz="4" w:space="0" w:color="000000"/>
              <w:bottom w:val="nil" w:sz="6" w:space="0" w:color="auto"/>
              <w:right w:val="single" w:sz="4" w:space="0" w:color="000000"/>
            </w:tcBorders>
            <w:shd w:val="clear" w:color="auto" w:fill="D2D2D2"/>
          </w:tcPr>
          <w:p>
            <w:pPr/>
          </w:p>
        </w:tc>
        <w:tc>
          <w:tcPr>
            <w:tcW w:w="675" w:type="dxa"/>
            <w:tcBorders>
              <w:top w:val="nil" w:sz="6" w:space="0" w:color="auto"/>
              <w:left w:val="single" w:sz="4" w:space="0" w:color="000000"/>
              <w:bottom w:val="nil" w:sz="6" w:space="0" w:color="auto"/>
              <w:right w:val="single" w:sz="4" w:space="0" w:color="000000"/>
            </w:tcBorders>
          </w:tcPr>
          <w:p>
            <w:pPr/>
          </w:p>
        </w:tc>
        <w:tc>
          <w:tcPr>
            <w:tcW w:w="630" w:type="dxa"/>
            <w:tcBorders>
              <w:top w:val="nil" w:sz="6" w:space="0" w:color="auto"/>
              <w:left w:val="single" w:sz="4" w:space="0" w:color="000000"/>
              <w:bottom w:val="nil" w:sz="6" w:space="0" w:color="auto"/>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符合相关法律法规及深圳证券交易所的相关规则要求，减持方式包</w:t>
            </w:r>
          </w:p>
        </w:tc>
        <w:tc>
          <w:tcPr>
            <w:tcW w:w="630" w:type="dxa"/>
            <w:tcBorders>
              <w:top w:val="nil" w:sz="6" w:space="0" w:color="auto"/>
              <w:left w:val="single" w:sz="4" w:space="0" w:color="000000"/>
              <w:bottom w:val="nil" w:sz="6" w:space="0" w:color="auto"/>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
        </w:tc>
        <w:tc>
          <w:tcPr>
            <w:tcW w:w="750"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c>
          <w:tcPr>
            <w:tcW w:w="675" w:type="dxa"/>
            <w:tcBorders>
              <w:top w:val="nil" w:sz="6" w:space="0" w:color="auto"/>
              <w:left w:val="single" w:sz="4" w:space="0" w:color="000000"/>
              <w:bottom w:val="single" w:sz="4" w:space="0" w:color="000000"/>
              <w:right w:val="single" w:sz="4" w:space="0" w:color="000000"/>
            </w:tcBorders>
          </w:tcPr>
          <w:p>
            <w:pPr/>
          </w:p>
        </w:tc>
        <w:tc>
          <w:tcPr>
            <w:tcW w:w="630" w:type="dxa"/>
            <w:tcBorders>
              <w:top w:val="nil" w:sz="6" w:space="0" w:color="auto"/>
              <w:left w:val="single" w:sz="4" w:space="0" w:color="000000"/>
              <w:bottom w:val="single" w:sz="4" w:space="0" w:color="000000"/>
              <w:right w:val="single" w:sz="4" w:space="0" w:color="000000"/>
            </w:tcBorders>
          </w:tcPr>
          <w:p>
            <w:pPr/>
          </w:p>
        </w:tc>
        <w:tc>
          <w:tcPr>
            <w:tcW w:w="54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括但不限于交易所集中竞价交易方式、大宗交易方式、协议转让方</w:t>
            </w:r>
          </w:p>
        </w:tc>
        <w:tc>
          <w:tcPr>
            <w:tcW w:w="630" w:type="dxa"/>
            <w:tcBorders>
              <w:top w:val="nil" w:sz="6" w:space="0" w:color="auto"/>
              <w:left w:val="single" w:sz="4" w:space="0" w:color="000000"/>
              <w:bottom w:val="single" w:sz="4" w:space="0" w:color="000000"/>
              <w:right w:val="single" w:sz="4" w:space="0" w:color="000000"/>
            </w:tcBorders>
          </w:tcPr>
          <w:p>
            <w:pPr/>
          </w:p>
        </w:tc>
        <w:tc>
          <w:tcPr>
            <w:tcW w:w="615" w:type="dxa"/>
            <w:tcBorders>
              <w:top w:val="nil" w:sz="6" w:space="0" w:color="auto"/>
              <w:left w:val="single" w:sz="4" w:space="0" w:color="000000"/>
              <w:bottom w:val="single" w:sz="4" w:space="0" w:color="000000"/>
              <w:right w:val="single" w:sz="4" w:space="0" w:color="000000"/>
            </w:tcBorders>
          </w:tcPr>
          <w:p>
            <w:pPr/>
          </w:p>
        </w:tc>
        <w:tc>
          <w:tcPr>
            <w:tcW w:w="75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792"/>
        <w:gridCol w:w="675"/>
        <w:gridCol w:w="630"/>
        <w:gridCol w:w="5475"/>
        <w:gridCol w:w="630"/>
        <w:gridCol w:w="615"/>
        <w:gridCol w:w="750"/>
      </w:tblGrid>
      <w:tr>
        <w:trPr>
          <w:trHeight w:val="674" w:hRule="exact"/>
        </w:trPr>
        <w:tc>
          <w:tcPr>
            <w:tcW w:w="792" w:type="dxa"/>
            <w:vMerge w:val="restart"/>
            <w:tcBorders>
              <w:top w:val="single" w:sz="4" w:space="0" w:color="000000"/>
              <w:left w:val="single" w:sz="4" w:space="0" w:color="000000"/>
              <w:right w:val="single" w:sz="4" w:space="0" w:color="000000"/>
            </w:tcBorders>
            <w:shd w:val="clear" w:color="auto" w:fill="D2D2D2"/>
          </w:tcPr>
          <w:p>
            <w:pPr/>
          </w:p>
        </w:tc>
        <w:tc>
          <w:tcPr>
            <w:tcW w:w="675"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11"/>
              <w:ind w:left="102" w:right="102"/>
              <w:jc w:val="left"/>
              <w:rPr>
                <w:rFonts w:ascii="宋体" w:hAnsi="宋体" w:cs="宋体" w:eastAsia="宋体" w:hint="default"/>
                <w:sz w:val="18"/>
                <w:szCs w:val="18"/>
              </w:rPr>
            </w:pPr>
            <w:r>
              <w:rPr>
                <w:rFonts w:ascii="宋体" w:hAnsi="宋体" w:cs="宋体" w:eastAsia="宋体" w:hint="default"/>
                <w:spacing w:val="-2"/>
                <w:sz w:val="18"/>
                <w:szCs w:val="18"/>
              </w:rPr>
              <w:t>式等。</w:t>
            </w: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、在上述承诺履行期间，本人职务变更、离职等原因不影响</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承诺的效力。</w:t>
            </w:r>
          </w:p>
        </w:tc>
        <w:tc>
          <w:tcPr>
            <w:tcW w:w="630"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single" w:sz="4" w:space="0" w:color="000000"/>
            </w:tcBorders>
          </w:tcPr>
          <w:p>
            <w:pPr/>
          </w:p>
        </w:tc>
      </w:tr>
      <w:tr>
        <w:trPr>
          <w:trHeight w:val="5082" w:hRule="exact"/>
        </w:trPr>
        <w:tc>
          <w:tcPr>
            <w:tcW w:w="792" w:type="dxa"/>
            <w:vMerge/>
            <w:tcBorders>
              <w:left w:val="single" w:sz="4" w:space="0" w:color="000000"/>
              <w:right w:val="single" w:sz="4" w:space="0" w:color="000000"/>
            </w:tcBorders>
            <w:shd w:val="clear" w:color="auto" w:fill="D2D2D2"/>
          </w:tcPr>
          <w:p>
            <w:pP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2"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316" w:lineRule="auto"/>
              <w:ind w:left="103" w:right="154"/>
              <w:jc w:val="left"/>
              <w:rPr>
                <w:rFonts w:ascii="宋体" w:hAnsi="宋体" w:cs="宋体" w:eastAsia="宋体" w:hint="default"/>
                <w:sz w:val="18"/>
                <w:szCs w:val="18"/>
              </w:rPr>
            </w:pPr>
            <w:r>
              <w:rPr>
                <w:rFonts w:ascii="宋体" w:hAnsi="宋体" w:cs="宋体" w:eastAsia="宋体" w:hint="default"/>
                <w:sz w:val="18"/>
                <w:szCs w:val="18"/>
              </w:rPr>
              <w:t>关于 同业 竞 争、 关联 交 易、 资金 占用 方面 的承 诺</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0"/>
              <w:ind w:left="102" w:right="102"/>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、截至本承诺函出具之日，除已经披露的情形外，本人（包括本人</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所控制的公司）与发行人之间不存在其他关联交易。本人不利用实 </w:t>
            </w:r>
            <w:r>
              <w:rPr>
                <w:rFonts w:ascii="宋体" w:hAnsi="宋体" w:cs="宋体" w:eastAsia="宋体" w:hint="default"/>
                <w:spacing w:val="-5"/>
                <w:sz w:val="18"/>
                <w:szCs w:val="18"/>
              </w:rPr>
              <w:t>际控制人的地位影响发行人的独立性、故意促使发行人对与本人（包</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括本人所控制的公司）的任何关联交易采取任何行动、故意促使发 行人的股东大会或董事会作出侵犯其他股东合法权益的决议。如果 发行人必须与本人（包括本人所控制的公司）发生任何关联交易， 则本人承诺将促使上述交易按照公平合理和正常商业交易的条件进 行。本人（包括本人所控制的公司）将不会要求或接受发行人给予 </w:t>
            </w:r>
            <w:r>
              <w:rPr>
                <w:rFonts w:ascii="宋体" w:hAnsi="宋体" w:cs="宋体" w:eastAsia="宋体" w:hint="default"/>
                <w:spacing w:val="-2"/>
                <w:sz w:val="18"/>
                <w:szCs w:val="18"/>
              </w:rPr>
              <w:t>比在任何一项市场公平交易中第三者更优惠的条件。</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、本人（包括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本人所控制的公司）将严格和善意地履行与发行人签订的各种关联 交易协议。本人（包括本人所控制的公司）承诺将不会向发行人谋 </w:t>
            </w:r>
            <w:r>
              <w:rPr>
                <w:rFonts w:ascii="宋体" w:hAnsi="宋体" w:cs="宋体" w:eastAsia="宋体" w:hint="default"/>
                <w:spacing w:val="-2"/>
                <w:sz w:val="18"/>
                <w:szCs w:val="18"/>
              </w:rPr>
              <w:t>求任何超出上述协议规定以外的利益或收益。</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、本人对上述承诺的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真实性及合法性负全部法律责任，如果本人（包括本人所控制的公 司）违反上述声明、保证与承诺，并造成发行人经济损失的，本人 </w:t>
            </w:r>
            <w:r>
              <w:rPr>
                <w:rFonts w:ascii="宋体" w:hAnsi="宋体" w:cs="宋体" w:eastAsia="宋体" w:hint="default"/>
                <w:spacing w:val="-2"/>
                <w:sz w:val="18"/>
                <w:szCs w:val="18"/>
              </w:rPr>
              <w:t>同意赔偿相应的损失。</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、本承诺将持续有效，直至本人不再作为发</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行人的实际控制人。</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2012</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38"/>
              <w:jc w:val="center"/>
              <w:rPr>
                <w:rFonts w:ascii="宋体" w:hAnsi="宋体" w:cs="宋体" w:eastAsia="宋体" w:hint="default"/>
                <w:sz w:val="18"/>
                <w:szCs w:val="18"/>
              </w:rPr>
            </w:pPr>
            <w:r>
              <w:rPr>
                <w:rFonts w:ascii="宋体" w:hAnsi="宋体" w:cs="宋体" w:eastAsia="宋体" w:hint="default"/>
                <w:sz w:val="18"/>
                <w:szCs w:val="18"/>
              </w:rPr>
              <w:t>长期</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316" w:lineRule="auto"/>
              <w:ind w:left="102" w:right="275"/>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5082" w:hRule="exact"/>
        </w:trPr>
        <w:tc>
          <w:tcPr>
            <w:tcW w:w="792" w:type="dxa"/>
            <w:vMerge/>
            <w:tcBorders>
              <w:left w:val="single" w:sz="4" w:space="0" w:color="000000"/>
              <w:right w:val="single" w:sz="4" w:space="0" w:color="000000"/>
            </w:tcBorders>
            <w:shd w:val="clear" w:color="auto" w:fill="D2D2D2"/>
          </w:tcPr>
          <w:p>
            <w:pP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left="102"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103" w:right="154"/>
              <w:jc w:val="left"/>
              <w:rPr>
                <w:rFonts w:ascii="宋体" w:hAnsi="宋体" w:cs="宋体" w:eastAsia="宋体" w:hint="default"/>
                <w:sz w:val="18"/>
                <w:szCs w:val="18"/>
              </w:rPr>
            </w:pPr>
            <w:r>
              <w:rPr>
                <w:rFonts w:ascii="宋体" w:hAnsi="宋体" w:cs="宋体" w:eastAsia="宋体" w:hint="default"/>
                <w:sz w:val="18"/>
                <w:szCs w:val="18"/>
              </w:rPr>
              <w:t>关于 同业 竞 争、 关联 交 易、 资金 占用 方面 的承 诺</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2" w:right="1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）在本承诺函签署之日，本人及所控制的公司和拥有权益的公司 均未生产、开发任何与创业慧康产品构成竞争或可能竞争的产品， 未直接或间接经营任何与创业慧康经营的业务构成竞争或可能竞争 的业务，也未参与投资任何与创业慧康生产的产品或经营的业务构 成竞争或可能竞争的其他企业。（</w:t>
            </w:r>
            <w:r>
              <w:rPr>
                <w:rFonts w:ascii="Times New Roman" w:hAnsi="Times New Roman" w:cs="Times New Roman" w:eastAsia="Times New Roman" w:hint="default"/>
                <w:sz w:val="18"/>
                <w:szCs w:val="18"/>
              </w:rPr>
              <w:t>2</w:t>
            </w:r>
            <w:r>
              <w:rPr>
                <w:rFonts w:ascii="宋体" w:hAnsi="宋体" w:cs="宋体" w:eastAsia="宋体" w:hint="default"/>
                <w:sz w:val="18"/>
                <w:szCs w:val="18"/>
              </w:rPr>
              <w:t>）自本承诺函签署之日起，本人 及所控制的公司和拥有权益的公司将不生产、开发任何与创业慧康 产品构成竞争或可能竞争的产品，不直接或间接经营任何与创业慧 康经营的业务构成竞争或可能竞争的业务，不参与投资任何与创业 </w:t>
            </w:r>
            <w:r>
              <w:rPr>
                <w:rFonts w:ascii="宋体" w:hAnsi="宋体" w:cs="宋体" w:eastAsia="宋体" w:hint="default"/>
                <w:spacing w:val="-5"/>
                <w:sz w:val="18"/>
                <w:szCs w:val="18"/>
              </w:rPr>
              <w:t>慧康生产的产品或经营的业务构成竞争或可能竞争的其他企业。（</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w:t>
            </w:r>
            <w:r>
              <w:rPr>
                <w:rFonts w:ascii="宋体" w:hAnsi="宋体" w:cs="宋体" w:eastAsia="宋体" w:hint="default"/>
                <w:spacing w:val="-77"/>
                <w:sz w:val="18"/>
                <w:szCs w:val="18"/>
              </w:rPr>
              <w:t> </w:t>
            </w:r>
            <w:r>
              <w:rPr>
                <w:rFonts w:ascii="宋体" w:hAnsi="宋体" w:cs="宋体" w:eastAsia="宋体" w:hint="default"/>
                <w:spacing w:val="-2"/>
                <w:sz w:val="18"/>
                <w:szCs w:val="18"/>
              </w:rPr>
              <w:t>自本承诺函签署之日起，如创业慧康进一步拓展其产品和业务范围，</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本人及所控制的公司和拥有权益的公司将不与创业慧康拓展后的产 品和业务相竞争；若与创业慧康拓展后的产品和业务相竞争，本人 及所控制的公司和拥有权益的公司将采取以下方式避免同业竞争：</w:t>
            </w:r>
          </w:p>
          <w:p>
            <w:pPr>
              <w:pStyle w:val="TableParagraph"/>
              <w:spacing w:line="309" w:lineRule="auto" w:before="20"/>
              <w:ind w:left="102" w:right="102"/>
              <w:jc w:val="both"/>
              <w:rPr>
                <w:rFonts w:ascii="宋体" w:hAnsi="宋体" w:cs="宋体" w:eastAsia="宋体" w:hint="default"/>
                <w:sz w:val="18"/>
                <w:szCs w:val="18"/>
              </w:rPr>
            </w:pPr>
            <w:r>
              <w:rPr>
                <w:rFonts w:ascii="宋体" w:hAnsi="宋体" w:cs="宋体" w:eastAsia="宋体" w:hint="default"/>
                <w:sz w:val="18"/>
                <w:szCs w:val="18"/>
              </w:rPr>
              <w:t>①停止生产或经营相竞争的产品和业务；②将相竞争的业务纳入创 </w:t>
            </w:r>
            <w:r>
              <w:rPr>
                <w:rFonts w:ascii="宋体" w:hAnsi="宋体" w:cs="宋体" w:eastAsia="宋体" w:hint="default"/>
                <w:spacing w:val="-2"/>
                <w:sz w:val="18"/>
                <w:szCs w:val="18"/>
              </w:rPr>
              <w:t>业慧康经营；③向无关联关系的第三方转让该业务。（</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）如本承诺</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函未被遵守，将向创业慧康赔偿一切直接或间接损失。</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2012</w:t>
            </w:r>
          </w:p>
          <w:p>
            <w:pPr>
              <w:pStyle w:val="TableParagraph"/>
              <w:spacing w:line="240" w:lineRule="auto" w:before="65"/>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38"/>
              <w:jc w:val="center"/>
              <w:rPr>
                <w:rFonts w:ascii="宋体" w:hAnsi="宋体" w:cs="宋体" w:eastAsia="宋体" w:hint="default"/>
                <w:sz w:val="18"/>
                <w:szCs w:val="18"/>
              </w:rPr>
            </w:pPr>
            <w:r>
              <w:rPr>
                <w:rFonts w:ascii="宋体" w:hAnsi="宋体" w:cs="宋体" w:eastAsia="宋体" w:hint="default"/>
                <w:sz w:val="18"/>
                <w:szCs w:val="18"/>
              </w:rPr>
              <w:t>长期</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102" w:right="275"/>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2856" w:hRule="exact"/>
        </w:trPr>
        <w:tc>
          <w:tcPr>
            <w:tcW w:w="792" w:type="dxa"/>
            <w:vMerge/>
            <w:tcBorders>
              <w:left w:val="single" w:sz="4" w:space="0" w:color="000000"/>
              <w:bottom w:val="single" w:sz="4" w:space="0" w:color="000000"/>
              <w:right w:val="single" w:sz="4" w:space="0" w:color="000000"/>
            </w:tcBorders>
            <w:shd w:val="clear" w:color="auto" w:fill="D2D2D2"/>
          </w:tcPr>
          <w:p>
            <w:pP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316" w:lineRule="auto"/>
              <w:ind w:left="102" w:right="201"/>
              <w:jc w:val="both"/>
              <w:rPr>
                <w:rFonts w:ascii="宋体" w:hAnsi="宋体" w:cs="宋体" w:eastAsia="宋体" w:hint="default"/>
                <w:sz w:val="18"/>
                <w:szCs w:val="18"/>
              </w:rPr>
            </w:pPr>
            <w:r>
              <w:rPr>
                <w:rFonts w:ascii="宋体" w:hAnsi="宋体" w:cs="宋体" w:eastAsia="宋体" w:hint="default"/>
                <w:sz w:val="18"/>
                <w:szCs w:val="18"/>
              </w:rPr>
              <w:t>创业 慧康 科技 股份 有限 公司</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316" w:lineRule="auto"/>
              <w:ind w:left="103" w:right="154"/>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547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0"/>
              <w:ind w:left="102" w:right="11"/>
              <w:jc w:val="left"/>
              <w:rPr>
                <w:rFonts w:ascii="宋体" w:hAnsi="宋体" w:cs="宋体" w:eastAsia="宋体" w:hint="default"/>
                <w:sz w:val="18"/>
                <w:szCs w:val="18"/>
              </w:rPr>
            </w:pPr>
            <w:r>
              <w:rPr>
                <w:rFonts w:ascii="宋体" w:hAnsi="宋体" w:cs="宋体" w:eastAsia="宋体" w:hint="default"/>
                <w:sz w:val="18"/>
                <w:szCs w:val="18"/>
              </w:rPr>
              <w:t>关于首次公开发行股票填补被摊薄即期回报的措施及承诺：</w:t>
            </w:r>
            <w:r>
              <w:rPr>
                <w:rFonts w:ascii="Times New Roman" w:hAnsi="Times New Roman" w:cs="Times New Roman" w:eastAsia="Times New Roman" w:hint="default"/>
                <w:sz w:val="18"/>
                <w:szCs w:val="18"/>
              </w:rPr>
              <w:t>1</w:t>
            </w:r>
            <w:r>
              <w:rPr>
                <w:rFonts w:ascii="宋体" w:hAnsi="宋体" w:cs="宋体" w:eastAsia="宋体" w:hint="default"/>
                <w:sz w:val="18"/>
                <w:szCs w:val="18"/>
              </w:rPr>
              <w:t>、提高 募集资金使用效率，加强募集资金管理本次募集资金到位，有助于 进一步增强公司的资本实力，满足公司经营的资金需求，优化公司 财务结构，综合提升公司的盈利能力。同时，公司将根据相关法规 </w:t>
            </w:r>
            <w:r>
              <w:rPr>
                <w:rFonts w:ascii="宋体" w:hAnsi="宋体" w:cs="宋体" w:eastAsia="宋体" w:hint="default"/>
                <w:spacing w:val="-2"/>
                <w:sz w:val="18"/>
                <w:szCs w:val="18"/>
              </w:rPr>
              <w:t>和公司《募集资金使用管理办法》的要求，严格管理募集资金使用，</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保证募集资金按照原定用途得到充分有效利用。</w:t>
            </w:r>
            <w:r>
              <w:rPr>
                <w:rFonts w:ascii="Times New Roman" w:hAnsi="Times New Roman" w:cs="Times New Roman" w:eastAsia="Times New Roman" w:hint="default"/>
                <w:sz w:val="18"/>
                <w:szCs w:val="18"/>
              </w:rPr>
              <w:t>2</w:t>
            </w:r>
            <w:r>
              <w:rPr>
                <w:rFonts w:ascii="宋体" w:hAnsi="宋体" w:cs="宋体" w:eastAsia="宋体" w:hint="default"/>
                <w:sz w:val="18"/>
                <w:szCs w:val="18"/>
              </w:rPr>
              <w:t>、推动主营业务的 优化升级，提高公司市场竞争力和持续盈利能力公司主营业务为面 向医疗卫生行业提供医疗卫生信息化应用软件和基于信息技术的系 统集成服务。目前，公司在医疗卫生信息化建设领域已形成较强的</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38"/>
              <w:jc w:val="center"/>
              <w:rPr>
                <w:rFonts w:ascii="宋体" w:hAnsi="宋体" w:cs="宋体" w:eastAsia="宋体" w:hint="default"/>
                <w:sz w:val="18"/>
                <w:szCs w:val="18"/>
              </w:rPr>
            </w:pPr>
            <w:r>
              <w:rPr>
                <w:rFonts w:ascii="宋体" w:hAnsi="宋体" w:cs="宋体" w:eastAsia="宋体" w:hint="default"/>
                <w:sz w:val="18"/>
                <w:szCs w:val="18"/>
              </w:rPr>
              <w:t>长期</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316" w:lineRule="auto"/>
              <w:ind w:left="102" w:right="275"/>
              <w:jc w:val="left"/>
              <w:rPr>
                <w:rFonts w:ascii="宋体" w:hAnsi="宋体" w:cs="宋体" w:eastAsia="宋体" w:hint="default"/>
                <w:sz w:val="18"/>
                <w:szCs w:val="18"/>
              </w:rPr>
            </w:pPr>
            <w:r>
              <w:rPr>
                <w:rFonts w:ascii="宋体" w:hAnsi="宋体" w:cs="宋体" w:eastAsia="宋体" w:hint="default"/>
                <w:sz w:val="18"/>
                <w:szCs w:val="18"/>
              </w:rPr>
              <w:t>正常 履行</w:t>
            </w:r>
          </w:p>
        </w:tc>
      </w:tr>
    </w:tbl>
    <w:p>
      <w:pPr>
        <w:spacing w:after="0" w:line="316"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229" w:type="dxa"/>
        <w:tblLayout w:type="fixed"/>
        <w:tblCellMar>
          <w:top w:w="0" w:type="dxa"/>
          <w:left w:w="0" w:type="dxa"/>
          <w:bottom w:w="0" w:type="dxa"/>
          <w:right w:w="0" w:type="dxa"/>
        </w:tblCellMar>
        <w:tblLook w:val="01E0"/>
      </w:tblPr>
      <w:tblGrid>
        <w:gridCol w:w="792"/>
        <w:gridCol w:w="675"/>
        <w:gridCol w:w="630"/>
        <w:gridCol w:w="5475"/>
        <w:gridCol w:w="630"/>
        <w:gridCol w:w="615"/>
        <w:gridCol w:w="750"/>
      </w:tblGrid>
      <w:tr>
        <w:trPr>
          <w:trHeight w:val="318" w:hRule="exact"/>
        </w:trPr>
        <w:tc>
          <w:tcPr>
            <w:tcW w:w="792" w:type="dxa"/>
            <w:vMerge w:val="restart"/>
            <w:tcBorders>
              <w:top w:val="single" w:sz="4" w:space="0" w:color="000000"/>
              <w:left w:val="single" w:sz="4" w:space="0" w:color="000000"/>
              <w:right w:val="single" w:sz="4" w:space="0" w:color="000000"/>
            </w:tcBorders>
            <w:shd w:val="clear" w:color="auto" w:fill="D2D2D2"/>
          </w:tcPr>
          <w:p>
            <w:pPr/>
          </w:p>
        </w:tc>
        <w:tc>
          <w:tcPr>
            <w:tcW w:w="675" w:type="dxa"/>
            <w:vMerge w:val="restart"/>
            <w:tcBorders>
              <w:top w:val="single" w:sz="4" w:space="0" w:color="000000"/>
              <w:left w:val="single" w:sz="4" w:space="0" w:color="000000"/>
              <w:right w:val="single" w:sz="4" w:space="0" w:color="000000"/>
            </w:tcBorders>
          </w:tcPr>
          <w:p>
            <w:pPr/>
          </w:p>
        </w:tc>
        <w:tc>
          <w:tcPr>
            <w:tcW w:w="630" w:type="dxa"/>
            <w:vMerge w:val="restart"/>
            <w:tcBorders>
              <w:top w:val="single" w:sz="4" w:space="0" w:color="000000"/>
              <w:left w:val="single" w:sz="4" w:space="0" w:color="000000"/>
              <w:right w:val="single" w:sz="4" w:space="0" w:color="000000"/>
            </w:tcBorders>
          </w:tcPr>
          <w:p>
            <w:pPr/>
          </w:p>
        </w:tc>
        <w:tc>
          <w:tcPr>
            <w:tcW w:w="54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竞争力，依托业已形成的综合优势，通过技术改造实现核心产品的</w:t>
            </w:r>
          </w:p>
        </w:tc>
        <w:tc>
          <w:tcPr>
            <w:tcW w:w="630" w:type="dxa"/>
            <w:vMerge w:val="restart"/>
            <w:tcBorders>
              <w:top w:val="single" w:sz="4" w:space="0" w:color="000000"/>
              <w:left w:val="single" w:sz="4" w:space="0" w:color="000000"/>
              <w:right w:val="single" w:sz="4" w:space="0" w:color="000000"/>
            </w:tcBorders>
          </w:tcPr>
          <w:p>
            <w:pPr/>
          </w:p>
        </w:tc>
        <w:tc>
          <w:tcPr>
            <w:tcW w:w="615" w:type="dxa"/>
            <w:vMerge w:val="restart"/>
            <w:tcBorders>
              <w:top w:val="single" w:sz="4" w:space="0" w:color="000000"/>
              <w:left w:val="single" w:sz="4" w:space="0" w:color="000000"/>
              <w:right w:val="single" w:sz="4" w:space="0" w:color="000000"/>
            </w:tcBorders>
          </w:tcPr>
          <w:p>
            <w:pPr/>
          </w:p>
        </w:tc>
        <w:tc>
          <w:tcPr>
            <w:tcW w:w="750" w:type="dxa"/>
            <w:vMerge w:val="restart"/>
            <w:tcBorders>
              <w:top w:val="single" w:sz="4" w:space="0" w:color="000000"/>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升级换代和研发、服务体系的优化升级，从而提升公司的技术开发</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能力、客户服务能力，提高核心产品的市场竞争能力和持续盈利能</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6"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力。</w:t>
            </w:r>
            <w:r>
              <w:rPr>
                <w:rFonts w:ascii="Times New Roman" w:hAnsi="Times New Roman" w:cs="Times New Roman" w:eastAsia="Times New Roman" w:hint="default"/>
                <w:sz w:val="18"/>
                <w:szCs w:val="18"/>
              </w:rPr>
              <w:t>3</w:t>
            </w:r>
            <w:r>
              <w:rPr>
                <w:rFonts w:ascii="宋体" w:hAnsi="宋体" w:cs="宋体" w:eastAsia="宋体" w:hint="default"/>
                <w:sz w:val="18"/>
                <w:szCs w:val="18"/>
              </w:rPr>
              <w:t>、严格执行公司既定的分红政策，保证公司股东的利益回报公</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08"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司上市后适用的《公司章程（草案）》明确了利润分配尤其是现金</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分红的具体条件、比例、分配形式等，完善了公司利润分配的决策</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程序和机制以及利润分配政策的调整原则，加强了对中小投资者的</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12" w:hRule="exact"/>
        </w:trPr>
        <w:tc>
          <w:tcPr>
            <w:tcW w:w="792"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tcPr>
          <w:p>
            <w:pPr/>
          </w:p>
        </w:tc>
        <w:tc>
          <w:tcPr>
            <w:tcW w:w="630" w:type="dxa"/>
            <w:vMerge/>
            <w:tcBorders>
              <w:left w:val="single" w:sz="4" w:space="0" w:color="000000"/>
              <w:right w:val="single" w:sz="4" w:space="0" w:color="000000"/>
            </w:tcBorders>
          </w:tcPr>
          <w:p>
            <w:pPr/>
          </w:p>
        </w:tc>
        <w:tc>
          <w:tcPr>
            <w:tcW w:w="54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利益保护，公司本次发行完成并上市后将严格执行相关利润分配政</w:t>
            </w:r>
          </w:p>
        </w:tc>
        <w:tc>
          <w:tcPr>
            <w:tcW w:w="630"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50" w:type="dxa"/>
            <w:vMerge/>
            <w:tcBorders>
              <w:left w:val="single" w:sz="4" w:space="0" w:color="000000"/>
              <w:right w:val="single" w:sz="4" w:space="0" w:color="000000"/>
            </w:tcBorders>
          </w:tcPr>
          <w:p>
            <w:pPr/>
          </w:p>
        </w:tc>
      </w:tr>
      <w:tr>
        <w:trPr>
          <w:trHeight w:val="356" w:hRule="exact"/>
        </w:trPr>
        <w:tc>
          <w:tcPr>
            <w:tcW w:w="792" w:type="dxa"/>
            <w:vMerge/>
            <w:tcBorders>
              <w:left w:val="single" w:sz="4" w:space="0" w:color="000000"/>
              <w:bottom w:val="single" w:sz="4" w:space="0" w:color="000000"/>
              <w:right w:val="single" w:sz="4" w:space="0" w:color="000000"/>
            </w:tcBorders>
            <w:shd w:val="clear" w:color="auto" w:fill="D2D2D2"/>
          </w:tcPr>
          <w:p>
            <w:pPr/>
          </w:p>
        </w:tc>
        <w:tc>
          <w:tcPr>
            <w:tcW w:w="675" w:type="dxa"/>
            <w:vMerge/>
            <w:tcBorders>
              <w:left w:val="single" w:sz="4" w:space="0" w:color="000000"/>
              <w:bottom w:val="single" w:sz="4" w:space="0" w:color="000000"/>
              <w:right w:val="single" w:sz="4" w:space="0" w:color="000000"/>
            </w:tcBorders>
          </w:tcPr>
          <w:p>
            <w:pPr/>
          </w:p>
        </w:tc>
        <w:tc>
          <w:tcPr>
            <w:tcW w:w="630" w:type="dxa"/>
            <w:vMerge/>
            <w:tcBorders>
              <w:left w:val="single" w:sz="4" w:space="0" w:color="000000"/>
              <w:bottom w:val="single" w:sz="4" w:space="0" w:color="000000"/>
              <w:right w:val="single" w:sz="4" w:space="0" w:color="000000"/>
            </w:tcBorders>
          </w:tcPr>
          <w:p>
            <w:pPr/>
          </w:p>
        </w:tc>
        <w:tc>
          <w:tcPr>
            <w:tcW w:w="54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策。</w:t>
            </w:r>
          </w:p>
        </w:tc>
        <w:tc>
          <w:tcPr>
            <w:tcW w:w="630"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50" w:type="dxa"/>
            <w:vMerge/>
            <w:tcBorders>
              <w:left w:val="single" w:sz="4" w:space="0" w:color="000000"/>
              <w:bottom w:val="single" w:sz="4" w:space="0" w:color="000000"/>
              <w:right w:val="single" w:sz="4" w:space="0" w:color="000000"/>
            </w:tcBorders>
          </w:tcPr>
          <w:p>
            <w:pPr/>
          </w:p>
        </w:tc>
      </w:tr>
      <w:tr>
        <w:trPr>
          <w:trHeight w:val="402" w:hRule="exact"/>
        </w:trPr>
        <w:tc>
          <w:tcPr>
            <w:tcW w:w="209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747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72" w:hRule="exact"/>
        </w:trPr>
        <w:tc>
          <w:tcPr>
            <w:tcW w:w="2097" w:type="dxa"/>
            <w:gridSpan w:val="3"/>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66"/>
              <w:ind w:left="101" w:right="0"/>
              <w:jc w:val="left"/>
              <w:rPr>
                <w:rFonts w:ascii="宋体" w:hAnsi="宋体" w:cs="宋体" w:eastAsia="宋体" w:hint="default"/>
                <w:sz w:val="18"/>
                <w:szCs w:val="18"/>
              </w:rPr>
            </w:pPr>
            <w:r>
              <w:rPr>
                <w:rFonts w:ascii="宋体" w:hAnsi="宋体" w:cs="宋体" w:eastAsia="宋体" w:hint="default"/>
                <w:sz w:val="18"/>
                <w:szCs w:val="18"/>
              </w:rPr>
              <w:t>如承诺超期未履行完毕</w:t>
            </w:r>
          </w:p>
        </w:tc>
        <w:tc>
          <w:tcPr>
            <w:tcW w:w="7470" w:type="dxa"/>
            <w:gridSpan w:val="4"/>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2097" w:type="dxa"/>
            <w:gridSpan w:val="3"/>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01" w:right="183"/>
              <w:jc w:val="left"/>
              <w:rPr>
                <w:rFonts w:ascii="宋体" w:hAnsi="宋体" w:cs="宋体" w:eastAsia="宋体" w:hint="default"/>
                <w:sz w:val="18"/>
                <w:szCs w:val="18"/>
              </w:rPr>
            </w:pPr>
            <w:r>
              <w:rPr>
                <w:rFonts w:ascii="宋体" w:hAnsi="宋体" w:cs="宋体" w:eastAsia="宋体" w:hint="default"/>
                <w:sz w:val="18"/>
                <w:szCs w:val="18"/>
              </w:rPr>
              <w:t>的，应当详细说明未完 成履行的具体原因及下</w:t>
            </w:r>
          </w:p>
        </w:tc>
        <w:tc>
          <w:tcPr>
            <w:tcW w:w="7470" w:type="dxa"/>
            <w:gridSpan w:val="4"/>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75" w:hRule="exact"/>
        </w:trPr>
        <w:tc>
          <w:tcPr>
            <w:tcW w:w="2097" w:type="dxa"/>
            <w:gridSpan w:val="3"/>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一步的工作计划</w:t>
            </w:r>
          </w:p>
        </w:tc>
        <w:tc>
          <w:tcPr>
            <w:tcW w:w="7470" w:type="dxa"/>
            <w:gridSpan w:val="4"/>
            <w:tcBorders>
              <w:top w:val="nil" w:sz="6" w:space="0" w:color="auto"/>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21"/>
          <w:szCs w:val="21"/>
        </w:rPr>
      </w:pPr>
    </w:p>
    <w:p>
      <w:pPr>
        <w:pStyle w:val="Heading3"/>
        <w:spacing w:line="256" w:lineRule="auto" w:before="34"/>
        <w:ind w:left="232" w:right="915"/>
        <w:jc w:val="left"/>
        <w:rPr>
          <w:b w:val="0"/>
          <w:bCs w:val="0"/>
        </w:rPr>
      </w:pPr>
      <w:bookmarkStart w:name="2、公司资产或项目存在盈利预测，且报告期仍处在盈利预测期间，公司就资产或项目达到" w:id="67"/>
      <w:bookmarkEnd w:id="67"/>
      <w:r>
        <w:rPr>
          <w:b w:val="0"/>
          <w:bCs w:val="0"/>
        </w:rPr>
      </w:r>
      <w:r>
        <w:rPr>
          <w:rFonts w:ascii="Times New Roman" w:hAnsi="Times New Roman" w:cs="Times New Roman" w:eastAsia="Times New Roman" w:hint="default"/>
          <w:spacing w:val="3"/>
          <w:w w:val="95"/>
        </w:rPr>
        <w:t>2</w:t>
      </w:r>
      <w:r>
        <w:rPr>
          <w:spacing w:val="3"/>
          <w:w w:val="95"/>
        </w:rPr>
        <w:t>、公司资产或项目存在盈利预测，且报告期仍处在盈利预测期间，公司就资产或项目达到原盈利预测及</w:t>
      </w:r>
      <w:r>
        <w:rPr>
          <w:spacing w:val="95"/>
          <w:w w:val="95"/>
        </w:rPr>
        <w:t> </w:t>
      </w:r>
      <w:r>
        <w:rPr>
          <w:spacing w:val="95"/>
          <w:w w:val="95"/>
        </w:rPr>
      </w:r>
      <w:r>
        <w:rPr/>
        <w:t>其原因做出说明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232" w:right="915"/>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left="232" w:right="915"/>
        <w:jc w:val="left"/>
        <w:rPr>
          <w:b w:val="0"/>
          <w:bCs w:val="0"/>
        </w:rPr>
      </w:pPr>
      <w:bookmarkStart w:name="三、控股股东及其关联方对上市公司的非经营性占用资金情况" w:id="68"/>
      <w:bookmarkEnd w:id="68"/>
      <w:r>
        <w:rPr>
          <w:b w:val="0"/>
          <w:bCs w:val="0"/>
        </w:rPr>
      </w:r>
      <w:r>
        <w:rPr/>
        <w:t>三、控股股东及其关联方对上市公司的非经营性占用资金情况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left="232" w:right="4994"/>
        <w:jc w:val="left"/>
      </w:pPr>
      <w:r>
        <w:rPr/>
        <w:t>□ 适用 √ 不适用 公司报告期不存在控股股东及其关联方对上市公司的非经营性占用资金。</w:t>
      </w:r>
    </w:p>
    <w:p>
      <w:pPr>
        <w:spacing w:line="240" w:lineRule="auto" w:before="4"/>
        <w:rPr>
          <w:rFonts w:ascii="宋体" w:hAnsi="宋体" w:cs="宋体" w:eastAsia="宋体" w:hint="default"/>
          <w:sz w:val="18"/>
          <w:szCs w:val="18"/>
        </w:rPr>
      </w:pPr>
    </w:p>
    <w:p>
      <w:pPr>
        <w:pStyle w:val="Heading2"/>
        <w:spacing w:line="240" w:lineRule="auto"/>
        <w:ind w:left="232" w:right="915"/>
        <w:jc w:val="left"/>
        <w:rPr>
          <w:b w:val="0"/>
          <w:bCs w:val="0"/>
        </w:rPr>
      </w:pPr>
      <w:bookmarkStart w:name="四、董事会对最近一期“非标准审计报告”相关情况的说明" w:id="69"/>
      <w:bookmarkEnd w:id="69"/>
      <w:r>
        <w:rPr>
          <w:b w:val="0"/>
          <w:bCs w:val="0"/>
        </w:rPr>
      </w:r>
      <w:r>
        <w:rPr/>
        <w:t>四、董事会对最近一期“非标准审计报告”相关情况的说明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232" w:right="915"/>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left="232" w:right="915"/>
        <w:jc w:val="left"/>
        <w:rPr>
          <w:b w:val="0"/>
          <w:bCs w:val="0"/>
        </w:rPr>
      </w:pPr>
      <w:bookmarkStart w:name="五、董事会、监事会、独立董事（如有）对会计师事务所本报告期“非标准审计报告”的说" w:id="70"/>
      <w:bookmarkEnd w:id="70"/>
      <w:r>
        <w:rPr>
          <w:b w:val="0"/>
          <w:bCs w:val="0"/>
        </w:rPr>
      </w:r>
      <w:r>
        <w:rPr/>
        <w:t>五、董事会、监事会、独立董事（如有）对会计师事务所本报告期“非标准审计报告”的说</w:t>
      </w:r>
      <w:r>
        <w:rPr>
          <w:spacing w:val="-97"/>
        </w:rPr>
        <w:t> </w:t>
      </w:r>
      <w:r>
        <w:rPr>
          <w:spacing w:val="-97"/>
        </w:rPr>
      </w:r>
      <w:r>
        <w:rPr/>
        <w:t>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32" w:right="915"/>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left="232" w:right="915"/>
        <w:jc w:val="left"/>
        <w:rPr>
          <w:b w:val="0"/>
          <w:bCs w:val="0"/>
        </w:rPr>
      </w:pPr>
      <w:bookmarkStart w:name="六、董事会关于报告期会计政策、会计估计变更或重大会计差错更正的说明" w:id="71"/>
      <w:bookmarkEnd w:id="71"/>
      <w:r>
        <w:rPr>
          <w:b w:val="0"/>
          <w:bCs w:val="0"/>
        </w:rPr>
      </w:r>
      <w:r>
        <w:rPr/>
        <w:t>六、董事会关于报告期会计政策、会计估计变更或重大会计差错更正的说明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324" w:right="915"/>
        <w:jc w:val="left"/>
      </w:pPr>
      <w:r>
        <w:rPr/>
        <w:t>√ 适用 □</w:t>
      </w:r>
      <w:r>
        <w:rPr>
          <w:spacing w:val="-3"/>
        </w:rPr>
        <w:t> </w:t>
      </w:r>
      <w:r>
        <w:rPr/>
        <w:t>不适用</w:t>
      </w:r>
    </w:p>
    <w:p>
      <w:pPr>
        <w:pStyle w:val="BodyText"/>
        <w:spacing w:line="240" w:lineRule="auto" w:before="115"/>
        <w:ind w:left="592" w:right="915"/>
        <w:jc w:val="left"/>
      </w:pPr>
      <w:r>
        <w:rPr>
          <w:rFonts w:ascii="Times New Roman" w:hAnsi="Times New Roman" w:cs="Times New Roman" w:eastAsia="Times New Roman" w:hint="default"/>
        </w:rPr>
        <w:t>1.  </w:t>
      </w:r>
      <w:r>
        <w:rPr/>
        <w:t>重要会计政策变更</w:t>
      </w:r>
    </w:p>
    <w:p>
      <w:pPr>
        <w:pStyle w:val="BodyText"/>
        <w:spacing w:line="240" w:lineRule="auto" w:before="63"/>
        <w:ind w:left="592" w:right="915"/>
        <w:jc w:val="left"/>
      </w:pPr>
      <w:r>
        <w:rPr/>
        <w:t>（</w:t>
      </w:r>
      <w:r>
        <w:rPr>
          <w:rFonts w:ascii="Times New Roman" w:hAnsi="Times New Roman" w:cs="Times New Roman" w:eastAsia="Times New Roman" w:hint="default"/>
        </w:rPr>
        <w:t>1</w:t>
      </w:r>
      <w:r>
        <w:rPr/>
        <w:t>）企业会计准则变化引起的会计政策变更</w:t>
      </w:r>
    </w:p>
    <w:p>
      <w:pPr>
        <w:pStyle w:val="BodyText"/>
        <w:spacing w:line="300" w:lineRule="auto" w:before="63"/>
        <w:ind w:left="232" w:right="1130" w:firstLine="360"/>
        <w:jc w:val="both"/>
      </w:pPr>
      <w:r>
        <w:rPr>
          <w:rFonts w:ascii="Times New Roman" w:hAnsi="Times New Roman" w:cs="Times New Roman" w:eastAsia="Times New Roman" w:hint="default"/>
        </w:rPr>
        <w:t>1</w:t>
      </w:r>
      <w:r>
        <w:rPr/>
        <w:t>）本公司根据财政部《关于修订印发 </w:t>
      </w:r>
      <w:r>
        <w:rPr>
          <w:rFonts w:ascii="Times New Roman" w:hAnsi="Times New Roman" w:cs="Times New Roman" w:eastAsia="Times New Roman" w:hint="default"/>
        </w:rPr>
        <w:t>2019 </w:t>
      </w:r>
      <w:r>
        <w:rPr/>
        <w:t>年度一般企业财务报表格式的通知》（财会〔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t>号</w:t>
      </w:r>
      <w:r>
        <w:rPr>
          <w:rFonts w:ascii="Times New Roman" w:hAnsi="Times New Roman" w:cs="Times New Roman" w:eastAsia="Times New Roman" w:hint="default"/>
        </w:rPr>
        <w:t>)</w:t>
      </w:r>
      <w:r>
        <w:rPr/>
        <w:t>、《关于修订印 发合并财务报表格式（</w:t>
      </w: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t>版）的通知》（财会〔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16</w:t>
      </w:r>
      <w:r>
        <w:rPr>
          <w:rFonts w:ascii="Times New Roman" w:hAnsi="Times New Roman" w:cs="Times New Roman" w:eastAsia="Times New Roman" w:hint="default"/>
          <w:spacing w:val="5"/>
        </w:rPr>
        <w:t> </w:t>
      </w:r>
      <w:r>
        <w:rPr/>
        <w:t>号</w:t>
      </w:r>
      <w:r>
        <w:rPr>
          <w:rFonts w:ascii="Times New Roman" w:hAnsi="Times New Roman" w:cs="Times New Roman" w:eastAsia="Times New Roman" w:hint="default"/>
        </w:rPr>
        <w:t>)</w:t>
      </w:r>
      <w:r>
        <w:rPr/>
        <w:t>和企业会计准则的要求编制</w:t>
      </w:r>
      <w:r>
        <w:rPr>
          <w:spacing w:val="-39"/>
        </w:rPr>
        <w:t> </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年度财务报表，此项会计</w:t>
      </w:r>
      <w:r>
        <w:rPr>
          <w:spacing w:val="-88"/>
        </w:rPr>
        <w:t> </w:t>
      </w:r>
      <w:r>
        <w:rPr>
          <w:spacing w:val="-88"/>
        </w:rPr>
      </w:r>
      <w:r>
        <w:rPr/>
        <w:t>政策变更采用追溯调整法。</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年度财务报表受重要影响的报表项目和金额如下：</w:t>
      </w:r>
    </w:p>
    <w:p>
      <w:pPr>
        <w:spacing w:line="374" w:lineRule="exact"/>
        <w:ind w:left="117" w:right="0" w:firstLine="0"/>
        <w:rPr>
          <w:rFonts w:ascii="宋体" w:hAnsi="宋体" w:cs="宋体" w:eastAsia="宋体" w:hint="default"/>
          <w:sz w:val="20"/>
          <w:szCs w:val="20"/>
        </w:rPr>
      </w:pPr>
      <w:r>
        <w:rPr>
          <w:rFonts w:ascii="宋体" w:hAnsi="宋体" w:cs="宋体" w:eastAsia="宋体" w:hint="default"/>
          <w:position w:val="-6"/>
          <w:sz w:val="20"/>
          <w:szCs w:val="20"/>
        </w:rPr>
        <w:pict>
          <v:group style="width:493.6pt;height:18.75pt;mso-position-horizontal-relative:char;mso-position-vertical-relative:line" coordorigin="0,0" coordsize="9872,375">
            <v:group style="position:absolute;left:13;top:13;width:5422;height:357" coordorigin="13,13" coordsize="5422,357">
              <v:shape style="position:absolute;left:13;top:13;width:5422;height:357" coordorigin="13,13" coordsize="5422,357" path="m13,13l5435,13,5435,370,13,370,13,13xe" filled="true" fillcolor="#d6d6d6" stroked="false">
                <v:path arrowok="t"/>
                <v:fill type="solid"/>
              </v:shape>
            </v:group>
            <v:group style="position:absolute;left:5440;top:13;width:4420;height:357" coordorigin="5440,13" coordsize="4420,357">
              <v:shape style="position:absolute;left:5440;top:13;width:4420;height:357" coordorigin="5440,13" coordsize="4420,357" path="m5440,13l9860,13,9860,370,5440,370,5440,13xe" filled="true" fillcolor="#d6d6d6" stroked="false">
                <v:path arrowok="t"/>
                <v:fill type="solid"/>
              </v:shape>
            </v:group>
            <v:group style="position:absolute;left:5;top:10;width:9862;height:2" coordorigin="5,10" coordsize="9862,2">
              <v:shape style="position:absolute;left:5;top:10;width:9862;height:2" coordorigin="5,10" coordsize="9862,0" path="m5,10l9866,10e" filled="false" stroked="true" strokeweight=".48pt" strokecolor="#000000">
                <v:path arrowok="t"/>
              </v:shape>
            </v:group>
            <v:group style="position:absolute;left:5;top:370;width:9862;height:2" coordorigin="5,370" coordsize="9862,2">
              <v:shape style="position:absolute;left:5;top:370;width:9862;height:2" coordorigin="5,370" coordsize="9862,0" path="m5,370l9866,370e" filled="false" stroked="true" strokeweight=".48pt" strokecolor="#000000">
                <v:path arrowok="t"/>
              </v:shape>
            </v:group>
            <v:group style="position:absolute;left:10;top:5;width:2;height:360" coordorigin="10,5" coordsize="2,360">
              <v:shape style="position:absolute;left:10;top:5;width:2;height:360" coordorigin="10,5" coordsize="0,360" path="m10,5l10,365e" filled="false" stroked="true" strokeweight=".48pt" strokecolor="#000000">
                <v:path arrowok="t"/>
              </v:shape>
            </v:group>
            <v:group style="position:absolute;left:5437;top:5;width:2;height:360" coordorigin="5437,5" coordsize="2,360">
              <v:shape style="position:absolute;left:5437;top:5;width:2;height:360" coordorigin="5437,5" coordsize="0,360" path="m5437,5l5437,365e" filled="false" stroked="true" strokeweight=".48pt" strokecolor="#000000">
                <v:path arrowok="t"/>
              </v:shape>
            </v:group>
            <v:group style="position:absolute;left:9862;top:5;width:2;height:360" coordorigin="9862,5" coordsize="2,360">
              <v:shape style="position:absolute;left:9862;top:5;width:2;height:360" coordorigin="9862,5" coordsize="0,360" path="m9862,5l9862,365e" filled="false" stroked="true" strokeweight=".48pt" strokecolor="#000000">
                <v:path arrowok="t"/>
              </v:shape>
              <v:shape style="position:absolute;left:10;top:10;width:5427;height:360" type="#_x0000_t202" filled="false" stroked="false">
                <v:textbox inset="0,0,0,0">
                  <w:txbxContent>
                    <w:p>
                      <w:pPr>
                        <w:spacing w:before="16"/>
                        <w:ind w:left="-1" w:right="0" w:firstLine="0"/>
                        <w:jc w:val="center"/>
                        <w:rPr>
                          <w:rFonts w:ascii="宋体" w:hAnsi="宋体" w:cs="宋体" w:eastAsia="宋体" w:hint="default"/>
                          <w:sz w:val="18"/>
                          <w:szCs w:val="18"/>
                        </w:rPr>
                      </w:pPr>
                      <w:r>
                        <w:rPr>
                          <w:rFonts w:ascii="宋体" w:hAnsi="宋体" w:cs="宋体" w:eastAsia="宋体" w:hint="default"/>
                          <w:sz w:val="18"/>
                          <w:szCs w:val="18"/>
                        </w:rPr>
                        <w:t>原列报报表项目及金额</w:t>
                      </w:r>
                    </w:p>
                  </w:txbxContent>
                </v:textbox>
                <w10:wrap type="none"/>
              </v:shape>
              <v:shape style="position:absolute;left:5437;top:10;width:4425;height:360" type="#_x0000_t202" filled="false" stroked="false">
                <v:textbox inset="0,0,0,0">
                  <w:txbxContent>
                    <w:p>
                      <w:pPr>
                        <w:spacing w:before="16"/>
                        <w:ind w:left="1312" w:right="0" w:firstLine="0"/>
                        <w:jc w:val="left"/>
                        <w:rPr>
                          <w:rFonts w:ascii="宋体" w:hAnsi="宋体" w:cs="宋体" w:eastAsia="宋体" w:hint="default"/>
                          <w:sz w:val="18"/>
                          <w:szCs w:val="18"/>
                        </w:rPr>
                      </w:pPr>
                      <w:r>
                        <w:rPr>
                          <w:rFonts w:ascii="宋体" w:hAnsi="宋体" w:cs="宋体" w:eastAsia="宋体" w:hint="default"/>
                          <w:sz w:val="18"/>
                          <w:szCs w:val="18"/>
                        </w:rPr>
                        <w:t>新列报报表项目及金额</w:t>
                      </w:r>
                    </w:p>
                  </w:txbxContent>
                </v:textbox>
                <w10:wrap type="none"/>
              </v:shape>
            </v:group>
          </v:group>
        </w:pict>
      </w:r>
      <w:r>
        <w:rPr>
          <w:rFonts w:ascii="宋体" w:hAnsi="宋体" w:cs="宋体" w:eastAsia="宋体" w:hint="default"/>
          <w:position w:val="-6"/>
          <w:sz w:val="20"/>
          <w:szCs w:val="20"/>
        </w:rPr>
      </w:r>
    </w:p>
    <w:p>
      <w:pPr>
        <w:spacing w:after="0" w:line="374" w:lineRule="exact"/>
        <w:rPr>
          <w:rFonts w:ascii="宋体" w:hAnsi="宋体" w:cs="宋体" w:eastAsia="宋体" w:hint="default"/>
          <w:sz w:val="20"/>
          <w:szCs w:val="20"/>
        </w:rPr>
        <w:sectPr>
          <w:pgSz w:w="11910" w:h="16840"/>
          <w:pgMar w:header="907" w:footer="1016" w:top="1100" w:bottom="1200" w:left="900" w:right="0"/>
        </w:sectPr>
      </w:pPr>
    </w:p>
    <w:p>
      <w:pPr>
        <w:spacing w:line="240" w:lineRule="auto" w:before="6"/>
        <w:rPr>
          <w:rFonts w:ascii="宋体" w:hAnsi="宋体" w:cs="宋体" w:eastAsia="宋体" w:hint="default"/>
          <w:sz w:val="25"/>
          <w:szCs w:val="25"/>
        </w:rPr>
      </w:pPr>
    </w:p>
    <w:tbl>
      <w:tblPr>
        <w:tblW w:w="0" w:type="auto"/>
        <w:jc w:val="left"/>
        <w:tblInd w:w="102" w:type="dxa"/>
        <w:tblLayout w:type="fixed"/>
        <w:tblCellMar>
          <w:top w:w="0" w:type="dxa"/>
          <w:left w:w="0" w:type="dxa"/>
          <w:bottom w:w="0" w:type="dxa"/>
          <w:right w:w="0" w:type="dxa"/>
        </w:tblCellMar>
        <w:tblLook w:val="01E0"/>
      </w:tblPr>
      <w:tblGrid>
        <w:gridCol w:w="2621"/>
        <w:gridCol w:w="2806"/>
        <w:gridCol w:w="2109"/>
        <w:gridCol w:w="2316"/>
      </w:tblGrid>
      <w:tr>
        <w:trPr>
          <w:trHeight w:val="362" w:hRule="exact"/>
        </w:trPr>
        <w:tc>
          <w:tcPr>
            <w:tcW w:w="2621"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80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567" w:right="0"/>
              <w:jc w:val="left"/>
              <w:rPr>
                <w:rFonts w:ascii="Times New Roman" w:hAnsi="Times New Roman" w:cs="Times New Roman" w:eastAsia="Times New Roman" w:hint="default"/>
                <w:sz w:val="18"/>
                <w:szCs w:val="18"/>
              </w:rPr>
            </w:pPr>
            <w:r>
              <w:rPr>
                <w:rFonts w:ascii="Times New Roman"/>
                <w:sz w:val="18"/>
              </w:rPr>
              <w:t>580,675,277.73</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362" w:hRule="exact"/>
        </w:trPr>
        <w:tc>
          <w:tcPr>
            <w:tcW w:w="2621" w:type="dxa"/>
            <w:vMerge/>
            <w:tcBorders>
              <w:left w:val="single" w:sz="4" w:space="0" w:color="000000"/>
              <w:bottom w:val="single" w:sz="4" w:space="0" w:color="000000"/>
              <w:right w:val="single" w:sz="4" w:space="0" w:color="000000"/>
            </w:tcBorders>
          </w:tcPr>
          <w:p>
            <w:pPr/>
          </w:p>
        </w:tc>
        <w:tc>
          <w:tcPr>
            <w:tcW w:w="2806" w:type="dxa"/>
            <w:vMerge/>
            <w:tcBorders>
              <w:left w:val="single" w:sz="4" w:space="0" w:color="000000"/>
              <w:bottom w:val="single" w:sz="4" w:space="0" w:color="000000"/>
              <w:right w:val="single" w:sz="4" w:space="0" w:color="000000"/>
            </w:tcBorders>
          </w:tcPr>
          <w:p>
            <w:pP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579,520,829.00</w:t>
            </w:r>
          </w:p>
        </w:tc>
      </w:tr>
      <w:tr>
        <w:trPr>
          <w:trHeight w:val="362" w:hRule="exact"/>
        </w:trPr>
        <w:tc>
          <w:tcPr>
            <w:tcW w:w="2621"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80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567" w:right="0"/>
              <w:jc w:val="left"/>
              <w:rPr>
                <w:rFonts w:ascii="Times New Roman" w:hAnsi="Times New Roman" w:cs="Times New Roman" w:eastAsia="Times New Roman" w:hint="default"/>
                <w:sz w:val="18"/>
                <w:szCs w:val="18"/>
              </w:rPr>
            </w:pPr>
            <w:r>
              <w:rPr>
                <w:rFonts w:ascii="Times New Roman"/>
                <w:sz w:val="18"/>
              </w:rPr>
              <w:t>231,590,017.95</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7,249,126.60</w:t>
            </w:r>
          </w:p>
        </w:tc>
      </w:tr>
      <w:tr>
        <w:trPr>
          <w:trHeight w:val="362" w:hRule="exact"/>
        </w:trPr>
        <w:tc>
          <w:tcPr>
            <w:tcW w:w="2621" w:type="dxa"/>
            <w:vMerge/>
            <w:tcBorders>
              <w:left w:val="single" w:sz="4" w:space="0" w:color="000000"/>
              <w:bottom w:val="single" w:sz="4" w:space="0" w:color="000000"/>
              <w:right w:val="single" w:sz="4" w:space="0" w:color="000000"/>
            </w:tcBorders>
          </w:tcPr>
          <w:p>
            <w:pPr/>
          </w:p>
        </w:tc>
        <w:tc>
          <w:tcPr>
            <w:tcW w:w="2806" w:type="dxa"/>
            <w:vMerge/>
            <w:tcBorders>
              <w:left w:val="single" w:sz="4" w:space="0" w:color="000000"/>
              <w:bottom w:val="single" w:sz="4" w:space="0" w:color="000000"/>
              <w:right w:val="single" w:sz="4" w:space="0" w:color="000000"/>
            </w:tcBorders>
          </w:tcPr>
          <w:p>
            <w:pP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224,340,891.35</w:t>
            </w:r>
          </w:p>
        </w:tc>
      </w:tr>
      <w:tr>
        <w:trPr>
          <w:trHeight w:val="362" w:hRule="exact"/>
        </w:trPr>
        <w:tc>
          <w:tcPr>
            <w:tcW w:w="2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151,709,086.59</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151,137,119.49</w:t>
            </w:r>
          </w:p>
        </w:tc>
      </w:tr>
      <w:tr>
        <w:trPr>
          <w:trHeight w:val="362" w:hRule="exact"/>
        </w:trPr>
        <w:tc>
          <w:tcPr>
            <w:tcW w:w="2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129,852,419.99</w:t>
            </w:r>
          </w:p>
        </w:tc>
        <w:tc>
          <w:tcPr>
            <w:tcW w:w="2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130,424,387.09</w:t>
            </w:r>
          </w:p>
        </w:tc>
      </w:tr>
    </w:tbl>
    <w:p>
      <w:pPr>
        <w:pStyle w:val="BodyText"/>
        <w:spacing w:line="240" w:lineRule="auto" w:before="11"/>
        <w:ind w:left="572" w:right="1031"/>
        <w:jc w:val="left"/>
      </w:pPr>
      <w:r>
        <w:rPr>
          <w:rFonts w:ascii="Times New Roman" w:hAnsi="Times New Roman" w:cs="Times New Roman" w:eastAsia="Times New Roman" w:hint="default"/>
        </w:rPr>
        <w:t>2</w:t>
      </w:r>
      <w:r>
        <w:rPr/>
        <w:t>）本公司自</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日起执行财政部修订后的《企业会计准则第</w:t>
      </w:r>
      <w:r>
        <w:rPr>
          <w:spacing w:val="-45"/>
        </w:rPr>
        <w:t> </w:t>
      </w:r>
      <w:r>
        <w:rPr>
          <w:rFonts w:ascii="Times New Roman" w:hAnsi="Times New Roman" w:cs="Times New Roman" w:eastAsia="Times New Roman" w:hint="default"/>
        </w:rPr>
        <w:t>22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金融工具确认和计量》《企业会计准</w:t>
      </w:r>
    </w:p>
    <w:p>
      <w:pPr>
        <w:pStyle w:val="BodyText"/>
        <w:spacing w:line="309" w:lineRule="auto" w:before="63"/>
        <w:ind w:left="212" w:right="1130"/>
        <w:jc w:val="both"/>
      </w:pPr>
      <w:r>
        <w:rPr/>
        <w:t>则第</w:t>
      </w:r>
      <w:r>
        <w:rPr>
          <w:spacing w:val="-40"/>
        </w:rPr>
        <w:t> </w:t>
      </w:r>
      <w:r>
        <w:rPr>
          <w:rFonts w:ascii="Times New Roman" w:hAnsi="Times New Roman" w:cs="Times New Roman" w:eastAsia="Times New Roman" w:hint="default"/>
        </w:rPr>
        <w:t>23</w:t>
      </w:r>
      <w:r>
        <w:rPr>
          <w:rFonts w:ascii="Times New Roman" w:hAnsi="Times New Roman" w:cs="Times New Roman" w:eastAsia="Times New Roman" w:hint="default"/>
          <w:spacing w:val="4"/>
        </w:rPr>
        <w:t> </w:t>
      </w:r>
      <w:r>
        <w:rPr>
          <w:spacing w:val="-4"/>
        </w:rPr>
        <w:t>号</w:t>
      </w:r>
      <w:r>
        <w:rPr>
          <w:rFonts w:ascii="Times New Roman" w:hAnsi="Times New Roman" w:cs="Times New Roman" w:eastAsia="Times New Roman" w:hint="default"/>
          <w:spacing w:val="-4"/>
        </w:rPr>
        <w:t>——</w:t>
      </w:r>
      <w:r>
        <w:rPr>
          <w:spacing w:val="-4"/>
        </w:rPr>
        <w:t>金融资产转移》《企业会计准则第</w:t>
      </w:r>
      <w:r>
        <w:rPr>
          <w:spacing w:val="-40"/>
        </w:rPr>
        <w:t> </w:t>
      </w:r>
      <w:r>
        <w:rPr>
          <w:rFonts w:ascii="Times New Roman" w:hAnsi="Times New Roman" w:cs="Times New Roman" w:eastAsia="Times New Roman" w:hint="default"/>
        </w:rPr>
        <w:t>24</w:t>
      </w:r>
      <w:r>
        <w:rPr>
          <w:rFonts w:ascii="Times New Roman" w:hAnsi="Times New Roman" w:cs="Times New Roman" w:eastAsia="Times New Roman" w:hint="default"/>
          <w:spacing w:val="4"/>
        </w:rPr>
        <w:t> </w:t>
      </w:r>
      <w:r>
        <w:rPr>
          <w:spacing w:val="-4"/>
        </w:rPr>
        <w:t>号</w:t>
      </w:r>
      <w:r>
        <w:rPr>
          <w:rFonts w:ascii="Times New Roman" w:hAnsi="Times New Roman" w:cs="Times New Roman" w:eastAsia="Times New Roman" w:hint="default"/>
          <w:spacing w:val="-4"/>
        </w:rPr>
        <w:t>——</w:t>
      </w:r>
      <w:r>
        <w:rPr>
          <w:spacing w:val="-4"/>
        </w:rPr>
        <w:t>套期保值》以及《企业会计准则第</w:t>
      </w:r>
      <w:r>
        <w:rPr>
          <w:spacing w:val="-40"/>
        </w:rPr>
        <w:t> </w:t>
      </w:r>
      <w:r>
        <w:rPr>
          <w:rFonts w:ascii="Times New Roman" w:hAnsi="Times New Roman" w:cs="Times New Roman" w:eastAsia="Times New Roman" w:hint="default"/>
        </w:rPr>
        <w:t>37</w:t>
      </w:r>
      <w:r>
        <w:rPr>
          <w:rFonts w:ascii="Times New Roman" w:hAnsi="Times New Roman" w:cs="Times New Roman" w:eastAsia="Times New Roman" w:hint="default"/>
          <w:spacing w:val="2"/>
        </w:rPr>
        <w:t> </w:t>
      </w:r>
      <w:r>
        <w:rPr>
          <w:spacing w:val="-5"/>
        </w:rPr>
        <w:t>号</w:t>
      </w:r>
      <w:r>
        <w:rPr>
          <w:rFonts w:ascii="Times New Roman" w:hAnsi="Times New Roman" w:cs="Times New Roman" w:eastAsia="Times New Roman" w:hint="default"/>
          <w:spacing w:val="-5"/>
        </w:rPr>
        <w:t>——</w:t>
      </w:r>
      <w:r>
        <w:rPr>
          <w:spacing w:val="-5"/>
        </w:rPr>
        <w:t>金融工具列报》（以</w:t>
      </w:r>
      <w:r>
        <w:rPr/>
        <w:t> </w:t>
      </w:r>
      <w:r>
        <w:rPr>
          <w:spacing w:val="-2"/>
        </w:rPr>
        <w:t>下简称新金融工具准则）。根据相关新旧准则衔接规定，对可比期间信息不予调整，首次执行日执行新准则与原准则的差异</w:t>
      </w:r>
      <w:r>
        <w:rPr>
          <w:spacing w:val="-64"/>
        </w:rPr>
        <w:t> </w:t>
      </w:r>
      <w:r>
        <w:rPr>
          <w:spacing w:val="-64"/>
        </w:rPr>
      </w:r>
      <w:r>
        <w:rPr/>
        <w:t>追溯调整本报告期期初留存收益或其他综合收益。</w:t>
      </w:r>
    </w:p>
    <w:p>
      <w:pPr>
        <w:pStyle w:val="BodyText"/>
        <w:spacing w:line="316" w:lineRule="auto" w:before="24"/>
        <w:ind w:left="212" w:right="1132" w:firstLine="360"/>
        <w:jc w:val="both"/>
      </w:pPr>
      <w:r>
        <w:rPr>
          <w:spacing w:val="-2"/>
        </w:rPr>
        <w:t>新金融工具准则改变了金融资产的分类和计量方式，确定了三个计量类别：摊余成本；以公允价值计量且其变动计入其</w:t>
      </w:r>
      <w:r>
        <w:rPr/>
        <w:t> </w:t>
      </w:r>
      <w:r>
        <w:rPr>
          <w:spacing w:val="-2"/>
        </w:rPr>
        <w:t>他综合收益；以公允价值计量且其变动计入当期损益。公司考虑自身业务模式，以及金融资产的合同现金流特征进行上述分</w:t>
      </w:r>
      <w:r>
        <w:rPr>
          <w:spacing w:val="-65"/>
        </w:rPr>
        <w:t> </w:t>
      </w:r>
      <w:r>
        <w:rPr>
          <w:spacing w:val="-65"/>
        </w:rPr>
      </w:r>
      <w:r>
        <w:rPr>
          <w:spacing w:val="-2"/>
        </w:rPr>
        <w:t>类。权益类投资需按公允价值计量且其变动计入当期损益，但非交易性权益类投资在初始确认时可选择按公允价值计量且其</w:t>
      </w:r>
      <w:r>
        <w:rPr>
          <w:spacing w:val="-64"/>
        </w:rPr>
        <w:t> </w:t>
      </w:r>
      <w:r>
        <w:rPr>
          <w:spacing w:val="-64"/>
        </w:rPr>
      </w:r>
      <w:r>
        <w:rPr/>
        <w:t>变动计入其他综合收益（处置时的利得或损失不能回转到损益，但股利收入计入当期损益</w:t>
      </w:r>
      <w:r>
        <w:rPr>
          <w:rFonts w:ascii="Times New Roman" w:hAnsi="Times New Roman" w:cs="Times New Roman" w:eastAsia="Times New Roman" w:hint="default"/>
        </w:rPr>
        <w:t>)</w:t>
      </w:r>
      <w:r>
        <w:rPr/>
        <w:t>，且该选择不可撤销。</w:t>
      </w:r>
    </w:p>
    <w:p>
      <w:pPr>
        <w:pStyle w:val="BodyText"/>
        <w:spacing w:line="300" w:lineRule="auto"/>
        <w:ind w:left="212" w:right="1132" w:firstLine="360"/>
        <w:jc w:val="both"/>
      </w:pPr>
      <w:r>
        <w:rPr>
          <w:spacing w:val="-1"/>
        </w:rPr>
        <w:t>新金融工具准则要求金融资产减值计量由</w:t>
      </w:r>
      <w:r>
        <w:rPr>
          <w:rFonts w:ascii="Times New Roman" w:hAnsi="Times New Roman" w:cs="Times New Roman" w:eastAsia="Times New Roman" w:hint="default"/>
          <w:spacing w:val="-1"/>
        </w:rPr>
        <w:t>“</w:t>
      </w:r>
      <w:r>
        <w:rPr>
          <w:spacing w:val="-1"/>
        </w:rPr>
        <w:t>已发生损失模型</w:t>
      </w:r>
      <w:r>
        <w:rPr>
          <w:rFonts w:ascii="Times New Roman" w:hAnsi="Times New Roman" w:cs="Times New Roman" w:eastAsia="Times New Roman" w:hint="default"/>
          <w:spacing w:val="-1"/>
        </w:rPr>
        <w:t>”</w:t>
      </w:r>
      <w:r>
        <w:rPr>
          <w:spacing w:val="-1"/>
        </w:rPr>
        <w:t>改为</w:t>
      </w:r>
      <w:r>
        <w:rPr>
          <w:rFonts w:ascii="Times New Roman" w:hAnsi="Times New Roman" w:cs="Times New Roman" w:eastAsia="Times New Roman" w:hint="default"/>
          <w:spacing w:val="-1"/>
        </w:rPr>
        <w:t>“</w:t>
      </w:r>
      <w:r>
        <w:rPr>
          <w:spacing w:val="-1"/>
        </w:rPr>
        <w:t>预期信用损失模型</w:t>
      </w:r>
      <w:r>
        <w:rPr>
          <w:rFonts w:ascii="Times New Roman" w:hAnsi="Times New Roman" w:cs="Times New Roman" w:eastAsia="Times New Roman" w:hint="default"/>
          <w:spacing w:val="-1"/>
        </w:rPr>
        <w:t>”</w:t>
      </w:r>
      <w:r>
        <w:rPr>
          <w:spacing w:val="-1"/>
        </w:rPr>
        <w:t>，适用于以摊余成本计量的金融资</w:t>
      </w:r>
      <w:r>
        <w:rPr/>
        <w:t> 产、以公允价值计量且其变动计入其他综合收益的金融资产、租赁应收款。</w:t>
      </w:r>
    </w:p>
    <w:p>
      <w:pPr>
        <w:pStyle w:val="BodyText"/>
        <w:spacing w:line="240" w:lineRule="auto" w:before="31"/>
        <w:ind w:left="572" w:right="1031"/>
        <w:jc w:val="left"/>
      </w:pPr>
      <w:r>
        <w:rPr/>
        <w:t>①</w:t>
      </w:r>
      <w:r>
        <w:rPr>
          <w:spacing w:val="1"/>
        </w:rPr>
        <w:t> </w:t>
      </w:r>
      <w:r>
        <w:rPr/>
        <w:t>执行新金融工具准则对公司</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日财务报表的主要影响如下：</w:t>
      </w:r>
    </w:p>
    <w:p>
      <w:pPr>
        <w:spacing w:line="240" w:lineRule="auto" w:before="12"/>
        <w:rPr>
          <w:rFonts w:ascii="宋体" w:hAnsi="宋体" w:cs="宋体" w:eastAsia="宋体" w:hint="default"/>
          <w:sz w:val="3"/>
          <w:szCs w:val="3"/>
        </w:rPr>
      </w:pPr>
    </w:p>
    <w:tbl>
      <w:tblPr>
        <w:tblW w:w="0" w:type="auto"/>
        <w:jc w:val="left"/>
        <w:tblInd w:w="102" w:type="dxa"/>
        <w:tblLayout w:type="fixed"/>
        <w:tblCellMar>
          <w:top w:w="0" w:type="dxa"/>
          <w:left w:w="0" w:type="dxa"/>
          <w:bottom w:w="0" w:type="dxa"/>
          <w:right w:w="0" w:type="dxa"/>
        </w:tblCellMar>
        <w:tblLook w:val="01E0"/>
      </w:tblPr>
      <w:tblGrid>
        <w:gridCol w:w="2461"/>
        <w:gridCol w:w="2462"/>
        <w:gridCol w:w="2464"/>
        <w:gridCol w:w="2465"/>
      </w:tblGrid>
      <w:tr>
        <w:trPr>
          <w:trHeight w:val="322" w:hRule="exact"/>
        </w:trPr>
        <w:tc>
          <w:tcPr>
            <w:tcW w:w="2461" w:type="dxa"/>
            <w:vMerge w:val="restart"/>
            <w:tcBorders>
              <w:top w:val="single" w:sz="4" w:space="0" w:color="000000"/>
              <w:left w:val="single" w:sz="4" w:space="0" w:color="000000"/>
              <w:right w:val="single" w:sz="4" w:space="0" w:color="000000"/>
            </w:tcBorders>
            <w:shd w:val="clear" w:color="auto" w:fill="D6D6D6"/>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7391" w:type="dxa"/>
            <w:gridSpan w:val="3"/>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1"/>
              <w:ind w:left="198" w:right="0"/>
              <w:jc w:val="center"/>
              <w:rPr>
                <w:rFonts w:ascii="宋体" w:hAnsi="宋体" w:cs="宋体" w:eastAsia="宋体" w:hint="default"/>
                <w:sz w:val="18"/>
                <w:szCs w:val="18"/>
              </w:rPr>
            </w:pPr>
            <w:r>
              <w:rPr>
                <w:rFonts w:ascii="宋体" w:hAnsi="宋体" w:cs="宋体" w:eastAsia="宋体" w:hint="default"/>
                <w:sz w:val="18"/>
                <w:szCs w:val="18"/>
              </w:rPr>
              <w:t>资产负债表</w:t>
            </w:r>
          </w:p>
        </w:tc>
      </w:tr>
      <w:tr>
        <w:trPr>
          <w:trHeight w:val="634" w:hRule="exact"/>
        </w:trPr>
        <w:tc>
          <w:tcPr>
            <w:tcW w:w="2461" w:type="dxa"/>
            <w:vMerge/>
            <w:tcBorders>
              <w:left w:val="single" w:sz="4" w:space="0" w:color="000000"/>
              <w:bottom w:val="single" w:sz="4" w:space="0" w:color="000000"/>
              <w:right w:val="single" w:sz="4" w:space="0" w:color="000000"/>
            </w:tcBorders>
            <w:shd w:val="clear" w:color="auto" w:fill="D6D6D6"/>
          </w:tcPr>
          <w:p>
            <w:pPr/>
          </w:p>
        </w:tc>
        <w:tc>
          <w:tcPr>
            <w:tcW w:w="2462"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316" w:lineRule="auto" w:before="10"/>
              <w:ind w:left="866" w:right="595" w:hanging="269"/>
              <w:jc w:val="left"/>
              <w:rPr>
                <w:rFonts w:ascii="宋体" w:hAnsi="宋体" w:cs="宋体" w:eastAsia="宋体" w:hint="default"/>
                <w:sz w:val="18"/>
                <w:szCs w:val="18"/>
              </w:rPr>
            </w:pPr>
            <w:r>
              <w:rPr>
                <w:rFonts w:ascii="宋体" w:hAnsi="宋体" w:cs="宋体" w:eastAsia="宋体" w:hint="default"/>
                <w:sz w:val="18"/>
                <w:szCs w:val="18"/>
              </w:rPr>
              <w:t>新金融工具准则 调整影响</w:t>
            </w:r>
          </w:p>
        </w:tc>
        <w:tc>
          <w:tcPr>
            <w:tcW w:w="2465"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5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-1,154,448.73</w:t>
            </w:r>
          </w:p>
        </w:tc>
        <w:tc>
          <w:tcPr>
            <w:tcW w:w="24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579,520,829.00</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-5,608,947.99</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573,911,881.01</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62" w:type="dxa"/>
            <w:tcBorders>
              <w:top w:val="single" w:sz="4" w:space="0" w:color="000000"/>
              <w:left w:val="single" w:sz="4" w:space="0" w:color="000000"/>
              <w:bottom w:val="single" w:sz="4" w:space="0" w:color="000000"/>
              <w:right w:val="single" w:sz="4" w:space="0" w:color="000000"/>
            </w:tcBorders>
          </w:tcPr>
          <w:p>
            <w:pP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1,154,448.73</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46,845,184.54</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-413,154.48</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46,432,030.06</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9,853,267.74</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8"/>
                <w:szCs w:val="18"/>
              </w:rPr>
            </w:pPr>
            <w:r>
              <w:rPr>
                <w:rFonts w:ascii="Times New Roman"/>
                <w:spacing w:val="-1"/>
                <w:sz w:val="18"/>
              </w:rPr>
              <w:t>533,944.17</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10,387,211.91</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118,600,000.00</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-118,600,000.00</w:t>
            </w:r>
          </w:p>
        </w:tc>
        <w:tc>
          <w:tcPr>
            <w:tcW w:w="24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62" w:type="dxa"/>
            <w:tcBorders>
              <w:top w:val="single" w:sz="4" w:space="0" w:color="000000"/>
              <w:left w:val="single" w:sz="4" w:space="0" w:color="000000"/>
              <w:bottom w:val="single" w:sz="4" w:space="0" w:color="000000"/>
              <w:right w:val="single" w:sz="4" w:space="0" w:color="000000"/>
            </w:tcBorders>
          </w:tcPr>
          <w:p>
            <w:pP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8,500,000.00</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462" w:type="dxa"/>
            <w:tcBorders>
              <w:top w:val="single" w:sz="4" w:space="0" w:color="000000"/>
              <w:left w:val="single" w:sz="4" w:space="0" w:color="000000"/>
              <w:bottom w:val="single" w:sz="4" w:space="0" w:color="000000"/>
              <w:right w:val="single" w:sz="4" w:space="0" w:color="000000"/>
            </w:tcBorders>
          </w:tcPr>
          <w:p>
            <w:pP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110,100,000.00</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110,100,000.00</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-15,000,000.00</w:t>
            </w:r>
          </w:p>
        </w:tc>
        <w:tc>
          <w:tcPr>
            <w:tcW w:w="24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62" w:type="dxa"/>
            <w:tcBorders>
              <w:top w:val="single" w:sz="4" w:space="0" w:color="000000"/>
              <w:left w:val="single" w:sz="4" w:space="0" w:color="000000"/>
              <w:bottom w:val="single" w:sz="4" w:space="0" w:color="000000"/>
              <w:right w:val="single" w:sz="4" w:space="0" w:color="000000"/>
            </w:tcBorders>
          </w:tcPr>
          <w:p>
            <w:pP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15,000,000.00</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未分配利润</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599,584,088.72</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-5,061,166.21</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594,522,922.51</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盈余公积</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65,681,002.18</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-425,220.68</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65,255,781.50</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36,929,853.16</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-1,771.41</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36,928,081.75</w:t>
            </w:r>
          </w:p>
        </w:tc>
      </w:tr>
    </w:tbl>
    <w:p>
      <w:pPr>
        <w:pStyle w:val="BodyText"/>
        <w:spacing w:line="309" w:lineRule="auto" w:before="10"/>
        <w:ind w:left="212" w:right="1125" w:firstLine="360"/>
        <w:jc w:val="both"/>
      </w:pPr>
      <w:r>
        <w:rPr>
          <w:rFonts w:ascii="Times New Roman" w:hAnsi="Times New Roman" w:cs="Times New Roman" w:eastAsia="Times New Roman" w:hint="default"/>
        </w:rPr>
        <w:t>[</w:t>
      </w:r>
      <w:r>
        <w:rPr/>
        <w:t>注</w:t>
      </w:r>
      <w:r>
        <w:rPr>
          <w:rFonts w:ascii="Times New Roman" w:hAnsi="Times New Roman" w:cs="Times New Roman" w:eastAsia="Times New Roman" w:hint="default"/>
        </w:rPr>
        <w:t>]</w:t>
      </w:r>
      <w:r>
        <w:rPr/>
        <w:t>：由于新金融工具准则要求金融资产减值计量由</w:t>
      </w:r>
      <w:r>
        <w:rPr>
          <w:rFonts w:ascii="Times New Roman" w:hAnsi="Times New Roman" w:cs="Times New Roman" w:eastAsia="Times New Roman" w:hint="default"/>
        </w:rPr>
        <w:t>“</w:t>
      </w:r>
      <w:r>
        <w:rPr/>
        <w:t>已发生损失模型</w:t>
      </w:r>
      <w:r>
        <w:rPr>
          <w:rFonts w:ascii="Times New Roman" w:hAnsi="Times New Roman" w:cs="Times New Roman" w:eastAsia="Times New Roman" w:hint="default"/>
        </w:rPr>
        <w:t>”</w:t>
      </w:r>
      <w:r>
        <w:rPr/>
        <w:t>改为</w:t>
      </w:r>
      <w:r>
        <w:rPr>
          <w:rFonts w:ascii="Times New Roman" w:hAnsi="Times New Roman" w:cs="Times New Roman" w:eastAsia="Times New Roman" w:hint="default"/>
        </w:rPr>
        <w:t>“</w:t>
      </w:r>
      <w:r>
        <w:rPr/>
        <w:t>预期信用损失模型</w:t>
      </w:r>
      <w:r>
        <w:rPr>
          <w:rFonts w:ascii="Times New Roman" w:hAnsi="Times New Roman" w:cs="Times New Roman" w:eastAsia="Times New Roman" w:hint="default"/>
        </w:rPr>
        <w:t>”</w:t>
      </w:r>
      <w:r>
        <w:rPr/>
        <w:t>，公司对合并范围内子 公司的往来款不再计提坏账准备及对应收外部客户账款通过编制组合账龄与整个存续期预期信用损失率对照表计算预期信</w:t>
      </w:r>
      <w:r>
        <w:rPr>
          <w:spacing w:val="-9"/>
        </w:rPr>
        <w:t> </w:t>
      </w:r>
      <w:r>
        <w:rPr>
          <w:spacing w:val="-9"/>
        </w:rPr>
      </w:r>
      <w:r>
        <w:rPr/>
        <w:t>用损失，相应调整增加公司期初其他应收款坏账准备</w:t>
      </w:r>
      <w:r>
        <w:rPr>
          <w:spacing w:val="-54"/>
        </w:rPr>
        <w:t> </w:t>
      </w:r>
      <w:r>
        <w:rPr>
          <w:rFonts w:ascii="Times New Roman" w:hAnsi="Times New Roman" w:cs="Times New Roman" w:eastAsia="Times New Roman" w:hint="default"/>
        </w:rPr>
        <w:t>413,154.48</w:t>
      </w:r>
      <w:r>
        <w:rPr>
          <w:rFonts w:ascii="Times New Roman" w:hAnsi="Times New Roman" w:cs="Times New Roman" w:eastAsia="Times New Roman" w:hint="default"/>
          <w:spacing w:val="-10"/>
        </w:rPr>
        <w:t> </w:t>
      </w:r>
      <w:r>
        <w:rPr/>
        <w:t>元、增加公司期初应收账款坏账准备</w:t>
      </w:r>
      <w:r>
        <w:rPr>
          <w:spacing w:val="-52"/>
        </w:rPr>
        <w:t> </w:t>
      </w:r>
      <w:r>
        <w:rPr>
          <w:rFonts w:ascii="Times New Roman" w:hAnsi="Times New Roman" w:cs="Times New Roman" w:eastAsia="Times New Roman" w:hint="default"/>
        </w:rPr>
        <w:t>5,608,947.99</w:t>
      </w:r>
      <w:r>
        <w:rPr>
          <w:rFonts w:ascii="Times New Roman" w:hAnsi="Times New Roman" w:cs="Times New Roman" w:eastAsia="Times New Roman" w:hint="default"/>
          <w:spacing w:val="-10"/>
        </w:rPr>
        <w:t> </w:t>
      </w:r>
      <w:r>
        <w:rPr>
          <w:spacing w:val="-3"/>
        </w:rPr>
        <w:t>元、增加</w:t>
      </w:r>
    </w:p>
    <w:p>
      <w:pPr>
        <w:pStyle w:val="BodyText"/>
        <w:spacing w:line="240" w:lineRule="auto" w:before="5"/>
        <w:ind w:left="212" w:right="1031"/>
        <w:jc w:val="left"/>
      </w:pPr>
      <w:r>
        <w:rPr/>
        <w:t>期初递延所得税资产</w:t>
      </w:r>
      <w:r>
        <w:rPr>
          <w:spacing w:val="-48"/>
        </w:rPr>
        <w:t> </w:t>
      </w:r>
      <w:r>
        <w:rPr>
          <w:rFonts w:ascii="Times New Roman" w:hAnsi="Times New Roman" w:cs="Times New Roman" w:eastAsia="Times New Roman" w:hint="default"/>
        </w:rPr>
        <w:t>533,944.17</w:t>
      </w:r>
      <w:r>
        <w:rPr>
          <w:rFonts w:ascii="Times New Roman" w:hAnsi="Times New Roman" w:cs="Times New Roman" w:eastAsia="Times New Roman" w:hint="default"/>
          <w:spacing w:val="-4"/>
        </w:rPr>
        <w:t> </w:t>
      </w:r>
      <w:r>
        <w:rPr/>
        <w:t>元，同时调整减少公司期初盈余公积</w:t>
      </w:r>
      <w:r>
        <w:rPr>
          <w:spacing w:val="-48"/>
        </w:rPr>
        <w:t> </w:t>
      </w:r>
      <w:r>
        <w:rPr>
          <w:rFonts w:ascii="Times New Roman" w:hAnsi="Times New Roman" w:cs="Times New Roman" w:eastAsia="Times New Roman" w:hint="default"/>
        </w:rPr>
        <w:t>425,220.68</w:t>
      </w:r>
      <w:r>
        <w:rPr>
          <w:rFonts w:ascii="Times New Roman" w:hAnsi="Times New Roman" w:cs="Times New Roman" w:eastAsia="Times New Roman" w:hint="default"/>
          <w:spacing w:val="-4"/>
        </w:rPr>
        <w:t> </w:t>
      </w:r>
      <w:r>
        <w:rPr/>
        <w:t>元、减少期初未分配利润</w:t>
      </w:r>
      <w:r>
        <w:rPr>
          <w:spacing w:val="-48"/>
        </w:rPr>
        <w:t> </w:t>
      </w:r>
      <w:r>
        <w:rPr>
          <w:rFonts w:ascii="Times New Roman" w:hAnsi="Times New Roman" w:cs="Times New Roman" w:eastAsia="Times New Roman" w:hint="default"/>
        </w:rPr>
        <w:t>5,061,166.21</w:t>
      </w:r>
      <w:r>
        <w:rPr>
          <w:rFonts w:ascii="Times New Roman" w:hAnsi="Times New Roman" w:cs="Times New Roman" w:eastAsia="Times New Roman" w:hint="default"/>
          <w:spacing w:val="-4"/>
        </w:rPr>
        <w:t> </w:t>
      </w:r>
      <w:r>
        <w:rPr/>
        <w:t>元、</w:t>
      </w:r>
    </w:p>
    <w:p>
      <w:pPr>
        <w:pStyle w:val="BodyText"/>
        <w:spacing w:line="240" w:lineRule="auto" w:before="63"/>
        <w:ind w:left="212" w:right="1031"/>
        <w:jc w:val="left"/>
      </w:pPr>
      <w:r>
        <w:rPr/>
        <w:t>减少期初少数股东权益</w:t>
      </w:r>
      <w:r>
        <w:rPr>
          <w:spacing w:val="-47"/>
        </w:rPr>
        <w:t> </w:t>
      </w:r>
      <w:r>
        <w:rPr>
          <w:rFonts w:ascii="Times New Roman" w:hAnsi="Times New Roman" w:cs="Times New Roman" w:eastAsia="Times New Roman" w:hint="default"/>
        </w:rPr>
        <w:t>1,771.41</w:t>
      </w:r>
      <w:r>
        <w:rPr>
          <w:rFonts w:ascii="Times New Roman" w:hAnsi="Times New Roman" w:cs="Times New Roman" w:eastAsia="Times New Roman" w:hint="default"/>
          <w:spacing w:val="-3"/>
        </w:rPr>
        <w:t> </w:t>
      </w:r>
      <w:r>
        <w:rPr/>
        <w:t>元。</w:t>
      </w:r>
    </w:p>
    <w:p>
      <w:pPr>
        <w:pStyle w:val="BodyText"/>
        <w:spacing w:line="300" w:lineRule="auto" w:before="63"/>
        <w:ind w:left="212" w:right="1141" w:firstLine="360"/>
        <w:jc w:val="both"/>
      </w:pPr>
      <w:r>
        <w:rPr/>
        <w:t>②</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日，公司金融资产和金融负债按照新金融工具准则和按原金融工具准则的规定进行分类和计量结果对 比如下表：</w:t>
      </w:r>
    </w:p>
    <w:tbl>
      <w:tblPr>
        <w:tblW w:w="0" w:type="auto"/>
        <w:jc w:val="left"/>
        <w:tblInd w:w="103" w:type="dxa"/>
        <w:tblLayout w:type="fixed"/>
        <w:tblCellMar>
          <w:top w:w="0" w:type="dxa"/>
          <w:left w:w="0" w:type="dxa"/>
          <w:bottom w:w="0" w:type="dxa"/>
          <w:right w:w="0" w:type="dxa"/>
        </w:tblCellMar>
        <w:tblLook w:val="01E0"/>
      </w:tblPr>
      <w:tblGrid>
        <w:gridCol w:w="2179"/>
        <w:gridCol w:w="1973"/>
        <w:gridCol w:w="1782"/>
        <w:gridCol w:w="2103"/>
        <w:gridCol w:w="1813"/>
      </w:tblGrid>
      <w:tr>
        <w:trPr>
          <w:trHeight w:val="322" w:hRule="exact"/>
        </w:trPr>
        <w:tc>
          <w:tcPr>
            <w:tcW w:w="2179" w:type="dxa"/>
            <w:vMerge w:val="restart"/>
            <w:tcBorders>
              <w:top w:val="single" w:sz="4" w:space="0" w:color="000000"/>
              <w:left w:val="single" w:sz="4" w:space="0" w:color="000000"/>
              <w:right w:val="single" w:sz="4" w:space="0" w:color="000000"/>
            </w:tcBorders>
            <w:shd w:val="clear" w:color="auto" w:fill="D6D6D6"/>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90"/>
                <w:sz w:val="18"/>
                <w:szCs w:val="18"/>
              </w:rPr>
              <w:t> </w:t>
            </w:r>
            <w:r>
              <w:rPr>
                <w:rFonts w:ascii="宋体" w:hAnsi="宋体" w:cs="宋体" w:eastAsia="宋体" w:hint="default"/>
                <w:sz w:val="18"/>
                <w:szCs w:val="18"/>
              </w:rPr>
              <w:t>目</w:t>
            </w:r>
          </w:p>
        </w:tc>
        <w:tc>
          <w:tcPr>
            <w:tcW w:w="3755" w:type="dxa"/>
            <w:gridSpan w:val="2"/>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2"/>
              <w:ind w:left="1340" w:right="0"/>
              <w:jc w:val="left"/>
              <w:rPr>
                <w:rFonts w:ascii="宋体" w:hAnsi="宋体" w:cs="宋体" w:eastAsia="宋体" w:hint="default"/>
                <w:sz w:val="18"/>
                <w:szCs w:val="18"/>
              </w:rPr>
            </w:pPr>
            <w:r>
              <w:rPr>
                <w:rFonts w:ascii="宋体" w:hAnsi="宋体" w:cs="宋体" w:eastAsia="宋体" w:hint="default"/>
                <w:sz w:val="18"/>
                <w:szCs w:val="18"/>
              </w:rPr>
              <w:t>原金融工具准则</w:t>
            </w:r>
          </w:p>
        </w:tc>
        <w:tc>
          <w:tcPr>
            <w:tcW w:w="3916" w:type="dxa"/>
            <w:gridSpan w:val="2"/>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2"/>
              <w:ind w:left="1423" w:right="0"/>
              <w:jc w:val="left"/>
              <w:rPr>
                <w:rFonts w:ascii="宋体" w:hAnsi="宋体" w:cs="宋体" w:eastAsia="宋体" w:hint="default"/>
                <w:sz w:val="18"/>
                <w:szCs w:val="18"/>
              </w:rPr>
            </w:pPr>
            <w:r>
              <w:rPr>
                <w:rFonts w:ascii="宋体" w:hAnsi="宋体" w:cs="宋体" w:eastAsia="宋体" w:hint="default"/>
                <w:sz w:val="18"/>
                <w:szCs w:val="18"/>
              </w:rPr>
              <w:t>新金融工具准则</w:t>
            </w:r>
          </w:p>
        </w:tc>
      </w:tr>
      <w:tr>
        <w:trPr>
          <w:trHeight w:val="322" w:hRule="exact"/>
        </w:trPr>
        <w:tc>
          <w:tcPr>
            <w:tcW w:w="2179" w:type="dxa"/>
            <w:vMerge/>
            <w:tcBorders>
              <w:left w:val="single" w:sz="4" w:space="0" w:color="000000"/>
              <w:bottom w:val="single" w:sz="4" w:space="0" w:color="000000"/>
              <w:right w:val="single" w:sz="4" w:space="0" w:color="000000"/>
            </w:tcBorders>
            <w:shd w:val="clear" w:color="auto" w:fill="D6D6D6"/>
          </w:tcPr>
          <w:p>
            <w:pPr/>
          </w:p>
        </w:tc>
        <w:tc>
          <w:tcPr>
            <w:tcW w:w="1973"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1"/>
              <w:ind w:left="721"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782"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1"/>
              <w:ind w:left="62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2103"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1"/>
              <w:ind w:left="785"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813"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1"/>
              <w:ind w:left="64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20"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贷款和应收款项</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723" w:right="0"/>
              <w:jc w:val="left"/>
              <w:rPr>
                <w:rFonts w:ascii="Times New Roman" w:hAnsi="Times New Roman" w:cs="Times New Roman" w:eastAsia="Times New Roman" w:hint="default"/>
                <w:sz w:val="18"/>
                <w:szCs w:val="18"/>
              </w:rPr>
            </w:pPr>
            <w:r>
              <w:rPr>
                <w:rFonts w:ascii="Times New Roman"/>
                <w:sz w:val="18"/>
              </w:rPr>
              <w:t>1,154,448.73</w:t>
            </w:r>
          </w:p>
        </w:tc>
        <w:tc>
          <w:tcPr>
            <w:tcW w:w="2103" w:type="dxa"/>
            <w:tcBorders>
              <w:top w:val="single" w:sz="4" w:space="0" w:color="000000"/>
              <w:left w:val="single" w:sz="4" w:space="0" w:color="000000"/>
              <w:bottom w:val="single" w:sz="4" w:space="0" w:color="000000"/>
              <w:right w:val="single" w:sz="4" w:space="0" w:color="000000"/>
            </w:tcBorders>
          </w:tcPr>
          <w:p>
            <w:pPr/>
          </w:p>
        </w:tc>
        <w:tc>
          <w:tcPr>
            <w:tcW w:w="181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920" w:right="0"/>
        </w:sectPr>
      </w:pPr>
    </w:p>
    <w:p>
      <w:pPr>
        <w:spacing w:line="240" w:lineRule="auto" w:before="6"/>
        <w:rPr>
          <w:rFonts w:ascii="宋体" w:hAnsi="宋体" w:cs="宋体" w:eastAsia="宋体" w:hint="default"/>
          <w:sz w:val="25"/>
          <w:szCs w:val="25"/>
        </w:rPr>
      </w:pPr>
    </w:p>
    <w:tbl>
      <w:tblPr>
        <w:tblW w:w="0" w:type="auto"/>
        <w:jc w:val="left"/>
        <w:tblInd w:w="103" w:type="dxa"/>
        <w:tblLayout w:type="fixed"/>
        <w:tblCellMar>
          <w:top w:w="0" w:type="dxa"/>
          <w:left w:w="0" w:type="dxa"/>
          <w:bottom w:w="0" w:type="dxa"/>
          <w:right w:w="0" w:type="dxa"/>
        </w:tblCellMar>
        <w:tblLook w:val="01E0"/>
      </w:tblPr>
      <w:tblGrid>
        <w:gridCol w:w="2179"/>
        <w:gridCol w:w="1973"/>
        <w:gridCol w:w="1782"/>
        <w:gridCol w:w="2103"/>
        <w:gridCol w:w="1813"/>
      </w:tblGrid>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贷款和应收款项</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579,520,829.00</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573,911,881.01</w:t>
            </w:r>
          </w:p>
        </w:tc>
      </w:tr>
      <w:tr>
        <w:trPr>
          <w:trHeight w:val="946"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973" w:type="dxa"/>
            <w:tcBorders>
              <w:top w:val="single" w:sz="4" w:space="0" w:color="000000"/>
              <w:left w:val="single" w:sz="4" w:space="0" w:color="000000"/>
              <w:bottom w:val="single" w:sz="4" w:space="0" w:color="000000"/>
              <w:right w:val="single" w:sz="4" w:space="0" w:color="000000"/>
            </w:tcBorders>
          </w:tcPr>
          <w:p>
            <w:pPr/>
          </w:p>
        </w:tc>
        <w:tc>
          <w:tcPr>
            <w:tcW w:w="1782"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both"/>
              <w:rPr>
                <w:rFonts w:ascii="宋体" w:hAnsi="宋体" w:cs="宋体" w:eastAsia="宋体" w:hint="default"/>
                <w:sz w:val="18"/>
                <w:szCs w:val="18"/>
              </w:rPr>
            </w:pPr>
            <w:r>
              <w:rPr>
                <w:rFonts w:ascii="宋体" w:hAnsi="宋体" w:cs="宋体" w:eastAsia="宋体" w:hint="default"/>
                <w:spacing w:val="8"/>
                <w:sz w:val="18"/>
                <w:szCs w:val="18"/>
              </w:rPr>
              <w:t>以公允价值计量且其变</w:t>
            </w:r>
            <w:r>
              <w:rPr>
                <w:rFonts w:ascii="宋体" w:hAnsi="宋体" w:cs="宋体" w:eastAsia="宋体" w:hint="default"/>
                <w:sz w:val="18"/>
                <w:szCs w:val="18"/>
              </w:rPr>
              <w:t> </w:t>
            </w:r>
            <w:r>
              <w:rPr>
                <w:rFonts w:ascii="宋体" w:hAnsi="宋体" w:cs="宋体" w:eastAsia="宋体" w:hint="default"/>
                <w:spacing w:val="8"/>
                <w:sz w:val="18"/>
                <w:szCs w:val="18"/>
              </w:rPr>
              <w:t>动计入其他综合收益的</w:t>
            </w:r>
            <w:r>
              <w:rPr>
                <w:rFonts w:ascii="宋体" w:hAnsi="宋体" w:cs="宋体" w:eastAsia="宋体" w:hint="default"/>
                <w:sz w:val="18"/>
                <w:szCs w:val="18"/>
              </w:rPr>
              <w:t> 金融资产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01"/>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贷款和应收款项</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46,845,184.54</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46,432,030.06</w:t>
            </w:r>
          </w:p>
        </w:tc>
      </w:tr>
      <w:tr>
        <w:trPr>
          <w:trHeight w:val="946"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2"/>
              <w:jc w:val="both"/>
              <w:rPr>
                <w:rFonts w:ascii="宋体" w:hAnsi="宋体" w:cs="宋体" w:eastAsia="宋体" w:hint="default"/>
                <w:sz w:val="18"/>
                <w:szCs w:val="18"/>
              </w:rPr>
            </w:pPr>
            <w:r>
              <w:rPr>
                <w:rFonts w:ascii="宋体" w:hAnsi="宋体" w:cs="宋体" w:eastAsia="宋体" w:hint="default"/>
                <w:spacing w:val="14"/>
                <w:sz w:val="18"/>
                <w:szCs w:val="18"/>
              </w:rPr>
              <w:t>以公允价值计量且其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4"/>
                <w:sz w:val="18"/>
                <w:szCs w:val="18"/>
              </w:rPr>
              <w:t>变动计入其他综合收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益的金融资产</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118,600,000.00</w:t>
            </w:r>
          </w:p>
        </w:tc>
        <w:tc>
          <w:tcPr>
            <w:tcW w:w="2103" w:type="dxa"/>
            <w:tcBorders>
              <w:top w:val="single" w:sz="4" w:space="0" w:color="000000"/>
              <w:left w:val="single" w:sz="4" w:space="0" w:color="000000"/>
              <w:bottom w:val="single" w:sz="4" w:space="0" w:color="000000"/>
              <w:right w:val="single" w:sz="4" w:space="0" w:color="000000"/>
            </w:tcBorders>
          </w:tcPr>
          <w:p>
            <w:pPr/>
          </w:p>
        </w:tc>
        <w:tc>
          <w:tcPr>
            <w:tcW w:w="181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贷款和应收款项</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15,000,000.00</w:t>
            </w:r>
          </w:p>
        </w:tc>
        <w:tc>
          <w:tcPr>
            <w:tcW w:w="2103" w:type="dxa"/>
            <w:tcBorders>
              <w:top w:val="single" w:sz="4" w:space="0" w:color="000000"/>
              <w:left w:val="single" w:sz="4" w:space="0" w:color="000000"/>
              <w:bottom w:val="single" w:sz="4" w:space="0" w:color="000000"/>
              <w:right w:val="single" w:sz="4" w:space="0" w:color="000000"/>
            </w:tcBorders>
          </w:tcPr>
          <w:p>
            <w:pPr/>
          </w:p>
        </w:tc>
        <w:tc>
          <w:tcPr>
            <w:tcW w:w="181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1973" w:type="dxa"/>
            <w:tcBorders>
              <w:top w:val="single" w:sz="4" w:space="0" w:color="000000"/>
              <w:left w:val="single" w:sz="4" w:space="0" w:color="000000"/>
              <w:bottom w:val="single" w:sz="4" w:space="0" w:color="000000"/>
              <w:right w:val="single" w:sz="4" w:space="0" w:color="000000"/>
            </w:tcBorders>
          </w:tcPr>
          <w:p>
            <w:pPr/>
          </w:p>
        </w:tc>
        <w:tc>
          <w:tcPr>
            <w:tcW w:w="1782"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2"/>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946"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973" w:type="dxa"/>
            <w:tcBorders>
              <w:top w:val="single" w:sz="4" w:space="0" w:color="000000"/>
              <w:left w:val="single" w:sz="4" w:space="0" w:color="000000"/>
              <w:bottom w:val="single" w:sz="4" w:space="0" w:color="000000"/>
              <w:right w:val="single" w:sz="4" w:space="0" w:color="000000"/>
            </w:tcBorders>
          </w:tcPr>
          <w:p>
            <w:pPr/>
          </w:p>
        </w:tc>
        <w:tc>
          <w:tcPr>
            <w:tcW w:w="1782"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both"/>
              <w:rPr>
                <w:rFonts w:ascii="宋体" w:hAnsi="宋体" w:cs="宋体" w:eastAsia="宋体" w:hint="default"/>
                <w:sz w:val="18"/>
                <w:szCs w:val="18"/>
              </w:rPr>
            </w:pPr>
            <w:r>
              <w:rPr>
                <w:rFonts w:ascii="宋体" w:hAnsi="宋体" w:cs="宋体" w:eastAsia="宋体" w:hint="default"/>
                <w:spacing w:val="8"/>
                <w:sz w:val="18"/>
                <w:szCs w:val="18"/>
              </w:rPr>
              <w:t>以公允价值计量且其变</w:t>
            </w:r>
            <w:r>
              <w:rPr>
                <w:rFonts w:ascii="宋体" w:hAnsi="宋体" w:cs="宋体" w:eastAsia="宋体" w:hint="default"/>
                <w:sz w:val="18"/>
                <w:szCs w:val="18"/>
              </w:rPr>
              <w:t> </w:t>
            </w:r>
            <w:r>
              <w:rPr>
                <w:rFonts w:ascii="宋体" w:hAnsi="宋体" w:cs="宋体" w:eastAsia="宋体" w:hint="default"/>
                <w:spacing w:val="8"/>
                <w:sz w:val="18"/>
                <w:szCs w:val="18"/>
              </w:rPr>
              <w:t>动计入其他综合收益的</w:t>
            </w:r>
            <w:r>
              <w:rPr>
                <w:rFonts w:ascii="宋体" w:hAnsi="宋体" w:cs="宋体" w:eastAsia="宋体" w:hint="default"/>
                <w:sz w:val="18"/>
                <w:szCs w:val="18"/>
              </w:rPr>
              <w:t> 金融资产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946"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1973" w:type="dxa"/>
            <w:tcBorders>
              <w:top w:val="single" w:sz="4" w:space="0" w:color="000000"/>
              <w:left w:val="single" w:sz="4" w:space="0" w:color="000000"/>
              <w:bottom w:val="single" w:sz="4" w:space="0" w:color="000000"/>
              <w:right w:val="single" w:sz="4" w:space="0" w:color="000000"/>
            </w:tcBorders>
          </w:tcPr>
          <w:p>
            <w:pPr/>
          </w:p>
        </w:tc>
        <w:tc>
          <w:tcPr>
            <w:tcW w:w="1782"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both"/>
              <w:rPr>
                <w:rFonts w:ascii="宋体" w:hAnsi="宋体" w:cs="宋体" w:eastAsia="宋体" w:hint="default"/>
                <w:sz w:val="18"/>
                <w:szCs w:val="18"/>
              </w:rPr>
            </w:pPr>
            <w:r>
              <w:rPr>
                <w:rFonts w:ascii="宋体" w:hAnsi="宋体" w:cs="宋体" w:eastAsia="宋体" w:hint="default"/>
                <w:spacing w:val="8"/>
                <w:sz w:val="18"/>
                <w:szCs w:val="18"/>
              </w:rPr>
              <w:t>以公允价值计量且其变</w:t>
            </w:r>
            <w:r>
              <w:rPr>
                <w:rFonts w:ascii="宋体" w:hAnsi="宋体" w:cs="宋体" w:eastAsia="宋体" w:hint="default"/>
                <w:sz w:val="18"/>
                <w:szCs w:val="18"/>
              </w:rPr>
              <w:t> </w:t>
            </w:r>
            <w:r>
              <w:rPr>
                <w:rFonts w:ascii="宋体" w:hAnsi="宋体" w:cs="宋体" w:eastAsia="宋体" w:hint="default"/>
                <w:spacing w:val="8"/>
                <w:sz w:val="18"/>
                <w:szCs w:val="18"/>
              </w:rPr>
              <w:t>动计入当期损益的金融</w:t>
            </w:r>
            <w:r>
              <w:rPr>
                <w:rFonts w:ascii="宋体" w:hAnsi="宋体" w:cs="宋体" w:eastAsia="宋体" w:hint="default"/>
                <w:sz w:val="18"/>
                <w:szCs w:val="18"/>
              </w:rPr>
              <w:t> 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98"/>
              <w:jc w:val="right"/>
              <w:rPr>
                <w:rFonts w:ascii="Times New Roman" w:hAnsi="Times New Roman" w:cs="Times New Roman" w:eastAsia="Times New Roman" w:hint="default"/>
                <w:sz w:val="18"/>
                <w:szCs w:val="18"/>
              </w:rPr>
            </w:pPr>
            <w:r>
              <w:rPr>
                <w:rFonts w:ascii="Times New Roman"/>
                <w:spacing w:val="-1"/>
                <w:sz w:val="18"/>
              </w:rPr>
              <w:t>110,100,000.00</w:t>
            </w: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2"/>
              <w:jc w:val="left"/>
              <w:rPr>
                <w:rFonts w:ascii="宋体" w:hAnsi="宋体" w:cs="宋体" w:eastAsia="宋体" w:hint="default"/>
                <w:sz w:val="18"/>
                <w:szCs w:val="18"/>
              </w:rPr>
            </w:pPr>
            <w:r>
              <w:rPr>
                <w:rFonts w:ascii="宋体" w:hAnsi="宋体" w:cs="宋体" w:eastAsia="宋体" w:hint="default"/>
                <w:spacing w:val="14"/>
                <w:sz w:val="18"/>
                <w:szCs w:val="18"/>
              </w:rPr>
              <w:t>以摊余成本计量的金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融负债</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7,249,126.60</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负债</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7,249,126.60</w:t>
            </w: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2"/>
              <w:jc w:val="left"/>
              <w:rPr>
                <w:rFonts w:ascii="宋体" w:hAnsi="宋体" w:cs="宋体" w:eastAsia="宋体" w:hint="default"/>
                <w:sz w:val="18"/>
                <w:szCs w:val="18"/>
              </w:rPr>
            </w:pPr>
            <w:r>
              <w:rPr>
                <w:rFonts w:ascii="宋体" w:hAnsi="宋体" w:cs="宋体" w:eastAsia="宋体" w:hint="default"/>
                <w:spacing w:val="14"/>
                <w:sz w:val="18"/>
                <w:szCs w:val="18"/>
              </w:rPr>
              <w:t>以摊余成本计量的金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融负债</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224,340,891.35</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负债</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224,340,891.35</w:t>
            </w: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2"/>
              <w:jc w:val="left"/>
              <w:rPr>
                <w:rFonts w:ascii="宋体" w:hAnsi="宋体" w:cs="宋体" w:eastAsia="宋体" w:hint="default"/>
                <w:sz w:val="18"/>
                <w:szCs w:val="18"/>
              </w:rPr>
            </w:pPr>
            <w:r>
              <w:rPr>
                <w:rFonts w:ascii="宋体" w:hAnsi="宋体" w:cs="宋体" w:eastAsia="宋体" w:hint="default"/>
                <w:spacing w:val="14"/>
                <w:sz w:val="18"/>
                <w:szCs w:val="18"/>
              </w:rPr>
              <w:t>以摊余成本计量的金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融负债</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59,760,398.83</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负债</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59,760,398.83</w:t>
            </w:r>
          </w:p>
        </w:tc>
      </w:tr>
    </w:tbl>
    <w:p>
      <w:pPr>
        <w:pStyle w:val="BodyText"/>
        <w:spacing w:line="300" w:lineRule="auto" w:before="12"/>
        <w:ind w:left="212" w:right="1127" w:firstLine="360"/>
        <w:jc w:val="left"/>
      </w:pPr>
      <w:r>
        <w:rPr/>
        <w:t>③</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日，公司原金融资产和金融负债账面价值调整为按照新金融工具准则的规定进行分类和计量的新金融 资产和金融负债账面价值的调节表如下：</w:t>
      </w:r>
    </w:p>
    <w:tbl>
      <w:tblPr>
        <w:tblW w:w="0" w:type="auto"/>
        <w:jc w:val="left"/>
        <w:tblInd w:w="103" w:type="dxa"/>
        <w:tblLayout w:type="fixed"/>
        <w:tblCellMar>
          <w:top w:w="0" w:type="dxa"/>
          <w:left w:w="0" w:type="dxa"/>
          <w:bottom w:w="0" w:type="dxa"/>
          <w:right w:w="0" w:type="dxa"/>
        </w:tblCellMar>
        <w:tblLook w:val="01E0"/>
      </w:tblPr>
      <w:tblGrid>
        <w:gridCol w:w="2147"/>
        <w:gridCol w:w="2146"/>
        <w:gridCol w:w="1867"/>
        <w:gridCol w:w="1740"/>
        <w:gridCol w:w="1950"/>
      </w:tblGrid>
      <w:tr>
        <w:trPr>
          <w:trHeight w:val="946" w:hRule="exact"/>
        </w:trPr>
        <w:tc>
          <w:tcPr>
            <w:tcW w:w="2147"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887"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2146"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316" w:lineRule="auto" w:before="11"/>
              <w:ind w:left="125" w:right="119" w:firstLine="1"/>
              <w:jc w:val="center"/>
              <w:rPr>
                <w:rFonts w:ascii="Times New Roman" w:hAnsi="Times New Roman" w:cs="Times New Roman" w:eastAsia="Times New Roman" w:hint="default"/>
                <w:sz w:val="18"/>
                <w:szCs w:val="18"/>
              </w:rPr>
            </w:pPr>
            <w:r>
              <w:rPr>
                <w:rFonts w:ascii="宋体" w:hAnsi="宋体" w:cs="宋体" w:eastAsia="宋体" w:hint="default"/>
                <w:sz w:val="18"/>
                <w:szCs w:val="18"/>
              </w:rPr>
              <w:t>按原金融工具准则列示 的账面价值（</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p>
          <w:p>
            <w:pPr>
              <w:pStyle w:val="TableParagraph"/>
              <w:spacing w:line="248" w:lineRule="exact"/>
              <w:ind w:left="5" w:right="0"/>
              <w:jc w:val="center"/>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867"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60" w:right="0"/>
              <w:jc w:val="left"/>
              <w:rPr>
                <w:rFonts w:ascii="宋体" w:hAnsi="宋体" w:cs="宋体" w:eastAsia="宋体" w:hint="default"/>
                <w:sz w:val="18"/>
                <w:szCs w:val="18"/>
              </w:rPr>
            </w:pPr>
            <w:r>
              <w:rPr>
                <w:rFonts w:ascii="宋体" w:hAnsi="宋体" w:cs="宋体" w:eastAsia="宋体" w:hint="default"/>
                <w:sz w:val="18"/>
                <w:szCs w:val="18"/>
              </w:rPr>
              <w:t>重分类</w:t>
            </w:r>
          </w:p>
        </w:tc>
        <w:tc>
          <w:tcPr>
            <w:tcW w:w="1740"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08"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1950"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309" w:lineRule="auto" w:before="11"/>
              <w:ind w:left="163" w:right="155"/>
              <w:jc w:val="center"/>
              <w:rPr>
                <w:rFonts w:ascii="宋体" w:hAnsi="宋体" w:cs="宋体" w:eastAsia="宋体" w:hint="default"/>
                <w:sz w:val="18"/>
                <w:szCs w:val="18"/>
              </w:rPr>
            </w:pPr>
            <w:r>
              <w:rPr>
                <w:rFonts w:ascii="宋体" w:hAnsi="宋体" w:cs="宋体" w:eastAsia="宋体" w:hint="default"/>
                <w:sz w:val="18"/>
                <w:szCs w:val="18"/>
              </w:rPr>
              <w:t>按新金融工具准则列 示的账面价值（</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金融资产</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摊余成本</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5"/>
              <w:jc w:val="right"/>
              <w:rPr>
                <w:rFonts w:ascii="Times New Roman" w:hAnsi="Times New Roman" w:cs="Times New Roman" w:eastAsia="Times New Roman" w:hint="default"/>
                <w:sz w:val="18"/>
                <w:szCs w:val="18"/>
              </w:rPr>
            </w:pPr>
            <w:r>
              <w:rPr>
                <w:rFonts w:ascii="Times New Roman"/>
                <w:spacing w:val="-1"/>
                <w:sz w:val="18"/>
              </w:rPr>
              <w:t>1,154,448.73</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5"/>
              <w:jc w:val="right"/>
              <w:rPr>
                <w:rFonts w:ascii="Times New Roman" w:hAnsi="Times New Roman" w:cs="Times New Roman" w:eastAsia="Times New Roman" w:hint="default"/>
                <w:sz w:val="18"/>
                <w:szCs w:val="18"/>
              </w:rPr>
            </w:pPr>
            <w:r>
              <w:rPr>
                <w:rFonts w:ascii="Times New Roman"/>
                <w:spacing w:val="-1"/>
                <w:sz w:val="18"/>
              </w:rPr>
              <w:t>579,520,829.00</w:t>
            </w:r>
          </w:p>
        </w:tc>
        <w:tc>
          <w:tcPr>
            <w:tcW w:w="1867" w:type="dxa"/>
            <w:tcBorders>
              <w:top w:val="single" w:sz="4" w:space="0" w:color="000000"/>
              <w:left w:val="single" w:sz="4" w:space="0" w:color="000000"/>
              <w:bottom w:val="single" w:sz="4" w:space="0" w:color="000000"/>
              <w:right w:val="single" w:sz="4" w:space="0" w:color="000000"/>
            </w:tcBorders>
          </w:tcPr>
          <w:p>
            <w:pP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12"/>
              <w:jc w:val="right"/>
              <w:rPr>
                <w:rFonts w:ascii="Times New Roman" w:hAnsi="Times New Roman" w:cs="Times New Roman" w:eastAsia="Times New Roman" w:hint="default"/>
                <w:sz w:val="18"/>
                <w:szCs w:val="18"/>
              </w:rPr>
            </w:pPr>
            <w:r>
              <w:rPr>
                <w:rFonts w:ascii="Times New Roman"/>
                <w:spacing w:val="-1"/>
                <w:sz w:val="18"/>
              </w:rPr>
              <w:t>-5,608,947.99</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573,911,881.01</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5"/>
              <w:jc w:val="right"/>
              <w:rPr>
                <w:rFonts w:ascii="Times New Roman" w:hAnsi="Times New Roman" w:cs="Times New Roman" w:eastAsia="Times New Roman" w:hint="default"/>
                <w:sz w:val="18"/>
                <w:szCs w:val="18"/>
              </w:rPr>
            </w:pPr>
            <w:r>
              <w:rPr>
                <w:rFonts w:ascii="Times New Roman"/>
                <w:spacing w:val="-1"/>
                <w:sz w:val="18"/>
              </w:rPr>
              <w:t>46,845,184.54</w:t>
            </w:r>
          </w:p>
        </w:tc>
        <w:tc>
          <w:tcPr>
            <w:tcW w:w="1867" w:type="dxa"/>
            <w:tcBorders>
              <w:top w:val="single" w:sz="4" w:space="0" w:color="000000"/>
              <w:left w:val="single" w:sz="4" w:space="0" w:color="000000"/>
              <w:bottom w:val="single" w:sz="4" w:space="0" w:color="000000"/>
              <w:right w:val="single" w:sz="4" w:space="0" w:color="000000"/>
            </w:tcBorders>
          </w:tcPr>
          <w:p>
            <w:pP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2"/>
              <w:jc w:val="right"/>
              <w:rPr>
                <w:rFonts w:ascii="Times New Roman" w:hAnsi="Times New Roman" w:cs="Times New Roman" w:eastAsia="Times New Roman" w:hint="default"/>
                <w:sz w:val="18"/>
                <w:szCs w:val="18"/>
              </w:rPr>
            </w:pPr>
            <w:r>
              <w:rPr>
                <w:rFonts w:ascii="Times New Roman"/>
                <w:spacing w:val="-1"/>
                <w:sz w:val="18"/>
              </w:rPr>
              <w:t>-413,154.48</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46,432,030.06</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5"/>
              <w:jc w:val="right"/>
              <w:rPr>
                <w:rFonts w:ascii="Times New Roman" w:hAnsi="Times New Roman" w:cs="Times New Roman" w:eastAsia="Times New Roman" w:hint="default"/>
                <w:sz w:val="18"/>
                <w:szCs w:val="18"/>
              </w:rPr>
            </w:pPr>
            <w:r>
              <w:rPr>
                <w:rFonts w:ascii="Times New Roman"/>
                <w:spacing w:val="-1"/>
                <w:sz w:val="18"/>
              </w:rPr>
              <w:t>15,000,000.00</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146" w:type="dxa"/>
            <w:tcBorders>
              <w:top w:val="single" w:sz="4" w:space="0" w:color="000000"/>
              <w:left w:val="single" w:sz="4" w:space="0" w:color="000000"/>
              <w:bottom w:val="single" w:sz="4" w:space="0" w:color="000000"/>
              <w:right w:val="single" w:sz="4" w:space="0" w:color="000000"/>
            </w:tcBorders>
          </w:tcPr>
          <w:p>
            <w:pP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634"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left"/>
              <w:rPr>
                <w:rFonts w:ascii="宋体" w:hAnsi="宋体" w:cs="宋体" w:eastAsia="宋体" w:hint="default"/>
                <w:sz w:val="18"/>
                <w:szCs w:val="18"/>
              </w:rPr>
            </w:pPr>
            <w:r>
              <w:rPr>
                <w:rFonts w:ascii="宋体" w:hAnsi="宋体" w:cs="宋体" w:eastAsia="宋体" w:hint="default"/>
                <w:spacing w:val="12"/>
                <w:sz w:val="18"/>
                <w:szCs w:val="18"/>
              </w:rPr>
              <w:t>以摊余成本计量的总金</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融资产</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642,520,462.27</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12"/>
              <w:jc w:val="right"/>
              <w:rPr>
                <w:rFonts w:ascii="Times New Roman" w:hAnsi="Times New Roman" w:cs="Times New Roman" w:eastAsia="Times New Roman" w:hint="default"/>
                <w:sz w:val="18"/>
                <w:szCs w:val="18"/>
              </w:rPr>
            </w:pPr>
            <w:r>
              <w:rPr>
                <w:rFonts w:ascii="Times New Roman"/>
                <w:spacing w:val="-1"/>
                <w:sz w:val="18"/>
              </w:rPr>
              <w:t>-6,022,102.47</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635,343,911.07</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  </w:t>
            </w:r>
            <w:r>
              <w:rPr>
                <w:rFonts w:ascii="宋体" w:hAnsi="宋体" w:cs="宋体" w:eastAsia="宋体" w:hint="default"/>
                <w:sz w:val="18"/>
                <w:szCs w:val="18"/>
              </w:rPr>
              <w:t>以公允价值计量且其变动计入当期损益</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146" w:type="dxa"/>
            <w:tcBorders>
              <w:top w:val="single" w:sz="4" w:space="0" w:color="000000"/>
              <w:left w:val="single" w:sz="4" w:space="0" w:color="000000"/>
              <w:bottom w:val="single" w:sz="4" w:space="0" w:color="000000"/>
              <w:right w:val="single" w:sz="4" w:space="0" w:color="000000"/>
            </w:tcBorders>
          </w:tcPr>
          <w:p>
            <w:pP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110,100,000.00</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110,100,000.00</w:t>
            </w:r>
          </w:p>
        </w:tc>
      </w:tr>
      <w:tr>
        <w:trPr>
          <w:trHeight w:val="63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2"/>
              <w:ind w:left="102" w:right="101"/>
              <w:jc w:val="left"/>
              <w:rPr>
                <w:rFonts w:ascii="宋体" w:hAnsi="宋体" w:cs="宋体" w:eastAsia="宋体" w:hint="default"/>
                <w:sz w:val="18"/>
                <w:szCs w:val="18"/>
              </w:rPr>
            </w:pPr>
            <w:r>
              <w:rPr>
                <w:rFonts w:ascii="宋体" w:hAnsi="宋体" w:cs="宋体" w:eastAsia="宋体" w:hint="default"/>
                <w:spacing w:val="12"/>
                <w:sz w:val="18"/>
                <w:szCs w:val="18"/>
              </w:rPr>
              <w:t>以公允价值计量且其变</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2"/>
                <w:sz w:val="18"/>
                <w:szCs w:val="18"/>
              </w:rPr>
              <w:t>动计入当期损益的总金</w:t>
            </w:r>
          </w:p>
        </w:tc>
        <w:tc>
          <w:tcPr>
            <w:tcW w:w="2146" w:type="dxa"/>
            <w:tcBorders>
              <w:top w:val="single" w:sz="4" w:space="0" w:color="000000"/>
              <w:left w:val="single" w:sz="4" w:space="0" w:color="000000"/>
              <w:bottom w:val="single" w:sz="4" w:space="0" w:color="000000"/>
              <w:right w:val="single" w:sz="4" w:space="0" w:color="000000"/>
            </w:tcBorders>
          </w:tcPr>
          <w:p>
            <w:pP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110,100,000.00</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110,100,000.00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920" w:right="0"/>
        </w:sectPr>
      </w:pPr>
    </w:p>
    <w:p>
      <w:pPr>
        <w:spacing w:line="240" w:lineRule="auto" w:before="6"/>
        <w:rPr>
          <w:rFonts w:ascii="宋体" w:hAnsi="宋体" w:cs="宋体" w:eastAsia="宋体" w:hint="default"/>
          <w:sz w:val="25"/>
          <w:szCs w:val="25"/>
        </w:rPr>
      </w:pPr>
    </w:p>
    <w:tbl>
      <w:tblPr>
        <w:tblW w:w="0" w:type="auto"/>
        <w:jc w:val="left"/>
        <w:tblInd w:w="103" w:type="dxa"/>
        <w:tblLayout w:type="fixed"/>
        <w:tblCellMar>
          <w:top w:w="0" w:type="dxa"/>
          <w:left w:w="0" w:type="dxa"/>
          <w:bottom w:w="0" w:type="dxa"/>
          <w:right w:w="0" w:type="dxa"/>
        </w:tblCellMar>
        <w:tblLook w:val="01E0"/>
      </w:tblPr>
      <w:tblGrid>
        <w:gridCol w:w="2147"/>
        <w:gridCol w:w="2146"/>
        <w:gridCol w:w="1867"/>
        <w:gridCol w:w="1746"/>
        <w:gridCol w:w="1944"/>
      </w:tblGrid>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融资产</w:t>
            </w:r>
          </w:p>
        </w:tc>
        <w:tc>
          <w:tcPr>
            <w:tcW w:w="2146" w:type="dxa"/>
            <w:tcBorders>
              <w:top w:val="single" w:sz="4" w:space="0" w:color="000000"/>
              <w:left w:val="single" w:sz="4" w:space="0" w:color="000000"/>
              <w:bottom w:val="single" w:sz="4" w:space="0" w:color="000000"/>
              <w:right w:val="single" w:sz="4" w:space="0" w:color="000000"/>
            </w:tcBorders>
          </w:tcPr>
          <w:p>
            <w:pPr/>
          </w:p>
        </w:tc>
        <w:tc>
          <w:tcPr>
            <w:tcW w:w="1867"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以公允价值计量且其变动计入其他综合收益</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5"/>
              <w:jc w:val="right"/>
              <w:rPr>
                <w:rFonts w:ascii="Times New Roman" w:hAnsi="Times New Roman" w:cs="Times New Roman" w:eastAsia="Times New Roman" w:hint="default"/>
                <w:sz w:val="18"/>
                <w:szCs w:val="18"/>
              </w:rPr>
            </w:pPr>
            <w:r>
              <w:rPr>
                <w:rFonts w:ascii="Times New Roman"/>
                <w:spacing w:val="-1"/>
                <w:sz w:val="18"/>
              </w:rPr>
              <w:t>118,600,000.00</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7"/>
              <w:jc w:val="right"/>
              <w:rPr>
                <w:rFonts w:ascii="Times New Roman" w:hAnsi="Times New Roman" w:cs="Times New Roman" w:eastAsia="Times New Roman" w:hint="default"/>
                <w:sz w:val="18"/>
                <w:szCs w:val="18"/>
              </w:rPr>
            </w:pPr>
            <w:r>
              <w:rPr>
                <w:rFonts w:ascii="Times New Roman"/>
                <w:spacing w:val="-1"/>
                <w:sz w:val="18"/>
              </w:rPr>
              <w:t>-118,600,000.00</w:t>
            </w: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146" w:type="dxa"/>
            <w:tcBorders>
              <w:top w:val="single" w:sz="4" w:space="0" w:color="000000"/>
              <w:left w:val="single" w:sz="4" w:space="0" w:color="000000"/>
              <w:bottom w:val="single" w:sz="4" w:space="0" w:color="000000"/>
              <w:right w:val="single" w:sz="4" w:space="0" w:color="000000"/>
            </w:tcBorders>
          </w:tcPr>
          <w:p>
            <w:pP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146" w:type="dxa"/>
            <w:tcBorders>
              <w:top w:val="single" w:sz="4" w:space="0" w:color="000000"/>
              <w:left w:val="single" w:sz="4" w:space="0" w:color="000000"/>
              <w:bottom w:val="single" w:sz="4" w:space="0" w:color="000000"/>
              <w:right w:val="single" w:sz="4" w:space="0" w:color="000000"/>
            </w:tcBorders>
          </w:tcPr>
          <w:p>
            <w:pP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8,500,000.00</w:t>
            </w: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946"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2"/>
              <w:ind w:left="102" w:right="101"/>
              <w:jc w:val="both"/>
              <w:rPr>
                <w:rFonts w:ascii="宋体" w:hAnsi="宋体" w:cs="宋体" w:eastAsia="宋体" w:hint="default"/>
                <w:sz w:val="18"/>
                <w:szCs w:val="18"/>
              </w:rPr>
            </w:pPr>
            <w:r>
              <w:rPr>
                <w:rFonts w:ascii="宋体" w:hAnsi="宋体" w:cs="宋体" w:eastAsia="宋体" w:hint="default"/>
                <w:spacing w:val="12"/>
                <w:sz w:val="18"/>
                <w:szCs w:val="18"/>
              </w:rPr>
              <w:t>以公允价值计量且其变</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2"/>
                <w:sz w:val="18"/>
                <w:szCs w:val="18"/>
              </w:rPr>
              <w:t>动计入其他综合收益的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总金融资产</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pacing w:val="-1"/>
                <w:sz w:val="18"/>
              </w:rPr>
              <w:t>118,600,000.00</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-108,945,551.27</w:t>
            </w: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9,654,448.73</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  </w:t>
            </w:r>
            <w:r>
              <w:rPr>
                <w:rFonts w:ascii="宋体" w:hAnsi="宋体" w:cs="宋体" w:eastAsia="宋体" w:hint="default"/>
                <w:sz w:val="18"/>
                <w:szCs w:val="18"/>
              </w:rPr>
              <w:t>金融负债</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摊余成本</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5"/>
              <w:jc w:val="right"/>
              <w:rPr>
                <w:rFonts w:ascii="Times New Roman" w:hAnsi="Times New Roman" w:cs="Times New Roman" w:eastAsia="Times New Roman" w:hint="default"/>
                <w:sz w:val="18"/>
                <w:szCs w:val="18"/>
              </w:rPr>
            </w:pPr>
            <w:r>
              <w:rPr>
                <w:rFonts w:ascii="Times New Roman"/>
                <w:spacing w:val="-1"/>
                <w:sz w:val="18"/>
              </w:rPr>
              <w:t>7,249,126.60</w:t>
            </w:r>
          </w:p>
        </w:tc>
        <w:tc>
          <w:tcPr>
            <w:tcW w:w="1867"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7,249,126.60</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5"/>
              <w:jc w:val="right"/>
              <w:rPr>
                <w:rFonts w:ascii="Times New Roman" w:hAnsi="Times New Roman" w:cs="Times New Roman" w:eastAsia="Times New Roman" w:hint="default"/>
                <w:sz w:val="18"/>
                <w:szCs w:val="18"/>
              </w:rPr>
            </w:pPr>
            <w:r>
              <w:rPr>
                <w:rFonts w:ascii="Times New Roman"/>
                <w:spacing w:val="-1"/>
                <w:sz w:val="18"/>
              </w:rPr>
              <w:t>224,340,891.35</w:t>
            </w:r>
          </w:p>
        </w:tc>
        <w:tc>
          <w:tcPr>
            <w:tcW w:w="1867"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224,340,891.35</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5"/>
              <w:jc w:val="right"/>
              <w:rPr>
                <w:rFonts w:ascii="Times New Roman" w:hAnsi="Times New Roman" w:cs="Times New Roman" w:eastAsia="Times New Roman" w:hint="default"/>
                <w:sz w:val="18"/>
                <w:szCs w:val="18"/>
              </w:rPr>
            </w:pPr>
            <w:r>
              <w:rPr>
                <w:rFonts w:ascii="Times New Roman"/>
                <w:spacing w:val="-1"/>
                <w:sz w:val="18"/>
              </w:rPr>
              <w:t>59,760,398.83</w:t>
            </w:r>
          </w:p>
        </w:tc>
        <w:tc>
          <w:tcPr>
            <w:tcW w:w="1867"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59,760,398.83</w:t>
            </w:r>
          </w:p>
        </w:tc>
      </w:tr>
      <w:tr>
        <w:trPr>
          <w:trHeight w:val="634"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2"/>
              <w:ind w:left="102" w:right="101"/>
              <w:jc w:val="left"/>
              <w:rPr>
                <w:rFonts w:ascii="宋体" w:hAnsi="宋体" w:cs="宋体" w:eastAsia="宋体" w:hint="default"/>
                <w:sz w:val="18"/>
                <w:szCs w:val="18"/>
              </w:rPr>
            </w:pPr>
            <w:r>
              <w:rPr>
                <w:rFonts w:ascii="宋体" w:hAnsi="宋体" w:cs="宋体" w:eastAsia="宋体" w:hint="default"/>
                <w:spacing w:val="12"/>
                <w:sz w:val="18"/>
                <w:szCs w:val="18"/>
              </w:rPr>
              <w:t>以摊余成本计量的总金</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融负债</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291,350,416.78</w:t>
            </w:r>
          </w:p>
        </w:tc>
        <w:tc>
          <w:tcPr>
            <w:tcW w:w="1867"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291,350,416.78</w:t>
            </w:r>
          </w:p>
        </w:tc>
      </w:tr>
    </w:tbl>
    <w:p>
      <w:pPr>
        <w:pStyle w:val="BodyText"/>
        <w:spacing w:line="300" w:lineRule="auto" w:before="11"/>
        <w:ind w:left="212" w:right="1127" w:firstLine="360"/>
        <w:jc w:val="left"/>
      </w:pPr>
      <w:r>
        <w:rPr/>
        <w:t>④</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日，公司原金融资产减值准备期末金额调整为按照新金融工具准则的规定进行分类和计量的新损失准 备的调节表如下：</w:t>
      </w:r>
    </w:p>
    <w:tbl>
      <w:tblPr>
        <w:tblW w:w="0" w:type="auto"/>
        <w:jc w:val="left"/>
        <w:tblInd w:w="103" w:type="dxa"/>
        <w:tblLayout w:type="fixed"/>
        <w:tblCellMar>
          <w:top w:w="0" w:type="dxa"/>
          <w:left w:w="0" w:type="dxa"/>
          <w:bottom w:w="0" w:type="dxa"/>
          <w:right w:w="0" w:type="dxa"/>
        </w:tblCellMar>
        <w:tblLook w:val="01E0"/>
      </w:tblPr>
      <w:tblGrid>
        <w:gridCol w:w="2090"/>
        <w:gridCol w:w="2339"/>
        <w:gridCol w:w="1732"/>
        <w:gridCol w:w="1681"/>
        <w:gridCol w:w="2008"/>
      </w:tblGrid>
      <w:tr>
        <w:trPr>
          <w:trHeight w:val="1258" w:hRule="exact"/>
        </w:trPr>
        <w:tc>
          <w:tcPr>
            <w:tcW w:w="2090"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82"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2339"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309" w:lineRule="auto" w:before="11"/>
              <w:ind w:left="129" w:right="128" w:firstLine="45"/>
              <w:jc w:val="both"/>
              <w:rPr>
                <w:rFonts w:ascii="Times New Roman" w:hAnsi="Times New Roman" w:cs="Times New Roman" w:eastAsia="Times New Roman" w:hint="default"/>
                <w:sz w:val="18"/>
                <w:szCs w:val="18"/>
              </w:rPr>
            </w:pPr>
            <w:r>
              <w:rPr>
                <w:rFonts w:ascii="宋体" w:hAnsi="宋体" w:cs="宋体" w:eastAsia="宋体" w:hint="default"/>
                <w:sz w:val="18"/>
                <w:szCs w:val="18"/>
              </w:rPr>
              <w:t>按原金融工具准则计提损 失准备</w:t>
            </w:r>
            <w:r>
              <w:rPr>
                <w:rFonts w:ascii="Times New Roman" w:hAnsi="Times New Roman" w:cs="Times New Roman" w:eastAsia="Times New Roman" w:hint="default"/>
                <w:sz w:val="18"/>
                <w:szCs w:val="18"/>
              </w:rPr>
              <w:t>/</w:t>
            </w:r>
            <w:r>
              <w:rPr>
                <w:rFonts w:ascii="宋体" w:hAnsi="宋体" w:cs="宋体" w:eastAsia="宋体" w:hint="default"/>
                <w:sz w:val="18"/>
                <w:szCs w:val="18"/>
              </w:rPr>
              <w:t>按或有事项准则确 认的预计负债（</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5"/>
              <w:ind w:left="75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32"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重分类</w:t>
            </w:r>
          </w:p>
        </w:tc>
        <w:tc>
          <w:tcPr>
            <w:tcW w:w="1681"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474"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2008"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101" w:firstLine="1"/>
              <w:jc w:val="center"/>
              <w:rPr>
                <w:rFonts w:ascii="Times New Roman" w:hAnsi="Times New Roman" w:cs="Times New Roman" w:eastAsia="Times New Roman" w:hint="default"/>
                <w:sz w:val="18"/>
                <w:szCs w:val="18"/>
              </w:rPr>
            </w:pPr>
            <w:r>
              <w:rPr>
                <w:rFonts w:ascii="宋体" w:hAnsi="宋体" w:cs="宋体" w:eastAsia="宋体" w:hint="default"/>
                <w:sz w:val="18"/>
                <w:szCs w:val="18"/>
              </w:rPr>
              <w:t>按新金融工具准则计 提损失准备（</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2"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93,133,656.01</w:t>
            </w:r>
          </w:p>
        </w:tc>
        <w:tc>
          <w:tcPr>
            <w:tcW w:w="1732"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5,608,947.99</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98,742,604.00</w:t>
            </w:r>
          </w:p>
        </w:tc>
      </w:tr>
      <w:tr>
        <w:trPr>
          <w:trHeight w:val="322"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14,365,711.62</w:t>
            </w:r>
          </w:p>
        </w:tc>
        <w:tc>
          <w:tcPr>
            <w:tcW w:w="1732"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413,154.48</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14,778,866.10</w:t>
            </w:r>
          </w:p>
        </w:tc>
      </w:tr>
    </w:tbl>
    <w:p>
      <w:pPr>
        <w:pStyle w:val="BodyText"/>
        <w:spacing w:line="240" w:lineRule="auto" w:before="30"/>
        <w:ind w:left="572" w:right="1031"/>
        <w:jc w:val="left"/>
      </w:pPr>
      <w:r>
        <w:rPr>
          <w:rFonts w:ascii="Times New Roman" w:hAnsi="Times New Roman" w:cs="Times New Roman" w:eastAsia="Times New Roman" w:hint="default"/>
        </w:rPr>
        <w:t>3</w:t>
      </w:r>
      <w:r>
        <w:rPr/>
        <w:t>）本公司自</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日起执行经修订的《企业会计准则第</w:t>
      </w:r>
      <w:r>
        <w:rPr>
          <w:spacing w:val="-45"/>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非货币性资产交换》，自</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17</w:t>
      </w:r>
      <w:r>
        <w:rPr>
          <w:rFonts w:ascii="Times New Roman" w:hAnsi="Times New Roman" w:cs="Times New Roman" w:eastAsia="Times New Roman" w:hint="default"/>
          <w:spacing w:val="-1"/>
        </w:rPr>
        <w:t> </w:t>
      </w:r>
      <w:r>
        <w:rPr/>
        <w:t>日</w:t>
      </w:r>
    </w:p>
    <w:p>
      <w:pPr>
        <w:pStyle w:val="BodyText"/>
        <w:spacing w:line="240" w:lineRule="auto" w:before="63"/>
        <w:ind w:left="212" w:right="1031"/>
        <w:jc w:val="left"/>
      </w:pPr>
      <w:r>
        <w:rPr/>
        <w:t>起执行经修订的《企业会计准则第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债务重组》。该项会计政策变更采用未来适用法处理。</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4"/>
          <w:szCs w:val="14"/>
        </w:rPr>
      </w:pPr>
    </w:p>
    <w:p>
      <w:pPr>
        <w:pStyle w:val="Heading2"/>
        <w:spacing w:line="240" w:lineRule="auto"/>
        <w:ind w:left="212" w:right="1031"/>
        <w:jc w:val="left"/>
        <w:rPr>
          <w:b w:val="0"/>
          <w:bCs w:val="0"/>
        </w:rPr>
      </w:pPr>
      <w:bookmarkStart w:name="七、与上年度财务报告相比，合并报表范围发生变化的情况说明" w:id="72"/>
      <w:bookmarkEnd w:id="72"/>
      <w:r>
        <w:rPr>
          <w:b w:val="0"/>
          <w:bCs w:val="0"/>
        </w:rPr>
      </w:r>
      <w:r>
        <w:rPr/>
        <w:t>七、与上年度财务报告相比，合并报表范围发生变化的情况说明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212" w:right="1031"/>
        <w:jc w:val="left"/>
      </w:pPr>
      <w:r>
        <w:rPr/>
        <w:t>√ 适用 □ 不适用</w:t>
      </w:r>
    </w:p>
    <w:p>
      <w:pPr>
        <w:pStyle w:val="BodyText"/>
        <w:spacing w:line="300" w:lineRule="auto" w:before="115"/>
        <w:ind w:left="212" w:right="1031" w:firstLine="420"/>
        <w:jc w:val="left"/>
      </w:pPr>
      <w:r>
        <w:rPr>
          <w:rFonts w:ascii="Times New Roman" w:hAnsi="Times New Roman" w:cs="Times New Roman" w:eastAsia="Times New Roman" w:hint="default"/>
        </w:rPr>
        <w:t>2019</w:t>
      </w:r>
      <w:r>
        <w:rPr/>
        <w:t>年，广州粤湾慧康科技有限公司、自贡市杭创科技有限公司、杭州慧心健康科技有限公司、浙江百利医药有限公 司，本期纳入合并报表范围。</w:t>
      </w:r>
    </w:p>
    <w:p>
      <w:pPr>
        <w:spacing w:line="240" w:lineRule="auto" w:before="8"/>
        <w:rPr>
          <w:rFonts w:ascii="宋体" w:hAnsi="宋体" w:cs="宋体" w:eastAsia="宋体" w:hint="default"/>
          <w:sz w:val="21"/>
          <w:szCs w:val="21"/>
        </w:rPr>
      </w:pPr>
    </w:p>
    <w:p>
      <w:pPr>
        <w:pStyle w:val="Heading2"/>
        <w:spacing w:line="240" w:lineRule="auto"/>
        <w:ind w:left="212" w:right="1031"/>
        <w:jc w:val="left"/>
        <w:rPr>
          <w:b w:val="0"/>
          <w:bCs w:val="0"/>
        </w:rPr>
      </w:pPr>
      <w:bookmarkStart w:name="八、聘任、解聘会计师事务所情况" w:id="73"/>
      <w:bookmarkEnd w:id="73"/>
      <w:r>
        <w:rPr>
          <w:b w:val="0"/>
          <w:bCs w:val="0"/>
        </w:rPr>
      </w:r>
      <w:r>
        <w:rPr/>
        <w:t>八、聘任、解聘会计师事务所情况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212" w:right="1031"/>
        <w:jc w:val="left"/>
      </w:pPr>
      <w:r>
        <w:rPr/>
        <w:t>现聘任的会计事务所</w:t>
      </w:r>
    </w:p>
    <w:p>
      <w:pPr>
        <w:spacing w:line="240" w:lineRule="auto" w:before="1"/>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4791"/>
        <w:gridCol w:w="4777"/>
      </w:tblGrid>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天健会计师事务所（特殊普通合伙）</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130</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12</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余建耀、李鸿霞</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余建耀连续服务年限</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年，李红霞连续服务年限</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bl>
    <w:p>
      <w:pPr>
        <w:pStyle w:val="BodyText"/>
        <w:spacing w:line="240" w:lineRule="auto" w:before="51"/>
        <w:ind w:left="212" w:right="1031"/>
        <w:jc w:val="left"/>
      </w:pPr>
      <w:r>
        <w:rPr/>
        <w:t>是否改聘会计师事务所</w:t>
      </w:r>
    </w:p>
    <w:p>
      <w:pPr>
        <w:spacing w:after="0" w:line="240" w:lineRule="auto"/>
        <w:jc w:val="left"/>
        <w:sectPr>
          <w:pgSz w:w="11910" w:h="16840"/>
          <w:pgMar w:header="907" w:footer="1016" w:top="1100" w:bottom="1200" w:left="920" w:right="0"/>
        </w:sectPr>
      </w:pPr>
    </w:p>
    <w:p>
      <w:pPr>
        <w:spacing w:line="240" w:lineRule="auto" w:before="13"/>
        <w:rPr>
          <w:rFonts w:ascii="宋体" w:hAnsi="宋体" w:cs="宋体" w:eastAsia="宋体" w:hint="default"/>
          <w:sz w:val="22"/>
          <w:szCs w:val="22"/>
        </w:rPr>
      </w:pPr>
    </w:p>
    <w:p>
      <w:pPr>
        <w:pStyle w:val="BodyText"/>
        <w:spacing w:line="357" w:lineRule="auto" w:before="44"/>
        <w:ind w:right="6254"/>
        <w:jc w:val="left"/>
      </w:pPr>
      <w:r>
        <w:rPr/>
        <w:t>□ 是 √ 否 聘请内部控制审计会计师事务所、财务顾问或保荐人情况</w:t>
      </w:r>
    </w:p>
    <w:p>
      <w:pPr>
        <w:pStyle w:val="BodyText"/>
        <w:spacing w:line="240" w:lineRule="auto" w:before="29"/>
        <w:ind w:right="0"/>
        <w:jc w:val="both"/>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both"/>
        <w:rPr>
          <w:b w:val="0"/>
          <w:bCs w:val="0"/>
        </w:rPr>
      </w:pPr>
      <w:bookmarkStart w:name="九、年度报告披露后面临暂停上市和终止上市情况" w:id="74"/>
      <w:bookmarkEnd w:id="74"/>
      <w:r>
        <w:rPr>
          <w:b w:val="0"/>
          <w:bCs w:val="0"/>
        </w:rPr>
      </w:r>
      <w:r>
        <w:rPr/>
        <w:t>九、年度报告披露后面临暂停上市和终止上市情况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 适用 √ 不适用</w:t>
      </w:r>
    </w:p>
    <w:p>
      <w:pPr>
        <w:spacing w:line="240" w:lineRule="auto" w:before="3"/>
        <w:rPr>
          <w:rFonts w:ascii="宋体" w:hAnsi="宋体" w:cs="宋体" w:eastAsia="宋体" w:hint="default"/>
          <w:sz w:val="25"/>
          <w:szCs w:val="25"/>
        </w:rPr>
      </w:pPr>
    </w:p>
    <w:p>
      <w:pPr>
        <w:pStyle w:val="Heading2"/>
        <w:spacing w:line="240" w:lineRule="auto"/>
        <w:ind w:right="0"/>
        <w:jc w:val="both"/>
        <w:rPr>
          <w:b w:val="0"/>
          <w:bCs w:val="0"/>
        </w:rPr>
      </w:pPr>
      <w:bookmarkStart w:name="十、破产重整相关事项" w:id="75"/>
      <w:bookmarkEnd w:id="75"/>
      <w:r>
        <w:rPr>
          <w:b w:val="0"/>
          <w:bCs w:val="0"/>
        </w:rPr>
      </w:r>
      <w:r>
        <w:rPr/>
        <w:t>十、破产重整相关事项</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7694"/>
        <w:jc w:val="left"/>
      </w:pPr>
      <w:r>
        <w:rPr/>
        <w:t>□ 适用 √ 不适用 公司报告期未发生破产重整相关事项。</w:t>
      </w:r>
    </w:p>
    <w:p>
      <w:pPr>
        <w:spacing w:line="240" w:lineRule="auto" w:before="7"/>
        <w:rPr>
          <w:rFonts w:ascii="宋体" w:hAnsi="宋体" w:cs="宋体" w:eastAsia="宋体" w:hint="default"/>
          <w:sz w:val="18"/>
          <w:szCs w:val="18"/>
        </w:rPr>
      </w:pPr>
    </w:p>
    <w:p>
      <w:pPr>
        <w:pStyle w:val="Heading2"/>
        <w:spacing w:line="240" w:lineRule="auto"/>
        <w:ind w:right="0"/>
        <w:jc w:val="both"/>
        <w:rPr>
          <w:b w:val="0"/>
          <w:bCs w:val="0"/>
        </w:rPr>
      </w:pPr>
      <w:bookmarkStart w:name="十一、重大诉讼、仲裁事项" w:id="76"/>
      <w:bookmarkEnd w:id="76"/>
      <w:r>
        <w:rPr>
          <w:b w:val="0"/>
          <w:bCs w:val="0"/>
        </w:rPr>
      </w:r>
      <w:r>
        <w:rPr/>
        <w:t>十一、重大诉讼、仲裁事项</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874"/>
        <w:jc w:val="left"/>
      </w:pPr>
      <w:r>
        <w:rPr/>
        <w:t>□ 适用 √ 不适用 本年度公司无重大诉讼、仲裁事项。</w:t>
      </w:r>
    </w:p>
    <w:p>
      <w:pPr>
        <w:spacing w:line="240" w:lineRule="auto" w:before="2"/>
        <w:rPr>
          <w:rFonts w:ascii="宋体" w:hAnsi="宋体" w:cs="宋体" w:eastAsia="宋体" w:hint="default"/>
          <w:sz w:val="18"/>
          <w:szCs w:val="18"/>
        </w:rPr>
      </w:pPr>
    </w:p>
    <w:p>
      <w:pPr>
        <w:pStyle w:val="Heading2"/>
        <w:spacing w:line="240" w:lineRule="auto"/>
        <w:ind w:right="0"/>
        <w:jc w:val="both"/>
        <w:rPr>
          <w:b w:val="0"/>
          <w:bCs w:val="0"/>
        </w:rPr>
      </w:pPr>
      <w:bookmarkStart w:name="十二、处罚及整改情况" w:id="77"/>
      <w:bookmarkEnd w:id="77"/>
      <w:r>
        <w:rPr>
          <w:b w:val="0"/>
          <w:bCs w:val="0"/>
        </w:rPr>
      </w:r>
      <w:r>
        <w:rPr/>
        <w:t>十二、处罚及整改情况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874"/>
        <w:jc w:val="left"/>
      </w:pPr>
      <w:r>
        <w:rPr/>
        <w:t>□ 适用 √ 不适用 公司报告期不存在处罚及整改情况。</w:t>
      </w:r>
    </w:p>
    <w:p>
      <w:pPr>
        <w:spacing w:line="240" w:lineRule="auto" w:before="2"/>
        <w:rPr>
          <w:rFonts w:ascii="宋体" w:hAnsi="宋体" w:cs="宋体" w:eastAsia="宋体" w:hint="default"/>
          <w:sz w:val="18"/>
          <w:szCs w:val="18"/>
        </w:rPr>
      </w:pPr>
    </w:p>
    <w:p>
      <w:pPr>
        <w:pStyle w:val="Heading2"/>
        <w:spacing w:line="240" w:lineRule="auto"/>
        <w:ind w:right="0"/>
        <w:jc w:val="both"/>
        <w:rPr>
          <w:b w:val="0"/>
          <w:bCs w:val="0"/>
        </w:rPr>
      </w:pPr>
      <w:bookmarkStart w:name="十三、公司及其控股股东、实际控制人的诚信状况" w:id="78"/>
      <w:bookmarkEnd w:id="78"/>
      <w:r>
        <w:rPr>
          <w:b w:val="0"/>
          <w:bCs w:val="0"/>
        </w:rPr>
      </w:r>
      <w:r>
        <w:rPr/>
        <w:t>十三、公司及其控股股东、实际控制人的诚信状况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1934"/>
        <w:jc w:val="left"/>
      </w:pPr>
      <w:r>
        <w:rPr/>
        <w:t>√ 适用 □ 不适用 公司及其控股股东、实际控制人不存在未履行的法院生效判决、不存在所负数额较大的债务到期未清偿等情况。</w:t>
      </w:r>
    </w:p>
    <w:p>
      <w:pPr>
        <w:spacing w:line="240" w:lineRule="auto" w:before="2"/>
        <w:rPr>
          <w:rFonts w:ascii="宋体" w:hAnsi="宋体" w:cs="宋体" w:eastAsia="宋体" w:hint="default"/>
          <w:sz w:val="18"/>
          <w:szCs w:val="18"/>
        </w:rPr>
      </w:pPr>
    </w:p>
    <w:p>
      <w:pPr>
        <w:pStyle w:val="Heading2"/>
        <w:spacing w:line="240" w:lineRule="auto"/>
        <w:ind w:right="0"/>
        <w:jc w:val="both"/>
        <w:rPr>
          <w:b w:val="0"/>
          <w:bCs w:val="0"/>
        </w:rPr>
      </w:pPr>
      <w:bookmarkStart w:name="十四、公司股权激励计划、员工持股计划或其他员工激励措施的实施情况" w:id="79"/>
      <w:bookmarkEnd w:id="79"/>
      <w:r>
        <w:rPr>
          <w:b w:val="0"/>
          <w:bCs w:val="0"/>
        </w:rPr>
      </w:r>
      <w:r>
        <w:rPr/>
        <w:t>十四、公司股权激励计划、员工持股计划或其他员工激励措施的实施情况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both"/>
      </w:pPr>
      <w:r>
        <w:rPr/>
        <w:t>√ 适用 □ 不适用</w:t>
      </w:r>
    </w:p>
    <w:p>
      <w:pPr>
        <w:pStyle w:val="BodyText"/>
        <w:spacing w:line="316" w:lineRule="auto" w:before="115"/>
        <w:ind w:left="472" w:right="1112"/>
        <w:jc w:val="left"/>
      </w:pPr>
      <w:r>
        <w:rPr/>
        <w:t>（一）股票期权与限制性股票激励计划 根据公司</w:t>
      </w:r>
      <w:r>
        <w:rPr>
          <w:rFonts w:ascii="Times New Roman" w:hAnsi="Times New Roman" w:cs="Times New Roman" w:eastAsia="Times New Roman" w:hint="default"/>
        </w:rPr>
        <w:t>2015</w:t>
      </w:r>
      <w:r>
        <w:rPr/>
        <w:t>年第三次临时股东大会审议通过的《关于创业股份有限公司</w:t>
      </w:r>
      <w:r>
        <w:rPr>
          <w:rFonts w:ascii="Times New Roman" w:hAnsi="Times New Roman" w:cs="Times New Roman" w:eastAsia="Times New Roman" w:hint="default"/>
        </w:rPr>
        <w:t>&lt;</w:t>
      </w:r>
      <w:r>
        <w:rPr/>
        <w:t>股票期权与限制性股票激励计划（草案修订</w:t>
      </w:r>
    </w:p>
    <w:p>
      <w:pPr>
        <w:pStyle w:val="BodyText"/>
        <w:spacing w:line="307" w:lineRule="auto"/>
        <w:ind w:right="1132"/>
        <w:jc w:val="both"/>
      </w:pPr>
      <w:r>
        <w:rPr/>
        <w:t>稿）</w:t>
      </w:r>
      <w:r>
        <w:rPr>
          <w:rFonts w:ascii="Times New Roman" w:hAnsi="Times New Roman" w:cs="Times New Roman" w:eastAsia="Times New Roman" w:hint="default"/>
        </w:rPr>
        <w:t>&gt;</w:t>
      </w:r>
      <w:r>
        <w:rPr/>
        <w:t>及其摘要的议案》和第五届董事会第十一次会议审议通过的《关于调整股票期权与限制性股票激励计划相关事项的议 </w:t>
      </w:r>
      <w:r>
        <w:rPr>
          <w:spacing w:val="-2"/>
        </w:rPr>
        <w:t>案》等议案。公司向包括公司董事、高级管理人员、中层管理人员、核心技术（业务）人员授予限制性股票和股票期权。首</w:t>
      </w:r>
      <w:r>
        <w:rPr>
          <w:spacing w:val="-66"/>
        </w:rPr>
        <w:t> </w:t>
      </w:r>
      <w:r>
        <w:rPr>
          <w:spacing w:val="-66"/>
        </w:rPr>
      </w:r>
      <w:r>
        <w:rPr/>
        <w:t>次限制性股票授予日为</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30</w:t>
      </w:r>
      <w:r>
        <w:rPr/>
        <w:t>日，并于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日授予登记完成。</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日，向</w:t>
      </w:r>
      <w:r>
        <w:rPr>
          <w:rFonts w:ascii="Times New Roman" w:hAnsi="Times New Roman" w:cs="Times New Roman" w:eastAsia="Times New Roman" w:hint="default"/>
        </w:rPr>
        <w:t>28</w:t>
      </w:r>
      <w:r>
        <w:rPr/>
        <w:t>名激励对象授予</w:t>
      </w:r>
      <w:r>
        <w:rPr>
          <w:rFonts w:ascii="Times New Roman" w:hAnsi="Times New Roman" w:cs="Times New Roman" w:eastAsia="Times New Roman" w:hint="default"/>
        </w:rPr>
        <w:t>26.7</w:t>
      </w:r>
      <w:r>
        <w:rPr/>
        <w:t>万 预留限制性股票。具体内容详见公司在巨潮资讯网站（</w:t>
      </w:r>
      <w:hyperlink r:id="rId14">
        <w:r>
          <w:rPr>
            <w:rFonts w:ascii="Times New Roman" w:hAnsi="Times New Roman" w:cs="Times New Roman" w:eastAsia="Times New Roman" w:hint="default"/>
          </w:rPr>
          <w:t>www.cninfo.com.cn</w:t>
        </w:r>
      </w:hyperlink>
      <w:r>
        <w:rPr/>
        <w:t>）披露的公告。</w:t>
      </w:r>
    </w:p>
    <w:p>
      <w:pPr>
        <w:pStyle w:val="BodyText"/>
        <w:spacing w:line="300" w:lineRule="auto" w:before="7"/>
        <w:ind w:right="1124" w:firstLine="36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4</w:t>
      </w:r>
      <w:r>
        <w:rPr/>
        <w:t>日，公司股票期权与限制性股票激励计划首次授予部分第三个解锁期解锁的限制性股票上市流通，本次 解除限售的限制性股票数量为 </w:t>
      </w:r>
      <w:r>
        <w:rPr>
          <w:rFonts w:ascii="Times New Roman" w:hAnsi="Times New Roman" w:cs="Times New Roman" w:eastAsia="Times New Roman" w:hint="default"/>
        </w:rPr>
        <w:t>2,949,014</w:t>
      </w:r>
      <w:r>
        <w:rPr>
          <w:rFonts w:ascii="Times New Roman" w:hAnsi="Times New Roman" w:cs="Times New Roman" w:eastAsia="Times New Roman" w:hint="default"/>
          <w:spacing w:val="38"/>
        </w:rPr>
        <w:t> </w:t>
      </w:r>
      <w:r>
        <w:rPr/>
        <w:t>股，占公司总股本的比例为</w:t>
      </w:r>
      <w:r>
        <w:rPr>
          <w:rFonts w:ascii="Times New Roman" w:hAnsi="Times New Roman" w:cs="Times New Roman" w:eastAsia="Times New Roman" w:hint="default"/>
        </w:rPr>
        <w:t>0.61%</w:t>
      </w:r>
      <w:r>
        <w:rPr/>
        <w:t>。具体内容详见公司在巨潮资讯网站</w:t>
      </w:r>
    </w:p>
    <w:p>
      <w:pPr>
        <w:pStyle w:val="BodyText"/>
        <w:spacing w:line="240" w:lineRule="auto" w:before="13"/>
        <w:ind w:right="0"/>
        <w:jc w:val="both"/>
      </w:pPr>
      <w:r>
        <w:rPr/>
        <w:t>（</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2018-108</w:t>
      </w:r>
      <w:r>
        <w:rPr/>
        <w:t>）。</w:t>
      </w:r>
    </w:p>
    <w:p>
      <w:pPr>
        <w:pStyle w:val="BodyText"/>
        <w:spacing w:line="300" w:lineRule="auto" w:before="63"/>
        <w:ind w:right="1192" w:firstLine="360"/>
        <w:jc w:val="left"/>
      </w:pPr>
      <w:r>
        <w:rPr>
          <w:rFonts w:ascii="Times New Roman" w:hAnsi="Times New Roman" w:cs="Times New Roman" w:eastAsia="Times New Roman" w:hint="default"/>
          <w:spacing w:val="-1"/>
        </w:rPr>
        <w:t>2</w:t>
      </w:r>
      <w:r>
        <w:rPr>
          <w:spacing w:val="-1"/>
        </w:rPr>
        <w:t>、</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31</w:t>
      </w:r>
      <w:r>
        <w:rPr>
          <w:spacing w:val="-1"/>
        </w:rPr>
        <w:t>日，经中国证券登记结算有限责任公司深圳分公司审核确认，公司</w:t>
      </w:r>
      <w:r>
        <w:rPr>
          <w:rFonts w:ascii="Times New Roman" w:hAnsi="Times New Roman" w:cs="Times New Roman" w:eastAsia="Times New Roman" w:hint="default"/>
          <w:spacing w:val="-1"/>
        </w:rPr>
        <w:t>541,112</w:t>
      </w:r>
      <w:r>
        <w:rPr>
          <w:spacing w:val="-1"/>
        </w:rPr>
        <w:t>份股票期权注销手续已办理</w:t>
      </w:r>
      <w:r>
        <w:rPr/>
        <w:t> 完毕。具体内容详见公司在巨潮资讯网站（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2019-009</w:t>
      </w:r>
      <w:r>
        <w:rPr/>
        <w:t>）。</w:t>
      </w:r>
    </w:p>
    <w:p>
      <w:pPr>
        <w:pStyle w:val="BodyText"/>
        <w:spacing w:line="300" w:lineRule="auto" w:before="13"/>
        <w:ind w:right="1124" w:firstLine="360"/>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7</w:t>
      </w:r>
      <w:r>
        <w:rPr/>
        <w:t>日，公司召开第六届董事会第十九次会议和第六届监事会第十六次会议，审议通过了《关于股票期权与 </w:t>
      </w:r>
      <w:r>
        <w:rPr>
          <w:spacing w:val="-2"/>
        </w:rPr>
        <w:t>限制性股票激励计划预留授予部分限制性股票第三个解锁期解锁条件成就的议案》、《关于调整股票期权与限制性股票激励</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2" w:lineRule="auto" w:before="44"/>
        <w:ind w:right="1131"/>
        <w:jc w:val="both"/>
      </w:pPr>
      <w:r>
        <w:rPr>
          <w:spacing w:val="-2"/>
        </w:rPr>
        <w:t>计划相关事项的议案》及《关于对股票期权与限制性股票激励计划部分股票期权注销的议案》。鉴于公司原激励对象龙俊斌</w:t>
      </w:r>
      <w:r>
        <w:rPr>
          <w:spacing w:val="-66"/>
        </w:rPr>
        <w:t> </w:t>
      </w:r>
      <w:r>
        <w:rPr>
          <w:spacing w:val="-66"/>
        </w:rPr>
      </w:r>
      <w:r>
        <w:rPr>
          <w:spacing w:val="-1"/>
        </w:rPr>
        <w:t>等</w:t>
      </w:r>
      <w:r>
        <w:rPr>
          <w:rFonts w:ascii="Times New Roman" w:hAnsi="Times New Roman" w:cs="Times New Roman" w:eastAsia="Times New Roman" w:hint="default"/>
          <w:spacing w:val="-1"/>
        </w:rPr>
        <w:t>15</w:t>
      </w:r>
      <w:r>
        <w:rPr>
          <w:spacing w:val="-1"/>
        </w:rPr>
        <w:t>人因已不符合激励条件，根据公司股权激励计划，公司拟对相关激励对象已获授（含已获准行权）但尚未行权的</w:t>
      </w:r>
      <w:r>
        <w:rPr>
          <w:rFonts w:ascii="Times New Roman" w:hAnsi="Times New Roman" w:cs="Times New Roman" w:eastAsia="Times New Roman" w:hint="default"/>
          <w:spacing w:val="-1"/>
        </w:rPr>
        <w:t>73,250</w:t>
      </w:r>
      <w:r>
        <w:rPr>
          <w:rFonts w:ascii="Times New Roman" w:hAnsi="Times New Roman" w:cs="Times New Roman" w:eastAsia="Times New Roman" w:hint="default"/>
          <w:spacing w:val="-28"/>
        </w:rPr>
        <w:t> </w:t>
      </w:r>
      <w:r>
        <w:rPr>
          <w:rFonts w:ascii="Times New Roman" w:hAnsi="Times New Roman" w:cs="Times New Roman" w:eastAsia="Times New Roman" w:hint="default"/>
          <w:spacing w:val="-28"/>
        </w:rPr>
      </w:r>
      <w:r>
        <w:rPr>
          <w:spacing w:val="-1"/>
        </w:rPr>
        <w:t>份股票期权进行注销，对其已获授但尚未解锁的</w:t>
      </w:r>
      <w:r>
        <w:rPr>
          <w:rFonts w:ascii="Times New Roman" w:hAnsi="Times New Roman" w:cs="Times New Roman" w:eastAsia="Times New Roman" w:hint="default"/>
          <w:spacing w:val="-1"/>
        </w:rPr>
        <w:t>20,250</w:t>
      </w:r>
      <w:r>
        <w:rPr>
          <w:spacing w:val="-1"/>
        </w:rPr>
        <w:t>股限制性股票回购注销。董事会认为，公司本次激励计划预留授予部</w:t>
      </w:r>
      <w:r>
        <w:rPr>
          <w:spacing w:val="-73"/>
        </w:rPr>
        <w:t> </w:t>
      </w:r>
      <w:r>
        <w:rPr>
          <w:spacing w:val="-73"/>
        </w:rPr>
      </w:r>
      <w:r>
        <w:rPr>
          <w:spacing w:val="-2"/>
        </w:rPr>
        <w:t>分限制性股票第三个解锁期解锁条件已满足，同意解锁</w:t>
      </w:r>
      <w:r>
        <w:rPr>
          <w:rFonts w:ascii="Times New Roman" w:hAnsi="Times New Roman" w:cs="Times New Roman" w:eastAsia="Times New Roman" w:hint="default"/>
          <w:spacing w:val="-2"/>
        </w:rPr>
        <w:t>22</w:t>
      </w:r>
      <w:r>
        <w:rPr>
          <w:spacing w:val="-2"/>
        </w:rPr>
        <w:t>名激励对象第三个解锁期限制性股票，并授权公司证券部办理相关</w:t>
      </w:r>
      <w:r>
        <w:rPr>
          <w:spacing w:val="-63"/>
        </w:rPr>
        <w:t> </w:t>
      </w:r>
      <w:r>
        <w:rPr>
          <w:spacing w:val="-63"/>
        </w:rPr>
      </w:r>
      <w:r>
        <w:rPr/>
        <w:t>解锁登记手续。</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20</w:t>
      </w:r>
      <w:r>
        <w:rPr/>
        <w:t>日，经中国证券登记结算有限责任公司深圳分公司审核确认，上述</w:t>
      </w:r>
      <w:r>
        <w:rPr>
          <w:rFonts w:ascii="Times New Roman" w:hAnsi="Times New Roman" w:cs="Times New Roman" w:eastAsia="Times New Roman" w:hint="default"/>
        </w:rPr>
        <w:t>73,250</w:t>
      </w:r>
      <w:r>
        <w:rPr/>
        <w:t>份股票期权注销手续 </w:t>
      </w:r>
      <w:r>
        <w:rPr>
          <w:spacing w:val="-2"/>
        </w:rPr>
        <w:t>已办理完毕。</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5</w:t>
      </w:r>
      <w:r>
        <w:rPr>
          <w:spacing w:val="-2"/>
        </w:rPr>
        <w:t>日，上述预留授予部分第三个解锁期解锁的限制性股票上市流通，本次解除限售的限制性股票数量</w:t>
      </w:r>
      <w:r>
        <w:rPr>
          <w:spacing w:val="-62"/>
        </w:rPr>
        <w:t> </w:t>
      </w:r>
      <w:r>
        <w:rPr>
          <w:spacing w:val="-62"/>
        </w:rPr>
      </w:r>
      <w:r>
        <w:rPr>
          <w:spacing w:val="-2"/>
        </w:rPr>
        <w:t>为</w:t>
      </w:r>
      <w:r>
        <w:rPr>
          <w:rFonts w:ascii="Times New Roman" w:hAnsi="Times New Roman" w:cs="Times New Roman" w:eastAsia="Times New Roman" w:hint="default"/>
          <w:spacing w:val="-2"/>
        </w:rPr>
        <w:t>638,546</w:t>
      </w:r>
      <w:r>
        <w:rPr>
          <w:spacing w:val="-2"/>
        </w:rPr>
        <w:t>股，占公司总股本的比例为</w:t>
      </w:r>
      <w:r>
        <w:rPr>
          <w:rFonts w:ascii="Times New Roman" w:hAnsi="Times New Roman" w:cs="Times New Roman" w:eastAsia="Times New Roman" w:hint="default"/>
          <w:spacing w:val="-2"/>
        </w:rPr>
        <w:t>0.0877%</w:t>
      </w:r>
      <w:r>
        <w:rPr>
          <w:spacing w:val="-2"/>
        </w:rPr>
        <w:t>。具体内容详见公司在巨潮资讯网站（</w:t>
      </w:r>
      <w:hyperlink r:id="rId14">
        <w:r>
          <w:rPr>
            <w:rFonts w:ascii="Times New Roman" w:hAnsi="Times New Roman" w:cs="Times New Roman" w:eastAsia="Times New Roman" w:hint="default"/>
            <w:spacing w:val="-2"/>
          </w:rPr>
          <w:t>www.cninfo.com.cn</w:t>
        </w:r>
      </w:hyperlink>
      <w:r>
        <w:rPr>
          <w:spacing w:val="-2"/>
        </w:rPr>
        <w:t>）披露的公告（公告</w:t>
      </w:r>
      <w:r>
        <w:rPr>
          <w:spacing w:val="-42"/>
        </w:rPr>
        <w:t> </w:t>
      </w:r>
      <w:r>
        <w:rPr>
          <w:spacing w:val="-42"/>
        </w:rPr>
      </w:r>
      <w:r>
        <w:rPr/>
        <w:t>编号：</w:t>
      </w:r>
      <w:r>
        <w:rPr>
          <w:rFonts w:ascii="Times New Roman" w:hAnsi="Times New Roman" w:cs="Times New Roman" w:eastAsia="Times New Roman" w:hint="default"/>
        </w:rPr>
        <w:t>2019-040</w:t>
      </w:r>
      <w:r>
        <w:rPr/>
        <w:t>、</w:t>
      </w:r>
      <w:r>
        <w:rPr>
          <w:rFonts w:ascii="Times New Roman" w:hAnsi="Times New Roman" w:cs="Times New Roman" w:eastAsia="Times New Roman" w:hint="default"/>
        </w:rPr>
        <w:t>2019-041</w:t>
      </w:r>
      <w:r>
        <w:rPr/>
        <w:t>、</w:t>
      </w:r>
      <w:r>
        <w:rPr>
          <w:rFonts w:ascii="Times New Roman" w:hAnsi="Times New Roman" w:cs="Times New Roman" w:eastAsia="Times New Roman" w:hint="default"/>
        </w:rPr>
        <w:t>2019-042</w:t>
      </w:r>
      <w:r>
        <w:rPr/>
        <w:t>、</w:t>
      </w:r>
      <w:r>
        <w:rPr>
          <w:rFonts w:ascii="Times New Roman" w:hAnsi="Times New Roman" w:cs="Times New Roman" w:eastAsia="Times New Roman" w:hint="default"/>
        </w:rPr>
        <w:t>2019-044</w:t>
      </w:r>
      <w:r>
        <w:rPr/>
        <w:t>、</w:t>
      </w:r>
      <w:r>
        <w:rPr>
          <w:rFonts w:ascii="Times New Roman" w:hAnsi="Times New Roman" w:cs="Times New Roman" w:eastAsia="Times New Roman" w:hint="default"/>
        </w:rPr>
        <w:t>2019-057</w:t>
      </w:r>
      <w:r>
        <w:rPr/>
        <w:t>）。</w:t>
      </w:r>
    </w:p>
    <w:p>
      <w:pPr>
        <w:pStyle w:val="BodyText"/>
        <w:spacing w:line="300" w:lineRule="auto" w:before="11"/>
        <w:ind w:right="1132" w:firstLine="360"/>
        <w:jc w:val="left"/>
      </w:pPr>
      <w:r>
        <w:rPr>
          <w:rFonts w:ascii="Times New Roman" w:hAnsi="Times New Roman" w:cs="Times New Roman" w:eastAsia="Times New Roman" w:hint="default"/>
          <w:spacing w:val="-2"/>
        </w:rPr>
        <w:t>4</w:t>
      </w:r>
      <w:r>
        <w:rPr>
          <w:spacing w:val="-2"/>
        </w:rPr>
        <w:t>、</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26</w:t>
      </w:r>
      <w:r>
        <w:rPr>
          <w:spacing w:val="-2"/>
        </w:rPr>
        <w:t>日，公司召开第六届董事会第二十一次会议和第六届监事会第十七次会议，审议通过了《关于调整股票</w:t>
      </w:r>
      <w:r>
        <w:rPr/>
        <w:t> </w:t>
      </w:r>
      <w:r>
        <w:rPr>
          <w:spacing w:val="-2"/>
        </w:rPr>
        <w:t>期权与限制性股票激励计划相关事项的议案》。鉴于公司已完</w:t>
      </w:r>
      <w:r>
        <w:rPr>
          <w:rFonts w:ascii="Times New Roman" w:hAnsi="Times New Roman" w:cs="Times New Roman" w:eastAsia="Times New Roman" w:hint="default"/>
          <w:spacing w:val="-2"/>
        </w:rPr>
        <w:t>2018</w:t>
      </w:r>
      <w:r>
        <w:rPr>
          <w:spacing w:val="-2"/>
        </w:rPr>
        <w:t>年度权益分派事宜，根据公司股权激励计划，对股票期权</w:t>
      </w:r>
      <w:r>
        <w:rPr>
          <w:spacing w:val="-64"/>
        </w:rPr>
        <w:t> </w:t>
      </w:r>
      <w:r>
        <w:rPr>
          <w:spacing w:val="-64"/>
        </w:rPr>
      </w:r>
      <w:r>
        <w:rPr/>
        <w:t>和限制性股票激励计划的相应参数数量和价格进行调整。具体内容详见公司在巨潮资讯网站（</w:t>
      </w:r>
      <w:hyperlink r:id="rId14">
        <w:r>
          <w:rPr>
            <w:rFonts w:ascii="Times New Roman" w:hAnsi="Times New Roman" w:cs="Times New Roman" w:eastAsia="Times New Roman" w:hint="default"/>
          </w:rPr>
          <w:t>www.cninfo.com.cn</w:t>
        </w:r>
      </w:hyperlink>
      <w:r>
        <w:rPr/>
        <w:t>）披露的 公告（公告编号：</w:t>
      </w:r>
      <w:r>
        <w:rPr>
          <w:rFonts w:ascii="Times New Roman" w:hAnsi="Times New Roman" w:cs="Times New Roman" w:eastAsia="Times New Roman" w:hint="default"/>
        </w:rPr>
        <w:t>2019-054</w:t>
      </w:r>
      <w:r>
        <w:rPr/>
        <w:t>）。</w:t>
      </w:r>
    </w:p>
    <w:p>
      <w:pPr>
        <w:pStyle w:val="BodyText"/>
        <w:spacing w:line="300" w:lineRule="auto" w:before="13"/>
        <w:ind w:right="882" w:firstLine="360"/>
        <w:jc w:val="left"/>
      </w:pPr>
      <w:r>
        <w:rPr>
          <w:rFonts w:ascii="Times New Roman" w:hAnsi="Times New Roman" w:cs="Times New Roman" w:eastAsia="Times New Roman" w:hint="default"/>
        </w:rPr>
        <w:t>5</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12</w:t>
      </w:r>
      <w:r>
        <w:rPr/>
        <w:t>日，经中国证券登记结算有限责任公司深圳分公司确认，公司此次股权激励计划部分限制性股票回购 </w:t>
      </w:r>
      <w:r>
        <w:rPr>
          <w:spacing w:val="-3"/>
        </w:rPr>
        <w:t>注销完成。本次回购注销的股票数量为</w:t>
      </w:r>
      <w:r>
        <w:rPr>
          <w:rFonts w:ascii="Times New Roman" w:hAnsi="Times New Roman" w:cs="Times New Roman" w:eastAsia="Times New Roman" w:hint="default"/>
          <w:spacing w:val="-3"/>
        </w:rPr>
        <w:t>117,003</w:t>
      </w:r>
      <w:r>
        <w:rPr>
          <w:spacing w:val="-3"/>
        </w:rPr>
        <w:t>股，占回购前公司总股本的</w:t>
      </w:r>
      <w:r>
        <w:rPr>
          <w:rFonts w:ascii="Times New Roman" w:hAnsi="Times New Roman" w:cs="Times New Roman" w:eastAsia="Times New Roman" w:hint="default"/>
          <w:spacing w:val="-3"/>
        </w:rPr>
        <w:t>0.0158%</w:t>
      </w:r>
      <w:r>
        <w:rPr>
          <w:spacing w:val="-3"/>
        </w:rPr>
        <w:t>，其中</w:t>
      </w:r>
      <w:r>
        <w:rPr>
          <w:rFonts w:ascii="Times New Roman" w:hAnsi="Times New Roman" w:cs="Times New Roman" w:eastAsia="Times New Roman" w:hint="default"/>
          <w:spacing w:val="-3"/>
        </w:rPr>
        <w:t>103,503</w:t>
      </w:r>
      <w:r>
        <w:rPr>
          <w:spacing w:val="-3"/>
        </w:rPr>
        <w:t>股的回购价格为每股</w:t>
      </w:r>
      <w:r>
        <w:rPr>
          <w:rFonts w:ascii="Times New Roman" w:hAnsi="Times New Roman" w:cs="Times New Roman" w:eastAsia="Times New Roman" w:hint="default"/>
          <w:spacing w:val="-3"/>
        </w:rPr>
        <w:t>5.46</w:t>
      </w:r>
      <w:r>
        <w:rPr>
          <w:spacing w:val="-3"/>
        </w:rPr>
        <w:t>元，</w:t>
      </w:r>
      <w:r>
        <w:rPr>
          <w:spacing w:val="-40"/>
        </w:rPr>
        <w:t> </w:t>
      </w:r>
      <w:r>
        <w:rPr>
          <w:rFonts w:ascii="Times New Roman" w:hAnsi="Times New Roman" w:cs="Times New Roman" w:eastAsia="Times New Roman" w:hint="default"/>
        </w:rPr>
        <w:t>13,500</w:t>
      </w:r>
      <w:r>
        <w:rPr/>
        <w:t>股的回购价格为每股</w:t>
      </w:r>
      <w:r>
        <w:rPr>
          <w:rFonts w:ascii="Times New Roman" w:hAnsi="Times New Roman" w:cs="Times New Roman" w:eastAsia="Times New Roman" w:hint="default"/>
        </w:rPr>
        <w:t>8.20</w:t>
      </w:r>
      <w:r>
        <w:rPr/>
        <w:t>元。具体内容详见公司在巨潮资讯网站（</w:t>
      </w:r>
      <w:hyperlink r:id="rId14">
        <w:r>
          <w:rPr>
            <w:rFonts w:ascii="Times New Roman" w:hAnsi="Times New Roman" w:cs="Times New Roman" w:eastAsia="Times New Roman" w:hint="default"/>
          </w:rPr>
          <w:t>www.cninfo.com.cn</w:t>
        </w:r>
      </w:hyperlink>
      <w:r>
        <w:rPr/>
        <w:t>）披露的公告（公告编号：</w:t>
      </w:r>
    </w:p>
    <w:p>
      <w:pPr>
        <w:pStyle w:val="BodyText"/>
        <w:spacing w:line="240" w:lineRule="auto" w:before="13"/>
        <w:ind w:right="882"/>
        <w:jc w:val="left"/>
      </w:pPr>
      <w:r>
        <w:rPr>
          <w:rFonts w:ascii="Times New Roman" w:hAnsi="Times New Roman" w:cs="Times New Roman" w:eastAsia="Times New Roman" w:hint="default"/>
        </w:rPr>
        <w:t>2019-106</w:t>
      </w:r>
      <w:r>
        <w:rPr/>
        <w:t>）。</w:t>
      </w:r>
    </w:p>
    <w:p>
      <w:pPr>
        <w:pStyle w:val="BodyText"/>
        <w:spacing w:line="300" w:lineRule="auto" w:before="63"/>
        <w:ind w:right="1051" w:firstLine="360"/>
        <w:jc w:val="both"/>
      </w:pPr>
      <w:r>
        <w:rPr>
          <w:rFonts w:ascii="Times New Roman" w:hAnsi="Times New Roman" w:cs="Times New Roman" w:eastAsia="Times New Roman" w:hint="default"/>
        </w:rPr>
        <w:t>6</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23</w:t>
      </w:r>
      <w:r>
        <w:rPr/>
        <w:t>日，公司分别召开了第六届董事会第二十八次会议和第六届监事会第二十四次会议，审议通过了《关 于股票期权与制性股票激励计划首次授予部分第四次行权</w:t>
      </w:r>
      <w:r>
        <w:rPr>
          <w:rFonts w:ascii="Times New Roman" w:hAnsi="Times New Roman" w:cs="Times New Roman" w:eastAsia="Times New Roman" w:hint="default"/>
        </w:rPr>
        <w:t>/</w:t>
      </w:r>
      <w:r>
        <w:rPr/>
        <w:t>解锁期行权</w:t>
      </w:r>
      <w:r>
        <w:rPr>
          <w:rFonts w:ascii="Times New Roman" w:hAnsi="Times New Roman" w:cs="Times New Roman" w:eastAsia="Times New Roman" w:hint="default"/>
        </w:rPr>
        <w:t>/</w:t>
      </w:r>
      <w:r>
        <w:rPr/>
        <w:t>解锁条件成就的议案》、《关于注销公司股权激励计 划授予的股票期权第三个行权期未行权股票期权的议案》、《关于调整股票期权与限制性股票激励计划相关事项的议案》、</w:t>
      </w:r>
    </w:p>
    <w:p>
      <w:pPr>
        <w:pStyle w:val="BodyText"/>
        <w:spacing w:line="300" w:lineRule="auto" w:before="31"/>
        <w:ind w:right="1041"/>
        <w:jc w:val="left"/>
      </w:pPr>
      <w:r>
        <w:rPr/>
        <w:t>《关于对股票期权与限制性股票激励计划部分激励股份回购注销的议案》。鉴于公司原激励对象陈少昂等</w:t>
      </w:r>
      <w:r>
        <w:rPr>
          <w:rFonts w:ascii="Times New Roman" w:hAnsi="Times New Roman" w:cs="Times New Roman" w:eastAsia="Times New Roman" w:hint="default"/>
        </w:rPr>
        <w:t>6</w:t>
      </w:r>
      <w:r>
        <w:rPr/>
        <w:t>人因已离职不符 合激励条件，根据公司股权激励计划，公司拟对相关激励对象已获授（含已获准行权）但尚未行权的</w:t>
      </w:r>
      <w:r>
        <w:rPr>
          <w:rFonts w:ascii="Times New Roman" w:hAnsi="Times New Roman" w:cs="Times New Roman" w:eastAsia="Times New Roman" w:hint="default"/>
        </w:rPr>
        <w:t>34,875</w:t>
      </w:r>
      <w:r>
        <w:rPr/>
        <w:t>份股票期权进行 注销，对其已获授但尚未解锁的</w:t>
      </w:r>
      <w:r>
        <w:rPr>
          <w:rFonts w:ascii="Times New Roman" w:hAnsi="Times New Roman" w:cs="Times New Roman" w:eastAsia="Times New Roman" w:hint="default"/>
        </w:rPr>
        <w:t>6,750</w:t>
      </w:r>
      <w:r>
        <w:rPr/>
        <w:t>股限制性股票回购注销。同时对公司股权激励计划授予的股票期权第三个行权期未行 权股票期权进行注销，并同意满足第四次行权</w:t>
      </w:r>
      <w:r>
        <w:rPr>
          <w:rFonts w:ascii="Times New Roman" w:hAnsi="Times New Roman" w:cs="Times New Roman" w:eastAsia="Times New Roman" w:hint="default"/>
        </w:rPr>
        <w:t>/</w:t>
      </w:r>
      <w:r>
        <w:rPr/>
        <w:t>解锁期行权</w:t>
      </w:r>
      <w:r>
        <w:rPr>
          <w:rFonts w:ascii="Times New Roman" w:hAnsi="Times New Roman" w:cs="Times New Roman" w:eastAsia="Times New Roman" w:hint="default"/>
        </w:rPr>
        <w:t>/</w:t>
      </w:r>
      <w:r>
        <w:rPr/>
        <w:t>解锁条件的激励对象按照激励计划的相关规定办理行权</w:t>
      </w:r>
      <w:r>
        <w:rPr>
          <w:rFonts w:ascii="Times New Roman" w:hAnsi="Times New Roman" w:cs="Times New Roman" w:eastAsia="Times New Roman" w:hint="default"/>
        </w:rPr>
        <w:t>/</w:t>
      </w:r>
      <w:r>
        <w:rPr/>
        <w:t>解锁期行 </w:t>
      </w:r>
      <w:r>
        <w:rPr>
          <w:spacing w:val="-3"/>
        </w:rPr>
        <w:t>权</w:t>
      </w:r>
      <w:r>
        <w:rPr>
          <w:rFonts w:ascii="Times New Roman" w:hAnsi="Times New Roman" w:cs="Times New Roman" w:eastAsia="Times New Roman" w:hint="default"/>
          <w:spacing w:val="-3"/>
        </w:rPr>
        <w:t>/</w:t>
      </w:r>
      <w:r>
        <w:rPr>
          <w:spacing w:val="-3"/>
        </w:rPr>
        <w:t>解锁的相关事宜。具体内容详见公司在巨潮资讯网站（</w:t>
      </w:r>
      <w:hyperlink r:id="rId14">
        <w:r>
          <w:rPr>
            <w:rFonts w:ascii="Times New Roman" w:hAnsi="Times New Roman" w:cs="Times New Roman" w:eastAsia="Times New Roman" w:hint="default"/>
            <w:spacing w:val="-3"/>
          </w:rPr>
          <w:t>www.cninfo.com.cn</w:t>
        </w:r>
      </w:hyperlink>
      <w:r>
        <w:rPr>
          <w:spacing w:val="-3"/>
        </w:rPr>
        <w:t>）披露的公告（公告编号：</w:t>
      </w:r>
      <w:r>
        <w:rPr>
          <w:rFonts w:ascii="Times New Roman" w:hAnsi="Times New Roman" w:cs="Times New Roman" w:eastAsia="Times New Roman" w:hint="default"/>
          <w:spacing w:val="-3"/>
        </w:rPr>
        <w:t>2019-110</w:t>
      </w:r>
      <w:r>
        <w:rPr>
          <w:spacing w:val="-3"/>
        </w:rPr>
        <w:t>、</w:t>
      </w:r>
      <w:r>
        <w:rPr>
          <w:rFonts w:ascii="Times New Roman" w:hAnsi="Times New Roman" w:cs="Times New Roman" w:eastAsia="Times New Roman" w:hint="default"/>
          <w:spacing w:val="-3"/>
        </w:rPr>
        <w:t>2019-111</w:t>
      </w:r>
      <w:r>
        <w:rPr>
          <w:spacing w:val="-3"/>
        </w:rPr>
        <w:t>、</w:t>
      </w:r>
      <w:r>
        <w:rPr>
          <w:spacing w:val="-74"/>
        </w:rPr>
        <w:t> </w:t>
      </w:r>
      <w:r>
        <w:rPr>
          <w:rFonts w:ascii="Times New Roman" w:hAnsi="Times New Roman" w:cs="Times New Roman" w:eastAsia="Times New Roman" w:hint="default"/>
        </w:rPr>
        <w:t>2019-112</w:t>
      </w:r>
      <w:r>
        <w:rPr/>
        <w:t>、</w:t>
      </w:r>
      <w:r>
        <w:rPr>
          <w:rFonts w:ascii="Times New Roman" w:hAnsi="Times New Roman" w:cs="Times New Roman" w:eastAsia="Times New Roman" w:hint="default"/>
        </w:rPr>
        <w:t>2019-113</w:t>
      </w:r>
      <w:r>
        <w:rPr/>
        <w:t>）。）</w:t>
      </w:r>
    </w:p>
    <w:p>
      <w:pPr>
        <w:pStyle w:val="BodyText"/>
        <w:spacing w:line="316" w:lineRule="auto" w:before="13"/>
        <w:ind w:left="472" w:right="882"/>
        <w:jc w:val="left"/>
        <w:rPr>
          <w:rFonts w:ascii="Times New Roman" w:hAnsi="Times New Roman" w:cs="Times New Roman" w:eastAsia="Times New Roman" w:hint="default"/>
        </w:rPr>
      </w:pPr>
      <w:r>
        <w:rPr/>
        <w:t>（二）员工持股计划 </w:t>
      </w:r>
      <w:r>
        <w:rPr>
          <w:spacing w:val="-2"/>
        </w:rPr>
        <w:t>公司于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25</w:t>
      </w:r>
      <w:r>
        <w:rPr>
          <w:spacing w:val="-2"/>
        </w:rPr>
        <w:t>日召开的第五届董事会第三十七次会议、第五届监事会第二十八次会议及</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19</w:t>
      </w:r>
      <w:r>
        <w:rPr>
          <w:spacing w:val="-2"/>
        </w:rPr>
        <w:t>日召开的</w:t>
      </w:r>
      <w:r>
        <w:rPr>
          <w:rFonts w:ascii="Times New Roman" w:hAnsi="Times New Roman" w:cs="Times New Roman" w:eastAsia="Times New Roman" w:hint="default"/>
          <w:spacing w:val="-2"/>
        </w:rPr>
        <w:t>2017</w:t>
      </w:r>
    </w:p>
    <w:p>
      <w:pPr>
        <w:pStyle w:val="BodyText"/>
        <w:spacing w:line="300" w:lineRule="auto"/>
        <w:ind w:right="882"/>
        <w:jc w:val="left"/>
      </w:pPr>
      <w:r>
        <w:rPr>
          <w:spacing w:val="-4"/>
          <w:w w:val="99"/>
        </w:rPr>
        <w:t>年第四次临时股东大会审议通过了《关于</w:t>
      </w:r>
      <w:r>
        <w:rPr>
          <w:rFonts w:ascii="Times New Roman" w:hAnsi="Times New Roman" w:cs="Times New Roman" w:eastAsia="Times New Roman" w:hint="default"/>
          <w:spacing w:val="-4"/>
          <w:w w:val="99"/>
        </w:rPr>
        <w:t>&lt;</w:t>
      </w:r>
      <w:r>
        <w:rPr>
          <w:spacing w:val="-4"/>
          <w:w w:val="99"/>
        </w:rPr>
        <w:t>创业软件股份有限公司</w:t>
      </w:r>
      <w:r>
        <w:rPr>
          <w:rFonts w:ascii="Times New Roman" w:hAnsi="Times New Roman" w:cs="Times New Roman" w:eastAsia="Times New Roman" w:hint="default"/>
          <w:spacing w:val="-4"/>
          <w:w w:val="99"/>
        </w:rPr>
        <w:t>2017</w:t>
      </w:r>
      <w:r>
        <w:rPr>
          <w:spacing w:val="-4"/>
          <w:w w:val="99"/>
        </w:rPr>
        <w:t>年度第一期员工持股计划（草案）</w:t>
      </w:r>
      <w:r>
        <w:rPr>
          <w:rFonts w:ascii="Times New Roman" w:hAnsi="Times New Roman" w:cs="Times New Roman" w:eastAsia="Times New Roman" w:hint="default"/>
          <w:spacing w:val="-4"/>
          <w:w w:val="99"/>
        </w:rPr>
        <w:t>&gt;</w:t>
      </w:r>
      <w:r>
        <w:rPr>
          <w:spacing w:val="-4"/>
          <w:w w:val="99"/>
        </w:rPr>
        <w:t>及其摘要的议案》。</w:t>
      </w:r>
      <w:r>
        <w:rPr>
          <w:spacing w:val="-56"/>
          <w:w w:val="99"/>
        </w:rPr>
        <w:t> </w:t>
      </w:r>
      <w:r>
        <w:rPr>
          <w:spacing w:val="-56"/>
          <w:w w:val="99"/>
        </w:rPr>
      </w:r>
      <w:r>
        <w:rPr/>
        <w:t>本报告期，公司员工持股计划持股数量占公司总股本的</w:t>
      </w:r>
      <w:r>
        <w:rPr>
          <w:rFonts w:ascii="Times New Roman" w:hAnsi="Times New Roman" w:cs="Times New Roman" w:eastAsia="Times New Roman" w:hint="default"/>
        </w:rPr>
        <w:t>0.0020%</w:t>
      </w:r>
      <w:r>
        <w:rPr/>
        <w:t>。</w:t>
      </w:r>
    </w:p>
    <w:p>
      <w:pPr>
        <w:pStyle w:val="BodyText"/>
        <w:spacing w:line="240" w:lineRule="auto" w:before="13"/>
        <w:ind w:left="472" w:right="882"/>
        <w:jc w:val="left"/>
      </w:pPr>
      <w:r>
        <w:rPr/>
        <w:t>（三）</w:t>
      </w:r>
      <w:r>
        <w:rPr>
          <w:rFonts w:ascii="Times New Roman" w:hAnsi="Times New Roman" w:cs="Times New Roman" w:eastAsia="Times New Roman" w:hint="default"/>
        </w:rPr>
        <w:t>2019</w:t>
      </w:r>
      <w:r>
        <w:rPr/>
        <w:t>年度限制性股票激励计划</w:t>
      </w:r>
    </w:p>
    <w:p>
      <w:pPr>
        <w:pStyle w:val="BodyText"/>
        <w:spacing w:line="300" w:lineRule="auto" w:before="63"/>
        <w:ind w:right="882" w:firstLine="360"/>
        <w:jc w:val="left"/>
      </w:pP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9</w:t>
      </w:r>
      <w:r>
        <w:rPr>
          <w:spacing w:val="-1"/>
        </w:rPr>
        <w:t>月</w:t>
      </w:r>
      <w:r>
        <w:rPr>
          <w:rFonts w:ascii="Times New Roman" w:hAnsi="Times New Roman" w:cs="Times New Roman" w:eastAsia="Times New Roman" w:hint="default"/>
          <w:spacing w:val="-1"/>
        </w:rPr>
        <w:t>23</w:t>
      </w:r>
      <w:r>
        <w:rPr>
          <w:spacing w:val="-1"/>
        </w:rPr>
        <w:t>日，公司第六届董事会第二十三次会议审议通过了《关于公司</w:t>
      </w:r>
      <w:r>
        <w:rPr>
          <w:rFonts w:ascii="Times New Roman" w:hAnsi="Times New Roman" w:cs="Times New Roman" w:eastAsia="Times New Roman" w:hint="default"/>
          <w:spacing w:val="-1"/>
        </w:rPr>
        <w:t>&lt;2019</w:t>
      </w:r>
      <w:r>
        <w:rPr>
          <w:spacing w:val="-1"/>
        </w:rPr>
        <w:t>年限制性股票激励计划（草案）</w:t>
      </w:r>
      <w:r>
        <w:rPr>
          <w:rFonts w:ascii="Times New Roman" w:hAnsi="Times New Roman" w:cs="Times New Roman" w:eastAsia="Times New Roman" w:hint="default"/>
          <w:spacing w:val="-1"/>
        </w:rPr>
        <w:t>&gt;</w:t>
      </w:r>
      <w:r>
        <w:rPr>
          <w:spacing w:val="-1"/>
        </w:rPr>
        <w:t>及其</w:t>
      </w:r>
      <w:r>
        <w:rPr/>
        <w:t> </w:t>
      </w:r>
      <w:r>
        <w:rPr>
          <w:spacing w:val="-2"/>
        </w:rPr>
        <w:t>摘要的议案》，并披露了《</w:t>
      </w:r>
      <w:r>
        <w:rPr>
          <w:rFonts w:ascii="Times New Roman" w:hAnsi="Times New Roman" w:cs="Times New Roman" w:eastAsia="Times New Roman" w:hint="default"/>
          <w:spacing w:val="-2"/>
        </w:rPr>
        <w:t>2019</w:t>
      </w:r>
      <w:r>
        <w:rPr>
          <w:spacing w:val="-2"/>
        </w:rPr>
        <w:t>年限制性股票激励计划（草案）》。公司第六届监事会第十九次会议审议通过上述议案并对</w:t>
      </w:r>
      <w:r>
        <w:rPr>
          <w:spacing w:val="-63"/>
        </w:rPr>
        <w:t> </w:t>
      </w:r>
      <w:r>
        <w:rPr>
          <w:spacing w:val="-63"/>
        </w:rPr>
      </w:r>
      <w:r>
        <w:rPr/>
        <w:t>公司本次限制性股票激励计划的激励对象名单进行核实，公司独立董事就本次限制性股票激励计划发表了独立意见。</w:t>
      </w:r>
      <w:r>
        <w:rPr>
          <w:rFonts w:ascii="Times New Roman" w:hAnsi="Times New Roman" w:cs="Times New Roman" w:eastAsia="Times New Roman" w:hint="default"/>
        </w:rPr>
        <w:t>2019 </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7</w:t>
      </w:r>
      <w:r>
        <w:rPr>
          <w:spacing w:val="-1"/>
        </w:rPr>
        <w:t>日，公司</w:t>
      </w:r>
      <w:r>
        <w:rPr>
          <w:rFonts w:ascii="Times New Roman" w:hAnsi="Times New Roman" w:cs="Times New Roman" w:eastAsia="Times New Roman" w:hint="default"/>
          <w:spacing w:val="-1"/>
        </w:rPr>
        <w:t>2019</w:t>
      </w:r>
      <w:r>
        <w:rPr>
          <w:spacing w:val="-1"/>
        </w:rPr>
        <w:t>年第三次临时股东大会审议并通过了《关于公司</w:t>
      </w:r>
      <w:r>
        <w:rPr>
          <w:rFonts w:ascii="Times New Roman" w:hAnsi="Times New Roman" w:cs="Times New Roman" w:eastAsia="Times New Roman" w:hint="default"/>
          <w:spacing w:val="-1"/>
        </w:rPr>
        <w:t>&lt;2019</w:t>
      </w:r>
      <w:r>
        <w:rPr>
          <w:spacing w:val="-1"/>
        </w:rPr>
        <w:t>年限制性股票激励计划（草案）</w:t>
      </w:r>
      <w:r>
        <w:rPr>
          <w:rFonts w:ascii="Times New Roman" w:hAnsi="Times New Roman" w:cs="Times New Roman" w:eastAsia="Times New Roman" w:hint="default"/>
          <w:spacing w:val="-1"/>
        </w:rPr>
        <w:t>&gt;</w:t>
      </w:r>
      <w:r>
        <w:rPr>
          <w:spacing w:val="-1"/>
        </w:rPr>
        <w:t>及其摘要的议</w:t>
      </w:r>
      <w:r>
        <w:rPr>
          <w:spacing w:val="-54"/>
        </w:rPr>
        <w:t> </w:t>
      </w:r>
      <w:r>
        <w:rPr/>
        <w:t>案》、《关于公司</w:t>
      </w:r>
      <w:r>
        <w:rPr>
          <w:rFonts w:ascii="Times New Roman" w:hAnsi="Times New Roman" w:cs="Times New Roman" w:eastAsia="Times New Roman" w:hint="default"/>
        </w:rPr>
        <w:t>&lt;2019</w:t>
      </w:r>
      <w:r>
        <w:rPr/>
        <w:t>年限制性股票激励计划实施考核管理办法</w:t>
      </w:r>
      <w:r>
        <w:rPr>
          <w:rFonts w:ascii="Times New Roman" w:hAnsi="Times New Roman" w:cs="Times New Roman" w:eastAsia="Times New Roman" w:hint="default"/>
        </w:rPr>
        <w:t>&gt;</w:t>
      </w:r>
      <w:r>
        <w:rPr/>
        <w:t>的议案》和《关于提请股东大会授权董事会办理股权激 励相关事宜的议案》。</w:t>
      </w:r>
    </w:p>
    <w:p>
      <w:pPr>
        <w:pStyle w:val="BodyText"/>
        <w:spacing w:line="300" w:lineRule="auto" w:before="31"/>
        <w:ind w:right="1124" w:firstLine="360"/>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w:t>
      </w:r>
      <w:r>
        <w:rPr/>
        <w:t>日，公司此次激励计划首次授予部分限制性股票完成授予登记工作。本次限制性股票激励计划首次授予对 象为</w:t>
      </w:r>
      <w:r>
        <w:rPr>
          <w:rFonts w:ascii="Times New Roman" w:hAnsi="Times New Roman" w:cs="Times New Roman" w:eastAsia="Times New Roman" w:hint="default"/>
        </w:rPr>
        <w:t>305</w:t>
      </w:r>
      <w:r>
        <w:rPr/>
        <w:t>人，首次授予数量为</w:t>
      </w:r>
      <w:r>
        <w:rPr>
          <w:rFonts w:ascii="Times New Roman" w:hAnsi="Times New Roman" w:cs="Times New Roman" w:eastAsia="Times New Roman" w:hint="default"/>
        </w:rPr>
        <w:t>1,123.75</w:t>
      </w:r>
      <w:r>
        <w:rPr/>
        <w:t>万股，占授予前公司总股本的</w:t>
      </w:r>
      <w:r>
        <w:rPr>
          <w:rFonts w:ascii="Times New Roman" w:hAnsi="Times New Roman" w:cs="Times New Roman" w:eastAsia="Times New Roman" w:hint="default"/>
        </w:rPr>
        <w:t>1.53%</w:t>
      </w:r>
      <w:r>
        <w:rPr/>
        <w:t>。</w:t>
      </w:r>
      <w:r>
        <w:rPr>
          <w:spacing w:val="-7"/>
        </w:rPr>
        <w:t> </w:t>
      </w:r>
      <w:r>
        <w:rPr/>
        <w:t>本次首次授予的限制性股票上市日期为</w:t>
      </w:r>
      <w:r>
        <w:rPr>
          <w:rFonts w:ascii="Times New Roman" w:hAnsi="Times New Roman" w:cs="Times New Roman" w:eastAsia="Times New Roman" w:hint="default"/>
        </w:rPr>
        <w:t>2019</w:t>
      </w:r>
      <w:r>
        <w:rPr/>
        <w:t>年 </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5</w:t>
      </w:r>
      <w:r>
        <w:rPr/>
        <w:t>日（星期四）。</w:t>
      </w:r>
      <w:r>
        <w:rPr>
          <w:spacing w:val="-24"/>
        </w:rPr>
        <w:t> </w:t>
      </w:r>
      <w:r>
        <w:rPr/>
        <w:t>具体内容详见公司在巨潮资讯网站（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2019-104</w:t>
      </w:r>
      <w:r>
        <w:rPr/>
        <w:t>）。</w:t>
      </w:r>
    </w:p>
    <w:p>
      <w:pPr>
        <w:pStyle w:val="BodyText"/>
        <w:spacing w:line="240" w:lineRule="auto" w:before="51"/>
        <w:ind w:left="472" w:right="882"/>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472" w:right="882"/>
        <w:jc w:val="left"/>
      </w:pPr>
      <w:bookmarkStart w:name="公司本期以权益结算的股份支付确认的费用总额为 8,503,771.88元。" w:id="80"/>
      <w:bookmarkEnd w:id="80"/>
      <w:r>
        <w:rPr/>
      </w:r>
      <w:r>
        <w:rPr/>
        <w:t>公司本期以权益结算的股份支付确认的费用总额为 </w:t>
      </w:r>
      <w:r>
        <w:rPr>
          <w:rFonts w:ascii="Times New Roman" w:hAnsi="Times New Roman" w:cs="Times New Roman" w:eastAsia="Times New Roman" w:hint="default"/>
        </w:rPr>
        <w:t>8,503,771.88</w:t>
      </w:r>
      <w:r>
        <w:rPr>
          <w:rFonts w:ascii="Times New Roman" w:hAnsi="Times New Roman" w:cs="Times New Roman" w:eastAsia="Times New Roman" w:hint="default"/>
          <w:spacing w:val="-6"/>
        </w:rPr>
        <w:t> </w:t>
      </w:r>
      <w:r>
        <w:rPr/>
        <w:t>元。</w:t>
      </w:r>
    </w:p>
    <w:p>
      <w:pPr>
        <w:spacing w:line="240" w:lineRule="auto" w:before="0"/>
        <w:rPr>
          <w:rFonts w:ascii="宋体" w:hAnsi="宋体" w:cs="宋体" w:eastAsia="宋体" w:hint="default"/>
          <w:sz w:val="24"/>
          <w:szCs w:val="24"/>
        </w:rPr>
      </w:pPr>
    </w:p>
    <w:p>
      <w:pPr>
        <w:pStyle w:val="Heading2"/>
        <w:spacing w:line="240" w:lineRule="auto"/>
        <w:ind w:right="882"/>
        <w:jc w:val="left"/>
        <w:rPr>
          <w:b w:val="0"/>
          <w:bCs w:val="0"/>
        </w:rPr>
      </w:pPr>
      <w:bookmarkStart w:name="十五、重大关联交易" w:id="81"/>
      <w:bookmarkEnd w:id="81"/>
      <w:r>
        <w:rPr>
          <w:b w:val="0"/>
          <w:bCs w:val="0"/>
        </w:rPr>
      </w:r>
      <w:r>
        <w:rPr/>
        <w:t>十五、重大关联交易</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与日常经营相关的关联交易" w:id="82"/>
      <w:bookmarkEnd w:id="82"/>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6614"/>
        <w:jc w:val="left"/>
      </w:pPr>
      <w:r>
        <w:rPr/>
        <w:t>□ 适用 √ 不适用 公司报告期未发生与日常经营相关的重大关联交易。</w:t>
      </w:r>
    </w:p>
    <w:p>
      <w:pPr>
        <w:spacing w:line="240" w:lineRule="auto" w:before="2"/>
        <w:rPr>
          <w:rFonts w:ascii="宋体" w:hAnsi="宋体" w:cs="宋体" w:eastAsia="宋体" w:hint="default"/>
          <w:sz w:val="20"/>
          <w:szCs w:val="20"/>
        </w:rPr>
      </w:pPr>
    </w:p>
    <w:p>
      <w:pPr>
        <w:pStyle w:val="Heading3"/>
        <w:spacing w:line="240" w:lineRule="auto"/>
        <w:ind w:right="882"/>
        <w:jc w:val="left"/>
        <w:rPr>
          <w:b w:val="0"/>
          <w:bCs w:val="0"/>
        </w:rPr>
      </w:pPr>
      <w:bookmarkStart w:name="2、资产或股权收购、出售发生的关联交易" w:id="83"/>
      <w:bookmarkEnd w:id="83"/>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6074"/>
        <w:jc w:val="left"/>
      </w:pPr>
      <w:r>
        <w:rPr/>
        <w:t>□ 适用 √ 不适用 公司报告期未发生重大资产或股权收购、出售的关联交易。</w:t>
      </w:r>
    </w:p>
    <w:p>
      <w:pPr>
        <w:spacing w:line="240" w:lineRule="auto" w:before="3"/>
        <w:rPr>
          <w:rFonts w:ascii="宋体" w:hAnsi="宋体" w:cs="宋体" w:eastAsia="宋体" w:hint="default"/>
          <w:sz w:val="20"/>
          <w:szCs w:val="20"/>
        </w:rPr>
      </w:pPr>
    </w:p>
    <w:p>
      <w:pPr>
        <w:pStyle w:val="Heading3"/>
        <w:spacing w:line="240" w:lineRule="auto"/>
        <w:ind w:right="882"/>
        <w:jc w:val="left"/>
        <w:rPr>
          <w:b w:val="0"/>
          <w:bCs w:val="0"/>
        </w:rPr>
      </w:pPr>
      <w:bookmarkStart w:name="3、共同对外投资的关联交易" w:id="84"/>
      <w:bookmarkEnd w:id="84"/>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154"/>
        <w:jc w:val="left"/>
      </w:pPr>
      <w:r>
        <w:rPr/>
        <w:t>□ 适用 √ 不适用 公司报告期未发生共同对外投资的关联交易。</w:t>
      </w:r>
    </w:p>
    <w:p>
      <w:pPr>
        <w:spacing w:line="240" w:lineRule="auto" w:before="12"/>
        <w:rPr>
          <w:rFonts w:ascii="宋体" w:hAnsi="宋体" w:cs="宋体" w:eastAsia="宋体" w:hint="default"/>
          <w:sz w:val="19"/>
          <w:szCs w:val="19"/>
        </w:rPr>
      </w:pPr>
    </w:p>
    <w:p>
      <w:pPr>
        <w:pStyle w:val="Heading3"/>
        <w:spacing w:line="240" w:lineRule="auto"/>
        <w:ind w:right="882"/>
        <w:jc w:val="left"/>
        <w:rPr>
          <w:b w:val="0"/>
          <w:bCs w:val="0"/>
        </w:rPr>
      </w:pPr>
      <w:bookmarkStart w:name="4、关联债权债务往来" w:id="85"/>
      <w:bookmarkEnd w:id="85"/>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4"/>
        <w:jc w:val="left"/>
      </w:pPr>
      <w:r>
        <w:rPr/>
        <w:t>□ 适用 √ 不适用 公司报告期不存在关联债权债务往来。</w:t>
      </w:r>
    </w:p>
    <w:p>
      <w:pPr>
        <w:spacing w:line="240" w:lineRule="auto" w:before="12"/>
        <w:rPr>
          <w:rFonts w:ascii="宋体" w:hAnsi="宋体" w:cs="宋体" w:eastAsia="宋体" w:hint="default"/>
          <w:sz w:val="19"/>
          <w:szCs w:val="19"/>
        </w:rPr>
      </w:pPr>
    </w:p>
    <w:p>
      <w:pPr>
        <w:pStyle w:val="Heading3"/>
        <w:spacing w:line="240" w:lineRule="auto"/>
        <w:ind w:right="882"/>
        <w:jc w:val="left"/>
        <w:rPr>
          <w:b w:val="0"/>
          <w:bCs w:val="0"/>
        </w:rPr>
      </w:pPr>
      <w:bookmarkStart w:name="5、其他重大关联交易" w:id="86"/>
      <w:bookmarkEnd w:id="86"/>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8054"/>
        <w:jc w:val="left"/>
      </w:pPr>
      <w:r>
        <w:rPr/>
        <w:t>□ 适用 √ 不适用 公司报告期无其他重大关联交易。</w:t>
      </w:r>
    </w:p>
    <w:p>
      <w:pPr>
        <w:spacing w:line="240" w:lineRule="auto" w:before="2"/>
        <w:rPr>
          <w:rFonts w:ascii="宋体" w:hAnsi="宋体" w:cs="宋体" w:eastAsia="宋体" w:hint="default"/>
          <w:sz w:val="18"/>
          <w:szCs w:val="18"/>
        </w:rPr>
      </w:pPr>
    </w:p>
    <w:p>
      <w:pPr>
        <w:pStyle w:val="Heading2"/>
        <w:spacing w:line="240" w:lineRule="auto"/>
        <w:ind w:right="882"/>
        <w:jc w:val="left"/>
        <w:rPr>
          <w:b w:val="0"/>
          <w:bCs w:val="0"/>
        </w:rPr>
      </w:pPr>
      <w:bookmarkStart w:name="十六、重大合同及其履行情况" w:id="87"/>
      <w:bookmarkEnd w:id="87"/>
      <w:r>
        <w:rPr>
          <w:b w:val="0"/>
          <w:bCs w:val="0"/>
        </w:rPr>
      </w:r>
      <w:r>
        <w:rPr/>
        <w:t>十六、重大合同及其履行情况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托管、承包、租赁事项情况" w:id="88"/>
      <w:bookmarkEnd w:id="88"/>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托管情况" w:id="89"/>
      <w:bookmarkEnd w:id="89"/>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414"/>
        <w:jc w:val="left"/>
      </w:pPr>
      <w:r>
        <w:rPr/>
        <w:t>□ 适用 √ 不适用 公司报告期不存在托管情况。</w:t>
      </w:r>
    </w:p>
    <w:p>
      <w:pPr>
        <w:spacing w:line="240" w:lineRule="auto" w:before="4"/>
        <w:rPr>
          <w:rFonts w:ascii="宋体" w:hAnsi="宋体" w:cs="宋体" w:eastAsia="宋体" w:hint="default"/>
          <w:sz w:val="20"/>
          <w:szCs w:val="20"/>
        </w:rPr>
      </w:pPr>
    </w:p>
    <w:p>
      <w:pPr>
        <w:pStyle w:val="Heading3"/>
        <w:spacing w:line="240" w:lineRule="auto"/>
        <w:ind w:right="882"/>
        <w:jc w:val="left"/>
        <w:rPr>
          <w:b w:val="0"/>
          <w:bCs w:val="0"/>
        </w:rPr>
      </w:pPr>
      <w:bookmarkStart w:name="（2）承包情况" w:id="90"/>
      <w:bookmarkEnd w:id="90"/>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414"/>
        <w:jc w:val="left"/>
      </w:pPr>
      <w:r>
        <w:rPr/>
        <w:t>□ 适用 √ 不适用 公司报告期不存在承包情况。</w:t>
      </w:r>
    </w:p>
    <w:p>
      <w:pPr>
        <w:spacing w:after="0" w:line="357"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3）租赁情况" w:id="91"/>
      <w:bookmarkEnd w:id="91"/>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8414"/>
        <w:jc w:val="left"/>
      </w:pPr>
      <w:r>
        <w:rPr/>
        <w:t>□ 适用 √ 不适用 公司报告期不存在租赁情况。</w:t>
      </w:r>
    </w:p>
    <w:p>
      <w:pPr>
        <w:spacing w:line="240" w:lineRule="auto" w:before="12"/>
        <w:rPr>
          <w:rFonts w:ascii="宋体" w:hAnsi="宋体" w:cs="宋体" w:eastAsia="宋体" w:hint="default"/>
          <w:sz w:val="19"/>
          <w:szCs w:val="19"/>
        </w:rPr>
      </w:pPr>
    </w:p>
    <w:p>
      <w:pPr>
        <w:pStyle w:val="Heading3"/>
        <w:spacing w:line="240" w:lineRule="auto"/>
        <w:ind w:right="882"/>
        <w:jc w:val="left"/>
        <w:rPr>
          <w:b w:val="0"/>
          <w:bCs w:val="0"/>
        </w:rPr>
      </w:pPr>
      <w:bookmarkStart w:name="2、重大担保" w:id="92"/>
      <w:bookmarkEnd w:id="92"/>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8054"/>
        <w:jc w:val="left"/>
      </w:pPr>
      <w:r>
        <w:rPr/>
        <w:t>□ 适用 √ 不适用 公司报告期不存在担保情况。</w:t>
      </w:r>
    </w:p>
    <w:p>
      <w:pPr>
        <w:spacing w:line="240" w:lineRule="auto" w:before="12"/>
        <w:rPr>
          <w:rFonts w:ascii="宋体" w:hAnsi="宋体" w:cs="宋体" w:eastAsia="宋体" w:hint="default"/>
          <w:sz w:val="19"/>
          <w:szCs w:val="19"/>
        </w:rPr>
      </w:pPr>
    </w:p>
    <w:p>
      <w:pPr>
        <w:pStyle w:val="Heading3"/>
        <w:spacing w:line="240" w:lineRule="auto"/>
        <w:ind w:right="882"/>
        <w:jc w:val="left"/>
        <w:rPr>
          <w:b w:val="0"/>
          <w:bCs w:val="0"/>
        </w:rPr>
      </w:pPr>
      <w:bookmarkStart w:name="3、委托他人进行现金资产管理情况" w:id="93"/>
      <w:bookmarkEnd w:id="93"/>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委托理财情况" w:id="94"/>
      <w:bookmarkEnd w:id="94"/>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footerReference w:type="default" r:id="rId34"/>
          <w:pgSz w:w="11910" w:h="16840"/>
          <w:pgMar w:footer="1016" w:header="907" w:top="1100" w:bottom="1200" w:left="1020" w:right="0"/>
          <w:pgNumType w:start="60"/>
        </w:sectPr>
      </w:pPr>
    </w:p>
    <w:p>
      <w:pPr>
        <w:pStyle w:val="BodyText"/>
        <w:spacing w:line="360" w:lineRule="auto" w:before="44"/>
        <w:ind w:right="-20"/>
        <w:jc w:val="left"/>
      </w:pPr>
      <w:r>
        <w:rPr/>
        <w:t>√ 适用 □ 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单位：万元</w:t>
      </w:r>
    </w:p>
    <w:p>
      <w:pPr>
        <w:spacing w:after="0" w:line="240" w:lineRule="auto"/>
        <w:jc w:val="left"/>
        <w:sectPr>
          <w:type w:val="continuous"/>
          <w:pgSz w:w="11910" w:h="16840"/>
          <w:pgMar w:top="1100" w:bottom="1200" w:left="1020" w:right="0"/>
          <w:cols w:num="2" w:equalWidth="0">
            <w:col w:w="1913" w:space="6825"/>
            <w:col w:w="215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868"/>
        <w:gridCol w:w="1962"/>
        <w:gridCol w:w="1981"/>
        <w:gridCol w:w="1909"/>
        <w:gridCol w:w="1847"/>
      </w:tblGrid>
      <w:tr>
        <w:trPr>
          <w:trHeight w:val="402"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4"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8"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4,180</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4,180</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50"/>
        <w:ind w:right="882"/>
        <w:jc w:val="left"/>
      </w:pPr>
      <w:r>
        <w:rPr/>
        <w:t>单项金额重大或安全性较低、流动性较差、不保本的高风险委托理财具体情况</w:t>
      </w:r>
    </w:p>
    <w:p>
      <w:pPr>
        <w:pStyle w:val="BodyText"/>
        <w:spacing w:line="360" w:lineRule="auto" w:before="117"/>
        <w:ind w:right="5714"/>
        <w:jc w:val="left"/>
      </w:pPr>
      <w:r>
        <w:rPr/>
        <w:t>□ 适用 √ 不适用 委托理财出现预期无法收回本金或存在其他可能导致减值的情形</w:t>
      </w:r>
    </w:p>
    <w:p>
      <w:pPr>
        <w:pStyle w:val="BodyText"/>
        <w:spacing w:line="240" w:lineRule="auto" w:before="25"/>
        <w:ind w:right="882"/>
        <w:jc w:val="left"/>
      </w:pPr>
      <w:r>
        <w:rPr/>
        <w:t>□ 适用 √ 不适用</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委托贷款情况" w:id="95"/>
      <w:bookmarkEnd w:id="95"/>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8414"/>
        <w:jc w:val="left"/>
      </w:pPr>
      <w:r>
        <w:rPr/>
        <w:t>□ 适用 √ 不适用 公司报告期不存在委托贷款。</w:t>
      </w:r>
    </w:p>
    <w:p>
      <w:pPr>
        <w:spacing w:line="240" w:lineRule="auto" w:before="3"/>
        <w:rPr>
          <w:rFonts w:ascii="宋体" w:hAnsi="宋体" w:cs="宋体" w:eastAsia="宋体" w:hint="default"/>
          <w:sz w:val="20"/>
          <w:szCs w:val="20"/>
        </w:rPr>
      </w:pPr>
    </w:p>
    <w:p>
      <w:pPr>
        <w:pStyle w:val="Heading3"/>
        <w:spacing w:line="240" w:lineRule="auto"/>
        <w:ind w:right="882"/>
        <w:jc w:val="left"/>
        <w:rPr>
          <w:b w:val="0"/>
          <w:bCs w:val="0"/>
        </w:rPr>
      </w:pPr>
      <w:bookmarkStart w:name="4、其他重大合同" w:id="96"/>
      <w:bookmarkEnd w:id="96"/>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8054"/>
        <w:jc w:val="left"/>
      </w:pPr>
      <w:r>
        <w:rPr/>
        <w:t>□ 适用 √ 不适用 公司报告期不存在其他重大合同。</w:t>
      </w:r>
    </w:p>
    <w:p>
      <w:pPr>
        <w:spacing w:line="240" w:lineRule="auto" w:before="2"/>
        <w:rPr>
          <w:rFonts w:ascii="宋体" w:hAnsi="宋体" w:cs="宋体" w:eastAsia="宋体" w:hint="default"/>
          <w:sz w:val="18"/>
          <w:szCs w:val="18"/>
        </w:rPr>
      </w:pPr>
    </w:p>
    <w:p>
      <w:pPr>
        <w:pStyle w:val="Heading2"/>
        <w:spacing w:line="240" w:lineRule="auto"/>
        <w:ind w:right="882"/>
        <w:jc w:val="left"/>
        <w:rPr>
          <w:b w:val="0"/>
          <w:bCs w:val="0"/>
        </w:rPr>
      </w:pPr>
      <w:bookmarkStart w:name="十七、社会责任情况" w:id="97"/>
      <w:bookmarkEnd w:id="97"/>
      <w:r>
        <w:rPr>
          <w:b w:val="0"/>
          <w:bCs w:val="0"/>
        </w:rPr>
      </w:r>
      <w:r>
        <w:rPr/>
        <w:t>十七、社会责任情况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532" w:right="882"/>
        <w:jc w:val="left"/>
        <w:rPr>
          <w:b w:val="0"/>
          <w:bCs w:val="0"/>
        </w:rPr>
      </w:pPr>
      <w:bookmarkStart w:name="1、履行社会责任情况" w:id="98"/>
      <w:bookmarkEnd w:id="98"/>
      <w:r>
        <w:rPr>
          <w:b w:val="0"/>
          <w:bCs w:val="0"/>
        </w:rPr>
      </w:r>
      <w:r>
        <w:rPr>
          <w:rFonts w:ascii="Times New Roman" w:hAnsi="Times New Roman" w:cs="Times New Roman" w:eastAsia="Times New Roman" w:hint="default"/>
        </w:rPr>
        <w:t>1</w:t>
      </w:r>
      <w:r>
        <w:rPr/>
        <w:t>、履行社会责任情况</w:t>
      </w:r>
      <w:r>
        <w:rPr>
          <w:b w:val="0"/>
          <w:bCs w:val="0"/>
        </w:rPr>
      </w:r>
    </w:p>
    <w:p>
      <w:pPr>
        <w:pStyle w:val="BodyText"/>
        <w:spacing w:line="316" w:lineRule="auto" w:before="44"/>
        <w:ind w:left="472" w:right="882"/>
        <w:jc w:val="left"/>
      </w:pPr>
      <w:r>
        <w:rPr/>
        <w:t>（一）股东及债权人权益保护 </w:t>
      </w:r>
      <w:r>
        <w:rPr>
          <w:spacing w:val="-2"/>
        </w:rPr>
        <w:t>公司严格按照《公司法》、《证券法》、《股票上市规则》等法律法规、部门规章、规范性文件和公司章程的规定，依</w:t>
      </w:r>
    </w:p>
    <w:p>
      <w:pPr>
        <w:pStyle w:val="BodyText"/>
        <w:spacing w:line="316" w:lineRule="auto" w:before="19"/>
        <w:ind w:right="882"/>
        <w:jc w:val="left"/>
      </w:pPr>
      <w:r>
        <w:rPr>
          <w:spacing w:val="-2"/>
        </w:rPr>
        <w:t>法召开股东大会，积极主动采用网络投票等方式扩大股东参与股东大会的比例。报告期内，公司不断完善法人治理结构，保</w:t>
      </w:r>
      <w:r>
        <w:rPr>
          <w:spacing w:val="-66"/>
        </w:rPr>
        <w:t> </w:t>
      </w:r>
      <w:r>
        <w:rPr>
          <w:spacing w:val="-66"/>
        </w:rPr>
      </w:r>
      <w:r>
        <w:rPr>
          <w:spacing w:val="-2"/>
        </w:rPr>
        <w:t>障股东知情权、参与权及分红权的实现，积极实施现金分红政策，确保股东投资回报；不断完善内控体系及治理结构，严格</w:t>
      </w:r>
    </w:p>
    <w:p>
      <w:pPr>
        <w:spacing w:after="0" w:line="316" w:lineRule="auto"/>
        <w:jc w:val="left"/>
        <w:sectPr>
          <w:type w:val="continuous"/>
          <w:pgSz w:w="11910" w:h="16840"/>
          <w:pgMar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32"/>
        <w:jc w:val="both"/>
      </w:pPr>
      <w:r>
        <w:rPr>
          <w:spacing w:val="-2"/>
        </w:rPr>
        <w:t>履行信息披露义务，真实、准确、完整、及时、公平地向所有股东披露信息；通过网上业绩说明会、投资者电话、传真、电</w:t>
      </w:r>
      <w:r>
        <w:rPr>
          <w:spacing w:val="-68"/>
        </w:rPr>
        <w:t> </w:t>
      </w:r>
      <w:r>
        <w:rPr>
          <w:spacing w:val="-68"/>
        </w:rPr>
      </w:r>
      <w:r>
        <w:rPr>
          <w:spacing w:val="-2"/>
        </w:rPr>
        <w:t>子邮箱和投资者关系互动平台、接待投资者现场调研等多种方式与投资者进行沟通交流，建立良好的互动平台，提高公司的</w:t>
      </w:r>
      <w:r>
        <w:rPr>
          <w:spacing w:val="-65"/>
        </w:rPr>
        <w:t> </w:t>
      </w:r>
      <w:r>
        <w:rPr>
          <w:spacing w:val="-65"/>
        </w:rPr>
      </w:r>
      <w:r>
        <w:rPr>
          <w:spacing w:val="-2"/>
        </w:rPr>
        <w:t>透明度和诚信度。同时，公司的财务政策稳健，资产、资金安全，在维护股东利益的同时兼顾债权人的利益。报告期内，公</w:t>
      </w:r>
      <w:r>
        <w:rPr>
          <w:spacing w:val="-64"/>
        </w:rPr>
        <w:t> </w:t>
      </w:r>
      <w:r>
        <w:rPr>
          <w:spacing w:val="-64"/>
        </w:rPr>
      </w:r>
      <w:r>
        <w:rPr>
          <w:spacing w:val="-2"/>
        </w:rPr>
        <w:t>司无大股东及关联方占用公司资金情形，亦不存在将资金直接或间接地提供给大股东及关联方使用的各种情形，公司无任何</w:t>
      </w:r>
      <w:r>
        <w:rPr>
          <w:spacing w:val="-64"/>
        </w:rPr>
        <w:t> </w:t>
      </w:r>
      <w:r>
        <w:rPr>
          <w:spacing w:val="-64"/>
        </w:rPr>
      </w:r>
      <w:r>
        <w:rPr/>
        <w:t>形式的对外担保事项。</w:t>
      </w:r>
    </w:p>
    <w:p>
      <w:pPr>
        <w:pStyle w:val="BodyText"/>
        <w:spacing w:line="316" w:lineRule="auto" w:before="19"/>
        <w:ind w:left="472" w:right="882"/>
        <w:jc w:val="left"/>
      </w:pPr>
      <w:r>
        <w:rPr/>
        <w:t>（二）职工权益保护 </w:t>
      </w:r>
      <w:r>
        <w:rPr>
          <w:spacing w:val="-2"/>
        </w:rPr>
        <w:t>公司始终坚持“以人为本”的核心价值观，尊重员工人格，关注员工健康、安全和满意度，保障员工合法权益，致力于</w:t>
      </w:r>
    </w:p>
    <w:p>
      <w:pPr>
        <w:pStyle w:val="BodyText"/>
        <w:spacing w:line="316" w:lineRule="auto" w:before="19"/>
        <w:ind w:right="1132"/>
        <w:jc w:val="both"/>
      </w:pPr>
      <w:r>
        <w:rPr>
          <w:spacing w:val="-2"/>
        </w:rPr>
        <w:t>培育员工的认同感和归属感，实现员工与企业共同成长。为员工提供健康、安全的工作环境；尊重和保护员工权益，严格贯</w:t>
      </w:r>
      <w:r>
        <w:rPr>
          <w:spacing w:val="-65"/>
        </w:rPr>
        <w:t> </w:t>
      </w:r>
      <w:r>
        <w:rPr>
          <w:spacing w:val="-65"/>
        </w:rPr>
      </w:r>
      <w:r>
        <w:rPr>
          <w:spacing w:val="-2"/>
        </w:rPr>
        <w:t>彻执行《劳动合同法》《社会保险法》等各项法律法规；不断完善具有吸引力和竞争性的福利体系；改善员工生产环境，定</w:t>
      </w:r>
      <w:r>
        <w:rPr>
          <w:spacing w:val="-66"/>
        </w:rPr>
        <w:t> </w:t>
      </w:r>
      <w:r>
        <w:rPr>
          <w:spacing w:val="-66"/>
        </w:rPr>
      </w:r>
      <w:r>
        <w:rPr/>
        <w:t>期发放劳保用品和节日礼品；持续优化员工关怀体系，努力为员工提供更好的工作环境及更多的人文关怀。</w:t>
      </w:r>
    </w:p>
    <w:p>
      <w:pPr>
        <w:spacing w:line="240" w:lineRule="auto" w:before="6"/>
        <w:rPr>
          <w:rFonts w:ascii="宋体" w:hAnsi="宋体" w:cs="宋体" w:eastAsia="宋体" w:hint="default"/>
          <w:sz w:val="22"/>
          <w:szCs w:val="22"/>
        </w:rPr>
      </w:pPr>
    </w:p>
    <w:p>
      <w:pPr>
        <w:pStyle w:val="Heading3"/>
        <w:spacing w:line="240" w:lineRule="auto"/>
        <w:ind w:left="532" w:right="882"/>
        <w:jc w:val="left"/>
        <w:rPr>
          <w:b w:val="0"/>
          <w:bCs w:val="0"/>
        </w:rPr>
      </w:pPr>
      <w:bookmarkStart w:name="2、履行精准扶贫社会责任情况" w:id="99"/>
      <w:bookmarkEnd w:id="99"/>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left="532" w:right="882"/>
        <w:jc w:val="left"/>
        <w:rPr>
          <w:b w:val="0"/>
          <w:bCs w:val="0"/>
        </w:rPr>
      </w:pPr>
      <w:bookmarkStart w:name="（1）精准扶贫规划" w:id="100"/>
      <w:bookmarkEnd w:id="100"/>
      <w:r>
        <w:rPr>
          <w:b w:val="0"/>
          <w:bCs w:val="0"/>
        </w:rPr>
      </w:r>
      <w:r>
        <w:rPr/>
        <w:t>（</w:t>
      </w:r>
      <w:r>
        <w:rPr>
          <w:rFonts w:ascii="Times New Roman" w:hAnsi="Times New Roman" w:cs="Times New Roman" w:eastAsia="Times New Roman" w:hint="default"/>
        </w:rPr>
        <w:t>1</w:t>
      </w:r>
      <w:r>
        <w:rPr/>
        <w:t>）精准扶贫规划</w:t>
      </w:r>
      <w:r>
        <w:rPr>
          <w:b w:val="0"/>
          <w:bCs w:val="0"/>
        </w:rPr>
      </w:r>
    </w:p>
    <w:p>
      <w:pPr>
        <w:pStyle w:val="BodyText"/>
        <w:spacing w:line="316" w:lineRule="auto" w:before="46"/>
        <w:ind w:right="882" w:firstLine="451"/>
        <w:jc w:val="left"/>
      </w:pPr>
      <w:r>
        <w:rPr/>
        <w:t>为了积极响应以习近平同志为核心的党中央号召，打赢脱贫攻坚战，实现第一个百年奋斗目标的重大战略部署，以及 </w:t>
      </w:r>
      <w:r>
        <w:rPr>
          <w:spacing w:val="-2"/>
        </w:rPr>
        <w:t>根据《杭州市对口帮扶湖北省恩施州“十三五”规划》和《滨江区•建始县东西部扶贫协作和对口帮扶合作框架协议》精神，</w:t>
      </w:r>
      <w:r>
        <w:rPr>
          <w:spacing w:val="-63"/>
        </w:rPr>
        <w:t> </w:t>
      </w:r>
      <w:r>
        <w:rPr>
          <w:spacing w:val="-63"/>
        </w:rPr>
      </w:r>
      <w:r>
        <w:rPr>
          <w:spacing w:val="-2"/>
        </w:rPr>
        <w:t>公司党委积极响应了上级党委号召，积极承担社会责任和历史使命，已与湖北省恩施州建始县官店镇车营村建立了对口帮扶</w:t>
      </w:r>
      <w:r>
        <w:rPr>
          <w:spacing w:val="-64"/>
        </w:rPr>
        <w:t> </w:t>
      </w:r>
      <w:r>
        <w:rPr>
          <w:spacing w:val="-64"/>
        </w:rPr>
      </w:r>
      <w:r>
        <w:rPr>
          <w:spacing w:val="-2"/>
        </w:rPr>
        <w:t>关系，明确了帮扶联络人，下一步将切实做好贫困村项目认领和帮扶工作，促使帮扶措施落到实处，为我国全面建成小康社</w:t>
      </w:r>
      <w:r>
        <w:rPr>
          <w:spacing w:val="-66"/>
        </w:rPr>
        <w:t> </w:t>
      </w:r>
      <w:r>
        <w:rPr>
          <w:spacing w:val="-66"/>
        </w:rPr>
      </w:r>
      <w:r>
        <w:rPr/>
        <w:t>会作出应有贡献。</w:t>
      </w:r>
    </w:p>
    <w:p>
      <w:pPr>
        <w:pStyle w:val="Heading3"/>
        <w:spacing w:line="284" w:lineRule="exact"/>
        <w:ind w:left="532" w:right="882"/>
        <w:jc w:val="left"/>
        <w:rPr>
          <w:b w:val="0"/>
          <w:bCs w:val="0"/>
        </w:rPr>
      </w:pPr>
      <w:bookmarkStart w:name="（2）年度精准扶贫概要" w:id="101"/>
      <w:bookmarkEnd w:id="101"/>
      <w:r>
        <w:rPr>
          <w:b w:val="0"/>
          <w:bCs w:val="0"/>
        </w:rPr>
      </w:r>
      <w:r>
        <w:rPr/>
        <w:t>（</w:t>
      </w:r>
      <w:r>
        <w:rPr>
          <w:rFonts w:ascii="Times New Roman" w:hAnsi="Times New Roman" w:cs="Times New Roman" w:eastAsia="Times New Roman" w:hint="default"/>
        </w:rPr>
        <w:t>2</w:t>
      </w:r>
      <w:r>
        <w:rPr/>
        <w:t>）年度精准扶贫概要</w:t>
      </w:r>
      <w:r>
        <w:rPr>
          <w:b w:val="0"/>
          <w:bCs w:val="0"/>
        </w:rPr>
      </w:r>
    </w:p>
    <w:p>
      <w:pPr>
        <w:pStyle w:val="BodyText"/>
        <w:spacing w:line="240" w:lineRule="auto" w:before="46"/>
        <w:ind w:left="472" w:right="882"/>
        <w:jc w:val="left"/>
      </w:pPr>
      <w:r>
        <w:rPr/>
        <w:t>根据</w:t>
      </w:r>
      <w:r>
        <w:rPr>
          <w:rFonts w:ascii="Times New Roman" w:hAnsi="Times New Roman" w:cs="Times New Roman" w:eastAsia="Times New Roman" w:hint="default"/>
        </w:rPr>
        <w:t>2019</w:t>
      </w:r>
      <w:r>
        <w:rPr/>
        <w:t>年公司党委精准扶贫计划，</w:t>
      </w:r>
      <w:r>
        <w:rPr>
          <w:spacing w:val="-1"/>
        </w:rPr>
        <w:t> </w:t>
      </w:r>
      <w:r>
        <w:rPr/>
        <w:t>本年度公司党委落实扶贫措施如下：</w:t>
      </w:r>
    </w:p>
    <w:p>
      <w:pPr>
        <w:pStyle w:val="BodyText"/>
        <w:spacing w:line="240" w:lineRule="auto" w:before="63"/>
        <w:ind w:left="472" w:right="882"/>
        <w:jc w:val="left"/>
      </w:pPr>
      <w:r>
        <w:rPr>
          <w:rFonts w:ascii="Times New Roman" w:hAnsi="Times New Roman" w:cs="Times New Roman" w:eastAsia="Times New Roman" w:hint="default"/>
        </w:rPr>
        <w:t>1</w:t>
      </w:r>
      <w:r>
        <w:rPr/>
        <w:t>）公司党委已资助</w:t>
      </w:r>
      <w:r>
        <w:rPr>
          <w:rFonts w:ascii="Times New Roman" w:hAnsi="Times New Roman" w:cs="Times New Roman" w:eastAsia="Times New Roman" w:hint="default"/>
        </w:rPr>
        <w:t>2</w:t>
      </w:r>
      <w:r>
        <w:rPr/>
        <w:t>万元用于建始县高坪镇望坪初级中学运动场硬化工程项目；</w:t>
      </w:r>
    </w:p>
    <w:p>
      <w:pPr>
        <w:pStyle w:val="BodyText"/>
        <w:spacing w:line="307" w:lineRule="auto" w:before="63"/>
        <w:ind w:right="1129" w:firstLine="360"/>
        <w:jc w:val="both"/>
      </w:pPr>
      <w:r>
        <w:rPr>
          <w:rFonts w:ascii="Times New Roman" w:hAnsi="Times New Roman" w:cs="Times New Roman" w:eastAsia="Times New Roman" w:hint="default"/>
          <w:spacing w:val="-1"/>
        </w:rPr>
        <w:t>2</w:t>
      </w:r>
      <w:r>
        <w:rPr>
          <w:spacing w:val="-1"/>
        </w:rPr>
        <w:t>）已提供</w:t>
      </w:r>
      <w:r>
        <w:rPr>
          <w:rFonts w:ascii="Times New Roman" w:hAnsi="Times New Roman" w:cs="Times New Roman" w:eastAsia="Times New Roman" w:hint="default"/>
          <w:spacing w:val="-1"/>
        </w:rPr>
        <w:t>5.2</w:t>
      </w:r>
      <w:r>
        <w:rPr>
          <w:spacing w:val="-1"/>
        </w:rPr>
        <w:t>万元帮扶资金以加强村卫生室建设。村级卫生室已于</w:t>
      </w:r>
      <w:r>
        <w:rPr>
          <w:rFonts w:ascii="Times New Roman" w:hAnsi="Times New Roman" w:cs="Times New Roman" w:eastAsia="Times New Roman" w:hint="default"/>
          <w:spacing w:val="-1"/>
        </w:rPr>
        <w:t>2018</w:t>
      </w:r>
      <w:r>
        <w:rPr>
          <w:spacing w:val="-1"/>
        </w:rPr>
        <w:t>年与村党员群众服务中心同体新建完工，于</w:t>
      </w:r>
      <w:r>
        <w:rPr>
          <w:rFonts w:ascii="Times New Roman" w:hAnsi="Times New Roman" w:cs="Times New Roman" w:eastAsia="Times New Roman" w:hint="default"/>
          <w:spacing w:val="-1"/>
        </w:rPr>
        <w:t>2019</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1</w:t>
      </w:r>
      <w:r>
        <w:rPr/>
        <w:t>月投入使用。通过近几月的运行，由于车营村距离官店集镇较远，每天就诊和购买常用药品人数约</w:t>
      </w:r>
      <w:r>
        <w:rPr>
          <w:rFonts w:ascii="Times New Roman" w:hAnsi="Times New Roman" w:cs="Times New Roman" w:eastAsia="Times New Roman" w:hint="default"/>
        </w:rPr>
        <w:t>20</w:t>
      </w:r>
      <w:r>
        <w:rPr/>
        <w:t>多人次，有效解决</w:t>
      </w:r>
      <w:r>
        <w:rPr>
          <w:spacing w:val="-87"/>
        </w:rPr>
        <w:t> </w:t>
      </w:r>
      <w:r>
        <w:rPr>
          <w:spacing w:val="-2"/>
        </w:rPr>
        <w:t>了群众小病就近就治难题，但是由于当地财力有限，卫生室内部设备简陋，公司党委资助资金用于购买配备基本医疗器械和</w:t>
      </w:r>
      <w:r>
        <w:rPr>
          <w:spacing w:val="-63"/>
        </w:rPr>
        <w:t> </w:t>
      </w:r>
      <w:r>
        <w:rPr>
          <w:spacing w:val="-63"/>
        </w:rPr>
      </w:r>
      <w:r>
        <w:rPr/>
        <w:t>药柜药架，方便当地村民全村</w:t>
      </w:r>
      <w:r>
        <w:rPr>
          <w:rFonts w:ascii="Times New Roman" w:hAnsi="Times New Roman" w:cs="Times New Roman" w:eastAsia="Times New Roman" w:hint="default"/>
        </w:rPr>
        <w:t>1384</w:t>
      </w:r>
      <w:r>
        <w:rPr/>
        <w:t>口人能够享受简单的医疗救治；</w:t>
      </w:r>
    </w:p>
    <w:p>
      <w:pPr>
        <w:pStyle w:val="BodyText"/>
        <w:spacing w:line="240" w:lineRule="auto" w:before="7"/>
        <w:ind w:left="472" w:right="882"/>
        <w:jc w:val="left"/>
      </w:pPr>
      <w:r>
        <w:rPr>
          <w:rFonts w:ascii="Times New Roman" w:hAnsi="Times New Roman" w:cs="Times New Roman" w:eastAsia="Times New Roman" w:hint="default"/>
        </w:rPr>
        <w:t>3</w:t>
      </w:r>
      <w:r>
        <w:rPr/>
        <w:t>）已帮助建始县官店镇车营村四组</w:t>
      </w:r>
      <w:r>
        <w:rPr>
          <w:rFonts w:ascii="Times New Roman" w:hAnsi="Times New Roman" w:cs="Times New Roman" w:eastAsia="Times New Roman" w:hint="default"/>
        </w:rPr>
        <w:t>12</w:t>
      </w:r>
      <w:r>
        <w:rPr/>
        <w:t>户农户解决安全用水的问题；</w:t>
      </w:r>
    </w:p>
    <w:p>
      <w:pPr>
        <w:pStyle w:val="BodyText"/>
        <w:spacing w:line="240" w:lineRule="auto" w:before="63"/>
        <w:ind w:left="472" w:right="882"/>
        <w:jc w:val="left"/>
      </w:pPr>
      <w:r>
        <w:rPr>
          <w:rFonts w:ascii="Times New Roman" w:hAnsi="Times New Roman" w:cs="Times New Roman" w:eastAsia="Times New Roman" w:hint="default"/>
        </w:rPr>
        <w:t>4</w:t>
      </w:r>
      <w:r>
        <w:rPr/>
        <w:t>）对车营村困难群众给予助学帮扶。</w:t>
      </w:r>
    </w:p>
    <w:p>
      <w:pPr>
        <w:pStyle w:val="Heading3"/>
        <w:spacing w:line="240" w:lineRule="auto" w:before="37"/>
        <w:ind w:left="532" w:right="882"/>
        <w:jc w:val="left"/>
        <w:rPr>
          <w:b w:val="0"/>
          <w:bCs w:val="0"/>
        </w:rPr>
      </w:pPr>
      <w:bookmarkStart w:name="（3）精准扶贫成效" w:id="102"/>
      <w:bookmarkEnd w:id="102"/>
      <w:r>
        <w:rPr>
          <w:b w:val="0"/>
          <w:bCs w:val="0"/>
        </w:rPr>
      </w:r>
      <w:r>
        <w:rPr/>
        <w:t>（</w:t>
      </w:r>
      <w:r>
        <w:rPr>
          <w:rFonts w:ascii="Times New Roman" w:hAnsi="Times New Roman" w:cs="Times New Roman" w:eastAsia="Times New Roman" w:hint="default"/>
        </w:rPr>
        <w:t>3</w:t>
      </w:r>
      <w:r>
        <w:rPr/>
        <w:t>）精准扶贫成效</w:t>
      </w:r>
      <w:r>
        <w:rPr>
          <w:b w:val="0"/>
          <w:bCs w:val="0"/>
        </w:rPr>
      </w:r>
    </w:p>
    <w:p>
      <w:pPr>
        <w:spacing w:line="240" w:lineRule="auto" w:before="10"/>
        <w:rPr>
          <w:rFonts w:ascii="宋体" w:hAnsi="宋体" w:cs="宋体" w:eastAsia="宋体" w:hint="default"/>
          <w:b/>
          <w:bCs/>
          <w:sz w:val="2"/>
          <w:szCs w:val="2"/>
        </w:rPr>
      </w:pPr>
    </w:p>
    <w:tbl>
      <w:tblPr>
        <w:tblW w:w="0" w:type="auto"/>
        <w:jc w:val="left"/>
        <w:tblInd w:w="109" w:type="dxa"/>
        <w:tblLayout w:type="fixed"/>
        <w:tblCellMar>
          <w:top w:w="0" w:type="dxa"/>
          <w:left w:w="0" w:type="dxa"/>
          <w:bottom w:w="0" w:type="dxa"/>
          <w:right w:w="0" w:type="dxa"/>
        </w:tblCellMar>
        <w:tblLook w:val="01E0"/>
      </w:tblPr>
      <w:tblGrid>
        <w:gridCol w:w="3624"/>
        <w:gridCol w:w="1553"/>
        <w:gridCol w:w="4391"/>
      </w:tblGrid>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指标</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开展情况</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宋体" w:hAnsi="宋体" w:cs="宋体" w:eastAsia="宋体" w:hint="default"/>
                <w:sz w:val="18"/>
                <w:szCs w:val="18"/>
              </w:rPr>
              <w:t>其中： </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资金</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8.8</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产业发展脱贫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转移就业脱贫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易地搬迁脱贫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教育扶贫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714"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4.3 </w:t>
            </w:r>
            <w:r>
              <w:rPr>
                <w:rFonts w:ascii="宋体" w:hAnsi="宋体" w:cs="宋体" w:eastAsia="宋体" w:hint="default"/>
                <w:sz w:val="18"/>
                <w:szCs w:val="18"/>
              </w:rPr>
              <w:t>改善贫困地区教育资源投入</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w:t>
            </w:r>
          </w:p>
        </w:tc>
      </w:tr>
      <w:tr>
        <w:trPr>
          <w:trHeight w:val="400"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健康扶贫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after="0" w:line="240" w:lineRule="auto"/>
        <w:jc w:val="center"/>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624"/>
        <w:gridCol w:w="1553"/>
        <w:gridCol w:w="4391"/>
      </w:tblGrid>
      <w:tr>
        <w:trPr>
          <w:trHeight w:val="714"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1181" w:val="left" w:leader="none"/>
              </w:tabs>
              <w:spacing w:line="300" w:lineRule="auto" w:before="50"/>
              <w:ind w:left="101" w:right="179"/>
              <w:jc w:val="left"/>
              <w:rPr>
                <w:rFonts w:ascii="宋体" w:hAnsi="宋体" w:cs="宋体" w:eastAsia="宋体" w:hint="default"/>
                <w:sz w:val="18"/>
                <w:szCs w:val="18"/>
              </w:rPr>
            </w:pPr>
            <w:r>
              <w:rPr>
                <w:rFonts w:ascii="宋体" w:hAnsi="宋体" w:cs="宋体" w:eastAsia="宋体" w:hint="default"/>
                <w:sz w:val="18"/>
                <w:szCs w:val="18"/>
              </w:rPr>
              <w:t>其中：</w:t>
              <w:tab/>
            </w:r>
            <w:r>
              <w:rPr>
                <w:rFonts w:ascii="Times New Roman" w:hAnsi="Times New Roman" w:cs="Times New Roman" w:eastAsia="Times New Roman" w:hint="default"/>
                <w:sz w:val="18"/>
                <w:szCs w:val="18"/>
              </w:rPr>
              <w:t>5.1 </w:t>
            </w:r>
            <w:r>
              <w:rPr>
                <w:rFonts w:ascii="宋体" w:hAnsi="宋体" w:cs="宋体" w:eastAsia="宋体" w:hint="default"/>
                <w:sz w:val="18"/>
                <w:szCs w:val="18"/>
              </w:rPr>
              <w:t>贫困地区医疗卫生资源投 入金额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5.8</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生态保护扶贫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09"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兜底保障</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09"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7.3 </w:t>
            </w:r>
            <w:r>
              <w:rPr>
                <w:rFonts w:ascii="宋体" w:hAnsi="宋体" w:cs="宋体" w:eastAsia="宋体" w:hint="default"/>
                <w:sz w:val="18"/>
                <w:szCs w:val="18"/>
              </w:rPr>
              <w:t>贫困残疾人投入金额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社会扶贫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09"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其他项目</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09"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09" w:right="0"/>
              <w:jc w:val="left"/>
              <w:rPr>
                <w:rFonts w:ascii="宋体" w:hAnsi="宋体" w:cs="宋体" w:eastAsia="宋体" w:hint="default"/>
                <w:sz w:val="18"/>
                <w:szCs w:val="18"/>
              </w:rPr>
            </w:pPr>
            <w:r>
              <w:rPr>
                <w:rFonts w:ascii="宋体" w:hAnsi="宋体" w:cs="宋体" w:eastAsia="宋体" w:hint="default"/>
                <w:sz w:val="18"/>
                <w:szCs w:val="18"/>
              </w:rPr>
              <w:t>——</w:t>
            </w:r>
          </w:p>
        </w:tc>
      </w:tr>
    </w:tbl>
    <w:p>
      <w:pPr>
        <w:pStyle w:val="Heading3"/>
        <w:spacing w:line="276" w:lineRule="exact"/>
        <w:ind w:left="532" w:right="882"/>
        <w:jc w:val="left"/>
        <w:rPr>
          <w:b w:val="0"/>
          <w:bCs w:val="0"/>
        </w:rPr>
      </w:pPr>
      <w:bookmarkStart w:name="（4）后续精准扶贫计划" w:id="103"/>
      <w:bookmarkEnd w:id="103"/>
      <w:r>
        <w:rPr>
          <w:b w:val="0"/>
          <w:bCs w:val="0"/>
        </w:rPr>
      </w:r>
      <w:r>
        <w:rPr/>
        <w:t>（</w:t>
      </w:r>
      <w:r>
        <w:rPr>
          <w:rFonts w:ascii="Times New Roman" w:hAnsi="Times New Roman" w:cs="Times New Roman" w:eastAsia="Times New Roman" w:hint="default"/>
        </w:rPr>
        <w:t>4</w:t>
      </w:r>
      <w:r>
        <w:rPr/>
        <w:t>）后续精准扶贫计划</w:t>
      </w:r>
      <w:r>
        <w:rPr>
          <w:b w:val="0"/>
          <w:bCs w:val="0"/>
        </w:rPr>
      </w:r>
    </w:p>
    <w:p>
      <w:pPr>
        <w:pStyle w:val="BodyText"/>
        <w:spacing w:line="240" w:lineRule="auto" w:before="46"/>
        <w:ind w:left="472" w:right="882"/>
        <w:jc w:val="left"/>
      </w:pPr>
      <w:r>
        <w:rPr/>
        <w:t>根据公司党委制定的精准帮扶计划，后续将继续坚持开展与湖北省恩施州建始县官店镇车营村对口帮扶工作。</w:t>
      </w:r>
    </w:p>
    <w:p>
      <w:pPr>
        <w:spacing w:line="297" w:lineRule="auto" w:before="51"/>
        <w:ind w:left="472" w:right="5354" w:firstLine="60"/>
        <w:jc w:val="left"/>
        <w:rPr>
          <w:rFonts w:ascii="宋体" w:hAnsi="宋体" w:cs="宋体" w:eastAsia="宋体" w:hint="default"/>
          <w:sz w:val="18"/>
          <w:szCs w:val="18"/>
        </w:rPr>
      </w:pPr>
      <w:bookmarkStart w:name="3、环境保护相关的情况" w:id="104"/>
      <w:bookmarkEnd w:id="10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、环境保护相关的情况</w:t>
      </w:r>
      <w:r>
        <w:rPr>
          <w:rFonts w:ascii="宋体" w:hAnsi="宋体" w:cs="宋体" w:eastAsia="宋体" w:hint="default"/>
          <w:b/>
          <w:bCs/>
          <w:w w:val="99"/>
          <w:sz w:val="21"/>
          <w:szCs w:val="21"/>
        </w:rPr>
        <w:t> </w:t>
      </w:r>
      <w:r>
        <w:rPr>
          <w:rFonts w:ascii="宋体" w:hAnsi="宋体" w:cs="宋体" w:eastAsia="宋体" w:hint="default"/>
          <w:sz w:val="18"/>
          <w:szCs w:val="18"/>
        </w:rPr>
        <w:t>上市公司及其子公司是否属于环境保护部门公布的重点排污单位 不适用</w:t>
      </w:r>
    </w:p>
    <w:p>
      <w:pPr>
        <w:pStyle w:val="BodyText"/>
        <w:spacing w:line="316" w:lineRule="auto" w:before="33"/>
        <w:ind w:right="882" w:firstLine="360"/>
        <w:jc w:val="left"/>
      </w:pPr>
      <w:r>
        <w:rPr>
          <w:spacing w:val="-2"/>
        </w:rPr>
        <w:t>公司一直专注于医疗卫生行业的信息化建设业务，目前主要产品分为医疗卫生信息化应用软件产品服务、医疗卫生互联</w:t>
      </w:r>
      <w:r>
        <w:rPr/>
        <w:t> 网应用产品及服务、医疗卫生智慧物联网应用产品及服务，不存在污染环境的情形。</w:t>
      </w:r>
    </w:p>
    <w:p>
      <w:pPr>
        <w:spacing w:line="240" w:lineRule="auto" w:before="9"/>
        <w:rPr>
          <w:rFonts w:ascii="宋体" w:hAnsi="宋体" w:cs="宋体" w:eastAsia="宋体" w:hint="default"/>
          <w:sz w:val="20"/>
          <w:szCs w:val="20"/>
        </w:rPr>
      </w:pPr>
    </w:p>
    <w:p>
      <w:pPr>
        <w:pStyle w:val="Heading2"/>
        <w:spacing w:line="240" w:lineRule="auto"/>
        <w:ind w:right="882"/>
        <w:jc w:val="left"/>
        <w:rPr>
          <w:b w:val="0"/>
          <w:bCs w:val="0"/>
        </w:rPr>
      </w:pPr>
      <w:bookmarkStart w:name="十八、其他重大事项的说明" w:id="105"/>
      <w:bookmarkEnd w:id="105"/>
      <w:r>
        <w:rPr>
          <w:b w:val="0"/>
          <w:bCs w:val="0"/>
        </w:rPr>
      </w:r>
      <w:r>
        <w:rPr/>
        <w:t>十八、其他重大事项的说明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882"/>
        <w:jc w:val="left"/>
      </w:pPr>
      <w:r>
        <w:rPr/>
        <w:t>√ 适用 □ 不适用</w:t>
      </w:r>
    </w:p>
    <w:p>
      <w:pPr>
        <w:pStyle w:val="BodyText"/>
        <w:spacing w:line="300" w:lineRule="auto" w:before="115"/>
        <w:ind w:right="1039" w:firstLine="360"/>
        <w:jc w:val="left"/>
      </w:pPr>
      <w:r>
        <w:rPr>
          <w:rFonts w:ascii="Times New Roman" w:hAnsi="Times New Roman" w:cs="Times New Roman" w:eastAsia="Times New Roman" w:hint="default"/>
        </w:rPr>
        <w:t>1</w:t>
      </w:r>
      <w:r>
        <w:rPr/>
        <w:t>、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月，公司中标福建医科大学附属协和医院基于大数据的智能医院建设项目，并已正式签署了《福建省政府 </w:t>
      </w:r>
      <w:r>
        <w:rPr>
          <w:spacing w:val="-1"/>
        </w:rPr>
        <w:t>采购合同》，合同金额为人民币</w:t>
      </w:r>
      <w:r>
        <w:rPr>
          <w:rFonts w:ascii="Times New Roman" w:hAnsi="Times New Roman" w:cs="Times New Roman" w:eastAsia="Times New Roman" w:hint="default"/>
          <w:spacing w:val="-1"/>
        </w:rPr>
        <w:t>1.47</w:t>
      </w:r>
      <w:r>
        <w:rPr>
          <w:spacing w:val="-1"/>
        </w:rPr>
        <w:t>亿元（具体内容详见公司于</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21</w:t>
      </w:r>
      <w:r>
        <w:rPr>
          <w:spacing w:val="-1"/>
        </w:rPr>
        <w:t>日在巨潮资讯网上披露的相关公告，公告编号：</w:t>
      </w:r>
      <w:r>
        <w:rPr>
          <w:spacing w:val="-71"/>
        </w:rPr>
        <w:t> </w:t>
      </w:r>
      <w:r>
        <w:rPr>
          <w:spacing w:val="-71"/>
        </w:rPr>
      </w:r>
      <w:r>
        <w:rPr>
          <w:rFonts w:ascii="Times New Roman" w:hAnsi="Times New Roman" w:cs="Times New Roman" w:eastAsia="Times New Roman" w:hint="default"/>
        </w:rPr>
        <w:t>2019-004</w:t>
      </w:r>
      <w:r>
        <w:rPr/>
        <w:t>）。</w:t>
      </w:r>
    </w:p>
    <w:p>
      <w:pPr>
        <w:pStyle w:val="BodyText"/>
        <w:spacing w:line="300" w:lineRule="auto" w:before="13"/>
        <w:ind w:right="1130" w:firstLine="360"/>
        <w:jc w:val="both"/>
      </w:pP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7</w:t>
      </w:r>
      <w:r>
        <w:rPr>
          <w:spacing w:val="-2"/>
        </w:rPr>
        <w:t>月，江阴市政府采购中心发布了江阴市人民医院“基于物联网等信息技术的系统升级改造和服务项目”的中</w:t>
      </w:r>
      <w:r>
        <w:rPr/>
        <w:t> 标结果公告，并且公司收到了《中标通知书》。合同金额为人民币</w:t>
      </w:r>
      <w:r>
        <w:rPr>
          <w:rFonts w:ascii="Times New Roman" w:hAnsi="Times New Roman" w:cs="Times New Roman" w:eastAsia="Times New Roman" w:hint="default"/>
        </w:rPr>
        <w:t>1500</w:t>
      </w:r>
      <w:r>
        <w:rPr/>
        <w:t>万元（具体内容详见公司于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25</w:t>
      </w:r>
      <w:r>
        <w:rPr/>
        <w:t>日在巨潮资 讯网上披露的相关公告，公告编号：</w:t>
      </w:r>
      <w:r>
        <w:rPr>
          <w:rFonts w:ascii="Times New Roman" w:hAnsi="Times New Roman" w:cs="Times New Roman" w:eastAsia="Times New Roman" w:hint="default"/>
        </w:rPr>
        <w:t>2019-062</w:t>
      </w:r>
      <w:r>
        <w:rPr/>
        <w:t>）。</w:t>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6"/>
          <w:szCs w:val="26"/>
        </w:rPr>
      </w:pPr>
    </w:p>
    <w:p>
      <w:pPr>
        <w:pStyle w:val="Heading2"/>
        <w:spacing w:line="240" w:lineRule="auto"/>
        <w:ind w:right="882"/>
        <w:jc w:val="left"/>
        <w:rPr>
          <w:b w:val="0"/>
          <w:bCs w:val="0"/>
        </w:rPr>
      </w:pPr>
      <w:bookmarkStart w:name="十九、公司子公司重大事项" w:id="106"/>
      <w:bookmarkEnd w:id="106"/>
      <w:r>
        <w:rPr>
          <w:b w:val="0"/>
          <w:bCs w:val="0"/>
        </w:rPr>
      </w:r>
      <w:r>
        <w:rPr/>
        <w:t>十九、公司子公司重大事项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007" w:right="882"/>
        <w:jc w:val="left"/>
        <w:rPr>
          <w:b w:val="0"/>
          <w:bCs w:val="0"/>
        </w:rPr>
      </w:pPr>
      <w:bookmarkStart w:name="第六节股份变动及股东情况" w:id="107"/>
      <w:bookmarkEnd w:id="107"/>
      <w:r>
        <w:rPr>
          <w:b w:val="0"/>
          <w:bCs w:val="0"/>
        </w:rPr>
      </w:r>
      <w:bookmarkStart w:name="_bookmark4" w:id="108"/>
      <w:bookmarkEnd w:id="108"/>
      <w:r>
        <w:rPr>
          <w:b w:val="0"/>
          <w:bCs w:val="0"/>
        </w:rPr>
      </w:r>
      <w:r>
        <w:rPr/>
        <w:t>第六节股份变动及股东情况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882"/>
        <w:jc w:val="left"/>
        <w:rPr>
          <w:b w:val="0"/>
          <w:bCs w:val="0"/>
        </w:rPr>
      </w:pPr>
      <w:bookmarkStart w:name="一、股份变动情况" w:id="109"/>
      <w:bookmarkEnd w:id="109"/>
      <w:r>
        <w:rPr>
          <w:b w:val="0"/>
          <w:bCs w:val="0"/>
        </w:rPr>
      </w:r>
      <w:r>
        <w:rPr/>
        <w:t>一、股份变动情况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股份变动情况" w:id="110"/>
      <w:bookmarkEnd w:id="110"/>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单位：股</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227"/>
        <w:gridCol w:w="823"/>
        <w:gridCol w:w="823"/>
        <w:gridCol w:w="823"/>
        <w:gridCol w:w="822"/>
        <w:gridCol w:w="822"/>
        <w:gridCol w:w="822"/>
        <w:gridCol w:w="822"/>
        <w:gridCol w:w="794"/>
        <w:gridCol w:w="794"/>
      </w:tblGrid>
      <w:tr>
        <w:trPr>
          <w:trHeight w:val="402" w:hRule="exact"/>
        </w:trPr>
        <w:tc>
          <w:tcPr>
            <w:tcW w:w="2227" w:type="dxa"/>
            <w:vMerge w:val="restart"/>
            <w:tcBorders>
              <w:top w:val="single" w:sz="4" w:space="0" w:color="000000"/>
              <w:left w:val="single" w:sz="4" w:space="0" w:color="000000"/>
              <w:right w:val="single" w:sz="4" w:space="0" w:color="000000"/>
            </w:tcBorders>
            <w:shd w:val="clear" w:color="auto" w:fill="D2D2D2"/>
          </w:tcPr>
          <w:p>
            <w:pPr/>
          </w:p>
        </w:tc>
        <w:tc>
          <w:tcPr>
            <w:tcW w:w="164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6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4" w:hRule="exact"/>
        </w:trPr>
        <w:tc>
          <w:tcPr>
            <w:tcW w:w="2227" w:type="dxa"/>
            <w:vMerge/>
            <w:tcBorders>
              <w:left w:val="single" w:sz="4" w:space="0" w:color="000000"/>
              <w:bottom w:val="single" w:sz="4" w:space="0" w:color="000000"/>
              <w:right w:val="single" w:sz="4" w:space="0" w:color="000000"/>
            </w:tcBorders>
            <w:shd w:val="clear" w:color="auto" w:fill="D2D2D2"/>
          </w:tcPr>
          <w:p>
            <w:pP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16" w:right="135" w:hanging="180"/>
              <w:jc w:val="left"/>
              <w:rPr>
                <w:rFonts w:ascii="宋体" w:hAnsi="宋体" w:cs="宋体" w:eastAsia="宋体" w:hint="default"/>
                <w:sz w:val="18"/>
                <w:szCs w:val="18"/>
              </w:rPr>
            </w:pPr>
            <w:r>
              <w:rPr>
                <w:rFonts w:ascii="宋体" w:hAnsi="宋体" w:cs="宋体" w:eastAsia="宋体" w:hint="default"/>
                <w:sz w:val="18"/>
                <w:szCs w:val="18"/>
              </w:rPr>
              <w:t>发行新 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26" w:right="135" w:hanging="92"/>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left"/>
              <w:rPr>
                <w:rFonts w:ascii="Times New Roman" w:hAnsi="Times New Roman" w:cs="Times New Roman" w:eastAsia="Times New Roman" w:hint="default"/>
                <w:sz w:val="18"/>
                <w:szCs w:val="18"/>
              </w:rPr>
            </w:pPr>
            <w:r>
              <w:rPr>
                <w:rFonts w:ascii="Times New Roman"/>
                <w:sz w:val="18"/>
              </w:rPr>
              <w:t>141,472</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,562</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29.14%</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6" w:right="0"/>
              <w:jc w:val="left"/>
              <w:rPr>
                <w:rFonts w:ascii="Times New Roman" w:hAnsi="Times New Roman" w:cs="Times New Roman" w:eastAsia="Times New Roman" w:hint="default"/>
                <w:sz w:val="18"/>
                <w:szCs w:val="18"/>
              </w:rPr>
            </w:pPr>
            <w:r>
              <w:rPr>
                <w:rFonts w:ascii="Times New Roman"/>
                <w:sz w:val="18"/>
              </w:rPr>
              <w:t>11,237,</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500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67,052,</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989</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-26,044,</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604</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52,245,</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885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6" w:right="0"/>
              <w:jc w:val="left"/>
              <w:rPr>
                <w:rFonts w:ascii="Times New Roman" w:hAnsi="Times New Roman" w:cs="Times New Roman" w:eastAsia="Times New Roman" w:hint="default"/>
                <w:sz w:val="18"/>
                <w:szCs w:val="18"/>
              </w:rPr>
            </w:pPr>
            <w:r>
              <w:rPr>
                <w:rFonts w:ascii="Times New Roman"/>
                <w:sz w:val="18"/>
              </w:rPr>
              <w:t>193,71</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8,447</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26.19%</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6" w:right="0"/>
              <w:jc w:val="left"/>
              <w:rPr>
                <w:rFonts w:ascii="Times New Roman" w:hAnsi="Times New Roman" w:cs="Times New Roman" w:eastAsia="Times New Roman" w:hint="default"/>
                <w:sz w:val="18"/>
                <w:szCs w:val="18"/>
              </w:rPr>
            </w:pPr>
            <w:r>
              <w:rPr>
                <w:rFonts w:ascii="Times New Roman"/>
                <w:sz w:val="18"/>
              </w:rPr>
              <w:t>141,472</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,562</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29.14%</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11,237,</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500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8" w:right="0"/>
              <w:jc w:val="left"/>
              <w:rPr>
                <w:rFonts w:ascii="Times New Roman" w:hAnsi="Times New Roman" w:cs="Times New Roman" w:eastAsia="Times New Roman" w:hint="default"/>
                <w:sz w:val="18"/>
                <w:szCs w:val="18"/>
              </w:rPr>
            </w:pPr>
            <w:r>
              <w:rPr>
                <w:rFonts w:ascii="Times New Roman"/>
                <w:sz w:val="18"/>
              </w:rPr>
              <w:t>67,052,</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989</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0" w:right="0"/>
              <w:jc w:val="left"/>
              <w:rPr>
                <w:rFonts w:ascii="Times New Roman" w:hAnsi="Times New Roman" w:cs="Times New Roman" w:eastAsia="Times New Roman" w:hint="default"/>
                <w:sz w:val="18"/>
                <w:szCs w:val="18"/>
              </w:rPr>
            </w:pPr>
            <w:r>
              <w:rPr>
                <w:rFonts w:ascii="Times New Roman"/>
                <w:sz w:val="18"/>
              </w:rPr>
              <w:t>-26,044,</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604</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8" w:right="0"/>
              <w:jc w:val="left"/>
              <w:rPr>
                <w:rFonts w:ascii="Times New Roman" w:hAnsi="Times New Roman" w:cs="Times New Roman" w:eastAsia="Times New Roman" w:hint="default"/>
                <w:sz w:val="18"/>
                <w:szCs w:val="18"/>
              </w:rPr>
            </w:pPr>
            <w:r>
              <w:rPr>
                <w:rFonts w:ascii="Times New Roman"/>
                <w:sz w:val="18"/>
              </w:rPr>
              <w:t>52,245,</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885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6" w:right="0"/>
              <w:jc w:val="left"/>
              <w:rPr>
                <w:rFonts w:ascii="Times New Roman" w:hAnsi="Times New Roman" w:cs="Times New Roman" w:eastAsia="Times New Roman" w:hint="default"/>
                <w:sz w:val="18"/>
                <w:szCs w:val="18"/>
              </w:rPr>
            </w:pPr>
            <w:r>
              <w:rPr>
                <w:rFonts w:ascii="Times New Roman"/>
                <w:sz w:val="18"/>
              </w:rPr>
              <w:t>193,71</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8,447</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26.19%</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47,796,</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800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9.85%</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23,898,</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175</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-17,923,</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741</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5,974,4</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34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53,771,</w:t>
            </w:r>
          </w:p>
          <w:p>
            <w:pPr>
              <w:pStyle w:val="TableParagraph"/>
              <w:spacing w:line="240" w:lineRule="auto" w:before="105"/>
              <w:ind w:left="410" w:right="0"/>
              <w:jc w:val="left"/>
              <w:rPr>
                <w:rFonts w:ascii="Times New Roman" w:hAnsi="Times New Roman" w:cs="Times New Roman" w:eastAsia="Times New Roman" w:hint="default"/>
                <w:sz w:val="18"/>
                <w:szCs w:val="18"/>
              </w:rPr>
            </w:pPr>
            <w:r>
              <w:rPr>
                <w:rFonts w:ascii="Times New Roman"/>
                <w:sz w:val="18"/>
              </w:rPr>
              <w:t>234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4" w:right="0"/>
              <w:jc w:val="center"/>
              <w:rPr>
                <w:rFonts w:ascii="Times New Roman" w:hAnsi="Times New Roman" w:cs="Times New Roman" w:eastAsia="Times New Roman" w:hint="default"/>
                <w:sz w:val="18"/>
                <w:szCs w:val="18"/>
              </w:rPr>
            </w:pPr>
            <w:r>
              <w:rPr>
                <w:rFonts w:ascii="Times New Roman"/>
                <w:sz w:val="18"/>
              </w:rPr>
              <w:t>7.27%</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4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9" w:right="0"/>
              <w:jc w:val="left"/>
              <w:rPr>
                <w:rFonts w:ascii="Times New Roman" w:hAnsi="Times New Roman" w:cs="Times New Roman" w:eastAsia="Times New Roman" w:hint="default"/>
                <w:sz w:val="18"/>
                <w:szCs w:val="18"/>
              </w:rPr>
            </w:pPr>
            <w:r>
              <w:rPr>
                <w:rFonts w:ascii="Times New Roman"/>
                <w:sz w:val="18"/>
              </w:rPr>
              <w:t>93,675,</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762</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19.29%</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11,237,</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500</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8" w:right="0"/>
              <w:jc w:val="left"/>
              <w:rPr>
                <w:rFonts w:ascii="Times New Roman" w:hAnsi="Times New Roman" w:cs="Times New Roman" w:eastAsia="Times New Roman" w:hint="default"/>
                <w:sz w:val="18"/>
                <w:szCs w:val="18"/>
              </w:rPr>
            </w:pPr>
            <w:r>
              <w:rPr>
                <w:rFonts w:ascii="Times New Roman"/>
                <w:sz w:val="18"/>
              </w:rPr>
              <w:t>43,154,</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814</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0" w:right="0"/>
              <w:jc w:val="left"/>
              <w:rPr>
                <w:rFonts w:ascii="Times New Roman" w:hAnsi="Times New Roman" w:cs="Times New Roman" w:eastAsia="Times New Roman" w:hint="default"/>
                <w:sz w:val="18"/>
                <w:szCs w:val="18"/>
              </w:rPr>
            </w:pPr>
            <w:r>
              <w:rPr>
                <w:rFonts w:ascii="Times New Roman"/>
                <w:sz w:val="18"/>
              </w:rPr>
              <w:t>-8,120,8</w:t>
            </w:r>
          </w:p>
          <w:p>
            <w:pPr>
              <w:pStyle w:val="TableParagraph"/>
              <w:spacing w:line="240" w:lineRule="auto" w:before="105"/>
              <w:ind w:left="530" w:right="0"/>
              <w:jc w:val="left"/>
              <w:rPr>
                <w:rFonts w:ascii="Times New Roman" w:hAnsi="Times New Roman" w:cs="Times New Roman" w:eastAsia="Times New Roman" w:hint="default"/>
                <w:sz w:val="18"/>
                <w:szCs w:val="18"/>
              </w:rPr>
            </w:pPr>
            <w:r>
              <w:rPr>
                <w:rFonts w:ascii="Times New Roman"/>
                <w:sz w:val="18"/>
              </w:rPr>
              <w:t>63</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8" w:right="0"/>
              <w:jc w:val="left"/>
              <w:rPr>
                <w:rFonts w:ascii="Times New Roman" w:hAnsi="Times New Roman" w:cs="Times New Roman" w:eastAsia="Times New Roman" w:hint="default"/>
                <w:sz w:val="18"/>
                <w:szCs w:val="18"/>
              </w:rPr>
            </w:pPr>
            <w:r>
              <w:rPr>
                <w:rFonts w:ascii="Times New Roman"/>
                <w:sz w:val="18"/>
              </w:rPr>
              <w:t>46,271,</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451</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6" w:right="0"/>
              <w:jc w:val="left"/>
              <w:rPr>
                <w:rFonts w:ascii="Times New Roman" w:hAnsi="Times New Roman" w:cs="Times New Roman" w:eastAsia="Times New Roman" w:hint="default"/>
                <w:sz w:val="18"/>
                <w:szCs w:val="18"/>
              </w:rPr>
            </w:pPr>
            <w:r>
              <w:rPr>
                <w:rFonts w:ascii="Times New Roman"/>
                <w:sz w:val="18"/>
              </w:rPr>
              <w:t>139,94</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7,213</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18.92%</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left"/>
              <w:rPr>
                <w:rFonts w:ascii="Times New Roman" w:hAnsi="Times New Roman" w:cs="Times New Roman" w:eastAsia="Times New Roman" w:hint="default"/>
                <w:sz w:val="18"/>
                <w:szCs w:val="18"/>
              </w:rPr>
            </w:pPr>
            <w:r>
              <w:rPr>
                <w:rFonts w:ascii="Times New Roman"/>
                <w:sz w:val="18"/>
              </w:rPr>
              <w:t>343,983</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,836</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70.86%</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405,176</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175,716</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,365</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left"/>
              <w:rPr>
                <w:rFonts w:ascii="Times New Roman" w:hAnsi="Times New Roman" w:cs="Times New Roman" w:eastAsia="Times New Roman" w:hint="default"/>
                <w:sz w:val="18"/>
                <w:szCs w:val="18"/>
              </w:rPr>
            </w:pPr>
            <w:r>
              <w:rPr>
                <w:rFonts w:ascii="Times New Roman"/>
                <w:sz w:val="18"/>
              </w:rPr>
              <w:t>25,927,</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601</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202,049</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,142</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6" w:right="0"/>
              <w:jc w:val="left"/>
              <w:rPr>
                <w:rFonts w:ascii="Times New Roman" w:hAnsi="Times New Roman" w:cs="Times New Roman" w:eastAsia="Times New Roman" w:hint="default"/>
                <w:sz w:val="18"/>
                <w:szCs w:val="18"/>
              </w:rPr>
            </w:pPr>
            <w:r>
              <w:rPr>
                <w:rFonts w:ascii="Times New Roman"/>
                <w:sz w:val="18"/>
              </w:rPr>
              <w:t>546,03</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2,978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73.81%</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6" w:right="0"/>
              <w:jc w:val="left"/>
              <w:rPr>
                <w:rFonts w:ascii="Times New Roman" w:hAnsi="Times New Roman" w:cs="Times New Roman" w:eastAsia="Times New Roman" w:hint="default"/>
                <w:sz w:val="18"/>
                <w:szCs w:val="18"/>
              </w:rPr>
            </w:pPr>
            <w:r>
              <w:rPr>
                <w:rFonts w:ascii="Times New Roman"/>
                <w:sz w:val="18"/>
              </w:rPr>
              <w:t>343,983</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,836</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70.86%</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405,176</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3" w:right="0"/>
              <w:jc w:val="left"/>
              <w:rPr>
                <w:rFonts w:ascii="Times New Roman" w:hAnsi="Times New Roman" w:cs="Times New Roman" w:eastAsia="Times New Roman" w:hint="default"/>
                <w:sz w:val="18"/>
                <w:szCs w:val="18"/>
              </w:rPr>
            </w:pPr>
            <w:r>
              <w:rPr>
                <w:rFonts w:ascii="Times New Roman"/>
                <w:sz w:val="18"/>
              </w:rPr>
              <w:t>175,716</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,365</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0" w:right="0"/>
              <w:jc w:val="left"/>
              <w:rPr>
                <w:rFonts w:ascii="Times New Roman" w:hAnsi="Times New Roman" w:cs="Times New Roman" w:eastAsia="Times New Roman" w:hint="default"/>
                <w:sz w:val="18"/>
                <w:szCs w:val="18"/>
              </w:rPr>
            </w:pPr>
            <w:r>
              <w:rPr>
                <w:rFonts w:ascii="Times New Roman"/>
                <w:sz w:val="18"/>
              </w:rPr>
              <w:t>25,927,</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601</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3" w:right="0"/>
              <w:jc w:val="left"/>
              <w:rPr>
                <w:rFonts w:ascii="Times New Roman" w:hAnsi="Times New Roman" w:cs="Times New Roman" w:eastAsia="Times New Roman" w:hint="default"/>
                <w:sz w:val="18"/>
                <w:szCs w:val="18"/>
              </w:rPr>
            </w:pPr>
            <w:r>
              <w:rPr>
                <w:rFonts w:ascii="Times New Roman"/>
                <w:sz w:val="18"/>
              </w:rPr>
              <w:t>202,049</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,142</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6" w:right="0"/>
              <w:jc w:val="left"/>
              <w:rPr>
                <w:rFonts w:ascii="Times New Roman" w:hAnsi="Times New Roman" w:cs="Times New Roman" w:eastAsia="Times New Roman" w:hint="default"/>
                <w:sz w:val="18"/>
                <w:szCs w:val="18"/>
              </w:rPr>
            </w:pPr>
            <w:r>
              <w:rPr>
                <w:rFonts w:ascii="Times New Roman"/>
                <w:sz w:val="18"/>
              </w:rPr>
              <w:t>546,03</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2,978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73.81%</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left"/>
              <w:rPr>
                <w:rFonts w:ascii="Times New Roman" w:hAnsi="Times New Roman" w:cs="Times New Roman" w:eastAsia="Times New Roman" w:hint="default"/>
                <w:sz w:val="18"/>
                <w:szCs w:val="18"/>
              </w:rPr>
            </w:pPr>
            <w:r>
              <w:rPr>
                <w:rFonts w:ascii="Times New Roman"/>
                <w:sz w:val="18"/>
              </w:rPr>
              <w:t>485,456</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,398</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6" w:right="0"/>
              <w:jc w:val="left"/>
              <w:rPr>
                <w:rFonts w:ascii="Times New Roman" w:hAnsi="Times New Roman" w:cs="Times New Roman" w:eastAsia="Times New Roman" w:hint="default"/>
                <w:sz w:val="18"/>
                <w:szCs w:val="18"/>
              </w:rPr>
            </w:pPr>
            <w:r>
              <w:rPr>
                <w:rFonts w:ascii="Times New Roman"/>
                <w:sz w:val="18"/>
              </w:rPr>
              <w:t>11,642,</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676</w:t>
            </w: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242,769</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,354</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2"/>
                <w:sz w:val="18"/>
              </w:rPr>
              <w:t>-117,00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254,295</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,027</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6" w:right="0"/>
              <w:jc w:val="left"/>
              <w:rPr>
                <w:rFonts w:ascii="Times New Roman" w:hAnsi="Times New Roman" w:cs="Times New Roman" w:eastAsia="Times New Roman" w:hint="default"/>
                <w:sz w:val="18"/>
                <w:szCs w:val="18"/>
              </w:rPr>
            </w:pPr>
            <w:r>
              <w:rPr>
                <w:rFonts w:ascii="Times New Roman"/>
                <w:sz w:val="18"/>
              </w:rPr>
              <w:t>739,75</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1,425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240" w:lineRule="auto" w:before="50"/>
        <w:ind w:right="882"/>
        <w:jc w:val="left"/>
      </w:pPr>
      <w:r>
        <w:rPr/>
        <w:t>股份变动的原因</w:t>
      </w:r>
    </w:p>
    <w:p>
      <w:pPr>
        <w:pStyle w:val="BodyText"/>
        <w:spacing w:line="360" w:lineRule="auto" w:before="117"/>
        <w:ind w:left="472" w:right="5714" w:hanging="360"/>
        <w:jc w:val="left"/>
      </w:pPr>
      <w:r>
        <w:rPr/>
        <w:t>√ 适用 □ 不适用 一、股票期权与限制性股票激励计划激励股份回购注销情况</w:t>
      </w:r>
    </w:p>
    <w:p>
      <w:pPr>
        <w:pStyle w:val="BodyText"/>
        <w:spacing w:line="236" w:lineRule="exact"/>
        <w:ind w:right="0" w:firstLine="30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12</w:t>
      </w:r>
      <w:r>
        <w:rPr/>
        <w:t>日，公司股票期权与限制性股票激励计划之离职人员尚未解锁的限制性股票已在中国证券登记结算有</w:t>
      </w:r>
    </w:p>
    <w:p>
      <w:pPr>
        <w:pStyle w:val="BodyText"/>
        <w:spacing w:line="300" w:lineRule="auto" w:before="63"/>
        <w:ind w:right="1129"/>
        <w:jc w:val="left"/>
      </w:pPr>
      <w:r>
        <w:rPr>
          <w:spacing w:val="-1"/>
        </w:rPr>
        <w:t>限责任公司深圳分公司完成注销回购手续，公司本次回购注销的股票数量为</w:t>
      </w:r>
      <w:r>
        <w:rPr>
          <w:rFonts w:ascii="Times New Roman" w:hAnsi="Times New Roman" w:cs="Times New Roman" w:eastAsia="Times New Roman" w:hint="default"/>
          <w:spacing w:val="-1"/>
        </w:rPr>
        <w:t>117,003</w:t>
      </w:r>
      <w:r>
        <w:rPr>
          <w:spacing w:val="-1"/>
        </w:rPr>
        <w:t>股，占回购前公司总股本的</w:t>
      </w:r>
      <w:r>
        <w:rPr>
          <w:rFonts w:ascii="Times New Roman" w:hAnsi="Times New Roman" w:cs="Times New Roman" w:eastAsia="Times New Roman" w:hint="default"/>
          <w:spacing w:val="-1"/>
        </w:rPr>
        <w:t>0.0158%</w:t>
      </w:r>
      <w:r>
        <w:rPr>
          <w:spacing w:val="-1"/>
        </w:rPr>
        <w:t>。具</w:t>
      </w:r>
      <w:r>
        <w:rPr>
          <w:spacing w:val="-86"/>
        </w:rPr>
        <w:t> </w:t>
      </w:r>
      <w:r>
        <w:rPr>
          <w:spacing w:val="-86"/>
        </w:rPr>
      </w:r>
      <w:r>
        <w:rPr/>
        <w:t>体内容详见公司在巨潮资讯网站（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2019-106</w:t>
      </w:r>
      <w:r>
        <w:rPr/>
        <w:t>）。</w:t>
      </w:r>
    </w:p>
    <w:p>
      <w:pPr>
        <w:pStyle w:val="BodyText"/>
        <w:spacing w:line="240" w:lineRule="auto" w:before="13"/>
        <w:ind w:left="472" w:right="882"/>
        <w:jc w:val="left"/>
      </w:pPr>
      <w:r>
        <w:rPr/>
        <w:t>二、限售股解禁情况</w:t>
      </w:r>
    </w:p>
    <w:p>
      <w:pPr>
        <w:pStyle w:val="BodyText"/>
        <w:spacing w:line="300" w:lineRule="auto" w:before="76"/>
        <w:ind w:right="1130" w:firstLine="36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29</w:t>
      </w:r>
      <w:r>
        <w:rPr/>
        <w:t>日，公司在中国证监会指定披露媒体巨潮资讯网上刊登《关于股票期权与限制性股票激励计划首次授 </w:t>
      </w:r>
      <w:r>
        <w:rPr>
          <w:spacing w:val="-2"/>
        </w:rPr>
        <w:t>予部分限制性股票第三个解锁期解除限售的公告》，本次解除限售的限制性股票数量为</w:t>
      </w:r>
      <w:r>
        <w:rPr>
          <w:rFonts w:ascii="Times New Roman" w:hAnsi="Times New Roman" w:cs="Times New Roman" w:eastAsia="Times New Roman" w:hint="default"/>
          <w:spacing w:val="-2"/>
        </w:rPr>
        <w:t>2,949,014</w:t>
      </w:r>
      <w:r>
        <w:rPr>
          <w:spacing w:val="-2"/>
        </w:rPr>
        <w:t>股，占公司总股本的比例为</w:t>
      </w:r>
      <w:r>
        <w:rPr>
          <w:spacing w:val="-58"/>
        </w:rPr>
        <w:t> </w:t>
      </w:r>
      <w:r>
        <w:rPr>
          <w:spacing w:val="-58"/>
        </w:rPr>
      </w:r>
      <w:r>
        <w:rPr>
          <w:rFonts w:ascii="Times New Roman" w:hAnsi="Times New Roman" w:cs="Times New Roman" w:eastAsia="Times New Roman" w:hint="default"/>
        </w:rPr>
        <w:t>0.61%</w:t>
      </w:r>
      <w:r>
        <w:rPr/>
        <w:t>，其中实际可上市流数量为：解除限售的股权激励股份上市流通日为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4</w:t>
      </w:r>
      <w:r>
        <w:rPr/>
        <w:t>日（星期五），涉及股东人数：</w:t>
      </w:r>
      <w:r>
        <w:rPr>
          <w:rFonts w:ascii="Times New Roman" w:hAnsi="Times New Roman" w:cs="Times New Roman" w:eastAsia="Times New Roman" w:hint="default"/>
        </w:rPr>
        <w:t>304</w:t>
      </w:r>
      <w:r>
        <w:rPr>
          <w:rFonts w:ascii="Times New Roman" w:hAnsi="Times New Roman" w:cs="Times New Roman" w:eastAsia="Times New Roman" w:hint="default"/>
          <w:spacing w:val="20"/>
        </w:rPr>
        <w:t> </w:t>
      </w:r>
      <w:r>
        <w:rPr>
          <w:rFonts w:ascii="Times New Roman" w:hAnsi="Times New Roman" w:cs="Times New Roman" w:eastAsia="Times New Roman" w:hint="default"/>
          <w:spacing w:val="20"/>
        </w:rPr>
      </w:r>
      <w:r>
        <w:rPr/>
        <w:t>人。具体内容详见公司在巨潮资讯网站（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2018-108</w:t>
      </w:r>
      <w:r>
        <w:rPr/>
        <w:t>）。</w:t>
      </w:r>
    </w:p>
    <w:p>
      <w:pPr>
        <w:pStyle w:val="BodyText"/>
        <w:spacing w:line="300" w:lineRule="auto" w:before="13"/>
        <w:ind w:right="1129" w:firstLine="36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w:t>
      </w:r>
      <w:r>
        <w:rPr/>
        <w:t>日，公司在中国证监会指定披露媒体巨潮资讯网上刊登《关于股票期权与限制性股票激励计划预留授予 </w:t>
      </w:r>
      <w:r>
        <w:rPr>
          <w:spacing w:val="3"/>
        </w:rPr>
        <w:t>部分限制性股票第三个解锁期解除限售的公告》，本次解除限售的限制性股票数量为</w:t>
      </w:r>
      <w:r>
        <w:rPr>
          <w:rFonts w:ascii="Times New Roman" w:hAnsi="Times New Roman" w:cs="Times New Roman" w:eastAsia="Times New Roman" w:hint="default"/>
          <w:spacing w:val="3"/>
        </w:rPr>
        <w:t>638,546</w:t>
      </w:r>
      <w:r>
        <w:rPr>
          <w:spacing w:val="3"/>
        </w:rPr>
        <w:t>股，占公司总股本的比例为</w:t>
      </w:r>
      <w:r>
        <w:rPr>
          <w:spacing w:val="-67"/>
        </w:rPr>
        <w:t> </w:t>
      </w:r>
      <w:r>
        <w:rPr>
          <w:spacing w:val="-67"/>
        </w:rPr>
      </w:r>
      <w:r>
        <w:rPr>
          <w:rFonts w:ascii="Times New Roman" w:hAnsi="Times New Roman" w:cs="Times New Roman" w:eastAsia="Times New Roman" w:hint="default"/>
          <w:spacing w:val="-1"/>
        </w:rPr>
        <w:t>0.0877%</w:t>
      </w:r>
      <w:r>
        <w:rPr>
          <w:spacing w:val="-1"/>
        </w:rPr>
        <w:t>，解除限售的股权激励股份上市流通日为</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5</w:t>
      </w:r>
      <w:r>
        <w:rPr>
          <w:spacing w:val="-1"/>
        </w:rPr>
        <w:t>日（星期五），涉及股东人数：</w:t>
      </w:r>
      <w:r>
        <w:rPr>
          <w:rFonts w:ascii="Times New Roman" w:hAnsi="Times New Roman" w:cs="Times New Roman" w:eastAsia="Times New Roman" w:hint="default"/>
          <w:spacing w:val="-1"/>
        </w:rPr>
        <w:t>22</w:t>
      </w:r>
      <w:r>
        <w:rPr>
          <w:spacing w:val="-1"/>
        </w:rPr>
        <w:t>人。具体内容详见公司在巨</w:t>
      </w:r>
      <w:r>
        <w:rPr>
          <w:spacing w:val="-42"/>
        </w:rPr>
        <w:t> </w:t>
      </w:r>
      <w:r>
        <w:rPr/>
        <w:t>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2019-057</w:t>
      </w:r>
      <w:r>
        <w:rPr/>
        <w:t>）。</w:t>
      </w:r>
    </w:p>
    <w:p>
      <w:pPr>
        <w:spacing w:after="0" w:line="30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1131" w:firstLine="360"/>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26</w:t>
      </w:r>
      <w:r>
        <w:rPr/>
        <w:t>日，公司在中国证监会指定披露媒体巨潮资讯网上刊登《关于限售股份上市流通的提示性公告</w:t>
      </w:r>
      <w:r>
        <w:rPr>
          <w:spacing w:val="2"/>
        </w:rPr>
        <w:t> </w:t>
      </w:r>
      <w:r>
        <w:rPr/>
        <w:t>》，本</w:t>
      </w:r>
      <w:r>
        <w:rPr/>
        <w:t> 次申请解除股份限售的股东为浙江鑫粟科技有限公司和宁波铜粟投资管理有限公司，解除限售股份数量为</w:t>
      </w:r>
      <w:r>
        <w:rPr>
          <w:rFonts w:ascii="Times New Roman" w:hAnsi="Times New Roman" w:cs="Times New Roman" w:eastAsia="Times New Roman" w:hint="default"/>
        </w:rPr>
        <w:t>17,923,741</w:t>
      </w:r>
      <w:r>
        <w:rPr/>
        <w:t>股，占</w:t>
      </w:r>
      <w:r>
        <w:rPr>
          <w:spacing w:val="-87"/>
        </w:rPr>
        <w:t> </w:t>
      </w:r>
      <w:r>
        <w:rPr/>
        <w:t>公司股本总额的</w:t>
      </w:r>
      <w:r>
        <w:rPr>
          <w:rFonts w:ascii="Times New Roman" w:hAnsi="Times New Roman" w:cs="Times New Roman" w:eastAsia="Times New Roman" w:hint="default"/>
        </w:rPr>
        <w:t>2.4609%</w:t>
      </w:r>
      <w:r>
        <w:rPr/>
        <w:t>，其中实际可上市流通股份为</w:t>
      </w:r>
      <w:r>
        <w:rPr>
          <w:rFonts w:ascii="Times New Roman" w:hAnsi="Times New Roman" w:cs="Times New Roman" w:eastAsia="Times New Roman" w:hint="default"/>
        </w:rPr>
        <w:t>17,923,741</w:t>
      </w:r>
      <w:r>
        <w:rPr/>
        <w:t>股，占公司股本总额的</w:t>
      </w:r>
      <w:r>
        <w:rPr>
          <w:rFonts w:ascii="Times New Roman" w:hAnsi="Times New Roman" w:cs="Times New Roman" w:eastAsia="Times New Roman" w:hint="default"/>
        </w:rPr>
        <w:t>2.4609%</w:t>
      </w:r>
      <w:r>
        <w:rPr/>
        <w:t>，上市流通日期为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rFonts w:ascii="Times New Roman" w:hAnsi="Times New Roman" w:cs="Times New Roman" w:eastAsia="Times New Roman" w:hint="default"/>
        </w:rPr>
        <w:t>29</w:t>
      </w:r>
      <w:r>
        <w:rPr/>
        <w:t>日（星期一）。具体内容详见公司在巨潮资讯网站（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2019-061</w:t>
      </w:r>
      <w:r>
        <w:rPr/>
        <w:t>）。</w:t>
      </w:r>
    </w:p>
    <w:p>
      <w:pPr>
        <w:pStyle w:val="BodyText"/>
        <w:spacing w:line="240" w:lineRule="auto" w:before="13"/>
        <w:ind w:left="472" w:right="882"/>
        <w:jc w:val="left"/>
      </w:pPr>
      <w:r>
        <w:rPr/>
        <w:t>三、公司权益分派情况</w:t>
      </w:r>
    </w:p>
    <w:p>
      <w:pPr>
        <w:pStyle w:val="BodyText"/>
        <w:spacing w:line="300" w:lineRule="auto" w:before="76"/>
        <w:ind w:right="1129" w:firstLine="360"/>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17</w:t>
      </w:r>
      <w:r>
        <w:rPr/>
        <w:t>日，公司在中国证监会指定披露媒体巨潮资讯网上刊登《</w:t>
      </w:r>
      <w:r>
        <w:rPr>
          <w:rFonts w:ascii="Times New Roman" w:hAnsi="Times New Roman" w:cs="Times New Roman" w:eastAsia="Times New Roman" w:hint="default"/>
        </w:rPr>
        <w:t>2018</w:t>
      </w:r>
      <w:r>
        <w:rPr/>
        <w:t>年年度权益分派实施公告》，本次权益分派 </w:t>
      </w:r>
      <w:r>
        <w:rPr>
          <w:spacing w:val="-7"/>
        </w:rPr>
        <w:t>股权登记日为：</w:t>
      </w:r>
      <w:r>
        <w:rPr>
          <w:rFonts w:ascii="Times New Roman" w:hAnsi="Times New Roman" w:cs="Times New Roman" w:eastAsia="Times New Roman" w:hint="default"/>
          <w:spacing w:val="-7"/>
        </w:rPr>
        <w:t>2019</w:t>
      </w:r>
      <w:r>
        <w:rPr>
          <w:spacing w:val="-7"/>
        </w:rPr>
        <w:t>年</w:t>
      </w:r>
      <w:r>
        <w:rPr>
          <w:rFonts w:ascii="Times New Roman" w:hAnsi="Times New Roman" w:cs="Times New Roman" w:eastAsia="Times New Roman" w:hint="default"/>
          <w:spacing w:val="-7"/>
        </w:rPr>
        <w:t>6</w:t>
      </w:r>
      <w:r>
        <w:rPr>
          <w:spacing w:val="-7"/>
        </w:rPr>
        <w:t>月</w:t>
      </w:r>
      <w:r>
        <w:rPr>
          <w:rFonts w:ascii="Times New Roman" w:hAnsi="Times New Roman" w:cs="Times New Roman" w:eastAsia="Times New Roman" w:hint="default"/>
          <w:spacing w:val="-7"/>
        </w:rPr>
        <w:t>24</w:t>
      </w:r>
      <w:r>
        <w:rPr>
          <w:spacing w:val="-7"/>
        </w:rPr>
        <w:t>日，除权除息日为：</w:t>
      </w:r>
      <w:r>
        <w:rPr>
          <w:rFonts w:ascii="Times New Roman" w:hAnsi="Times New Roman" w:cs="Times New Roman" w:eastAsia="Times New Roman" w:hint="default"/>
          <w:spacing w:val="-7"/>
        </w:rPr>
        <w:t>2019</w:t>
      </w:r>
      <w:r>
        <w:rPr>
          <w:spacing w:val="-7"/>
        </w:rPr>
        <w:t>年</w:t>
      </w:r>
      <w:r>
        <w:rPr>
          <w:rFonts w:ascii="Times New Roman" w:hAnsi="Times New Roman" w:cs="Times New Roman" w:eastAsia="Times New Roman" w:hint="default"/>
          <w:spacing w:val="-7"/>
        </w:rPr>
        <w:t>6</w:t>
      </w:r>
      <w:r>
        <w:rPr>
          <w:spacing w:val="-7"/>
        </w:rPr>
        <w:t>月</w:t>
      </w:r>
      <w:r>
        <w:rPr>
          <w:rFonts w:ascii="Times New Roman" w:hAnsi="Times New Roman" w:cs="Times New Roman" w:eastAsia="Times New Roman" w:hint="default"/>
          <w:spacing w:val="-7"/>
        </w:rPr>
        <w:t>25</w:t>
      </w:r>
      <w:r>
        <w:rPr>
          <w:spacing w:val="-7"/>
        </w:rPr>
        <w:t>日。</w:t>
      </w:r>
      <w:r>
        <w:rPr>
          <w:rFonts w:ascii="Times New Roman" w:hAnsi="Times New Roman" w:cs="Times New Roman" w:eastAsia="Times New Roman" w:hint="default"/>
          <w:spacing w:val="-7"/>
        </w:rPr>
        <w:t>2018</w:t>
      </w:r>
      <w:r>
        <w:rPr>
          <w:spacing w:val="-7"/>
        </w:rPr>
        <w:t>年年度权益分派方案为：以公司现有总股本</w:t>
      </w:r>
      <w:r>
        <w:rPr>
          <w:spacing w:val="47"/>
        </w:rPr>
        <w:t> </w:t>
      </w:r>
      <w:r>
        <w:rPr>
          <w:rFonts w:ascii="Times New Roman" w:hAnsi="Times New Roman" w:cs="Times New Roman" w:eastAsia="Times New Roman" w:hint="default"/>
          <w:spacing w:val="-1"/>
        </w:rPr>
        <w:t>485,543,274</w:t>
      </w:r>
      <w:r>
        <w:rPr>
          <w:rFonts w:ascii="Times New Roman" w:hAnsi="Times New Roman" w:cs="Times New Roman" w:eastAsia="Times New Roman" w:hint="default"/>
          <w:spacing w:val="-33"/>
        </w:rPr>
        <w:t> </w:t>
      </w:r>
      <w:r>
        <w:rPr>
          <w:rFonts w:ascii="Times New Roman" w:hAnsi="Times New Roman" w:cs="Times New Roman" w:eastAsia="Times New Roman" w:hint="default"/>
          <w:spacing w:val="-33"/>
        </w:rPr>
      </w:r>
      <w:r>
        <w:rPr/>
        <w:t>股为基数，向全体股东每</w:t>
      </w:r>
      <w:r>
        <w:rPr>
          <w:rFonts w:ascii="Times New Roman" w:hAnsi="Times New Roman" w:cs="Times New Roman" w:eastAsia="Times New Roman" w:hint="default"/>
        </w:rPr>
        <w:t>10</w:t>
      </w:r>
      <w:r>
        <w:rPr/>
        <w:t>股派发现金股利</w:t>
      </w:r>
      <w:r>
        <w:rPr>
          <w:rFonts w:ascii="Times New Roman" w:hAnsi="Times New Roman" w:cs="Times New Roman" w:eastAsia="Times New Roman" w:hint="default"/>
        </w:rPr>
        <w:t>0.499995</w:t>
      </w:r>
      <w:r>
        <w:rPr/>
        <w:t>元（含税），同时以资本公积金向全体股东每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4.999953</w:t>
      </w:r>
      <w:r>
        <w:rPr/>
        <w:t>股。分 红</w:t>
      </w:r>
      <w:r>
        <w:rPr>
          <w:spacing w:val="-55"/>
        </w:rPr>
        <w:t> </w:t>
      </w:r>
      <w:r>
        <w:rPr/>
        <w:t>前</w:t>
      </w:r>
      <w:r>
        <w:rPr>
          <w:spacing w:val="-53"/>
        </w:rPr>
        <w:t> </w:t>
      </w:r>
      <w:r>
        <w:rPr/>
        <w:t>本</w:t>
      </w:r>
      <w:r>
        <w:rPr>
          <w:spacing w:val="-55"/>
        </w:rPr>
        <w:t> </w:t>
      </w:r>
      <w:r>
        <w:rPr/>
        <w:t>公</w:t>
      </w:r>
      <w:r>
        <w:rPr>
          <w:spacing w:val="-55"/>
        </w:rPr>
        <w:t> </w:t>
      </w:r>
      <w:r>
        <w:rPr/>
        <w:t>司</w:t>
      </w:r>
      <w:r>
        <w:rPr>
          <w:spacing w:val="-55"/>
        </w:rPr>
        <w:t> </w:t>
      </w:r>
      <w:r>
        <w:rPr/>
        <w:t>总</w:t>
      </w:r>
      <w:r>
        <w:rPr>
          <w:spacing w:val="-53"/>
        </w:rPr>
        <w:t> </w:t>
      </w:r>
      <w:r>
        <w:rPr/>
        <w:t>股</w:t>
      </w:r>
      <w:r>
        <w:rPr>
          <w:spacing w:val="-55"/>
        </w:rPr>
        <w:t> </w:t>
      </w:r>
      <w:r>
        <w:rPr/>
        <w:t>本</w:t>
      </w:r>
      <w:r>
        <w:rPr>
          <w:spacing w:val="-55"/>
        </w:rPr>
        <w:t> </w:t>
      </w:r>
      <w:r>
        <w:rPr/>
        <w:t>为</w:t>
      </w:r>
      <w:r>
        <w:rPr>
          <w:spacing w:val="-53"/>
        </w:rPr>
        <w:t> </w:t>
      </w:r>
      <w:r>
        <w:rPr>
          <w:rFonts w:ascii="Times New Roman" w:hAnsi="Times New Roman" w:cs="Times New Roman" w:eastAsia="Times New Roman" w:hint="default"/>
        </w:rPr>
        <w:t>485,543,274</w:t>
      </w:r>
      <w:r>
        <w:rPr>
          <w:rFonts w:ascii="Times New Roman" w:hAnsi="Times New Roman" w:cs="Times New Roman" w:eastAsia="Times New Roman" w:hint="default"/>
          <w:spacing w:val="-12"/>
        </w:rPr>
        <w:t> </w:t>
      </w:r>
      <w:r>
        <w:rPr/>
        <w:t>股</w:t>
      </w:r>
      <w:r>
        <w:rPr>
          <w:spacing w:val="-55"/>
        </w:rPr>
        <w:t> </w:t>
      </w:r>
      <w:r>
        <w:rPr/>
        <w:t>，</w:t>
      </w:r>
      <w:r>
        <w:rPr>
          <w:spacing w:val="-53"/>
        </w:rPr>
        <w:t> </w:t>
      </w:r>
      <w:r>
        <w:rPr/>
        <w:t>分</w:t>
      </w:r>
      <w:r>
        <w:rPr>
          <w:spacing w:val="-55"/>
        </w:rPr>
        <w:t> </w:t>
      </w:r>
      <w:r>
        <w:rPr/>
        <w:t>红</w:t>
      </w:r>
      <w:r>
        <w:rPr>
          <w:spacing w:val="-55"/>
        </w:rPr>
        <w:t> </w:t>
      </w:r>
      <w:r>
        <w:rPr/>
        <w:t>后</w:t>
      </w:r>
      <w:r>
        <w:rPr>
          <w:spacing w:val="-55"/>
        </w:rPr>
        <w:t> </w:t>
      </w:r>
      <w:r>
        <w:rPr/>
        <w:t>总</w:t>
      </w:r>
      <w:r>
        <w:rPr>
          <w:spacing w:val="-53"/>
        </w:rPr>
        <w:t> </w:t>
      </w:r>
      <w:r>
        <w:rPr/>
        <w:t>股</w:t>
      </w:r>
      <w:r>
        <w:rPr>
          <w:spacing w:val="-55"/>
        </w:rPr>
        <w:t> </w:t>
      </w:r>
      <w:r>
        <w:rPr/>
        <w:t>本</w:t>
      </w:r>
      <w:r>
        <w:rPr>
          <w:spacing w:val="-55"/>
        </w:rPr>
        <w:t> </w:t>
      </w:r>
      <w:r>
        <w:rPr/>
        <w:t>增</w:t>
      </w:r>
      <w:r>
        <w:rPr>
          <w:spacing w:val="-53"/>
        </w:rPr>
        <w:t> </w:t>
      </w:r>
      <w:r>
        <w:rPr/>
        <w:t>至</w:t>
      </w:r>
      <w:r>
        <w:rPr>
          <w:spacing w:val="-55"/>
        </w:rPr>
        <w:t> </w:t>
      </w:r>
      <w:r>
        <w:rPr>
          <w:rFonts w:ascii="Times New Roman" w:hAnsi="Times New Roman" w:cs="Times New Roman" w:eastAsia="Times New Roman" w:hint="default"/>
        </w:rPr>
        <w:t>728,312,628</w:t>
      </w:r>
      <w:r>
        <w:rPr>
          <w:rFonts w:ascii="Times New Roman" w:hAnsi="Times New Roman" w:cs="Times New Roman" w:eastAsia="Times New Roman" w:hint="default"/>
          <w:spacing w:val="-12"/>
        </w:rPr>
        <w:t> </w:t>
      </w:r>
      <w:r>
        <w:rPr/>
        <w:t>股</w:t>
      </w:r>
      <w:r>
        <w:rPr>
          <w:spacing w:val="-55"/>
        </w:rPr>
        <w:t> </w:t>
      </w:r>
      <w:r>
        <w:rPr/>
        <w:t>。</w:t>
      </w:r>
      <w:r>
        <w:rPr>
          <w:spacing w:val="-53"/>
        </w:rPr>
        <w:t> </w:t>
      </w:r>
      <w:r>
        <w:rPr/>
        <w:t>具</w:t>
      </w:r>
      <w:r>
        <w:rPr>
          <w:spacing w:val="-55"/>
        </w:rPr>
        <w:t> </w:t>
      </w:r>
      <w:r>
        <w:rPr/>
        <w:t>体</w:t>
      </w:r>
      <w:r>
        <w:rPr>
          <w:spacing w:val="-55"/>
        </w:rPr>
        <w:t> </w:t>
      </w:r>
      <w:r>
        <w:rPr/>
        <w:t>内</w:t>
      </w:r>
      <w:r>
        <w:rPr>
          <w:spacing w:val="-55"/>
        </w:rPr>
        <w:t> </w:t>
      </w:r>
      <w:r>
        <w:rPr/>
        <w:t>容</w:t>
      </w:r>
      <w:r>
        <w:rPr>
          <w:spacing w:val="-53"/>
        </w:rPr>
        <w:t> </w:t>
      </w:r>
      <w:r>
        <w:rPr/>
        <w:t>详</w:t>
      </w:r>
      <w:r>
        <w:rPr>
          <w:spacing w:val="-55"/>
        </w:rPr>
        <w:t> </w:t>
      </w:r>
      <w:r>
        <w:rPr/>
        <w:t>见</w:t>
      </w:r>
      <w:r>
        <w:rPr>
          <w:spacing w:val="-55"/>
        </w:rPr>
        <w:t> </w:t>
      </w:r>
      <w:r>
        <w:rPr/>
        <w:t>公</w:t>
      </w:r>
      <w:r>
        <w:rPr>
          <w:spacing w:val="-53"/>
        </w:rPr>
        <w:t> </w:t>
      </w:r>
      <w:r>
        <w:rPr/>
        <w:t>司</w:t>
      </w:r>
      <w:r>
        <w:rPr>
          <w:spacing w:val="-55"/>
        </w:rPr>
        <w:t> </w:t>
      </w:r>
      <w:r>
        <w:rPr/>
        <w:t>在</w:t>
      </w:r>
      <w:r>
        <w:rPr>
          <w:spacing w:val="-55"/>
        </w:rPr>
        <w:t> </w:t>
      </w:r>
      <w:r>
        <w:rPr/>
        <w:t>巨</w:t>
      </w:r>
      <w:r>
        <w:rPr>
          <w:spacing w:val="-53"/>
        </w:rPr>
        <w:t> </w:t>
      </w:r>
      <w:r>
        <w:rPr/>
        <w:t>潮</w:t>
      </w:r>
      <w:r>
        <w:rPr>
          <w:spacing w:val="-55"/>
        </w:rPr>
        <w:t> </w:t>
      </w:r>
      <w:r>
        <w:rPr/>
        <w:t>资</w:t>
      </w:r>
      <w:r>
        <w:rPr>
          <w:spacing w:val="-55"/>
        </w:rPr>
        <w:t> </w:t>
      </w:r>
      <w:r>
        <w:rPr/>
        <w:t>讯</w:t>
      </w:r>
      <w:r>
        <w:rPr>
          <w:spacing w:val="-55"/>
        </w:rPr>
        <w:t> </w:t>
      </w:r>
      <w:r>
        <w:rPr/>
        <w:t>网</w:t>
      </w:r>
      <w:r>
        <w:rPr>
          <w:spacing w:val="-53"/>
        </w:rPr>
        <w:t> </w:t>
      </w:r>
      <w:r>
        <w:rPr/>
        <w:t>站</w:t>
      </w:r>
    </w:p>
    <w:p>
      <w:pPr>
        <w:pStyle w:val="BodyText"/>
        <w:spacing w:line="300" w:lineRule="auto" w:before="13"/>
        <w:ind w:left="652" w:right="5829" w:hanging="540"/>
        <w:jc w:val="left"/>
      </w:pPr>
      <w:r>
        <w:rPr/>
        <w:t>（</w:t>
      </w:r>
      <w:hyperlink r:id="rId14">
        <w:r>
          <w:rPr>
            <w:rFonts w:ascii="Times New Roman" w:hAnsi="Times New Roman" w:cs="Times New Roman" w:eastAsia="Times New Roman" w:hint="default"/>
          </w:rPr>
          <w:t>www.cninfo.com.cn</w:t>
        </w:r>
      </w:hyperlink>
      <w:r>
        <w:rPr/>
        <w:t>）披露的公告（公告编号：</w:t>
      </w:r>
      <w:r>
        <w:rPr>
          <w:spacing w:val="-20"/>
        </w:rPr>
        <w:t> </w:t>
      </w:r>
      <w:r>
        <w:rPr>
          <w:rFonts w:ascii="Times New Roman" w:hAnsi="Times New Roman" w:cs="Times New Roman" w:eastAsia="Times New Roman" w:hint="default"/>
        </w:rPr>
        <w:t>2019-051</w:t>
      </w:r>
      <w:r>
        <w:rPr/>
        <w:t>）。 四、股票期权与限制性股票激励计划期权行权情况</w:t>
      </w:r>
    </w:p>
    <w:p>
      <w:pPr>
        <w:pStyle w:val="BodyText"/>
        <w:spacing w:line="300" w:lineRule="auto" w:before="31"/>
        <w:ind w:left="472" w:right="1124" w:hanging="89"/>
        <w:jc w:val="left"/>
      </w:pPr>
      <w:r>
        <w:rPr/>
        <w:t>报告期内，公司股票期权与限制性股票激励计划期权激励对象行权共计行权</w:t>
      </w:r>
      <w:r>
        <w:rPr>
          <w:rFonts w:ascii="Times New Roman" w:hAnsi="Times New Roman" w:cs="Times New Roman" w:eastAsia="Times New Roman" w:hint="default"/>
        </w:rPr>
        <w:t>405,176</w:t>
      </w:r>
      <w:r>
        <w:rPr/>
        <w:t>份。 五、</w:t>
      </w:r>
      <w:r>
        <w:rPr>
          <w:rFonts w:ascii="Times New Roman" w:hAnsi="Times New Roman" w:cs="Times New Roman" w:eastAsia="Times New Roman" w:hint="default"/>
        </w:rPr>
        <w:t>2019</w:t>
      </w:r>
      <w:r>
        <w:rPr/>
        <w:t>年限制性股票授予情况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w:t>
      </w:r>
      <w:r>
        <w:rPr/>
        <w:t>日，公司完成</w:t>
      </w:r>
      <w:r>
        <w:rPr>
          <w:rFonts w:ascii="Times New Roman" w:hAnsi="Times New Roman" w:cs="Times New Roman" w:eastAsia="Times New Roman" w:hint="default"/>
        </w:rPr>
        <w:t>2019</w:t>
      </w:r>
      <w:r>
        <w:rPr/>
        <w:t>年限制性股票激励计划的首次授予登记工作，本次限制性股票激励计划首次授予对象为</w:t>
      </w:r>
    </w:p>
    <w:p>
      <w:pPr>
        <w:pStyle w:val="BodyText"/>
        <w:spacing w:line="300" w:lineRule="auto" w:before="13"/>
        <w:ind w:right="1132"/>
        <w:jc w:val="left"/>
      </w:pPr>
      <w:r>
        <w:rPr>
          <w:rFonts w:ascii="Times New Roman" w:hAnsi="Times New Roman" w:cs="Times New Roman" w:eastAsia="Times New Roman" w:hint="default"/>
        </w:rPr>
        <w:t>305</w:t>
      </w:r>
      <w:r>
        <w:rPr/>
        <w:t>人，首次授予数量为</w:t>
      </w:r>
      <w:r>
        <w:rPr>
          <w:rFonts w:ascii="Times New Roman" w:hAnsi="Times New Roman" w:cs="Times New Roman" w:eastAsia="Times New Roman" w:hint="default"/>
        </w:rPr>
        <w:t>1,123.75</w:t>
      </w:r>
      <w:r>
        <w:rPr/>
        <w:t>万股，占授予前公司总股本的</w:t>
      </w:r>
      <w:r>
        <w:rPr>
          <w:rFonts w:ascii="Times New Roman" w:hAnsi="Times New Roman" w:cs="Times New Roman" w:eastAsia="Times New Roman" w:hint="default"/>
        </w:rPr>
        <w:t>1.53%</w:t>
      </w:r>
      <w:r>
        <w:rPr/>
        <w:t>，上市日期为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5</w:t>
      </w:r>
      <w:r>
        <w:rPr/>
        <w:t>日（星期四）。具体内容详</w:t>
      </w:r>
      <w:r>
        <w:rPr>
          <w:spacing w:val="-29"/>
        </w:rPr>
        <w:t> </w:t>
      </w:r>
      <w:r>
        <w:rPr>
          <w:spacing w:val="-29"/>
        </w:rPr>
      </w:r>
      <w:r>
        <w:rPr/>
        <w:t>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2019-104</w:t>
      </w:r>
      <w:r>
        <w:rPr/>
        <w:t>）。</w:t>
      </w:r>
    </w:p>
    <w:p>
      <w:pPr>
        <w:pStyle w:val="BodyText"/>
        <w:spacing w:line="240" w:lineRule="auto" w:before="13"/>
        <w:ind w:left="472" w:right="882"/>
        <w:jc w:val="left"/>
      </w:pPr>
      <w:r>
        <w:rPr/>
        <w:t>六、高管锁定股释放流动性</w:t>
      </w:r>
    </w:p>
    <w:p>
      <w:pPr>
        <w:pStyle w:val="BodyText"/>
        <w:spacing w:line="338" w:lineRule="auto" w:before="76"/>
        <w:ind w:right="5894" w:firstLine="360"/>
        <w:jc w:val="left"/>
      </w:pPr>
      <w:r>
        <w:rPr>
          <w:rFonts w:ascii="Times New Roman" w:hAnsi="Times New Roman" w:cs="Times New Roman" w:eastAsia="Times New Roman" w:hint="default"/>
        </w:rPr>
        <w:t>2019</w:t>
      </w:r>
      <w:r>
        <w:rPr/>
        <w:t>年度，高管锁定股释放流动性，引起股份性质变动。 股份变动的批准情况</w:t>
      </w:r>
    </w:p>
    <w:p>
      <w:pPr>
        <w:pStyle w:val="BodyText"/>
        <w:spacing w:line="360" w:lineRule="auto" w:before="43"/>
        <w:ind w:left="292" w:right="8054" w:hanging="180"/>
        <w:jc w:val="left"/>
      </w:pPr>
      <w:r>
        <w:rPr/>
        <w:t>√适用 □</w:t>
      </w:r>
      <w:r>
        <w:rPr>
          <w:spacing w:val="-1"/>
        </w:rPr>
        <w:t> </w:t>
      </w:r>
      <w:r>
        <w:rPr/>
        <w:t>不适用</w:t>
      </w:r>
      <w:r>
        <w:rPr/>
        <w:t> 一、股权激励股份回购注销情况</w:t>
      </w:r>
    </w:p>
    <w:p>
      <w:pPr>
        <w:pStyle w:val="BodyText"/>
        <w:spacing w:line="236" w:lineRule="exact"/>
        <w:ind w:right="0" w:firstLine="300"/>
        <w:jc w:val="both"/>
      </w:pPr>
      <w:r>
        <w:rPr>
          <w:rFonts w:ascii="Times New Roman" w:hAnsi="Times New Roman" w:cs="Times New Roman" w:eastAsia="Times New Roman" w:hint="default"/>
        </w:rPr>
        <w:t>1</w:t>
      </w:r>
      <w:r>
        <w:rPr/>
        <w:t>、根据公司《股票期权与限制性股票激励计划（草案修订稿）》的规定及公司</w:t>
      </w:r>
      <w:r>
        <w:rPr>
          <w:rFonts w:ascii="Times New Roman" w:hAnsi="Times New Roman" w:cs="Times New Roman" w:eastAsia="Times New Roman" w:hint="default"/>
        </w:rPr>
        <w:t>2015</w:t>
      </w:r>
      <w:r>
        <w:rPr/>
        <w:t>年第三次临时股东大会的授权，公</w:t>
      </w:r>
    </w:p>
    <w:p>
      <w:pPr>
        <w:pStyle w:val="BodyText"/>
        <w:spacing w:line="309" w:lineRule="auto" w:before="63"/>
        <w:ind w:right="1033"/>
        <w:jc w:val="left"/>
      </w:pPr>
      <w:r>
        <w:rPr>
          <w:spacing w:val="-2"/>
        </w:rPr>
        <w:t>司第六届董事会第十四次会议、第六届董事会第十六次会议、第六届董事会第十九次会议、分别审议通过了《关于对股票期</w:t>
      </w:r>
      <w:r>
        <w:rPr>
          <w:spacing w:val="-64"/>
        </w:rPr>
        <w:t> </w:t>
      </w:r>
      <w:r>
        <w:rPr>
          <w:spacing w:val="-64"/>
        </w:rPr>
      </w:r>
      <w:r>
        <w:rPr>
          <w:spacing w:val="-1"/>
        </w:rPr>
        <w:t>权与限制性股票激励计划部分激励股份回购注销的议案》（具体详见刊登在巨潮资讯网（</w:t>
      </w:r>
      <w:hyperlink r:id="rId14">
        <w:r>
          <w:rPr>
            <w:rFonts w:ascii="Times New Roman" w:hAnsi="Times New Roman" w:cs="Times New Roman" w:eastAsia="Times New Roman" w:hint="default"/>
            <w:spacing w:val="-1"/>
          </w:rPr>
          <w:t>www.cninfo.com.cn</w:t>
        </w:r>
      </w:hyperlink>
      <w:r>
        <w:rPr>
          <w:spacing w:val="-1"/>
        </w:rPr>
        <w:t>）的相关公告，</w:t>
      </w:r>
      <w:r>
        <w:rPr>
          <w:spacing w:val="-44"/>
        </w:rPr>
        <w:t> </w:t>
      </w:r>
      <w:r>
        <w:rPr>
          <w:spacing w:val="-44"/>
        </w:rPr>
      </w:r>
      <w:r>
        <w:rPr/>
        <w:t>公告编号：</w:t>
      </w:r>
      <w:r>
        <w:rPr>
          <w:rFonts w:ascii="Times New Roman" w:hAnsi="Times New Roman" w:cs="Times New Roman" w:eastAsia="Times New Roman" w:hint="default"/>
        </w:rPr>
        <w:t>2018-085</w:t>
      </w:r>
      <w:r>
        <w:rPr/>
        <w:t>、</w:t>
      </w:r>
      <w:r>
        <w:rPr>
          <w:rFonts w:ascii="Times New Roman" w:hAnsi="Times New Roman" w:cs="Times New Roman" w:eastAsia="Times New Roman" w:hint="default"/>
        </w:rPr>
        <w:t>2018-104</w:t>
      </w:r>
      <w:r>
        <w:rPr/>
        <w:t>、</w:t>
      </w:r>
      <w:r>
        <w:rPr>
          <w:rFonts w:ascii="Times New Roman" w:hAnsi="Times New Roman" w:cs="Times New Roman" w:eastAsia="Times New Roman" w:hint="default"/>
        </w:rPr>
        <w:t>2019-042</w:t>
      </w:r>
      <w:r>
        <w:rPr/>
        <w:t>）。</w:t>
      </w:r>
    </w:p>
    <w:p>
      <w:pPr>
        <w:pStyle w:val="BodyText"/>
        <w:spacing w:line="240" w:lineRule="auto" w:before="5"/>
        <w:ind w:left="472" w:right="882"/>
        <w:jc w:val="left"/>
      </w:pPr>
      <w:r>
        <w:rPr/>
        <w:t>二、限售股解禁情况</w:t>
      </w:r>
    </w:p>
    <w:p>
      <w:pPr>
        <w:pStyle w:val="BodyText"/>
        <w:spacing w:line="300" w:lineRule="auto" w:before="76"/>
        <w:ind w:right="1130" w:firstLine="36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14</w:t>
      </w:r>
      <w:r>
        <w:rPr/>
        <w:t>日，公司分别召开了第六届董事会第十六次会议和第六届监事会第十四次会议，审议通过了《关于股 </w:t>
      </w:r>
      <w:r>
        <w:rPr>
          <w:spacing w:val="-1"/>
        </w:rPr>
        <w:t>票期权与制性股票激励计划首次授予部分第三次行权</w:t>
      </w:r>
      <w:r>
        <w:rPr>
          <w:rFonts w:ascii="Times New Roman" w:hAnsi="Times New Roman" w:cs="Times New Roman" w:eastAsia="Times New Roman" w:hint="default"/>
          <w:spacing w:val="-1"/>
        </w:rPr>
        <w:t>/</w:t>
      </w:r>
      <w:r>
        <w:rPr>
          <w:spacing w:val="-1"/>
        </w:rPr>
        <w:t>解锁期行权</w:t>
      </w:r>
      <w:r>
        <w:rPr>
          <w:rFonts w:ascii="Times New Roman" w:hAnsi="Times New Roman" w:cs="Times New Roman" w:eastAsia="Times New Roman" w:hint="default"/>
          <w:spacing w:val="-1"/>
        </w:rPr>
        <w:t>/</w:t>
      </w:r>
      <w:r>
        <w:rPr>
          <w:spacing w:val="-1"/>
        </w:rPr>
        <w:t>解锁条件成就的议案》，同意对满足第三次行权</w:t>
      </w:r>
      <w:r>
        <w:rPr>
          <w:rFonts w:ascii="Times New Roman" w:hAnsi="Times New Roman" w:cs="Times New Roman" w:eastAsia="Times New Roman" w:hint="default"/>
          <w:spacing w:val="-1"/>
        </w:rPr>
        <w:t>/</w:t>
      </w:r>
      <w:r>
        <w:rPr>
          <w:spacing w:val="-1"/>
        </w:rPr>
        <w:t>解锁期行</w:t>
      </w:r>
      <w:r>
        <w:rPr>
          <w:spacing w:val="-87"/>
        </w:rPr>
        <w:t> </w:t>
      </w:r>
      <w:r>
        <w:rPr/>
        <w:t>权</w:t>
      </w:r>
      <w:r>
        <w:rPr>
          <w:rFonts w:ascii="Times New Roman" w:hAnsi="Times New Roman" w:cs="Times New Roman" w:eastAsia="Times New Roman" w:hint="default"/>
        </w:rPr>
        <w:t>/</w:t>
      </w:r>
      <w:r>
        <w:rPr/>
        <w:t>解锁条件的激励对象按照激励计划的相关规定办理行权</w:t>
      </w:r>
      <w:r>
        <w:rPr>
          <w:rFonts w:ascii="Times New Roman" w:hAnsi="Times New Roman" w:cs="Times New Roman" w:eastAsia="Times New Roman" w:hint="default"/>
        </w:rPr>
        <w:t>/</w:t>
      </w:r>
      <w:r>
        <w:rPr/>
        <w:t>解锁期行权</w:t>
      </w:r>
      <w:r>
        <w:rPr>
          <w:rFonts w:ascii="Times New Roman" w:hAnsi="Times New Roman" w:cs="Times New Roman" w:eastAsia="Times New Roman" w:hint="default"/>
        </w:rPr>
        <w:t>/</w:t>
      </w:r>
      <w:r>
        <w:rPr/>
        <w:t>解锁的相关事宜。第三次行权</w:t>
      </w:r>
      <w:r>
        <w:rPr>
          <w:rFonts w:ascii="Times New Roman" w:hAnsi="Times New Roman" w:cs="Times New Roman" w:eastAsia="Times New Roman" w:hint="default"/>
        </w:rPr>
        <w:t>/</w:t>
      </w:r>
      <w:r>
        <w:rPr/>
        <w:t>解锁期可行权</w:t>
      </w:r>
      <w:r>
        <w:rPr>
          <w:rFonts w:ascii="Times New Roman" w:hAnsi="Times New Roman" w:cs="Times New Roman" w:eastAsia="Times New Roman" w:hint="default"/>
        </w:rPr>
        <w:t>/</w:t>
      </w:r>
      <w:r>
        <w:rPr/>
        <w:t>解锁的</w:t>
      </w:r>
      <w:r>
        <w:rPr>
          <w:spacing w:val="-69"/>
        </w:rPr>
        <w:t> </w:t>
      </w:r>
      <w:r>
        <w:rPr/>
        <w:t>股票期权与限制性股票数量分别为</w:t>
      </w:r>
      <w:r>
        <w:rPr>
          <w:rFonts w:ascii="Times New Roman" w:hAnsi="Times New Roman" w:cs="Times New Roman" w:eastAsia="Times New Roman" w:hint="default"/>
        </w:rPr>
        <w:t>46.5764</w:t>
      </w:r>
      <w:r>
        <w:rPr/>
        <w:t>万份和</w:t>
      </w:r>
      <w:r>
        <w:rPr>
          <w:rFonts w:ascii="Times New Roman" w:hAnsi="Times New Roman" w:cs="Times New Roman" w:eastAsia="Times New Roman" w:hint="default"/>
        </w:rPr>
        <w:t>294.9014</w:t>
      </w:r>
      <w:r>
        <w:rPr/>
        <w:t>万股，股票期权行权价格为</w:t>
      </w:r>
      <w:r>
        <w:rPr>
          <w:rFonts w:ascii="Times New Roman" w:hAnsi="Times New Roman" w:cs="Times New Roman" w:eastAsia="Times New Roman" w:hint="default"/>
        </w:rPr>
        <w:t>20.57</w:t>
      </w:r>
      <w:r>
        <w:rPr/>
        <w:t>元</w:t>
      </w:r>
      <w:r>
        <w:rPr>
          <w:rFonts w:ascii="Times New Roman" w:hAnsi="Times New Roman" w:cs="Times New Roman" w:eastAsia="Times New Roman" w:hint="default"/>
        </w:rPr>
        <w:t>/</w:t>
      </w:r>
      <w:r>
        <w:rPr/>
        <w:t>股。本次股票期权采用自主行 权模式。</w:t>
      </w:r>
    </w:p>
    <w:p>
      <w:pPr>
        <w:pStyle w:val="BodyText"/>
        <w:spacing w:line="309" w:lineRule="auto" w:before="31"/>
        <w:ind w:right="1132" w:firstLine="36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7</w:t>
      </w:r>
      <w:r>
        <w:rPr/>
        <w:t>日，公司召开第六届董事会第十九次会议和第六届监事会第十六次会议，审议通过了《关于股票期权与 </w:t>
      </w:r>
      <w:r>
        <w:rPr>
          <w:spacing w:val="-2"/>
        </w:rPr>
        <w:t>限制性股票激励计划预留授予部分限制性股票第三个解锁期解锁条件成就的议案》，同意对满足第三个解锁期解锁条件的激</w:t>
      </w:r>
      <w:r>
        <w:rPr>
          <w:spacing w:val="-64"/>
        </w:rPr>
        <w:t> </w:t>
      </w:r>
      <w:r>
        <w:rPr>
          <w:spacing w:val="-64"/>
        </w:rPr>
      </w:r>
      <w:r>
        <w:rPr/>
        <w:t>励对象按照激励计划的相关规定办理解锁的相关事宜。</w:t>
      </w:r>
    </w:p>
    <w:p>
      <w:pPr>
        <w:pStyle w:val="BodyText"/>
        <w:spacing w:line="316" w:lineRule="auto" w:before="24"/>
        <w:ind w:left="472" w:right="882"/>
        <w:jc w:val="left"/>
      </w:pPr>
      <w:r>
        <w:rPr/>
        <w:t>三、公司权益分派情况 </w:t>
      </w:r>
      <w:r>
        <w:rPr>
          <w:spacing w:val="-2"/>
        </w:rPr>
        <w:t>公司分别于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25</w:t>
      </w:r>
      <w:r>
        <w:rPr>
          <w:spacing w:val="-2"/>
        </w:rPr>
        <w:t>日、</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12</w:t>
      </w:r>
      <w:r>
        <w:rPr>
          <w:spacing w:val="-2"/>
        </w:rPr>
        <w:t>日召开第六届董事会第十八次会议、</w:t>
      </w:r>
      <w:r>
        <w:rPr>
          <w:rFonts w:ascii="Times New Roman" w:hAnsi="Times New Roman" w:cs="Times New Roman" w:eastAsia="Times New Roman" w:hint="default"/>
          <w:spacing w:val="-2"/>
        </w:rPr>
        <w:t>2018</w:t>
      </w:r>
      <w:r>
        <w:rPr>
          <w:spacing w:val="-2"/>
        </w:rPr>
        <w:t>年年度股东大会，审议通过了《关于</w:t>
      </w:r>
    </w:p>
    <w:p>
      <w:pPr>
        <w:pStyle w:val="BodyText"/>
        <w:spacing w:line="248" w:lineRule="exact"/>
        <w:ind w:right="882"/>
        <w:jc w:val="left"/>
      </w:pP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t>年年度利润分</w:t>
      </w:r>
      <w:r>
        <w:rPr>
          <w:spacing w:val="2"/>
        </w:rPr>
        <w:t>配</w:t>
      </w:r>
      <w:r>
        <w:rPr/>
        <w:t>预案的议案</w:t>
      </w:r>
      <w:r>
        <w:rPr>
          <w:spacing w:val="-87"/>
        </w:rPr>
        <w:t>》</w:t>
      </w:r>
      <w:r>
        <w:rPr>
          <w:spacing w:val="-84"/>
        </w:rPr>
        <w:t>。</w:t>
      </w:r>
      <w:r>
        <w:rPr/>
        <w:t>具体内容详见</w:t>
      </w:r>
      <w:r>
        <w:rPr>
          <w:spacing w:val="2"/>
        </w:rPr>
        <w:t>公</w:t>
      </w:r>
      <w:r>
        <w:rPr/>
        <w:t>司在巨潮资讯网</w:t>
      </w:r>
      <w:r>
        <w:rPr>
          <w:spacing w:val="-84"/>
        </w:rPr>
        <w:t>站</w:t>
      </w:r>
      <w:r>
        <w:rPr>
          <w:spacing w:val="-3"/>
        </w:rPr>
        <w:t>（</w:t>
      </w:r>
      <w:hyperlink r:id="rId14">
        <w:r>
          <w:rPr>
            <w:rFonts w:ascii="Times New Roman" w:hAnsi="Times New Roman" w:cs="Times New Roman" w:eastAsia="Times New Roman" w:hint="default"/>
            <w:spacing w:val="-1"/>
            <w:w w:val="99"/>
          </w:rPr>
          <w:t>ww</w:t>
        </w:r>
        <w:r>
          <w:rPr>
            <w:rFonts w:ascii="Times New Roman" w:hAnsi="Times New Roman" w:cs="Times New Roman" w:eastAsia="Times New Roman" w:hint="default"/>
            <w:spacing w:val="-8"/>
            <w:w w:val="99"/>
          </w:rPr>
          <w:t>w</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2"/>
            <w:w w:val="99"/>
          </w:rPr>
          <w:t>i</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3"/>
          </w:rPr>
          <w:t>f</w:t>
        </w:r>
        <w:r>
          <w:rPr>
            <w:rFonts w:ascii="Times New Roman" w:hAnsi="Times New Roman" w:cs="Times New Roman" w:eastAsia="Times New Roman" w:hint="default"/>
            <w:spacing w:val="1"/>
          </w:rPr>
          <w:t>o</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o</w:t>
        </w:r>
        <w:r>
          <w:rPr>
            <w:rFonts w:ascii="Times New Roman" w:hAnsi="Times New Roman" w:cs="Times New Roman" w:eastAsia="Times New Roman" w:hint="default"/>
            <w:spacing w:val="-4"/>
            <w:w w:val="99"/>
          </w:rPr>
          <w:t>m</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3"/>
          </w:rPr>
          <w:t>n</w:t>
        </w:r>
      </w:hyperlink>
      <w:r>
        <w:rPr>
          <w:spacing w:val="-87"/>
        </w:rPr>
        <w:t>）</w:t>
      </w:r>
      <w:r>
        <w:rPr/>
        <w:t>披露的公</w:t>
      </w:r>
      <w:r>
        <w:rPr>
          <w:spacing w:val="-84"/>
        </w:rPr>
        <w:t>告</w:t>
      </w:r>
      <w:r>
        <w:rPr/>
        <w:t>（公告编号</w:t>
      </w:r>
      <w:r>
        <w:rPr>
          <w:spacing w:val="-87"/>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9</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2</w:t>
      </w:r>
      <w:r>
        <w:rPr>
          <w:rFonts w:ascii="Times New Roman" w:hAnsi="Times New Roman" w:cs="Times New Roman" w:eastAsia="Times New Roman" w:hint="default"/>
          <w:spacing w:val="1"/>
        </w:rPr>
        <w:t>2</w:t>
      </w:r>
      <w:r>
        <w:rPr/>
        <w:t>、</w:t>
      </w:r>
    </w:p>
    <w:p>
      <w:pPr>
        <w:pStyle w:val="BodyText"/>
        <w:spacing w:line="240" w:lineRule="auto" w:before="63"/>
        <w:ind w:right="882"/>
        <w:jc w:val="left"/>
      </w:pPr>
      <w:r>
        <w:rPr>
          <w:rFonts w:ascii="Times New Roman" w:hAnsi="Times New Roman" w:cs="Times New Roman" w:eastAsia="Times New Roman" w:hint="default"/>
        </w:rPr>
        <w:t>2019-049</w:t>
      </w:r>
      <w:r>
        <w:rPr/>
        <w:t>）。</w:t>
      </w:r>
    </w:p>
    <w:p>
      <w:pPr>
        <w:pStyle w:val="BodyText"/>
        <w:spacing w:line="240" w:lineRule="auto" w:before="63"/>
        <w:ind w:left="472" w:right="882"/>
        <w:jc w:val="left"/>
      </w:pPr>
      <w:r>
        <w:rPr/>
        <w:t>四、股票期权与限制性股票激励计划期权行权情况</w:t>
      </w:r>
    </w:p>
    <w:p>
      <w:pPr>
        <w:pStyle w:val="BodyText"/>
        <w:spacing w:line="300" w:lineRule="auto" w:before="76"/>
        <w:ind w:right="1130" w:firstLine="360"/>
        <w:jc w:val="both"/>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14</w:t>
      </w:r>
      <w:r>
        <w:rPr>
          <w:spacing w:val="-2"/>
        </w:rPr>
        <w:t>日，公司分别召开了第六届董事会第十六次会议和第六届监事会第十四次会议，审议通过了《关于股票期</w:t>
      </w:r>
      <w:r>
        <w:rPr/>
        <w:t> 权与制性股票激励计划首次授予部分第三次行权</w:t>
      </w:r>
      <w:r>
        <w:rPr>
          <w:rFonts w:ascii="Times New Roman" w:hAnsi="Times New Roman" w:cs="Times New Roman" w:eastAsia="Times New Roman" w:hint="default"/>
        </w:rPr>
        <w:t>/</w:t>
      </w:r>
      <w:r>
        <w:rPr/>
        <w:t>解锁期行权</w:t>
      </w:r>
      <w:r>
        <w:rPr>
          <w:rFonts w:ascii="Times New Roman" w:hAnsi="Times New Roman" w:cs="Times New Roman" w:eastAsia="Times New Roman" w:hint="default"/>
        </w:rPr>
        <w:t>/</w:t>
      </w:r>
      <w:r>
        <w:rPr/>
        <w:t>解锁条件成就的议案》，同意对满足第三次行权</w:t>
      </w:r>
      <w:r>
        <w:rPr>
          <w:rFonts w:ascii="Times New Roman" w:hAnsi="Times New Roman" w:cs="Times New Roman" w:eastAsia="Times New Roman" w:hint="default"/>
        </w:rPr>
        <w:t>/</w:t>
      </w:r>
      <w:r>
        <w:rPr/>
        <w:t>解锁期行权</w:t>
      </w:r>
      <w:r>
        <w:rPr>
          <w:rFonts w:ascii="Times New Roman" w:hAnsi="Times New Roman" w:cs="Times New Roman" w:eastAsia="Times New Roman" w:hint="default"/>
        </w:rPr>
        <w:t>/</w:t>
      </w:r>
      <w:r>
        <w:rPr>
          <w:rFonts w:ascii="Times New Roman" w:hAnsi="Times New Roman" w:cs="Times New Roman" w:eastAsia="Times New Roman" w:hint="default"/>
          <w:spacing w:val="18"/>
        </w:rPr>
        <w:t> </w:t>
      </w:r>
      <w:r>
        <w:rPr/>
        <w:t>解锁条件的激励对象按照激励计划的相关规定办理行权</w:t>
      </w:r>
      <w:r>
        <w:rPr>
          <w:rFonts w:ascii="Times New Roman" w:hAnsi="Times New Roman" w:cs="Times New Roman" w:eastAsia="Times New Roman" w:hint="default"/>
        </w:rPr>
        <w:t>/</w:t>
      </w:r>
      <w:r>
        <w:rPr/>
        <w:t>解锁期行权</w:t>
      </w:r>
      <w:r>
        <w:rPr>
          <w:rFonts w:ascii="Times New Roman" w:hAnsi="Times New Roman" w:cs="Times New Roman" w:eastAsia="Times New Roman" w:hint="default"/>
        </w:rPr>
        <w:t>/</w:t>
      </w:r>
      <w:r>
        <w:rPr/>
        <w:t>解锁的相关事宜。第三次行权</w:t>
      </w:r>
      <w:r>
        <w:rPr>
          <w:rFonts w:ascii="Times New Roman" w:hAnsi="Times New Roman" w:cs="Times New Roman" w:eastAsia="Times New Roman" w:hint="default"/>
        </w:rPr>
        <w:t>/</w:t>
      </w:r>
      <w:r>
        <w:rPr/>
        <w:t>解锁期可行权</w:t>
      </w:r>
      <w:r>
        <w:rPr>
          <w:rFonts w:ascii="Times New Roman" w:hAnsi="Times New Roman" w:cs="Times New Roman" w:eastAsia="Times New Roman" w:hint="default"/>
        </w:rPr>
        <w:t>/</w:t>
      </w:r>
      <w:r>
        <w:rPr/>
        <w:t>解锁的股</w:t>
      </w:r>
      <w:r>
        <w:rPr>
          <w:spacing w:val="-27"/>
        </w:rPr>
        <w:t> </w:t>
      </w:r>
      <w:r>
        <w:rPr>
          <w:spacing w:val="-27"/>
        </w:rPr>
      </w:r>
      <w:r>
        <w:rPr/>
        <w:t>票期权与限制性股票数量分别为</w:t>
      </w:r>
      <w:r>
        <w:rPr>
          <w:rFonts w:ascii="Times New Roman" w:hAnsi="Times New Roman" w:cs="Times New Roman" w:eastAsia="Times New Roman" w:hint="default"/>
        </w:rPr>
        <w:t>46.5764</w:t>
      </w:r>
      <w:r>
        <w:rPr/>
        <w:t>万份和</w:t>
      </w:r>
      <w:r>
        <w:rPr>
          <w:rFonts w:ascii="Times New Roman" w:hAnsi="Times New Roman" w:cs="Times New Roman" w:eastAsia="Times New Roman" w:hint="default"/>
        </w:rPr>
        <w:t>294.9014</w:t>
      </w:r>
      <w:r>
        <w:rPr/>
        <w:t>万股，股票期权行权价格为</w:t>
      </w:r>
      <w:r>
        <w:rPr>
          <w:rFonts w:ascii="Times New Roman" w:hAnsi="Times New Roman" w:cs="Times New Roman" w:eastAsia="Times New Roman" w:hint="default"/>
        </w:rPr>
        <w:t>20.57</w:t>
      </w:r>
      <w:r>
        <w:rPr/>
        <w:t>元</w:t>
      </w:r>
      <w:r>
        <w:rPr>
          <w:rFonts w:ascii="Times New Roman" w:hAnsi="Times New Roman" w:cs="Times New Roman" w:eastAsia="Times New Roman" w:hint="default"/>
        </w:rPr>
        <w:t>/</w:t>
      </w:r>
      <w:r>
        <w:rPr/>
        <w:t>股。本次股票期权采用自主行权 模式。</w:t>
      </w:r>
    </w:p>
    <w:p>
      <w:pPr>
        <w:spacing w:after="0" w:line="30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left="472" w:right="882"/>
        <w:jc w:val="left"/>
      </w:pPr>
      <w:r>
        <w:rPr/>
        <w:t>五、</w:t>
      </w:r>
      <w:r>
        <w:rPr>
          <w:rFonts w:ascii="Times New Roman" w:hAnsi="Times New Roman" w:cs="Times New Roman" w:eastAsia="Times New Roman" w:hint="default"/>
        </w:rPr>
        <w:t>2019</w:t>
      </w:r>
      <w:r>
        <w:rPr/>
        <w:t>年限制性股票授予情况 </w:t>
      </w:r>
      <w:r>
        <w:rPr>
          <w:spacing w:val="-2"/>
        </w:rPr>
        <w:t>公司分别月</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23</w:t>
      </w:r>
      <w:r>
        <w:rPr>
          <w:spacing w:val="-2"/>
        </w:rPr>
        <w:t>日、</w:t>
      </w:r>
      <w:r>
        <w:rPr>
          <w:rFonts w:ascii="Times New Roman" w:hAnsi="Times New Roman" w:cs="Times New Roman" w:eastAsia="Times New Roman" w:hint="default"/>
          <w:spacing w:val="-2"/>
        </w:rPr>
        <w:t>2020</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7</w:t>
      </w:r>
      <w:r>
        <w:rPr>
          <w:spacing w:val="-2"/>
        </w:rPr>
        <w:t>日召开第六届董事会第二十三次会议、</w:t>
      </w:r>
      <w:r>
        <w:rPr>
          <w:rFonts w:ascii="Times New Roman" w:hAnsi="Times New Roman" w:cs="Times New Roman" w:eastAsia="Times New Roman" w:hint="default"/>
          <w:spacing w:val="-2"/>
        </w:rPr>
        <w:t>2019</w:t>
      </w:r>
      <w:r>
        <w:rPr>
          <w:spacing w:val="-2"/>
        </w:rPr>
        <w:t>年第三次临时股东大会，审议通过</w:t>
      </w:r>
    </w:p>
    <w:p>
      <w:pPr>
        <w:pStyle w:val="BodyText"/>
        <w:spacing w:line="240" w:lineRule="auto" w:before="13"/>
        <w:ind w:right="882"/>
        <w:jc w:val="left"/>
      </w:pPr>
      <w:r>
        <w:rPr/>
        <w:t>了</w:t>
      </w:r>
      <w:r>
        <w:rPr>
          <w:spacing w:val="-64"/>
        </w:rPr>
        <w:t> </w:t>
      </w:r>
      <w:r>
        <w:rPr/>
        <w:t>《</w:t>
      </w:r>
      <w:r>
        <w:rPr>
          <w:spacing w:val="-67"/>
        </w:rPr>
        <w:t> </w:t>
      </w:r>
      <w:r>
        <w:rPr/>
        <w:t>关</w:t>
      </w:r>
      <w:r>
        <w:rPr>
          <w:spacing w:val="-64"/>
        </w:rPr>
        <w:t> </w:t>
      </w:r>
      <w:r>
        <w:rPr/>
        <w:t>于</w:t>
      </w:r>
      <w:r>
        <w:rPr>
          <w:spacing w:val="-64"/>
        </w:rPr>
        <w:t> </w:t>
      </w:r>
      <w:r>
        <w:rPr/>
        <w:t>公</w:t>
      </w:r>
      <w:r>
        <w:rPr>
          <w:spacing w:val="-64"/>
        </w:rPr>
        <w:t> </w:t>
      </w:r>
      <w:r>
        <w:rPr/>
        <w:t>司</w:t>
      </w:r>
      <w:r>
        <w:rPr>
          <w:spacing w:val="-64"/>
        </w:rPr>
        <w:t> </w:t>
      </w:r>
      <w:r>
        <w:rPr>
          <w:rFonts w:ascii="Times New Roman" w:hAnsi="Times New Roman" w:cs="Times New Roman" w:eastAsia="Times New Roman" w:hint="default"/>
        </w:rPr>
        <w:t>&lt;2019</w:t>
      </w:r>
      <w:r>
        <w:rPr>
          <w:rFonts w:ascii="Times New Roman" w:hAnsi="Times New Roman" w:cs="Times New Roman" w:eastAsia="Times New Roman" w:hint="default"/>
          <w:spacing w:val="-21"/>
        </w:rPr>
        <w:t> </w:t>
      </w:r>
      <w:r>
        <w:rPr/>
        <w:t>年</w:t>
      </w:r>
      <w:r>
        <w:rPr>
          <w:spacing w:val="-64"/>
        </w:rPr>
        <w:t> </w:t>
      </w:r>
      <w:r>
        <w:rPr/>
        <w:t>限</w:t>
      </w:r>
      <w:r>
        <w:rPr>
          <w:spacing w:val="-67"/>
        </w:rPr>
        <w:t> </w:t>
      </w:r>
      <w:r>
        <w:rPr/>
        <w:t>制</w:t>
      </w:r>
      <w:r>
        <w:rPr>
          <w:spacing w:val="-64"/>
        </w:rPr>
        <w:t> </w:t>
      </w:r>
      <w:r>
        <w:rPr/>
        <w:t>性</w:t>
      </w:r>
      <w:r>
        <w:rPr>
          <w:spacing w:val="-64"/>
        </w:rPr>
        <w:t> </w:t>
      </w:r>
      <w:r>
        <w:rPr/>
        <w:t>股</w:t>
      </w:r>
      <w:r>
        <w:rPr>
          <w:spacing w:val="-64"/>
        </w:rPr>
        <w:t> </w:t>
      </w:r>
      <w:r>
        <w:rPr/>
        <w:t>票</w:t>
      </w:r>
      <w:r>
        <w:rPr>
          <w:spacing w:val="-67"/>
        </w:rPr>
        <w:t> </w:t>
      </w:r>
      <w:r>
        <w:rPr/>
        <w:t>激</w:t>
      </w:r>
      <w:r>
        <w:rPr>
          <w:spacing w:val="-64"/>
        </w:rPr>
        <w:t> </w:t>
      </w:r>
      <w:r>
        <w:rPr/>
        <w:t>励</w:t>
      </w:r>
      <w:r>
        <w:rPr>
          <w:spacing w:val="-64"/>
        </w:rPr>
        <w:t> </w:t>
      </w:r>
      <w:r>
        <w:rPr/>
        <w:t>计</w:t>
      </w:r>
      <w:r>
        <w:rPr>
          <w:spacing w:val="-67"/>
        </w:rPr>
        <w:t> </w:t>
      </w:r>
      <w:r>
        <w:rPr/>
        <w:t>划</w:t>
      </w:r>
      <w:r>
        <w:rPr>
          <w:spacing w:val="-64"/>
        </w:rPr>
        <w:t> </w:t>
      </w:r>
      <w:r>
        <w:rPr/>
        <w:t>（</w:t>
      </w:r>
      <w:r>
        <w:rPr>
          <w:spacing w:val="-64"/>
        </w:rPr>
        <w:t> </w:t>
      </w:r>
      <w:r>
        <w:rPr/>
        <w:t>草</w:t>
      </w:r>
      <w:r>
        <w:rPr>
          <w:spacing w:val="-67"/>
        </w:rPr>
        <w:t> </w:t>
      </w:r>
      <w:r>
        <w:rPr/>
        <w:t>案</w:t>
      </w:r>
      <w:r>
        <w:rPr>
          <w:spacing w:val="-64"/>
        </w:rPr>
        <w:t> </w:t>
      </w:r>
      <w:r>
        <w:rPr/>
        <w:t>）</w:t>
      </w:r>
      <w:r>
        <w:rPr>
          <w:spacing w:val="-67"/>
        </w:rPr>
        <w:t> </w:t>
      </w:r>
      <w:r>
        <w:rPr>
          <w:rFonts w:ascii="Times New Roman" w:hAnsi="Times New Roman" w:cs="Times New Roman" w:eastAsia="Times New Roman" w:hint="default"/>
        </w:rPr>
        <w:t>&gt;</w:t>
      </w:r>
      <w:r>
        <w:rPr>
          <w:rFonts w:ascii="Times New Roman" w:hAnsi="Times New Roman" w:cs="Times New Roman" w:eastAsia="Times New Roman" w:hint="default"/>
          <w:spacing w:val="-21"/>
        </w:rPr>
        <w:t> </w:t>
      </w:r>
      <w:r>
        <w:rPr/>
        <w:t>及</w:t>
      </w:r>
      <w:r>
        <w:rPr>
          <w:spacing w:val="-64"/>
        </w:rPr>
        <w:t> </w:t>
      </w:r>
      <w:r>
        <w:rPr/>
        <w:t>其</w:t>
      </w:r>
      <w:r>
        <w:rPr>
          <w:spacing w:val="-67"/>
        </w:rPr>
        <w:t> </w:t>
      </w:r>
      <w:r>
        <w:rPr/>
        <w:t>摘</w:t>
      </w:r>
      <w:r>
        <w:rPr>
          <w:spacing w:val="-64"/>
        </w:rPr>
        <w:t> </w:t>
      </w:r>
      <w:r>
        <w:rPr/>
        <w:t>要</w:t>
      </w:r>
      <w:r>
        <w:rPr>
          <w:spacing w:val="-64"/>
        </w:rPr>
        <w:t> </w:t>
      </w:r>
      <w:r>
        <w:rPr/>
        <w:t>的</w:t>
      </w:r>
      <w:r>
        <w:rPr>
          <w:spacing w:val="-64"/>
        </w:rPr>
        <w:t> </w:t>
      </w:r>
      <w:r>
        <w:rPr/>
        <w:t>议</w:t>
      </w:r>
      <w:r>
        <w:rPr>
          <w:spacing w:val="-67"/>
        </w:rPr>
        <w:t> </w:t>
      </w:r>
      <w:r>
        <w:rPr/>
        <w:t>案</w:t>
      </w:r>
      <w:r>
        <w:rPr>
          <w:spacing w:val="-64"/>
        </w:rPr>
        <w:t> </w:t>
      </w:r>
      <w:r>
        <w:rPr/>
        <w:t>》</w:t>
      </w:r>
      <w:r>
        <w:rPr>
          <w:spacing w:val="-64"/>
        </w:rPr>
        <w:t> </w:t>
      </w:r>
      <w:r>
        <w:rPr/>
        <w:t>。</w:t>
      </w:r>
      <w:r>
        <w:rPr>
          <w:spacing w:val="-67"/>
        </w:rPr>
        <w:t> </w:t>
      </w:r>
      <w:r>
        <w:rPr/>
        <w:t>具</w:t>
      </w:r>
      <w:r>
        <w:rPr>
          <w:spacing w:val="-64"/>
        </w:rPr>
        <w:t> </w:t>
      </w:r>
      <w:r>
        <w:rPr/>
        <w:t>体</w:t>
      </w:r>
      <w:r>
        <w:rPr>
          <w:spacing w:val="-64"/>
        </w:rPr>
        <w:t> </w:t>
      </w:r>
      <w:r>
        <w:rPr/>
        <w:t>内</w:t>
      </w:r>
      <w:r>
        <w:rPr>
          <w:spacing w:val="-67"/>
        </w:rPr>
        <w:t> </w:t>
      </w:r>
      <w:r>
        <w:rPr/>
        <w:t>容</w:t>
      </w:r>
      <w:r>
        <w:rPr>
          <w:spacing w:val="-64"/>
        </w:rPr>
        <w:t> </w:t>
      </w:r>
      <w:r>
        <w:rPr/>
        <w:t>详</w:t>
      </w:r>
      <w:r>
        <w:rPr>
          <w:spacing w:val="-64"/>
        </w:rPr>
        <w:t> </w:t>
      </w:r>
      <w:r>
        <w:rPr/>
        <w:t>见</w:t>
      </w:r>
      <w:r>
        <w:rPr>
          <w:spacing w:val="-64"/>
        </w:rPr>
        <w:t> </w:t>
      </w:r>
      <w:r>
        <w:rPr/>
        <w:t>公</w:t>
      </w:r>
      <w:r>
        <w:rPr>
          <w:spacing w:val="-67"/>
        </w:rPr>
        <w:t> </w:t>
      </w:r>
      <w:r>
        <w:rPr/>
        <w:t>司</w:t>
      </w:r>
      <w:r>
        <w:rPr>
          <w:spacing w:val="-64"/>
        </w:rPr>
        <w:t> </w:t>
      </w:r>
      <w:r>
        <w:rPr/>
        <w:t>在</w:t>
      </w:r>
      <w:r>
        <w:rPr>
          <w:spacing w:val="-64"/>
        </w:rPr>
        <w:t> </w:t>
      </w:r>
      <w:r>
        <w:rPr/>
        <w:t>巨</w:t>
      </w:r>
      <w:r>
        <w:rPr>
          <w:spacing w:val="-67"/>
        </w:rPr>
        <w:t> </w:t>
      </w:r>
      <w:r>
        <w:rPr/>
        <w:t>潮</w:t>
      </w:r>
      <w:r>
        <w:rPr>
          <w:spacing w:val="-64"/>
        </w:rPr>
        <w:t> </w:t>
      </w:r>
      <w:r>
        <w:rPr/>
        <w:t>资</w:t>
      </w:r>
      <w:r>
        <w:rPr>
          <w:spacing w:val="-64"/>
        </w:rPr>
        <w:t> </w:t>
      </w:r>
      <w:r>
        <w:rPr/>
        <w:t>讯</w:t>
      </w:r>
      <w:r>
        <w:rPr>
          <w:spacing w:val="-67"/>
        </w:rPr>
        <w:t> </w:t>
      </w:r>
      <w:r>
        <w:rPr/>
        <w:t>网</w:t>
      </w:r>
      <w:r>
        <w:rPr>
          <w:spacing w:val="-64"/>
        </w:rPr>
        <w:t> </w:t>
      </w:r>
      <w:r>
        <w:rPr/>
        <w:t>站</w:t>
      </w:r>
    </w:p>
    <w:p>
      <w:pPr>
        <w:pStyle w:val="BodyText"/>
        <w:spacing w:line="338" w:lineRule="auto" w:before="63"/>
        <w:ind w:right="3554"/>
        <w:jc w:val="left"/>
      </w:pPr>
      <w:r>
        <w:rPr>
          <w:spacing w:val="-1"/>
        </w:rPr>
        <w:t>（</w:t>
      </w:r>
      <w:hyperlink r:id="rId14">
        <w:r>
          <w:rPr>
            <w:rFonts w:ascii="Times New Roman" w:hAnsi="Times New Roman" w:cs="Times New Roman" w:eastAsia="Times New Roman" w:hint="default"/>
            <w:spacing w:val="-1"/>
          </w:rPr>
          <w:t>www.cninfo.com.cn</w:t>
        </w:r>
      </w:hyperlink>
      <w:r>
        <w:rPr>
          <w:spacing w:val="-1"/>
        </w:rPr>
        <w:t>）披露的公告（公告编号：</w:t>
      </w:r>
      <w:r>
        <w:rPr>
          <w:rFonts w:ascii="Times New Roman" w:hAnsi="Times New Roman" w:cs="Times New Roman" w:eastAsia="Times New Roman" w:hint="default"/>
          <w:spacing w:val="-1"/>
        </w:rPr>
        <w:t>2019-075</w:t>
      </w:r>
      <w:r>
        <w:rPr>
          <w:spacing w:val="-1"/>
        </w:rPr>
        <w:t>、</w:t>
      </w:r>
      <w:r>
        <w:rPr>
          <w:rFonts w:ascii="Times New Roman" w:hAnsi="Times New Roman" w:cs="Times New Roman" w:eastAsia="Times New Roman" w:hint="default"/>
          <w:spacing w:val="-1"/>
        </w:rPr>
        <w:t>2019-087</w:t>
      </w:r>
      <w:r>
        <w:rPr>
          <w:spacing w:val="-1"/>
        </w:rPr>
        <w:t>）。</w:t>
      </w:r>
      <w:r>
        <w:rPr>
          <w:spacing w:val="-68"/>
        </w:rPr>
        <w:t> </w:t>
      </w:r>
      <w:r>
        <w:rPr/>
        <w:t>股份变动的过户情况</w:t>
      </w:r>
    </w:p>
    <w:p>
      <w:pPr>
        <w:pStyle w:val="BodyText"/>
        <w:spacing w:line="360" w:lineRule="auto" w:before="43"/>
        <w:ind w:left="477" w:right="7869" w:hanging="365"/>
        <w:jc w:val="left"/>
      </w:pPr>
      <w:r>
        <w:rPr/>
        <w:t>√ 适用 □ 不适用 一、股权激励回购注销过户情况</w:t>
      </w:r>
    </w:p>
    <w:p>
      <w:pPr>
        <w:pStyle w:val="BodyText"/>
        <w:spacing w:line="236" w:lineRule="exact"/>
        <w:ind w:left="477" w:right="882"/>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12</w:t>
      </w:r>
      <w:r>
        <w:rPr/>
        <w:t>日，经中国证券登记结算有限责任公司深圳分公司审核确认，公司本次回购注销的股份数量</w:t>
      </w:r>
      <w:r>
        <w:rPr>
          <w:rFonts w:ascii="Times New Roman" w:hAnsi="Times New Roman" w:cs="Times New Roman" w:eastAsia="Times New Roman" w:hint="default"/>
        </w:rPr>
        <w:t>117,003</w:t>
      </w:r>
      <w:r>
        <w:rPr/>
        <w:t>股</w:t>
      </w:r>
    </w:p>
    <w:p>
      <w:pPr>
        <w:pStyle w:val="BodyText"/>
        <w:spacing w:line="300" w:lineRule="auto" w:before="63"/>
        <w:ind w:left="477" w:right="7049" w:hanging="365"/>
        <w:jc w:val="left"/>
      </w:pPr>
      <w:r>
        <w:rPr/>
        <w:t>已完成注销，占回购前公司总股本的</w:t>
      </w:r>
      <w:r>
        <w:rPr>
          <w:rFonts w:ascii="Times New Roman" w:hAnsi="Times New Roman" w:cs="Times New Roman" w:eastAsia="Times New Roman" w:hint="default"/>
        </w:rPr>
        <w:t>0.0158%</w:t>
      </w:r>
      <w:r>
        <w:rPr/>
        <w:t>。 二、限售股解禁过户情况</w:t>
      </w:r>
    </w:p>
    <w:p>
      <w:pPr>
        <w:pStyle w:val="BodyText"/>
        <w:spacing w:line="300" w:lineRule="auto" w:before="31"/>
        <w:ind w:right="1132" w:firstLine="364"/>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29</w:t>
      </w:r>
      <w:r>
        <w:rPr/>
        <w:t>日，公司股票期权与限制性股票激励计划首次授予部分限制性股票第三个解锁期的解除限售手续已在 </w:t>
      </w:r>
      <w:r>
        <w:rPr>
          <w:spacing w:val="-2"/>
        </w:rPr>
        <w:t>中国证券登记结算有限责任公司深圳分公司办理完毕。本次解除限售的限制性股票数量为</w:t>
      </w:r>
      <w:r>
        <w:rPr>
          <w:rFonts w:ascii="Times New Roman" w:hAnsi="Times New Roman" w:cs="Times New Roman" w:eastAsia="Times New Roman" w:hint="default"/>
          <w:spacing w:val="-2"/>
        </w:rPr>
        <w:t>2,949,014</w:t>
      </w:r>
      <w:r>
        <w:rPr>
          <w:spacing w:val="-2"/>
        </w:rPr>
        <w:t>股，占公司总股本的比例</w:t>
      </w:r>
      <w:r>
        <w:rPr>
          <w:spacing w:val="-59"/>
        </w:rPr>
        <w:t> </w:t>
      </w:r>
      <w:r>
        <w:rPr>
          <w:spacing w:val="-59"/>
        </w:rPr>
      </w:r>
      <w:r>
        <w:rPr/>
        <w:t>为</w:t>
      </w:r>
      <w:r>
        <w:rPr>
          <w:rFonts w:ascii="Times New Roman" w:hAnsi="Times New Roman" w:cs="Times New Roman" w:eastAsia="Times New Roman" w:hint="default"/>
        </w:rPr>
        <w:t>0.61%</w:t>
      </w:r>
      <w:r>
        <w:rPr/>
        <w:t>，解除限售的股权激励股份上市流通日为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4</w:t>
      </w:r>
      <w:r>
        <w:rPr/>
        <w:t>日（星期五），涉及股东人数</w:t>
      </w:r>
      <w:r>
        <w:rPr>
          <w:rFonts w:ascii="Times New Roman" w:hAnsi="Times New Roman" w:cs="Times New Roman" w:eastAsia="Times New Roman" w:hint="default"/>
        </w:rPr>
        <w:t>304</w:t>
      </w:r>
      <w:r>
        <w:rPr/>
        <w:t>人。</w:t>
      </w:r>
    </w:p>
    <w:p>
      <w:pPr>
        <w:pStyle w:val="BodyText"/>
        <w:spacing w:line="300" w:lineRule="auto" w:before="13"/>
        <w:ind w:right="1132" w:firstLine="364"/>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w:t>
      </w:r>
      <w:r>
        <w:rPr/>
        <w:t>日，公司股票期权与限制性股票激励计划预留授予部分限制性股票第三个解锁期的解除限售手续已在中 国证券登记结算有限责任公司深圳分公司办理完毕。本次解除限售的限制性股票数量为</w:t>
      </w:r>
      <w:r>
        <w:rPr>
          <w:spacing w:val="-37"/>
        </w:rPr>
        <w:t> </w:t>
      </w:r>
      <w:r>
        <w:rPr>
          <w:rFonts w:ascii="Times New Roman" w:hAnsi="Times New Roman" w:cs="Times New Roman" w:eastAsia="Times New Roman" w:hint="default"/>
        </w:rPr>
        <w:t>638,546</w:t>
      </w:r>
      <w:r>
        <w:rPr/>
        <w:t>股，占公司总股本的比例为 </w:t>
      </w:r>
      <w:r>
        <w:rPr>
          <w:rFonts w:ascii="Times New Roman" w:hAnsi="Times New Roman" w:cs="Times New Roman" w:eastAsia="Times New Roman" w:hint="default"/>
        </w:rPr>
        <w:t>0.0877%</w:t>
      </w:r>
      <w:r>
        <w:rPr/>
        <w:t>，解除限售的股权激励股份上市流通日为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5</w:t>
      </w:r>
      <w:r>
        <w:rPr/>
        <w:t>日（星期五），涉及股东人数</w:t>
      </w:r>
      <w:r>
        <w:rPr>
          <w:rFonts w:ascii="Times New Roman" w:hAnsi="Times New Roman" w:cs="Times New Roman" w:eastAsia="Times New Roman" w:hint="default"/>
        </w:rPr>
        <w:t>22</w:t>
      </w:r>
      <w:r>
        <w:rPr/>
        <w:t>人。</w:t>
      </w:r>
    </w:p>
    <w:p>
      <w:pPr>
        <w:pStyle w:val="BodyText"/>
        <w:spacing w:line="300" w:lineRule="auto" w:before="13"/>
        <w:ind w:right="1130" w:firstLine="364"/>
        <w:jc w:val="both"/>
      </w:pPr>
      <w:r>
        <w:rPr>
          <w:rFonts w:ascii="Times New Roman" w:hAnsi="Times New Roman" w:cs="Times New Roman" w:eastAsia="Times New Roman" w:hint="default"/>
          <w:spacing w:val="-2"/>
        </w:rPr>
        <w:t>3</w:t>
      </w:r>
      <w:r>
        <w:rPr>
          <w:spacing w:val="-2"/>
        </w:rPr>
        <w:t>、</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26</w:t>
      </w:r>
      <w:r>
        <w:rPr>
          <w:spacing w:val="-2"/>
        </w:rPr>
        <w:t>日，经中国证券登记结算有限责任公司深圳分公司审核确认，浙江鑫粟科技有限公司和宁波铜粟投资管</w:t>
      </w:r>
      <w:r>
        <w:rPr/>
        <w:t> 理有限公司本次解除的限售股份并上市流通的数量为</w:t>
      </w:r>
      <w:r>
        <w:rPr>
          <w:rFonts w:ascii="Times New Roman" w:hAnsi="Times New Roman" w:cs="Times New Roman" w:eastAsia="Times New Roman" w:hint="default"/>
        </w:rPr>
        <w:t>17,923,741</w:t>
      </w:r>
      <w:r>
        <w:rPr/>
        <w:t>股，占公司股本总额的</w:t>
      </w:r>
      <w:r>
        <w:rPr>
          <w:spacing w:val="46"/>
        </w:rPr>
        <w:t> </w:t>
      </w:r>
      <w:r>
        <w:rPr>
          <w:rFonts w:ascii="Times New Roman" w:hAnsi="Times New Roman" w:cs="Times New Roman" w:eastAsia="Times New Roman" w:hint="default"/>
        </w:rPr>
        <w:t>2.4609%</w:t>
      </w:r>
      <w:r>
        <w:rPr/>
        <w:t>，上市流通日期为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rFonts w:ascii="Times New Roman" w:hAnsi="Times New Roman" w:cs="Times New Roman" w:eastAsia="Times New Roman" w:hint="default"/>
          <w:spacing w:val="-31"/>
        </w:rPr>
        <w:t> </w:t>
      </w:r>
      <w:r>
        <w:rPr/>
        <w:t>月</w:t>
      </w:r>
      <w:r>
        <w:rPr>
          <w:rFonts w:ascii="Times New Roman" w:hAnsi="Times New Roman" w:cs="Times New Roman" w:eastAsia="Times New Roman" w:hint="default"/>
        </w:rPr>
        <w:t>29</w:t>
      </w:r>
      <w:r>
        <w:rPr/>
        <w:t>日（星期一）。</w:t>
      </w:r>
    </w:p>
    <w:p>
      <w:pPr>
        <w:pStyle w:val="BodyText"/>
        <w:spacing w:line="240" w:lineRule="auto" w:before="13"/>
        <w:ind w:left="477" w:right="882"/>
        <w:jc w:val="left"/>
      </w:pPr>
      <w:r>
        <w:rPr/>
        <w:t>三、公司权益分派实施情况</w:t>
      </w:r>
    </w:p>
    <w:p>
      <w:pPr>
        <w:pStyle w:val="BodyText"/>
        <w:spacing w:line="300" w:lineRule="auto" w:before="115"/>
        <w:ind w:right="1132" w:firstLine="364"/>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17</w:t>
      </w:r>
      <w:r>
        <w:rPr/>
        <w:t>日，公司在中国证监会指定披露媒体巨潮资讯网上刊登《</w:t>
      </w:r>
      <w:r>
        <w:rPr>
          <w:rFonts w:ascii="Times New Roman" w:hAnsi="Times New Roman" w:cs="Times New Roman" w:eastAsia="Times New Roman" w:hint="default"/>
        </w:rPr>
        <w:t>2018</w:t>
      </w:r>
      <w:r>
        <w:rPr/>
        <w:t>年年度权益分派实施公告》，本次权益分派 股权登记日为：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24</w:t>
      </w:r>
      <w:r>
        <w:rPr/>
        <w:t>日，除权除息日为：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25</w:t>
      </w:r>
      <w:r>
        <w:rPr/>
        <w:t>日。公司已完成</w:t>
      </w:r>
      <w:r>
        <w:rPr>
          <w:rFonts w:ascii="Times New Roman" w:hAnsi="Times New Roman" w:cs="Times New Roman" w:eastAsia="Times New Roman" w:hint="default"/>
        </w:rPr>
        <w:t>2018</w:t>
      </w:r>
      <w:r>
        <w:rPr/>
        <w:t>年度权益分派工作。</w:t>
      </w:r>
    </w:p>
    <w:p>
      <w:pPr>
        <w:pStyle w:val="BodyText"/>
        <w:spacing w:line="360" w:lineRule="auto" w:before="54"/>
        <w:ind w:left="477" w:right="1124"/>
        <w:jc w:val="left"/>
      </w:pPr>
      <w:r>
        <w:rPr/>
        <w:t>四、股票期权与限制性股票激励计划期权行权情况 公司股票期权与限制性股票激励计划第三个行权期采用自主行权模式，行权期为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11</w:t>
      </w:r>
      <w:r>
        <w:rPr/>
        <w:t>日至</w:t>
      </w:r>
      <w:r>
        <w:rPr>
          <w:spacing w:val="-43"/>
        </w:rPr>
        <w:t> </w:t>
      </w: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11</w:t>
      </w:r>
      <w:r>
        <w:rPr>
          <w:spacing w:val="-4"/>
        </w:rPr>
        <w:t>月</w:t>
      </w:r>
      <w:r>
        <w:rPr>
          <w:rFonts w:ascii="Times New Roman" w:hAnsi="Times New Roman" w:cs="Times New Roman" w:eastAsia="Times New Roman" w:hint="default"/>
          <w:spacing w:val="-4"/>
        </w:rPr>
        <w:t>29</w:t>
      </w:r>
      <w:r>
        <w:rPr>
          <w:spacing w:val="-4"/>
        </w:rPr>
        <w:t>日。报</w:t>
      </w:r>
    </w:p>
    <w:p>
      <w:pPr>
        <w:pStyle w:val="BodyText"/>
        <w:spacing w:line="212" w:lineRule="exact"/>
        <w:ind w:right="882"/>
        <w:jc w:val="left"/>
      </w:pPr>
      <w:r>
        <w:rPr/>
        <w:t>告期内，共计行权</w:t>
      </w:r>
      <w:r>
        <w:rPr>
          <w:rFonts w:ascii="Times New Roman" w:hAnsi="Times New Roman" w:cs="Times New Roman" w:eastAsia="Times New Roman" w:hint="default"/>
        </w:rPr>
        <w:t>405,176</w:t>
      </w:r>
      <w:r>
        <w:rPr/>
        <w:t>份。</w:t>
      </w:r>
    </w:p>
    <w:p>
      <w:pPr>
        <w:pStyle w:val="BodyText"/>
        <w:spacing w:line="240" w:lineRule="auto" w:before="101"/>
        <w:ind w:left="477" w:right="882"/>
        <w:jc w:val="left"/>
      </w:pPr>
      <w:r>
        <w:rPr/>
        <w:t>五、</w:t>
      </w:r>
      <w:r>
        <w:rPr>
          <w:rFonts w:ascii="Times New Roman" w:hAnsi="Times New Roman" w:cs="Times New Roman" w:eastAsia="Times New Roman" w:hint="default"/>
        </w:rPr>
        <w:t>2019</w:t>
      </w:r>
      <w:r>
        <w:rPr/>
        <w:t>年限制性股票授予情况</w:t>
      </w:r>
    </w:p>
    <w:p>
      <w:pPr>
        <w:pStyle w:val="BodyText"/>
        <w:spacing w:line="240" w:lineRule="auto" w:before="103"/>
        <w:ind w:left="477" w:right="882"/>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w:t>
      </w:r>
      <w:r>
        <w:rPr/>
        <w:t>日，经中国证券登记结算有限责任公司深圳分公司审核确认，公司</w:t>
      </w:r>
      <w:r>
        <w:rPr>
          <w:rFonts w:ascii="Times New Roman" w:hAnsi="Times New Roman" w:cs="Times New Roman" w:eastAsia="Times New Roman" w:hint="default"/>
        </w:rPr>
        <w:t>2019</w:t>
      </w:r>
      <w:r>
        <w:rPr/>
        <w:t>年限制性股票首次授予登记数量为</w:t>
      </w:r>
    </w:p>
    <w:p>
      <w:pPr>
        <w:pStyle w:val="BodyText"/>
        <w:spacing w:line="340" w:lineRule="auto" w:before="63"/>
        <w:ind w:right="7139"/>
        <w:jc w:val="left"/>
      </w:pPr>
      <w:r>
        <w:rPr>
          <w:rFonts w:ascii="Times New Roman" w:hAnsi="Times New Roman" w:cs="Times New Roman" w:eastAsia="Times New Roman" w:hint="default"/>
        </w:rPr>
        <w:t>1,123.75</w:t>
      </w:r>
      <w:r>
        <w:rPr/>
        <w:t>万股，占授予前公司总股本的</w:t>
      </w:r>
      <w:r>
        <w:rPr>
          <w:rFonts w:ascii="Times New Roman" w:hAnsi="Times New Roman" w:cs="Times New Roman" w:eastAsia="Times New Roman" w:hint="default"/>
        </w:rPr>
        <w:t>1.53%</w:t>
      </w:r>
      <w:r>
        <w:rPr/>
        <w:t>。 股份回购的实施进展情况</w:t>
      </w:r>
    </w:p>
    <w:p>
      <w:pPr>
        <w:pStyle w:val="BodyText"/>
        <w:spacing w:line="360" w:lineRule="auto" w:before="39"/>
        <w:ind w:right="6974"/>
        <w:jc w:val="left"/>
      </w:pPr>
      <w:r>
        <w:rPr/>
        <w:t>□ 适用 √ 不适用 采用集中竞价方式减持回购股份的实施进展情况</w:t>
      </w:r>
    </w:p>
    <w:p>
      <w:pPr>
        <w:pStyle w:val="BodyText"/>
        <w:spacing w:line="357" w:lineRule="auto" w:before="27"/>
        <w:ind w:right="1394"/>
        <w:jc w:val="left"/>
      </w:pPr>
      <w:r>
        <w:rPr/>
        <w:t>□ 适用 √ 不适用 股份变动对最近一年和最近一期基本每股收益和稀释每股收益、归属于公司普通股股东的每股净资产等财务指标的影响</w:t>
      </w:r>
    </w:p>
    <w:p>
      <w:pPr>
        <w:pStyle w:val="BodyText"/>
        <w:spacing w:line="360" w:lineRule="auto" w:before="29"/>
        <w:ind w:left="472" w:right="882" w:hanging="360"/>
        <w:jc w:val="left"/>
      </w:pPr>
      <w:r>
        <w:rPr/>
        <w:t>√ 适用 □ 不适用 </w:t>
      </w:r>
      <w:r>
        <w:rPr>
          <w:spacing w:val="-2"/>
        </w:rPr>
        <w:t>本报告期，公司以资本公积金向全体股东每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4.999953</w:t>
      </w:r>
      <w:r>
        <w:rPr>
          <w:spacing w:val="-2"/>
        </w:rPr>
        <w:t>股、公司股票期权共计行权</w:t>
      </w:r>
      <w:r>
        <w:rPr>
          <w:rFonts w:ascii="Times New Roman" w:hAnsi="Times New Roman" w:cs="Times New Roman" w:eastAsia="Times New Roman" w:hint="default"/>
          <w:spacing w:val="-2"/>
        </w:rPr>
        <w:t>405,176</w:t>
      </w:r>
      <w:r>
        <w:rPr>
          <w:spacing w:val="-2"/>
        </w:rPr>
        <w:t>份、公司</w:t>
      </w:r>
      <w:r>
        <w:rPr>
          <w:rFonts w:ascii="Times New Roman" w:hAnsi="Times New Roman" w:cs="Times New Roman" w:eastAsia="Times New Roman" w:hint="default"/>
          <w:spacing w:val="-2"/>
        </w:rPr>
        <w:t>2019</w:t>
      </w:r>
      <w:r>
        <w:rPr>
          <w:spacing w:val="-2"/>
        </w:rPr>
        <w:t>年限制性</w:t>
      </w:r>
    </w:p>
    <w:p>
      <w:pPr>
        <w:pStyle w:val="BodyText"/>
        <w:spacing w:line="212" w:lineRule="exact"/>
        <w:ind w:right="882"/>
        <w:jc w:val="left"/>
      </w:pPr>
      <w:r>
        <w:rPr/>
        <w:t>股票首次授予登记</w:t>
      </w:r>
      <w:r>
        <w:rPr>
          <w:rFonts w:ascii="Times New Roman" w:hAnsi="Times New Roman" w:cs="Times New Roman" w:eastAsia="Times New Roman" w:hint="default"/>
        </w:rPr>
        <w:t>1,123.75</w:t>
      </w:r>
      <w:r>
        <w:rPr/>
        <w:t>万股、公司回购注销限制性股票</w:t>
      </w:r>
      <w:r>
        <w:rPr>
          <w:rFonts w:ascii="Times New Roman" w:hAnsi="Times New Roman" w:cs="Times New Roman" w:eastAsia="Times New Roman" w:hint="default"/>
        </w:rPr>
        <w:t>117,003</w:t>
      </w:r>
      <w:r>
        <w:rPr/>
        <w:t>股，导致报告期内每股净资产等财务指标发生调整。</w:t>
      </w:r>
    </w:p>
    <w:p>
      <w:pPr>
        <w:pStyle w:val="BodyText"/>
        <w:spacing w:line="240" w:lineRule="auto" w:before="101"/>
        <w:ind w:right="882"/>
        <w:jc w:val="left"/>
      </w:pPr>
      <w:r>
        <w:rPr/>
        <w:t>公司认为必要或证券监管机构要求披露的其他内容</w:t>
      </w:r>
    </w:p>
    <w:p>
      <w:pPr>
        <w:pStyle w:val="BodyText"/>
        <w:spacing w:line="240" w:lineRule="auto" w:before="117"/>
        <w:ind w:right="882"/>
        <w:jc w:val="left"/>
      </w:pPr>
      <w:r>
        <w:rPr/>
        <w:t>□ 适用 √ 不适用</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限售股份变动情况" w:id="111"/>
      <w:bookmarkEnd w:id="111"/>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0" w:right="1132"/>
        <w:jc w:val="right"/>
      </w:pPr>
      <w:r>
        <w:rPr/>
        <w:t>单位：股</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06"/>
        <w:gridCol w:w="1131"/>
        <w:gridCol w:w="1110"/>
        <w:gridCol w:w="1260"/>
        <w:gridCol w:w="1230"/>
        <w:gridCol w:w="1470"/>
        <w:gridCol w:w="2159"/>
      </w:tblGrid>
      <w:tr>
        <w:trPr>
          <w:trHeight w:val="714" w:hRule="exact"/>
        </w:trPr>
        <w:tc>
          <w:tcPr>
            <w:tcW w:w="1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3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470" w:right="109"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11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88" w:right="189"/>
              <w:jc w:val="left"/>
              <w:rPr>
                <w:rFonts w:ascii="宋体" w:hAnsi="宋体" w:cs="宋体" w:eastAsia="宋体" w:hint="default"/>
                <w:sz w:val="18"/>
                <w:szCs w:val="18"/>
              </w:rPr>
            </w:pPr>
            <w:r>
              <w:rPr>
                <w:rFonts w:ascii="宋体" w:hAnsi="宋体" w:cs="宋体" w:eastAsia="宋体" w:hint="default"/>
                <w:sz w:val="18"/>
                <w:szCs w:val="18"/>
              </w:rPr>
              <w:t>本期增加 限售股数</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55" w:right="172" w:hanging="180"/>
              <w:jc w:val="left"/>
              <w:rPr>
                <w:rFonts w:ascii="宋体" w:hAnsi="宋体" w:cs="宋体" w:eastAsia="宋体" w:hint="default"/>
                <w:sz w:val="18"/>
                <w:szCs w:val="18"/>
              </w:rPr>
            </w:pPr>
            <w:r>
              <w:rPr>
                <w:rFonts w:ascii="宋体" w:hAnsi="宋体" w:cs="宋体" w:eastAsia="宋体" w:hint="default"/>
                <w:sz w:val="18"/>
                <w:szCs w:val="18"/>
              </w:rPr>
              <w:t>本期解除限 售股数</w:t>
            </w:r>
          </w:p>
        </w:tc>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518" w:right="159" w:hanging="360"/>
              <w:jc w:val="left"/>
              <w:rPr>
                <w:rFonts w:ascii="宋体" w:hAnsi="宋体" w:cs="宋体" w:eastAsia="宋体" w:hint="default"/>
                <w:sz w:val="18"/>
                <w:szCs w:val="18"/>
              </w:rPr>
            </w:pPr>
            <w:r>
              <w:rPr>
                <w:rFonts w:ascii="宋体" w:hAnsi="宋体" w:cs="宋体" w:eastAsia="宋体" w:hint="default"/>
                <w:sz w:val="18"/>
                <w:szCs w:val="18"/>
              </w:rPr>
              <w:t>期末限售股 数</w:t>
            </w:r>
          </w:p>
        </w:tc>
        <w:tc>
          <w:tcPr>
            <w:tcW w:w="1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21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44" w:right="0"/>
              <w:jc w:val="left"/>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1650" w:hRule="exact"/>
        </w:trPr>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66,941,318</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33,470,344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100,411,662</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2" w:right="275"/>
              <w:jc w:val="both"/>
              <w:rPr>
                <w:rFonts w:ascii="宋体" w:hAnsi="宋体" w:cs="宋体" w:eastAsia="宋体" w:hint="default"/>
                <w:sz w:val="18"/>
                <w:szCs w:val="18"/>
              </w:rPr>
            </w:pPr>
            <w:r>
              <w:rPr>
                <w:rFonts w:ascii="宋体" w:hAnsi="宋体" w:cs="宋体" w:eastAsia="宋体" w:hint="default"/>
                <w:sz w:val="18"/>
                <w:szCs w:val="18"/>
              </w:rPr>
              <w:t>首发后认购新 增股份锁定承 诺及高管股份 锁定承诺</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63"/>
              <w:jc w:val="left"/>
              <w:rPr>
                <w:rFonts w:ascii="宋体" w:hAnsi="宋体" w:cs="宋体" w:eastAsia="宋体" w:hint="default"/>
                <w:sz w:val="18"/>
                <w:szCs w:val="18"/>
              </w:rPr>
            </w:pPr>
            <w:r>
              <w:rPr>
                <w:rFonts w:ascii="宋体" w:hAnsi="宋体" w:cs="宋体" w:eastAsia="宋体" w:hint="default"/>
                <w:sz w:val="18"/>
                <w:szCs w:val="18"/>
              </w:rPr>
              <w:t>首发后认购新增股份锁 定期已届满，尚未解禁； 高管锁定股部分每年按 照上年末持有股份数的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357" w:hRule="exact"/>
        </w:trPr>
        <w:tc>
          <w:tcPr>
            <w:tcW w:w="1206" w:type="dxa"/>
            <w:tcBorders>
              <w:top w:val="single" w:sz="4" w:space="0" w:color="000000"/>
              <w:left w:val="single" w:sz="4" w:space="0" w:color="000000"/>
              <w:bottom w:val="nil" w:sz="6" w:space="0" w:color="auto"/>
              <w:right w:val="single" w:sz="4" w:space="0" w:color="000000"/>
            </w:tcBorders>
          </w:tcPr>
          <w:p>
            <w:pPr/>
          </w:p>
        </w:tc>
        <w:tc>
          <w:tcPr>
            <w:tcW w:w="1131" w:type="dxa"/>
            <w:tcBorders>
              <w:top w:val="single" w:sz="4" w:space="0" w:color="000000"/>
              <w:left w:val="single" w:sz="4" w:space="0" w:color="000000"/>
              <w:bottom w:val="nil" w:sz="6" w:space="0" w:color="auto"/>
              <w:right w:val="single" w:sz="4" w:space="0" w:color="000000"/>
            </w:tcBorders>
          </w:tcPr>
          <w:p>
            <w:pPr/>
          </w:p>
        </w:tc>
        <w:tc>
          <w:tcPr>
            <w:tcW w:w="111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30" w:type="dxa"/>
            <w:tcBorders>
              <w:top w:val="single" w:sz="4" w:space="0" w:color="000000"/>
              <w:left w:val="single" w:sz="4" w:space="0" w:color="000000"/>
              <w:bottom w:val="nil" w:sz="6" w:space="0" w:color="auto"/>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pacing w:val="-4"/>
                <w:sz w:val="18"/>
                <w:szCs w:val="18"/>
              </w:rPr>
              <w:t>利润承诺期届满，在具备</w:t>
            </w:r>
          </w:p>
        </w:tc>
      </w:tr>
      <w:tr>
        <w:trPr>
          <w:trHeight w:val="1248" w:hRule="exact"/>
        </w:trPr>
        <w:tc>
          <w:tcPr>
            <w:tcW w:w="120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01" w:right="192"/>
              <w:jc w:val="left"/>
              <w:rPr>
                <w:rFonts w:ascii="宋体" w:hAnsi="宋体" w:cs="宋体" w:eastAsia="宋体" w:hint="default"/>
                <w:sz w:val="18"/>
                <w:szCs w:val="18"/>
              </w:rPr>
            </w:pPr>
            <w:r>
              <w:rPr>
                <w:rFonts w:ascii="宋体" w:hAnsi="宋体" w:cs="宋体" w:eastAsia="宋体" w:hint="default"/>
                <w:sz w:val="18"/>
                <w:szCs w:val="18"/>
              </w:rPr>
              <w:t>浙江鑫粟科 技有限公司</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44,336,312</w:t>
            </w:r>
          </w:p>
        </w:tc>
        <w:tc>
          <w:tcPr>
            <w:tcW w:w="11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22,167,947</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16,626,062</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49,878,197</w:t>
            </w: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2" w:right="275"/>
              <w:jc w:val="both"/>
              <w:rPr>
                <w:rFonts w:ascii="宋体" w:hAnsi="宋体" w:cs="宋体" w:eastAsia="宋体" w:hint="default"/>
                <w:sz w:val="18"/>
                <w:szCs w:val="18"/>
              </w:rPr>
            </w:pPr>
            <w:r>
              <w:rPr>
                <w:rFonts w:ascii="宋体" w:hAnsi="宋体" w:cs="宋体" w:eastAsia="宋体" w:hint="default"/>
                <w:sz w:val="18"/>
                <w:szCs w:val="18"/>
              </w:rPr>
              <w:t>首发后认购新 增股份锁定承 诺</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02"/>
              <w:jc w:val="left"/>
              <w:rPr>
                <w:rFonts w:ascii="宋体" w:hAnsi="宋体" w:cs="宋体" w:eastAsia="宋体" w:hint="default"/>
                <w:sz w:val="18"/>
                <w:szCs w:val="18"/>
              </w:rPr>
            </w:pPr>
            <w:r>
              <w:rPr>
                <w:rFonts w:ascii="宋体" w:hAnsi="宋体" w:cs="宋体" w:eastAsia="宋体" w:hint="default"/>
                <w:sz w:val="18"/>
                <w:szCs w:val="18"/>
              </w:rPr>
              <w:t>证券期货从业资格的审 计机构出具相应年度利 </w:t>
            </w:r>
            <w:r>
              <w:rPr>
                <w:rFonts w:ascii="宋体" w:hAnsi="宋体" w:cs="宋体" w:eastAsia="宋体" w:hint="default"/>
                <w:spacing w:val="-4"/>
                <w:sz w:val="18"/>
                <w:szCs w:val="18"/>
              </w:rPr>
              <w:t>润承诺实现情况的《利润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4"/>
                <w:sz w:val="18"/>
                <w:szCs w:val="18"/>
              </w:rPr>
              <w:t>承诺期专项审核报告》以</w:t>
            </w:r>
          </w:p>
        </w:tc>
      </w:tr>
      <w:tr>
        <w:trPr>
          <w:trHeight w:val="357" w:hRule="exact"/>
        </w:trPr>
        <w:tc>
          <w:tcPr>
            <w:tcW w:w="1206" w:type="dxa"/>
            <w:tcBorders>
              <w:top w:val="nil" w:sz="6" w:space="0" w:color="auto"/>
              <w:left w:val="single" w:sz="4" w:space="0" w:color="000000"/>
              <w:bottom w:val="single" w:sz="4" w:space="0" w:color="000000"/>
              <w:right w:val="single" w:sz="4" w:space="0" w:color="000000"/>
            </w:tcBorders>
          </w:tcPr>
          <w:p>
            <w:pPr/>
          </w:p>
        </w:tc>
        <w:tc>
          <w:tcPr>
            <w:tcW w:w="1131" w:type="dxa"/>
            <w:tcBorders>
              <w:top w:val="nil" w:sz="6" w:space="0" w:color="auto"/>
              <w:left w:val="single" w:sz="4" w:space="0" w:color="000000"/>
              <w:bottom w:val="single" w:sz="4" w:space="0" w:color="000000"/>
              <w:right w:val="single" w:sz="4" w:space="0" w:color="000000"/>
            </w:tcBorders>
          </w:tcPr>
          <w:p>
            <w:pPr/>
          </w:p>
        </w:tc>
        <w:tc>
          <w:tcPr>
            <w:tcW w:w="111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30" w:type="dxa"/>
            <w:tcBorders>
              <w:top w:val="nil" w:sz="6" w:space="0" w:color="auto"/>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及《减值测试报告》后</w:t>
            </w:r>
          </w:p>
        </w:tc>
      </w:tr>
      <w:tr>
        <w:trPr>
          <w:trHeight w:val="358" w:hRule="exact"/>
        </w:trPr>
        <w:tc>
          <w:tcPr>
            <w:tcW w:w="1206" w:type="dxa"/>
            <w:tcBorders>
              <w:top w:val="single" w:sz="4" w:space="0" w:color="000000"/>
              <w:left w:val="single" w:sz="4" w:space="0" w:color="000000"/>
              <w:bottom w:val="nil" w:sz="6" w:space="0" w:color="auto"/>
              <w:right w:val="single" w:sz="4" w:space="0" w:color="000000"/>
            </w:tcBorders>
          </w:tcPr>
          <w:p>
            <w:pPr/>
          </w:p>
        </w:tc>
        <w:tc>
          <w:tcPr>
            <w:tcW w:w="1131" w:type="dxa"/>
            <w:tcBorders>
              <w:top w:val="single" w:sz="4" w:space="0" w:color="000000"/>
              <w:left w:val="single" w:sz="4" w:space="0" w:color="000000"/>
              <w:bottom w:val="nil" w:sz="6" w:space="0" w:color="auto"/>
              <w:right w:val="single" w:sz="4" w:space="0" w:color="000000"/>
            </w:tcBorders>
          </w:tcPr>
          <w:p>
            <w:pPr/>
          </w:p>
        </w:tc>
        <w:tc>
          <w:tcPr>
            <w:tcW w:w="111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30" w:type="dxa"/>
            <w:tcBorders>
              <w:top w:val="single" w:sz="4" w:space="0" w:color="000000"/>
              <w:left w:val="single" w:sz="4" w:space="0" w:color="000000"/>
              <w:bottom w:val="nil" w:sz="6" w:space="0" w:color="auto"/>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股票期权与限制性股票</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激励计划授予的限制性</w:t>
            </w:r>
          </w:p>
        </w:tc>
      </w:tr>
      <w:tr>
        <w:trPr>
          <w:trHeight w:val="316"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股权激励限售</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股票已于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张吕峥</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pacing w:val="-2"/>
                <w:sz w:val="18"/>
              </w:rPr>
              <w:t>18,112,500</w:t>
            </w:r>
          </w:p>
        </w:tc>
        <w:tc>
          <w:tcPr>
            <w:tcW w:w="111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9"/>
              <w:jc w:val="right"/>
              <w:rPr>
                <w:rFonts w:ascii="Times New Roman" w:hAnsi="Times New Roman" w:cs="Times New Roman" w:eastAsia="Times New Roman" w:hint="default"/>
                <w:sz w:val="18"/>
                <w:szCs w:val="18"/>
              </w:rPr>
            </w:pPr>
            <w:r>
              <w:rPr>
                <w:rFonts w:ascii="Times New Roman"/>
                <w:spacing w:val="-1"/>
                <w:sz w:val="18"/>
              </w:rPr>
              <w:t>6,806,186</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9"/>
              <w:jc w:val="right"/>
              <w:rPr>
                <w:rFonts w:ascii="Times New Roman" w:hAnsi="Times New Roman" w:cs="Times New Roman" w:eastAsia="Times New Roman" w:hint="default"/>
                <w:sz w:val="18"/>
                <w:szCs w:val="18"/>
              </w:rPr>
            </w:pPr>
            <w:r>
              <w:rPr>
                <w:rFonts w:ascii="Times New Roman"/>
                <w:spacing w:val="-1"/>
                <w:sz w:val="18"/>
              </w:rPr>
              <w:t>4,500,000</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pacing w:val="-1"/>
                <w:sz w:val="18"/>
              </w:rPr>
              <w:t>20,418,686</w:t>
            </w: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股及高管股份</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pacing w:val="-4"/>
                <w:sz w:val="18"/>
                <w:szCs w:val="18"/>
              </w:rPr>
              <w:t>日解除限售；高管锁定股</w:t>
            </w:r>
          </w:p>
        </w:tc>
      </w:tr>
      <w:tr>
        <w:trPr>
          <w:trHeight w:val="308"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锁定承诺</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部分每年按照上年末持</w:t>
            </w:r>
          </w:p>
        </w:tc>
      </w:tr>
      <w:tr>
        <w:trPr>
          <w:trHeight w:val="316"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有股份数的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w:t>
            </w:r>
          </w:p>
        </w:tc>
      </w:tr>
      <w:tr>
        <w:trPr>
          <w:trHeight w:val="352" w:hRule="exact"/>
        </w:trPr>
        <w:tc>
          <w:tcPr>
            <w:tcW w:w="1206" w:type="dxa"/>
            <w:tcBorders>
              <w:top w:val="nil" w:sz="6" w:space="0" w:color="auto"/>
              <w:left w:val="single" w:sz="4" w:space="0" w:color="000000"/>
              <w:bottom w:val="single" w:sz="4" w:space="0" w:color="000000"/>
              <w:right w:val="single" w:sz="4" w:space="0" w:color="000000"/>
            </w:tcBorders>
          </w:tcPr>
          <w:p>
            <w:pPr/>
          </w:p>
        </w:tc>
        <w:tc>
          <w:tcPr>
            <w:tcW w:w="1131" w:type="dxa"/>
            <w:tcBorders>
              <w:top w:val="nil" w:sz="6" w:space="0" w:color="auto"/>
              <w:left w:val="single" w:sz="4" w:space="0" w:color="000000"/>
              <w:bottom w:val="single" w:sz="4" w:space="0" w:color="000000"/>
              <w:right w:val="single" w:sz="4" w:space="0" w:color="000000"/>
            </w:tcBorders>
          </w:tcPr>
          <w:p>
            <w:pPr/>
          </w:p>
        </w:tc>
        <w:tc>
          <w:tcPr>
            <w:tcW w:w="111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30" w:type="dxa"/>
            <w:tcBorders>
              <w:top w:val="nil" w:sz="6" w:space="0" w:color="auto"/>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售</w:t>
            </w:r>
          </w:p>
        </w:tc>
      </w:tr>
      <w:tr>
        <w:trPr>
          <w:trHeight w:val="357" w:hRule="exact"/>
        </w:trPr>
        <w:tc>
          <w:tcPr>
            <w:tcW w:w="1206" w:type="dxa"/>
            <w:tcBorders>
              <w:top w:val="single" w:sz="4" w:space="0" w:color="000000"/>
              <w:left w:val="single" w:sz="4" w:space="0" w:color="000000"/>
              <w:bottom w:val="nil" w:sz="6" w:space="0" w:color="auto"/>
              <w:right w:val="single" w:sz="4" w:space="0" w:color="000000"/>
            </w:tcBorders>
          </w:tcPr>
          <w:p>
            <w:pPr/>
          </w:p>
        </w:tc>
        <w:tc>
          <w:tcPr>
            <w:tcW w:w="1131" w:type="dxa"/>
            <w:tcBorders>
              <w:top w:val="single" w:sz="4" w:space="0" w:color="000000"/>
              <w:left w:val="single" w:sz="4" w:space="0" w:color="000000"/>
              <w:bottom w:val="nil" w:sz="6" w:space="0" w:color="auto"/>
              <w:right w:val="single" w:sz="4" w:space="0" w:color="000000"/>
            </w:tcBorders>
          </w:tcPr>
          <w:p>
            <w:pPr/>
          </w:p>
        </w:tc>
        <w:tc>
          <w:tcPr>
            <w:tcW w:w="111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30" w:type="dxa"/>
            <w:tcBorders>
              <w:top w:val="single" w:sz="4" w:space="0" w:color="000000"/>
              <w:left w:val="single" w:sz="4" w:space="0" w:color="000000"/>
              <w:bottom w:val="nil" w:sz="6" w:space="0" w:color="auto"/>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pacing w:val="-4"/>
                <w:sz w:val="18"/>
                <w:szCs w:val="18"/>
              </w:rPr>
              <w:t>利润承诺期届满，在具备</w:t>
            </w:r>
          </w:p>
        </w:tc>
      </w:tr>
      <w:tr>
        <w:trPr>
          <w:trHeight w:val="1248" w:hRule="exact"/>
        </w:trPr>
        <w:tc>
          <w:tcPr>
            <w:tcW w:w="120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1" w:right="192"/>
              <w:jc w:val="both"/>
              <w:rPr>
                <w:rFonts w:ascii="宋体" w:hAnsi="宋体" w:cs="宋体" w:eastAsia="宋体" w:hint="default"/>
                <w:sz w:val="18"/>
                <w:szCs w:val="18"/>
              </w:rPr>
            </w:pPr>
            <w:r>
              <w:rPr>
                <w:rFonts w:ascii="宋体" w:hAnsi="宋体" w:cs="宋体" w:eastAsia="宋体" w:hint="default"/>
                <w:sz w:val="18"/>
                <w:szCs w:val="18"/>
              </w:rPr>
              <w:t>宁波铜粟投 资管理有限 公司</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3,460,488</w:t>
            </w:r>
          </w:p>
        </w:tc>
        <w:tc>
          <w:tcPr>
            <w:tcW w:w="11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1,730,228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1,297,679</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3,893,037</w:t>
            </w: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2" w:right="275"/>
              <w:jc w:val="both"/>
              <w:rPr>
                <w:rFonts w:ascii="宋体" w:hAnsi="宋体" w:cs="宋体" w:eastAsia="宋体" w:hint="default"/>
                <w:sz w:val="18"/>
                <w:szCs w:val="18"/>
              </w:rPr>
            </w:pPr>
            <w:r>
              <w:rPr>
                <w:rFonts w:ascii="宋体" w:hAnsi="宋体" w:cs="宋体" w:eastAsia="宋体" w:hint="default"/>
                <w:sz w:val="18"/>
                <w:szCs w:val="18"/>
              </w:rPr>
              <w:t>首发后认购新 增股份锁定承 诺</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02"/>
              <w:jc w:val="left"/>
              <w:rPr>
                <w:rFonts w:ascii="宋体" w:hAnsi="宋体" w:cs="宋体" w:eastAsia="宋体" w:hint="default"/>
                <w:sz w:val="18"/>
                <w:szCs w:val="18"/>
              </w:rPr>
            </w:pPr>
            <w:r>
              <w:rPr>
                <w:rFonts w:ascii="宋体" w:hAnsi="宋体" w:cs="宋体" w:eastAsia="宋体" w:hint="default"/>
                <w:sz w:val="18"/>
                <w:szCs w:val="18"/>
              </w:rPr>
              <w:t>证券期货从业资格的审 计机构出具相应年度利 </w:t>
            </w:r>
            <w:r>
              <w:rPr>
                <w:rFonts w:ascii="宋体" w:hAnsi="宋体" w:cs="宋体" w:eastAsia="宋体" w:hint="default"/>
                <w:spacing w:val="-4"/>
                <w:sz w:val="18"/>
                <w:szCs w:val="18"/>
              </w:rPr>
              <w:t>润承诺实现情况的《利润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4"/>
                <w:sz w:val="18"/>
                <w:szCs w:val="18"/>
              </w:rPr>
              <w:t>承诺期专项审核报告》以</w:t>
            </w:r>
          </w:p>
        </w:tc>
      </w:tr>
      <w:tr>
        <w:trPr>
          <w:trHeight w:val="357" w:hRule="exact"/>
        </w:trPr>
        <w:tc>
          <w:tcPr>
            <w:tcW w:w="1206" w:type="dxa"/>
            <w:tcBorders>
              <w:top w:val="nil" w:sz="6" w:space="0" w:color="auto"/>
              <w:left w:val="single" w:sz="4" w:space="0" w:color="000000"/>
              <w:bottom w:val="single" w:sz="4" w:space="0" w:color="000000"/>
              <w:right w:val="single" w:sz="4" w:space="0" w:color="000000"/>
            </w:tcBorders>
          </w:tcPr>
          <w:p>
            <w:pPr/>
          </w:p>
        </w:tc>
        <w:tc>
          <w:tcPr>
            <w:tcW w:w="1131" w:type="dxa"/>
            <w:tcBorders>
              <w:top w:val="nil" w:sz="6" w:space="0" w:color="auto"/>
              <w:left w:val="single" w:sz="4" w:space="0" w:color="000000"/>
              <w:bottom w:val="single" w:sz="4" w:space="0" w:color="000000"/>
              <w:right w:val="single" w:sz="4" w:space="0" w:color="000000"/>
            </w:tcBorders>
          </w:tcPr>
          <w:p>
            <w:pPr/>
          </w:p>
        </w:tc>
        <w:tc>
          <w:tcPr>
            <w:tcW w:w="111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30" w:type="dxa"/>
            <w:tcBorders>
              <w:top w:val="nil" w:sz="6" w:space="0" w:color="auto"/>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及《减值测试报告》后</w:t>
            </w:r>
          </w:p>
        </w:tc>
      </w:tr>
      <w:tr>
        <w:trPr>
          <w:trHeight w:val="1026" w:hRule="exact"/>
        </w:trPr>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周建新</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2,080,264</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1,040,122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3,120,386</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275"/>
              <w:jc w:val="both"/>
              <w:rPr>
                <w:rFonts w:ascii="宋体" w:hAnsi="宋体" w:cs="宋体" w:eastAsia="宋体" w:hint="default"/>
                <w:sz w:val="18"/>
                <w:szCs w:val="18"/>
              </w:rPr>
            </w:pPr>
            <w:r>
              <w:rPr>
                <w:rFonts w:ascii="宋体" w:hAnsi="宋体" w:cs="宋体" w:eastAsia="宋体" w:hint="default"/>
                <w:sz w:val="18"/>
                <w:szCs w:val="18"/>
              </w:rPr>
              <w:t>首发后认购新 增股份锁定承 诺</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243"/>
              <w:jc w:val="left"/>
              <w:rPr>
                <w:rFonts w:ascii="宋体" w:hAnsi="宋体" w:cs="宋体" w:eastAsia="宋体" w:hint="default"/>
                <w:sz w:val="18"/>
                <w:szCs w:val="18"/>
              </w:rPr>
            </w:pPr>
            <w:r>
              <w:rPr>
                <w:rFonts w:ascii="宋体" w:hAnsi="宋体" w:cs="宋体" w:eastAsia="宋体" w:hint="default"/>
                <w:sz w:val="18"/>
                <w:szCs w:val="18"/>
              </w:rPr>
              <w:t>首发后认购新增股份锁 定期已届满，尚未解禁</w:t>
            </w:r>
          </w:p>
        </w:tc>
      </w:tr>
      <w:tr>
        <w:trPr>
          <w:trHeight w:val="357" w:hRule="exact"/>
        </w:trPr>
        <w:tc>
          <w:tcPr>
            <w:tcW w:w="1206" w:type="dxa"/>
            <w:tcBorders>
              <w:top w:val="single" w:sz="4" w:space="0" w:color="000000"/>
              <w:left w:val="single" w:sz="4" w:space="0" w:color="000000"/>
              <w:bottom w:val="nil" w:sz="6" w:space="0" w:color="auto"/>
              <w:right w:val="single" w:sz="4" w:space="0" w:color="000000"/>
            </w:tcBorders>
          </w:tcPr>
          <w:p>
            <w:pPr/>
          </w:p>
        </w:tc>
        <w:tc>
          <w:tcPr>
            <w:tcW w:w="1131" w:type="dxa"/>
            <w:tcBorders>
              <w:top w:val="single" w:sz="4" w:space="0" w:color="000000"/>
              <w:left w:val="single" w:sz="4" w:space="0" w:color="000000"/>
              <w:bottom w:val="nil" w:sz="6" w:space="0" w:color="auto"/>
              <w:right w:val="single" w:sz="4" w:space="0" w:color="000000"/>
            </w:tcBorders>
          </w:tcPr>
          <w:p>
            <w:pPr/>
          </w:p>
        </w:tc>
        <w:tc>
          <w:tcPr>
            <w:tcW w:w="111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30" w:type="dxa"/>
            <w:tcBorders>
              <w:top w:val="single" w:sz="4" w:space="0" w:color="000000"/>
              <w:left w:val="single" w:sz="4" w:space="0" w:color="000000"/>
              <w:bottom w:val="nil" w:sz="6" w:space="0" w:color="auto"/>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股票期权与限制性股票</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激励计划授予的限制性</w:t>
            </w:r>
          </w:p>
        </w:tc>
      </w:tr>
      <w:tr>
        <w:trPr>
          <w:trHeight w:val="31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股票已于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日解除限售</w:t>
            </w:r>
            <w:r>
              <w:rPr>
                <w:rFonts w:ascii="宋体" w:hAnsi="宋体" w:cs="宋体" w:eastAsia="宋体" w:hint="default"/>
                <w:spacing w:val="-8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年限制</w:t>
            </w:r>
          </w:p>
        </w:tc>
      </w:tr>
      <w:tr>
        <w:trPr>
          <w:trHeight w:val="30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股权激励限售</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性股票激励计划授予的</w:t>
            </w:r>
          </w:p>
        </w:tc>
      </w:tr>
      <w:tr>
        <w:trPr>
          <w:trHeight w:val="317" w:hRule="exact"/>
        </w:trPr>
        <w:tc>
          <w:tcPr>
            <w:tcW w:w="12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张崧</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205,950</w:t>
            </w:r>
          </w:p>
        </w:tc>
        <w:tc>
          <w:tcPr>
            <w:tcW w:w="111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157,230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51,488</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2"/>
                <w:sz w:val="18"/>
              </w:rPr>
              <w:t>311,692</w:t>
            </w: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股及高管股份</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限制性股票解除限售日</w:t>
            </w:r>
          </w:p>
        </w:tc>
      </w:tr>
      <w:tr>
        <w:trPr>
          <w:trHeight w:val="30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锁定承诺</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为股份授予登记完成日</w:t>
            </w:r>
          </w:p>
        </w:tc>
      </w:tr>
      <w:tr>
        <w:trPr>
          <w:trHeight w:val="31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起锁定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r>
      <w:tr>
        <w:trPr>
          <w:trHeight w:val="30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pacing w:val="-4"/>
                <w:sz w:val="18"/>
                <w:szCs w:val="18"/>
              </w:rPr>
              <w:t>之后；高管锁定股部分每</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年按照上年末持有股份</w:t>
            </w:r>
          </w:p>
        </w:tc>
      </w:tr>
      <w:tr>
        <w:trPr>
          <w:trHeight w:val="357" w:hRule="exact"/>
        </w:trPr>
        <w:tc>
          <w:tcPr>
            <w:tcW w:w="1206" w:type="dxa"/>
            <w:tcBorders>
              <w:top w:val="nil" w:sz="6" w:space="0" w:color="auto"/>
              <w:left w:val="single" w:sz="4" w:space="0" w:color="000000"/>
              <w:bottom w:val="single" w:sz="4" w:space="0" w:color="000000"/>
              <w:right w:val="single" w:sz="4" w:space="0" w:color="000000"/>
            </w:tcBorders>
          </w:tcPr>
          <w:p>
            <w:pPr/>
          </w:p>
        </w:tc>
        <w:tc>
          <w:tcPr>
            <w:tcW w:w="1131" w:type="dxa"/>
            <w:tcBorders>
              <w:top w:val="nil" w:sz="6" w:space="0" w:color="auto"/>
              <w:left w:val="single" w:sz="4" w:space="0" w:color="000000"/>
              <w:bottom w:val="single" w:sz="4" w:space="0" w:color="000000"/>
              <w:right w:val="single" w:sz="4" w:space="0" w:color="000000"/>
            </w:tcBorders>
          </w:tcPr>
          <w:p>
            <w:pPr/>
          </w:p>
        </w:tc>
        <w:tc>
          <w:tcPr>
            <w:tcW w:w="111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30" w:type="dxa"/>
            <w:tcBorders>
              <w:top w:val="nil" w:sz="6" w:space="0" w:color="auto"/>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400" w:hRule="exact"/>
        </w:trPr>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郁燕萍</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180,000</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147,498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282,498</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2" w:right="0"/>
              <w:jc w:val="left"/>
              <w:rPr>
                <w:rFonts w:ascii="宋体" w:hAnsi="宋体" w:cs="宋体" w:eastAsia="宋体" w:hint="default"/>
                <w:sz w:val="18"/>
                <w:szCs w:val="18"/>
              </w:rPr>
            </w:pPr>
            <w:r>
              <w:rPr>
                <w:rFonts w:ascii="宋体" w:hAnsi="宋体" w:cs="宋体" w:eastAsia="宋体" w:hint="default"/>
                <w:sz w:val="18"/>
                <w:szCs w:val="18"/>
              </w:rPr>
              <w:t>股权激励限售</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股票期权与限制性股票</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06"/>
        <w:gridCol w:w="1131"/>
        <w:gridCol w:w="1110"/>
        <w:gridCol w:w="1260"/>
        <w:gridCol w:w="1230"/>
        <w:gridCol w:w="1470"/>
        <w:gridCol w:w="2159"/>
      </w:tblGrid>
      <w:tr>
        <w:trPr>
          <w:trHeight w:val="318" w:hRule="exact"/>
        </w:trPr>
        <w:tc>
          <w:tcPr>
            <w:tcW w:w="1206" w:type="dxa"/>
            <w:vMerge w:val="restart"/>
            <w:tcBorders>
              <w:top w:val="single" w:sz="4" w:space="0" w:color="000000"/>
              <w:left w:val="single" w:sz="4" w:space="0" w:color="000000"/>
              <w:right w:val="single" w:sz="4" w:space="0" w:color="000000"/>
            </w:tcBorders>
          </w:tcPr>
          <w:p>
            <w:pPr/>
          </w:p>
        </w:tc>
        <w:tc>
          <w:tcPr>
            <w:tcW w:w="1131" w:type="dxa"/>
            <w:vMerge w:val="restart"/>
            <w:tcBorders>
              <w:top w:val="single" w:sz="4" w:space="0" w:color="000000"/>
              <w:left w:val="single" w:sz="4" w:space="0" w:color="000000"/>
              <w:right w:val="single" w:sz="4" w:space="0" w:color="000000"/>
            </w:tcBorders>
          </w:tcPr>
          <w:p>
            <w:pPr/>
          </w:p>
        </w:tc>
        <w:tc>
          <w:tcPr>
            <w:tcW w:w="1110" w:type="dxa"/>
            <w:vMerge w:val="restart"/>
            <w:tcBorders>
              <w:top w:val="single" w:sz="4" w:space="0" w:color="000000"/>
              <w:left w:val="single" w:sz="4" w:space="0" w:color="000000"/>
              <w:right w:val="single" w:sz="4" w:space="0" w:color="000000"/>
            </w:tcBorders>
          </w:tcPr>
          <w:p>
            <w:pPr/>
          </w:p>
        </w:tc>
        <w:tc>
          <w:tcPr>
            <w:tcW w:w="1260" w:type="dxa"/>
            <w:vMerge w:val="restart"/>
            <w:tcBorders>
              <w:top w:val="single" w:sz="4" w:space="0" w:color="000000"/>
              <w:left w:val="single" w:sz="4" w:space="0" w:color="000000"/>
              <w:right w:val="single" w:sz="4" w:space="0" w:color="000000"/>
            </w:tcBorders>
          </w:tcPr>
          <w:p>
            <w:pPr/>
          </w:p>
        </w:tc>
        <w:tc>
          <w:tcPr>
            <w:tcW w:w="1230" w:type="dxa"/>
            <w:vMerge w:val="restart"/>
            <w:tcBorders>
              <w:top w:val="single" w:sz="4" w:space="0" w:color="000000"/>
              <w:left w:val="single" w:sz="4" w:space="0" w:color="000000"/>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股及高管股份</w:t>
            </w: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激励计划授予的限制性</w:t>
            </w:r>
          </w:p>
        </w:tc>
      </w:tr>
      <w:tr>
        <w:trPr>
          <w:trHeight w:val="316" w:hRule="exact"/>
        </w:trPr>
        <w:tc>
          <w:tcPr>
            <w:tcW w:w="1206" w:type="dxa"/>
            <w:vMerge/>
            <w:tcBorders>
              <w:left w:val="single" w:sz="4" w:space="0" w:color="000000"/>
              <w:right w:val="single" w:sz="4" w:space="0" w:color="000000"/>
            </w:tcBorders>
          </w:tcPr>
          <w:p>
            <w:pPr/>
          </w:p>
        </w:tc>
        <w:tc>
          <w:tcPr>
            <w:tcW w:w="1131" w:type="dxa"/>
            <w:vMerge/>
            <w:tcBorders>
              <w:left w:val="single" w:sz="4" w:space="0" w:color="000000"/>
              <w:right w:val="single" w:sz="4" w:space="0" w:color="000000"/>
            </w:tcBorders>
          </w:tcPr>
          <w:p>
            <w:pPr/>
          </w:p>
        </w:tc>
        <w:tc>
          <w:tcPr>
            <w:tcW w:w="111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230" w:type="dxa"/>
            <w:vMerge/>
            <w:tcBorders>
              <w:left w:val="single" w:sz="4" w:space="0" w:color="000000"/>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锁定承诺</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股票已于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tc>
      </w:tr>
      <w:tr>
        <w:trPr>
          <w:trHeight w:val="312" w:hRule="exact"/>
        </w:trPr>
        <w:tc>
          <w:tcPr>
            <w:tcW w:w="1206" w:type="dxa"/>
            <w:vMerge/>
            <w:tcBorders>
              <w:left w:val="single" w:sz="4" w:space="0" w:color="000000"/>
              <w:right w:val="single" w:sz="4" w:space="0" w:color="000000"/>
            </w:tcBorders>
          </w:tcPr>
          <w:p>
            <w:pPr/>
          </w:p>
        </w:tc>
        <w:tc>
          <w:tcPr>
            <w:tcW w:w="1131" w:type="dxa"/>
            <w:vMerge/>
            <w:tcBorders>
              <w:left w:val="single" w:sz="4" w:space="0" w:color="000000"/>
              <w:right w:val="single" w:sz="4" w:space="0" w:color="000000"/>
            </w:tcBorders>
          </w:tcPr>
          <w:p>
            <w:pPr/>
          </w:p>
        </w:tc>
        <w:tc>
          <w:tcPr>
            <w:tcW w:w="111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230" w:type="dxa"/>
            <w:vMerge/>
            <w:tcBorders>
              <w:left w:val="single" w:sz="4" w:space="0" w:color="000000"/>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日解除限售</w:t>
            </w:r>
            <w:r>
              <w:rPr>
                <w:rFonts w:ascii="宋体" w:hAnsi="宋体" w:cs="宋体" w:eastAsia="宋体" w:hint="default"/>
                <w:spacing w:val="-8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年限制</w:t>
            </w:r>
          </w:p>
        </w:tc>
      </w:tr>
      <w:tr>
        <w:trPr>
          <w:trHeight w:val="308" w:hRule="exact"/>
        </w:trPr>
        <w:tc>
          <w:tcPr>
            <w:tcW w:w="1206" w:type="dxa"/>
            <w:vMerge/>
            <w:tcBorders>
              <w:left w:val="single" w:sz="4" w:space="0" w:color="000000"/>
              <w:right w:val="single" w:sz="4" w:space="0" w:color="000000"/>
            </w:tcBorders>
          </w:tcPr>
          <w:p>
            <w:pPr/>
          </w:p>
        </w:tc>
        <w:tc>
          <w:tcPr>
            <w:tcW w:w="1131" w:type="dxa"/>
            <w:vMerge/>
            <w:tcBorders>
              <w:left w:val="single" w:sz="4" w:space="0" w:color="000000"/>
              <w:right w:val="single" w:sz="4" w:space="0" w:color="000000"/>
            </w:tcBorders>
          </w:tcPr>
          <w:p>
            <w:pPr/>
          </w:p>
        </w:tc>
        <w:tc>
          <w:tcPr>
            <w:tcW w:w="111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230" w:type="dxa"/>
            <w:vMerge/>
            <w:tcBorders>
              <w:left w:val="single" w:sz="4" w:space="0" w:color="000000"/>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性股票激励计划授予的</w:t>
            </w:r>
          </w:p>
        </w:tc>
      </w:tr>
      <w:tr>
        <w:trPr>
          <w:trHeight w:val="312" w:hRule="exact"/>
        </w:trPr>
        <w:tc>
          <w:tcPr>
            <w:tcW w:w="1206" w:type="dxa"/>
            <w:vMerge/>
            <w:tcBorders>
              <w:left w:val="single" w:sz="4" w:space="0" w:color="000000"/>
              <w:right w:val="single" w:sz="4" w:space="0" w:color="000000"/>
            </w:tcBorders>
          </w:tcPr>
          <w:p>
            <w:pPr/>
          </w:p>
        </w:tc>
        <w:tc>
          <w:tcPr>
            <w:tcW w:w="1131" w:type="dxa"/>
            <w:vMerge/>
            <w:tcBorders>
              <w:left w:val="single" w:sz="4" w:space="0" w:color="000000"/>
              <w:right w:val="single" w:sz="4" w:space="0" w:color="000000"/>
            </w:tcBorders>
          </w:tcPr>
          <w:p>
            <w:pPr/>
          </w:p>
        </w:tc>
        <w:tc>
          <w:tcPr>
            <w:tcW w:w="111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230" w:type="dxa"/>
            <w:vMerge/>
            <w:tcBorders>
              <w:left w:val="single" w:sz="4" w:space="0" w:color="000000"/>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限制性股票解除限售日</w:t>
            </w:r>
          </w:p>
        </w:tc>
      </w:tr>
      <w:tr>
        <w:trPr>
          <w:trHeight w:val="312" w:hRule="exact"/>
        </w:trPr>
        <w:tc>
          <w:tcPr>
            <w:tcW w:w="1206" w:type="dxa"/>
            <w:vMerge/>
            <w:tcBorders>
              <w:left w:val="single" w:sz="4" w:space="0" w:color="000000"/>
              <w:right w:val="single" w:sz="4" w:space="0" w:color="000000"/>
            </w:tcBorders>
          </w:tcPr>
          <w:p>
            <w:pPr/>
          </w:p>
        </w:tc>
        <w:tc>
          <w:tcPr>
            <w:tcW w:w="1131" w:type="dxa"/>
            <w:vMerge/>
            <w:tcBorders>
              <w:left w:val="single" w:sz="4" w:space="0" w:color="000000"/>
              <w:right w:val="single" w:sz="4" w:space="0" w:color="000000"/>
            </w:tcBorders>
          </w:tcPr>
          <w:p>
            <w:pPr/>
          </w:p>
        </w:tc>
        <w:tc>
          <w:tcPr>
            <w:tcW w:w="111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230" w:type="dxa"/>
            <w:vMerge/>
            <w:tcBorders>
              <w:left w:val="single" w:sz="4" w:space="0" w:color="000000"/>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为股份授予登记完成日</w:t>
            </w:r>
          </w:p>
        </w:tc>
      </w:tr>
      <w:tr>
        <w:trPr>
          <w:trHeight w:val="316" w:hRule="exact"/>
        </w:trPr>
        <w:tc>
          <w:tcPr>
            <w:tcW w:w="1206" w:type="dxa"/>
            <w:vMerge/>
            <w:tcBorders>
              <w:left w:val="single" w:sz="4" w:space="0" w:color="000000"/>
              <w:right w:val="single" w:sz="4" w:space="0" w:color="000000"/>
            </w:tcBorders>
          </w:tcPr>
          <w:p>
            <w:pPr/>
          </w:p>
        </w:tc>
        <w:tc>
          <w:tcPr>
            <w:tcW w:w="1131" w:type="dxa"/>
            <w:vMerge/>
            <w:tcBorders>
              <w:left w:val="single" w:sz="4" w:space="0" w:color="000000"/>
              <w:right w:val="single" w:sz="4" w:space="0" w:color="000000"/>
            </w:tcBorders>
          </w:tcPr>
          <w:p>
            <w:pPr/>
          </w:p>
        </w:tc>
        <w:tc>
          <w:tcPr>
            <w:tcW w:w="111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230" w:type="dxa"/>
            <w:vMerge/>
            <w:tcBorders>
              <w:left w:val="single" w:sz="4" w:space="0" w:color="000000"/>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起锁定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r>
      <w:tr>
        <w:trPr>
          <w:trHeight w:val="308" w:hRule="exact"/>
        </w:trPr>
        <w:tc>
          <w:tcPr>
            <w:tcW w:w="1206" w:type="dxa"/>
            <w:vMerge/>
            <w:tcBorders>
              <w:left w:val="single" w:sz="4" w:space="0" w:color="000000"/>
              <w:right w:val="single" w:sz="4" w:space="0" w:color="000000"/>
            </w:tcBorders>
          </w:tcPr>
          <w:p>
            <w:pPr/>
          </w:p>
        </w:tc>
        <w:tc>
          <w:tcPr>
            <w:tcW w:w="1131" w:type="dxa"/>
            <w:vMerge/>
            <w:tcBorders>
              <w:left w:val="single" w:sz="4" w:space="0" w:color="000000"/>
              <w:right w:val="single" w:sz="4" w:space="0" w:color="000000"/>
            </w:tcBorders>
          </w:tcPr>
          <w:p>
            <w:pPr/>
          </w:p>
        </w:tc>
        <w:tc>
          <w:tcPr>
            <w:tcW w:w="111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230" w:type="dxa"/>
            <w:vMerge/>
            <w:tcBorders>
              <w:left w:val="single" w:sz="4" w:space="0" w:color="000000"/>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pacing w:val="-4"/>
                <w:sz w:val="18"/>
                <w:szCs w:val="18"/>
              </w:rPr>
              <w:t>之后；高管锁定股部分每</w:t>
            </w:r>
          </w:p>
        </w:tc>
      </w:tr>
      <w:tr>
        <w:trPr>
          <w:trHeight w:val="312" w:hRule="exact"/>
        </w:trPr>
        <w:tc>
          <w:tcPr>
            <w:tcW w:w="1206" w:type="dxa"/>
            <w:vMerge/>
            <w:tcBorders>
              <w:left w:val="single" w:sz="4" w:space="0" w:color="000000"/>
              <w:right w:val="single" w:sz="4" w:space="0" w:color="000000"/>
            </w:tcBorders>
          </w:tcPr>
          <w:p>
            <w:pPr/>
          </w:p>
        </w:tc>
        <w:tc>
          <w:tcPr>
            <w:tcW w:w="1131" w:type="dxa"/>
            <w:vMerge/>
            <w:tcBorders>
              <w:left w:val="single" w:sz="4" w:space="0" w:color="000000"/>
              <w:right w:val="single" w:sz="4" w:space="0" w:color="000000"/>
            </w:tcBorders>
          </w:tcPr>
          <w:p>
            <w:pPr/>
          </w:p>
        </w:tc>
        <w:tc>
          <w:tcPr>
            <w:tcW w:w="111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230" w:type="dxa"/>
            <w:vMerge/>
            <w:tcBorders>
              <w:left w:val="single" w:sz="4" w:space="0" w:color="000000"/>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年按照上年末持有股份</w:t>
            </w:r>
          </w:p>
        </w:tc>
      </w:tr>
      <w:tr>
        <w:trPr>
          <w:trHeight w:val="356" w:hRule="exact"/>
        </w:trPr>
        <w:tc>
          <w:tcPr>
            <w:tcW w:w="1206" w:type="dxa"/>
            <w:vMerge/>
            <w:tcBorders>
              <w:left w:val="single" w:sz="4" w:space="0" w:color="000000"/>
              <w:bottom w:val="single" w:sz="4" w:space="0" w:color="000000"/>
              <w:right w:val="single" w:sz="4" w:space="0" w:color="000000"/>
            </w:tcBorders>
          </w:tcPr>
          <w:p>
            <w:pPr/>
          </w:p>
        </w:tc>
        <w:tc>
          <w:tcPr>
            <w:tcW w:w="1131" w:type="dxa"/>
            <w:vMerge/>
            <w:tcBorders>
              <w:left w:val="single" w:sz="4" w:space="0" w:color="000000"/>
              <w:bottom w:val="single" w:sz="4" w:space="0" w:color="000000"/>
              <w:right w:val="single" w:sz="4" w:space="0" w:color="000000"/>
            </w:tcBorders>
          </w:tcPr>
          <w:p>
            <w:pPr/>
          </w:p>
        </w:tc>
        <w:tc>
          <w:tcPr>
            <w:tcW w:w="1110"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1230" w:type="dxa"/>
            <w:vMerge/>
            <w:tcBorders>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357" w:hRule="exact"/>
        </w:trPr>
        <w:tc>
          <w:tcPr>
            <w:tcW w:w="1206" w:type="dxa"/>
            <w:tcBorders>
              <w:top w:val="single" w:sz="4" w:space="0" w:color="000000"/>
              <w:left w:val="single" w:sz="4" w:space="0" w:color="000000"/>
              <w:bottom w:val="nil" w:sz="6" w:space="0" w:color="auto"/>
              <w:right w:val="single" w:sz="4" w:space="0" w:color="000000"/>
            </w:tcBorders>
          </w:tcPr>
          <w:p>
            <w:pPr/>
          </w:p>
        </w:tc>
        <w:tc>
          <w:tcPr>
            <w:tcW w:w="1131" w:type="dxa"/>
            <w:tcBorders>
              <w:top w:val="single" w:sz="4" w:space="0" w:color="000000"/>
              <w:left w:val="single" w:sz="4" w:space="0" w:color="000000"/>
              <w:bottom w:val="nil" w:sz="6" w:space="0" w:color="auto"/>
              <w:right w:val="single" w:sz="4" w:space="0" w:color="000000"/>
            </w:tcBorders>
          </w:tcPr>
          <w:p>
            <w:pPr/>
          </w:p>
        </w:tc>
        <w:tc>
          <w:tcPr>
            <w:tcW w:w="111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30" w:type="dxa"/>
            <w:tcBorders>
              <w:top w:val="single" w:sz="4" w:space="0" w:color="000000"/>
              <w:left w:val="single" w:sz="4" w:space="0" w:color="000000"/>
              <w:bottom w:val="nil" w:sz="6" w:space="0" w:color="auto"/>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股票期权与限制性股票</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激励计划授予的限制性</w:t>
            </w:r>
          </w:p>
        </w:tc>
      </w:tr>
      <w:tr>
        <w:trPr>
          <w:trHeight w:val="31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股票已于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日解除限售</w:t>
            </w:r>
            <w:r>
              <w:rPr>
                <w:rFonts w:ascii="宋体" w:hAnsi="宋体" w:cs="宋体" w:eastAsia="宋体" w:hint="default"/>
                <w:spacing w:val="-8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年限制</w:t>
            </w:r>
          </w:p>
        </w:tc>
      </w:tr>
      <w:tr>
        <w:trPr>
          <w:trHeight w:val="30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股权激励限售</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性股票激励计划授予的</w:t>
            </w:r>
          </w:p>
        </w:tc>
      </w:tr>
      <w:tr>
        <w:trPr>
          <w:trHeight w:val="317" w:hRule="exact"/>
        </w:trPr>
        <w:tc>
          <w:tcPr>
            <w:tcW w:w="12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胡燕</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90,000</w:t>
            </w:r>
          </w:p>
        </w:tc>
        <w:tc>
          <w:tcPr>
            <w:tcW w:w="111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2"/>
                <w:sz w:val="18"/>
              </w:rPr>
              <w:t>113,749</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22,500</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181,249</w:t>
            </w: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股及高管股份</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限制性股票解除限售日</w:t>
            </w:r>
          </w:p>
        </w:tc>
      </w:tr>
      <w:tr>
        <w:trPr>
          <w:trHeight w:val="30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锁定承诺</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为股份授予登记完成日</w:t>
            </w:r>
          </w:p>
        </w:tc>
      </w:tr>
      <w:tr>
        <w:trPr>
          <w:trHeight w:val="31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起锁定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r>
      <w:tr>
        <w:trPr>
          <w:trHeight w:val="30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pacing w:val="-4"/>
                <w:sz w:val="18"/>
                <w:szCs w:val="18"/>
              </w:rPr>
              <w:t>之后；高管锁定股部分每</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年按照上年末持有股份</w:t>
            </w:r>
          </w:p>
        </w:tc>
      </w:tr>
      <w:tr>
        <w:trPr>
          <w:trHeight w:val="357" w:hRule="exact"/>
        </w:trPr>
        <w:tc>
          <w:tcPr>
            <w:tcW w:w="1206" w:type="dxa"/>
            <w:tcBorders>
              <w:top w:val="nil" w:sz="6" w:space="0" w:color="auto"/>
              <w:left w:val="single" w:sz="4" w:space="0" w:color="000000"/>
              <w:bottom w:val="single" w:sz="4" w:space="0" w:color="000000"/>
              <w:right w:val="single" w:sz="4" w:space="0" w:color="000000"/>
            </w:tcBorders>
          </w:tcPr>
          <w:p>
            <w:pPr/>
          </w:p>
        </w:tc>
        <w:tc>
          <w:tcPr>
            <w:tcW w:w="1131" w:type="dxa"/>
            <w:tcBorders>
              <w:top w:val="nil" w:sz="6" w:space="0" w:color="auto"/>
              <w:left w:val="single" w:sz="4" w:space="0" w:color="000000"/>
              <w:bottom w:val="single" w:sz="4" w:space="0" w:color="000000"/>
              <w:right w:val="single" w:sz="4" w:space="0" w:color="000000"/>
            </w:tcBorders>
          </w:tcPr>
          <w:p>
            <w:pPr/>
          </w:p>
        </w:tc>
        <w:tc>
          <w:tcPr>
            <w:tcW w:w="111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30" w:type="dxa"/>
            <w:tcBorders>
              <w:top w:val="nil" w:sz="6" w:space="0" w:color="auto"/>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358" w:hRule="exact"/>
        </w:trPr>
        <w:tc>
          <w:tcPr>
            <w:tcW w:w="1206" w:type="dxa"/>
            <w:tcBorders>
              <w:top w:val="single" w:sz="4" w:space="0" w:color="000000"/>
              <w:left w:val="single" w:sz="4" w:space="0" w:color="000000"/>
              <w:bottom w:val="nil" w:sz="6" w:space="0" w:color="auto"/>
              <w:right w:val="single" w:sz="4" w:space="0" w:color="000000"/>
            </w:tcBorders>
          </w:tcPr>
          <w:p>
            <w:pPr/>
          </w:p>
        </w:tc>
        <w:tc>
          <w:tcPr>
            <w:tcW w:w="1131" w:type="dxa"/>
            <w:tcBorders>
              <w:top w:val="single" w:sz="4" w:space="0" w:color="000000"/>
              <w:left w:val="single" w:sz="4" w:space="0" w:color="000000"/>
              <w:bottom w:val="nil" w:sz="6" w:space="0" w:color="auto"/>
              <w:right w:val="single" w:sz="4" w:space="0" w:color="000000"/>
            </w:tcBorders>
          </w:tcPr>
          <w:p>
            <w:pPr/>
          </w:p>
        </w:tc>
        <w:tc>
          <w:tcPr>
            <w:tcW w:w="111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30" w:type="dxa"/>
            <w:tcBorders>
              <w:top w:val="single" w:sz="4" w:space="0" w:color="000000"/>
              <w:left w:val="single" w:sz="4" w:space="0" w:color="000000"/>
              <w:bottom w:val="nil" w:sz="6" w:space="0" w:color="auto"/>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股票期权与限制性股票</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激励计划授予的限制性</w:t>
            </w:r>
          </w:p>
        </w:tc>
      </w:tr>
      <w:tr>
        <w:trPr>
          <w:trHeight w:val="316"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股票已于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日解除限售</w:t>
            </w:r>
            <w:r>
              <w:rPr>
                <w:rFonts w:ascii="宋体" w:hAnsi="宋体" w:cs="宋体" w:eastAsia="宋体" w:hint="default"/>
                <w:spacing w:val="-8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年限制</w:t>
            </w:r>
          </w:p>
        </w:tc>
      </w:tr>
      <w:tr>
        <w:trPr>
          <w:trHeight w:val="308"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股权激励限售</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性股票激励计划授予的</w:t>
            </w:r>
          </w:p>
        </w:tc>
      </w:tr>
      <w:tr>
        <w:trPr>
          <w:trHeight w:val="316" w:hRule="exact"/>
        </w:trPr>
        <w:tc>
          <w:tcPr>
            <w:tcW w:w="12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方宝林</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90,000</w:t>
            </w:r>
          </w:p>
        </w:tc>
        <w:tc>
          <w:tcPr>
            <w:tcW w:w="111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103,749</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22,500</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171,249</w:t>
            </w: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股及高管股份</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限制性股票解除限售日</w:t>
            </w:r>
          </w:p>
        </w:tc>
      </w:tr>
      <w:tr>
        <w:trPr>
          <w:trHeight w:val="308"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锁定承诺</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为股份授予登记完成日</w:t>
            </w:r>
          </w:p>
        </w:tc>
      </w:tr>
      <w:tr>
        <w:trPr>
          <w:trHeight w:val="316"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起锁定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r>
      <w:tr>
        <w:trPr>
          <w:trHeight w:val="308"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pacing w:val="-4"/>
                <w:sz w:val="18"/>
                <w:szCs w:val="18"/>
              </w:rPr>
              <w:t>之后；高管锁定股部分每</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年按照上年末持有股份</w:t>
            </w:r>
          </w:p>
        </w:tc>
      </w:tr>
      <w:tr>
        <w:trPr>
          <w:trHeight w:val="356" w:hRule="exact"/>
        </w:trPr>
        <w:tc>
          <w:tcPr>
            <w:tcW w:w="1206" w:type="dxa"/>
            <w:tcBorders>
              <w:top w:val="nil" w:sz="6" w:space="0" w:color="auto"/>
              <w:left w:val="single" w:sz="4" w:space="0" w:color="000000"/>
              <w:bottom w:val="single" w:sz="4" w:space="0" w:color="000000"/>
              <w:right w:val="single" w:sz="4" w:space="0" w:color="000000"/>
            </w:tcBorders>
          </w:tcPr>
          <w:p>
            <w:pPr/>
          </w:p>
        </w:tc>
        <w:tc>
          <w:tcPr>
            <w:tcW w:w="1131" w:type="dxa"/>
            <w:tcBorders>
              <w:top w:val="nil" w:sz="6" w:space="0" w:color="auto"/>
              <w:left w:val="single" w:sz="4" w:space="0" w:color="000000"/>
              <w:bottom w:val="single" w:sz="4" w:space="0" w:color="000000"/>
              <w:right w:val="single" w:sz="4" w:space="0" w:color="000000"/>
            </w:tcBorders>
          </w:tcPr>
          <w:p>
            <w:pPr/>
          </w:p>
        </w:tc>
        <w:tc>
          <w:tcPr>
            <w:tcW w:w="111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30" w:type="dxa"/>
            <w:tcBorders>
              <w:top w:val="nil" w:sz="6" w:space="0" w:color="auto"/>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r>
        <w:trPr>
          <w:trHeight w:val="357" w:hRule="exact"/>
        </w:trPr>
        <w:tc>
          <w:tcPr>
            <w:tcW w:w="1206" w:type="dxa"/>
            <w:tcBorders>
              <w:top w:val="single" w:sz="4" w:space="0" w:color="000000"/>
              <w:left w:val="single" w:sz="4" w:space="0" w:color="000000"/>
              <w:bottom w:val="nil" w:sz="6" w:space="0" w:color="auto"/>
              <w:right w:val="single" w:sz="4" w:space="0" w:color="000000"/>
            </w:tcBorders>
          </w:tcPr>
          <w:p>
            <w:pPr/>
          </w:p>
        </w:tc>
        <w:tc>
          <w:tcPr>
            <w:tcW w:w="1131" w:type="dxa"/>
            <w:tcBorders>
              <w:top w:val="single" w:sz="4" w:space="0" w:color="000000"/>
              <w:left w:val="single" w:sz="4" w:space="0" w:color="000000"/>
              <w:bottom w:val="nil" w:sz="6" w:space="0" w:color="auto"/>
              <w:right w:val="single" w:sz="4" w:space="0" w:color="000000"/>
            </w:tcBorders>
          </w:tcPr>
          <w:p>
            <w:pPr/>
          </w:p>
        </w:tc>
        <w:tc>
          <w:tcPr>
            <w:tcW w:w="111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30" w:type="dxa"/>
            <w:tcBorders>
              <w:top w:val="single" w:sz="4" w:space="0" w:color="000000"/>
              <w:left w:val="single" w:sz="4" w:space="0" w:color="000000"/>
              <w:bottom w:val="nil" w:sz="6" w:space="0" w:color="auto"/>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股票期权与限制性股票</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激励计划授予的限制性</w:t>
            </w:r>
          </w:p>
        </w:tc>
      </w:tr>
      <w:tr>
        <w:trPr>
          <w:trHeight w:val="31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股票已于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日解除限售</w:t>
            </w:r>
            <w:r>
              <w:rPr>
                <w:rFonts w:ascii="宋体" w:hAnsi="宋体" w:cs="宋体" w:eastAsia="宋体" w:hint="default"/>
                <w:spacing w:val="-8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年限制</w:t>
            </w:r>
          </w:p>
        </w:tc>
      </w:tr>
      <w:tr>
        <w:trPr>
          <w:trHeight w:val="30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股权激励限售</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性股票激励计划授予的</w:t>
            </w:r>
          </w:p>
        </w:tc>
      </w:tr>
      <w:tr>
        <w:trPr>
          <w:trHeight w:val="317" w:hRule="exact"/>
        </w:trPr>
        <w:tc>
          <w:tcPr>
            <w:tcW w:w="12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孙烈峰</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89,250</w:t>
            </w:r>
          </w:p>
        </w:tc>
        <w:tc>
          <w:tcPr>
            <w:tcW w:w="111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103,468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22,313</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170,405</w:t>
            </w: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股及高管股份</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限制性股票解除限售日</w:t>
            </w:r>
          </w:p>
        </w:tc>
      </w:tr>
      <w:tr>
        <w:trPr>
          <w:trHeight w:val="30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锁定承诺</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为股份授予登记完成日</w:t>
            </w:r>
          </w:p>
        </w:tc>
      </w:tr>
      <w:tr>
        <w:trPr>
          <w:trHeight w:val="31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起锁定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r>
      <w:tr>
        <w:trPr>
          <w:trHeight w:val="307"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pacing w:val="-4"/>
                <w:sz w:val="18"/>
                <w:szCs w:val="18"/>
              </w:rPr>
              <w:t>之后；高管锁定股部分每</w:t>
            </w:r>
          </w:p>
        </w:tc>
      </w:tr>
      <w:tr>
        <w:trPr>
          <w:trHeight w:val="312" w:hRule="exact"/>
        </w:trPr>
        <w:tc>
          <w:tcPr>
            <w:tcW w:w="1206" w:type="dxa"/>
            <w:tcBorders>
              <w:top w:val="nil" w:sz="6" w:space="0" w:color="auto"/>
              <w:left w:val="single" w:sz="4" w:space="0" w:color="000000"/>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111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30" w:type="dxa"/>
            <w:tcBorders>
              <w:top w:val="nil" w:sz="6" w:space="0" w:color="auto"/>
              <w:left w:val="single" w:sz="4" w:space="0" w:color="000000"/>
              <w:bottom w:val="nil" w:sz="6" w:space="0" w:color="auto"/>
              <w:right w:val="single" w:sz="4" w:space="0" w:color="000000"/>
            </w:tcBorders>
          </w:tcPr>
          <w:p>
            <w:pPr/>
          </w:p>
        </w:tc>
        <w:tc>
          <w:tcPr>
            <w:tcW w:w="1470" w:type="dxa"/>
            <w:tcBorders>
              <w:top w:val="nil" w:sz="6" w:space="0" w:color="auto"/>
              <w:left w:val="single" w:sz="4" w:space="0" w:color="000000"/>
              <w:bottom w:val="nil" w:sz="6" w:space="0" w:color="auto"/>
              <w:right w:val="single" w:sz="4" w:space="0" w:color="000000"/>
            </w:tcBorders>
          </w:tcPr>
          <w:p>
            <w:pP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年按照上年末持有股份</w:t>
            </w:r>
          </w:p>
        </w:tc>
      </w:tr>
      <w:tr>
        <w:trPr>
          <w:trHeight w:val="355" w:hRule="exact"/>
        </w:trPr>
        <w:tc>
          <w:tcPr>
            <w:tcW w:w="1206" w:type="dxa"/>
            <w:tcBorders>
              <w:top w:val="nil" w:sz="6" w:space="0" w:color="auto"/>
              <w:left w:val="single" w:sz="4" w:space="0" w:color="000000"/>
              <w:bottom w:val="single" w:sz="4" w:space="0" w:color="000000"/>
              <w:right w:val="single" w:sz="4" w:space="0" w:color="000000"/>
            </w:tcBorders>
          </w:tcPr>
          <w:p>
            <w:pPr/>
          </w:p>
        </w:tc>
        <w:tc>
          <w:tcPr>
            <w:tcW w:w="1131" w:type="dxa"/>
            <w:tcBorders>
              <w:top w:val="nil" w:sz="6" w:space="0" w:color="auto"/>
              <w:left w:val="single" w:sz="4" w:space="0" w:color="000000"/>
              <w:bottom w:val="single" w:sz="4" w:space="0" w:color="000000"/>
              <w:right w:val="single" w:sz="4" w:space="0" w:color="000000"/>
            </w:tcBorders>
          </w:tcPr>
          <w:p>
            <w:pPr/>
          </w:p>
        </w:tc>
        <w:tc>
          <w:tcPr>
            <w:tcW w:w="111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30" w:type="dxa"/>
            <w:tcBorders>
              <w:top w:val="nil" w:sz="6" w:space="0" w:color="auto"/>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数的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解除限售</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06"/>
        <w:gridCol w:w="1131"/>
        <w:gridCol w:w="1110"/>
        <w:gridCol w:w="1260"/>
        <w:gridCol w:w="1230"/>
        <w:gridCol w:w="1470"/>
        <w:gridCol w:w="2159"/>
      </w:tblGrid>
      <w:tr>
        <w:trPr>
          <w:trHeight w:val="361" w:hRule="exact"/>
        </w:trPr>
        <w:tc>
          <w:tcPr>
            <w:tcW w:w="1206" w:type="dxa"/>
            <w:tcBorders>
              <w:top w:val="single" w:sz="4" w:space="0" w:color="000000"/>
              <w:left w:val="single" w:sz="4" w:space="0" w:color="000000"/>
              <w:bottom w:val="nil" w:sz="6" w:space="0" w:color="auto"/>
              <w:right w:val="single" w:sz="4" w:space="0" w:color="000000"/>
            </w:tcBorders>
          </w:tcPr>
          <w:p>
            <w:pPr/>
          </w:p>
        </w:tc>
        <w:tc>
          <w:tcPr>
            <w:tcW w:w="1131" w:type="dxa"/>
            <w:tcBorders>
              <w:top w:val="single" w:sz="4" w:space="0" w:color="000000"/>
              <w:left w:val="single" w:sz="4" w:space="0" w:color="000000"/>
              <w:bottom w:val="nil" w:sz="6" w:space="0" w:color="auto"/>
              <w:right w:val="single" w:sz="4" w:space="0" w:color="000000"/>
            </w:tcBorders>
          </w:tcPr>
          <w:p>
            <w:pPr/>
          </w:p>
        </w:tc>
        <w:tc>
          <w:tcPr>
            <w:tcW w:w="111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30" w:type="dxa"/>
            <w:tcBorders>
              <w:top w:val="single" w:sz="4" w:space="0" w:color="000000"/>
              <w:left w:val="single" w:sz="4" w:space="0" w:color="000000"/>
              <w:bottom w:val="nil" w:sz="6" w:space="0" w:color="auto"/>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年限制性股票激励</w:t>
            </w:r>
          </w:p>
        </w:tc>
      </w:tr>
      <w:tr>
        <w:trPr>
          <w:trHeight w:val="936" w:hRule="exact"/>
        </w:trPr>
        <w:tc>
          <w:tcPr>
            <w:tcW w:w="12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1" w:right="0"/>
              <w:jc w:val="left"/>
              <w:rPr>
                <w:rFonts w:ascii="宋体" w:hAnsi="宋体" w:cs="宋体" w:eastAsia="宋体" w:hint="default"/>
                <w:sz w:val="18"/>
                <w:szCs w:val="18"/>
              </w:rPr>
            </w:pPr>
            <w:r>
              <w:rPr>
                <w:rFonts w:ascii="宋体" w:hAnsi="宋体" w:cs="宋体" w:eastAsia="宋体" w:hint="default"/>
                <w:sz w:val="18"/>
                <w:szCs w:val="18"/>
              </w:rPr>
              <w:t>高春蓉</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0"/>
              <w:jc w:val="right"/>
              <w:rPr>
                <w:rFonts w:ascii="Times New Roman" w:hAnsi="Times New Roman" w:cs="Times New Roman" w:eastAsia="Times New Roman" w:hint="default"/>
                <w:sz w:val="18"/>
                <w:szCs w:val="18"/>
              </w:rPr>
            </w:pPr>
            <w:r>
              <w:rPr>
                <w:rFonts w:ascii="Times New Roman"/>
                <w:sz w:val="18"/>
              </w:rPr>
              <w:t>0</w:t>
            </w:r>
          </w:p>
        </w:tc>
        <w:tc>
          <w:tcPr>
            <w:tcW w:w="11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1"/>
              <w:jc w:val="right"/>
              <w:rPr>
                <w:rFonts w:ascii="Times New Roman" w:hAnsi="Times New Roman" w:cs="Times New Roman" w:eastAsia="Times New Roman" w:hint="default"/>
                <w:sz w:val="18"/>
                <w:szCs w:val="18"/>
              </w:rPr>
            </w:pPr>
            <w:r>
              <w:rPr>
                <w:rFonts w:ascii="Times New Roman"/>
                <w:spacing w:val="-1"/>
                <w:sz w:val="18"/>
              </w:rPr>
              <w:t>80,000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1"/>
              <w:jc w:val="right"/>
              <w:rPr>
                <w:rFonts w:ascii="Times New Roman" w:hAnsi="Times New Roman" w:cs="Times New Roman" w:eastAsia="Times New Roman" w:hint="default"/>
                <w:sz w:val="18"/>
                <w:szCs w:val="18"/>
              </w:rPr>
            </w:pPr>
            <w:r>
              <w:rPr>
                <w:rFonts w:ascii="Times New Roman"/>
                <w:sz w:val="18"/>
              </w:rPr>
              <w:t>0</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0"/>
              <w:jc w:val="right"/>
              <w:rPr>
                <w:rFonts w:ascii="Times New Roman" w:hAnsi="Times New Roman" w:cs="Times New Roman" w:eastAsia="Times New Roman" w:hint="default"/>
                <w:sz w:val="18"/>
                <w:szCs w:val="18"/>
              </w:rPr>
            </w:pPr>
            <w:r>
              <w:rPr>
                <w:rFonts w:ascii="Times New Roman"/>
                <w:spacing w:val="-1"/>
                <w:sz w:val="18"/>
              </w:rPr>
              <w:t>80,000</w:t>
            </w: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316" w:lineRule="auto" w:before="161"/>
              <w:ind w:left="102" w:right="275"/>
              <w:jc w:val="left"/>
              <w:rPr>
                <w:rFonts w:ascii="宋体" w:hAnsi="宋体" w:cs="宋体" w:eastAsia="宋体" w:hint="default"/>
                <w:sz w:val="18"/>
                <w:szCs w:val="18"/>
              </w:rPr>
            </w:pPr>
            <w:r>
              <w:rPr>
                <w:rFonts w:ascii="宋体" w:hAnsi="宋体" w:cs="宋体" w:eastAsia="宋体" w:hint="default"/>
                <w:sz w:val="18"/>
                <w:szCs w:val="18"/>
              </w:rPr>
              <w:t>股权激励限售 股</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103" w:right="200"/>
              <w:jc w:val="both"/>
              <w:rPr>
                <w:rFonts w:ascii="宋体" w:hAnsi="宋体" w:cs="宋体" w:eastAsia="宋体" w:hint="default"/>
                <w:sz w:val="18"/>
                <w:szCs w:val="18"/>
              </w:rPr>
            </w:pPr>
            <w:r>
              <w:rPr>
                <w:rFonts w:ascii="宋体" w:hAnsi="宋体" w:cs="宋体" w:eastAsia="宋体" w:hint="default"/>
                <w:sz w:val="18"/>
                <w:szCs w:val="18"/>
              </w:rPr>
              <w:t>计划授予的限制性股票 解除限售日为股份授予 登记完成日起锁定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p>
        </w:tc>
      </w:tr>
      <w:tr>
        <w:trPr>
          <w:trHeight w:val="353" w:hRule="exact"/>
        </w:trPr>
        <w:tc>
          <w:tcPr>
            <w:tcW w:w="1206" w:type="dxa"/>
            <w:tcBorders>
              <w:top w:val="nil" w:sz="6" w:space="0" w:color="auto"/>
              <w:left w:val="single" w:sz="4" w:space="0" w:color="000000"/>
              <w:bottom w:val="single" w:sz="4" w:space="0" w:color="000000"/>
              <w:right w:val="single" w:sz="4" w:space="0" w:color="000000"/>
            </w:tcBorders>
          </w:tcPr>
          <w:p>
            <w:pPr/>
          </w:p>
        </w:tc>
        <w:tc>
          <w:tcPr>
            <w:tcW w:w="1131" w:type="dxa"/>
            <w:tcBorders>
              <w:top w:val="nil" w:sz="6" w:space="0" w:color="auto"/>
              <w:left w:val="single" w:sz="4" w:space="0" w:color="000000"/>
              <w:bottom w:val="single" w:sz="4" w:space="0" w:color="000000"/>
              <w:right w:val="single" w:sz="4" w:space="0" w:color="000000"/>
            </w:tcBorders>
          </w:tcPr>
          <w:p>
            <w:pPr/>
          </w:p>
        </w:tc>
        <w:tc>
          <w:tcPr>
            <w:tcW w:w="111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30" w:type="dxa"/>
            <w:tcBorders>
              <w:top w:val="nil" w:sz="6" w:space="0" w:color="auto"/>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个月之后</w:t>
            </w:r>
          </w:p>
        </w:tc>
      </w:tr>
      <w:tr>
        <w:trPr>
          <w:trHeight w:val="362" w:hRule="exact"/>
        </w:trPr>
        <w:tc>
          <w:tcPr>
            <w:tcW w:w="1206" w:type="dxa"/>
            <w:tcBorders>
              <w:top w:val="single" w:sz="4" w:space="0" w:color="000000"/>
              <w:left w:val="single" w:sz="4" w:space="0" w:color="000000"/>
              <w:bottom w:val="nil" w:sz="6" w:space="0" w:color="auto"/>
              <w:right w:val="single" w:sz="4" w:space="0" w:color="000000"/>
            </w:tcBorders>
          </w:tcPr>
          <w:p>
            <w:pPr/>
          </w:p>
        </w:tc>
        <w:tc>
          <w:tcPr>
            <w:tcW w:w="1131" w:type="dxa"/>
            <w:tcBorders>
              <w:top w:val="single" w:sz="4" w:space="0" w:color="000000"/>
              <w:left w:val="single" w:sz="4" w:space="0" w:color="000000"/>
              <w:bottom w:val="nil" w:sz="6" w:space="0" w:color="auto"/>
              <w:right w:val="single" w:sz="4" w:space="0" w:color="000000"/>
            </w:tcBorders>
          </w:tcPr>
          <w:p>
            <w:pPr/>
          </w:p>
        </w:tc>
        <w:tc>
          <w:tcPr>
            <w:tcW w:w="111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30" w:type="dxa"/>
            <w:tcBorders>
              <w:top w:val="single" w:sz="4" w:space="0" w:color="000000"/>
              <w:left w:val="single" w:sz="4" w:space="0" w:color="000000"/>
              <w:bottom w:val="nil" w:sz="6" w:space="0" w:color="auto"/>
              <w:right w:val="single" w:sz="4" w:space="0" w:color="000000"/>
            </w:tcBorders>
          </w:tcPr>
          <w:p>
            <w:pPr/>
          </w:p>
        </w:tc>
        <w:tc>
          <w:tcPr>
            <w:tcW w:w="1470" w:type="dxa"/>
            <w:tcBorders>
              <w:top w:val="single" w:sz="4" w:space="0" w:color="000000"/>
              <w:left w:val="single" w:sz="4" w:space="0" w:color="000000"/>
              <w:bottom w:val="nil" w:sz="6" w:space="0" w:color="auto"/>
              <w:right w:val="single" w:sz="4" w:space="0" w:color="000000"/>
            </w:tcBorders>
          </w:tcPr>
          <w:p>
            <w:pPr/>
          </w:p>
        </w:tc>
        <w:tc>
          <w:tcPr>
            <w:tcW w:w="21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年限制性股票激励</w:t>
            </w:r>
          </w:p>
        </w:tc>
      </w:tr>
      <w:tr>
        <w:trPr>
          <w:trHeight w:val="936" w:hRule="exact"/>
        </w:trPr>
        <w:tc>
          <w:tcPr>
            <w:tcW w:w="12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1" w:right="0"/>
              <w:jc w:val="left"/>
              <w:rPr>
                <w:rFonts w:ascii="宋体" w:hAnsi="宋体" w:cs="宋体" w:eastAsia="宋体" w:hint="default"/>
                <w:sz w:val="18"/>
                <w:szCs w:val="18"/>
              </w:rPr>
            </w:pPr>
            <w:r>
              <w:rPr>
                <w:rFonts w:ascii="宋体" w:hAnsi="宋体" w:cs="宋体" w:eastAsia="宋体" w:hint="default"/>
                <w:sz w:val="18"/>
                <w:szCs w:val="18"/>
              </w:rPr>
              <w:t>陈东</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0"/>
              <w:jc w:val="right"/>
              <w:rPr>
                <w:rFonts w:ascii="Times New Roman" w:hAnsi="Times New Roman" w:cs="Times New Roman" w:eastAsia="Times New Roman" w:hint="default"/>
                <w:sz w:val="18"/>
                <w:szCs w:val="18"/>
              </w:rPr>
            </w:pPr>
            <w:r>
              <w:rPr>
                <w:rFonts w:ascii="Times New Roman"/>
                <w:sz w:val="18"/>
              </w:rPr>
              <w:t>0</w:t>
            </w:r>
          </w:p>
        </w:tc>
        <w:tc>
          <w:tcPr>
            <w:tcW w:w="11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1"/>
              <w:jc w:val="right"/>
              <w:rPr>
                <w:rFonts w:ascii="Times New Roman" w:hAnsi="Times New Roman" w:cs="Times New Roman" w:eastAsia="Times New Roman" w:hint="default"/>
                <w:sz w:val="18"/>
                <w:szCs w:val="18"/>
              </w:rPr>
            </w:pPr>
            <w:r>
              <w:rPr>
                <w:rFonts w:ascii="Times New Roman"/>
                <w:spacing w:val="-1"/>
                <w:sz w:val="18"/>
              </w:rPr>
              <w:t>80,000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1"/>
              <w:jc w:val="right"/>
              <w:rPr>
                <w:rFonts w:ascii="Times New Roman" w:hAnsi="Times New Roman" w:cs="Times New Roman" w:eastAsia="Times New Roman" w:hint="default"/>
                <w:sz w:val="18"/>
                <w:szCs w:val="18"/>
              </w:rPr>
            </w:pPr>
            <w:r>
              <w:rPr>
                <w:rFonts w:ascii="Times New Roman"/>
                <w:sz w:val="18"/>
              </w:rPr>
              <w:t>0</w:t>
            </w:r>
          </w:p>
        </w:tc>
        <w:tc>
          <w:tcPr>
            <w:tcW w:w="12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0"/>
              <w:jc w:val="right"/>
              <w:rPr>
                <w:rFonts w:ascii="Times New Roman" w:hAnsi="Times New Roman" w:cs="Times New Roman" w:eastAsia="Times New Roman" w:hint="default"/>
                <w:sz w:val="18"/>
                <w:szCs w:val="18"/>
              </w:rPr>
            </w:pPr>
            <w:r>
              <w:rPr>
                <w:rFonts w:ascii="Times New Roman"/>
                <w:spacing w:val="-1"/>
                <w:sz w:val="18"/>
              </w:rPr>
              <w:t>80,000</w:t>
            </w:r>
          </w:p>
        </w:tc>
        <w:tc>
          <w:tcPr>
            <w:tcW w:w="1470" w:type="dxa"/>
            <w:tcBorders>
              <w:top w:val="nil" w:sz="6" w:space="0" w:color="auto"/>
              <w:left w:val="single" w:sz="4" w:space="0" w:color="000000"/>
              <w:bottom w:val="nil" w:sz="6" w:space="0" w:color="auto"/>
              <w:right w:val="single" w:sz="4" w:space="0" w:color="000000"/>
            </w:tcBorders>
          </w:tcPr>
          <w:p>
            <w:pPr>
              <w:pStyle w:val="TableParagraph"/>
              <w:spacing w:line="316" w:lineRule="auto" w:before="161"/>
              <w:ind w:left="102" w:right="275"/>
              <w:jc w:val="left"/>
              <w:rPr>
                <w:rFonts w:ascii="宋体" w:hAnsi="宋体" w:cs="宋体" w:eastAsia="宋体" w:hint="default"/>
                <w:sz w:val="18"/>
                <w:szCs w:val="18"/>
              </w:rPr>
            </w:pPr>
            <w:r>
              <w:rPr>
                <w:rFonts w:ascii="宋体" w:hAnsi="宋体" w:cs="宋体" w:eastAsia="宋体" w:hint="default"/>
                <w:sz w:val="18"/>
                <w:szCs w:val="18"/>
              </w:rPr>
              <w:t>股权激励限售 股</w:t>
            </w:r>
          </w:p>
        </w:tc>
        <w:tc>
          <w:tcPr>
            <w:tcW w:w="2159"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103" w:right="200"/>
              <w:jc w:val="both"/>
              <w:rPr>
                <w:rFonts w:ascii="宋体" w:hAnsi="宋体" w:cs="宋体" w:eastAsia="宋体" w:hint="default"/>
                <w:sz w:val="18"/>
                <w:szCs w:val="18"/>
              </w:rPr>
            </w:pPr>
            <w:r>
              <w:rPr>
                <w:rFonts w:ascii="宋体" w:hAnsi="宋体" w:cs="宋体" w:eastAsia="宋体" w:hint="default"/>
                <w:sz w:val="18"/>
                <w:szCs w:val="18"/>
              </w:rPr>
              <w:t>计划授予的限制性股票 解除限售日为股份授予 登记完成日起锁定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p>
        </w:tc>
      </w:tr>
      <w:tr>
        <w:trPr>
          <w:trHeight w:val="352" w:hRule="exact"/>
        </w:trPr>
        <w:tc>
          <w:tcPr>
            <w:tcW w:w="1206" w:type="dxa"/>
            <w:tcBorders>
              <w:top w:val="nil" w:sz="6" w:space="0" w:color="auto"/>
              <w:left w:val="single" w:sz="4" w:space="0" w:color="000000"/>
              <w:bottom w:val="single" w:sz="4" w:space="0" w:color="000000"/>
              <w:right w:val="single" w:sz="4" w:space="0" w:color="000000"/>
            </w:tcBorders>
          </w:tcPr>
          <w:p>
            <w:pPr/>
          </w:p>
        </w:tc>
        <w:tc>
          <w:tcPr>
            <w:tcW w:w="1131" w:type="dxa"/>
            <w:tcBorders>
              <w:top w:val="nil" w:sz="6" w:space="0" w:color="auto"/>
              <w:left w:val="single" w:sz="4" w:space="0" w:color="000000"/>
              <w:bottom w:val="single" w:sz="4" w:space="0" w:color="000000"/>
              <w:right w:val="single" w:sz="4" w:space="0" w:color="000000"/>
            </w:tcBorders>
          </w:tcPr>
          <w:p>
            <w:pPr/>
          </w:p>
        </w:tc>
        <w:tc>
          <w:tcPr>
            <w:tcW w:w="111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30" w:type="dxa"/>
            <w:tcBorders>
              <w:top w:val="nil" w:sz="6" w:space="0" w:color="auto"/>
              <w:left w:val="single" w:sz="4" w:space="0" w:color="000000"/>
              <w:bottom w:val="single" w:sz="4" w:space="0" w:color="000000"/>
              <w:right w:val="single" w:sz="4" w:space="0" w:color="000000"/>
            </w:tcBorders>
          </w:tcPr>
          <w:p>
            <w:pPr/>
          </w:p>
        </w:tc>
        <w:tc>
          <w:tcPr>
            <w:tcW w:w="1470" w:type="dxa"/>
            <w:tcBorders>
              <w:top w:val="nil" w:sz="6" w:space="0" w:color="auto"/>
              <w:left w:val="single" w:sz="4" w:space="0" w:color="000000"/>
              <w:bottom w:val="single" w:sz="4" w:space="0" w:color="000000"/>
              <w:right w:val="single" w:sz="4" w:space="0" w:color="000000"/>
            </w:tcBorders>
          </w:tcPr>
          <w:p>
            <w:pPr/>
          </w:p>
        </w:tc>
        <w:tc>
          <w:tcPr>
            <w:tcW w:w="21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个月之后</w:t>
            </w:r>
          </w:p>
        </w:tc>
      </w:tr>
      <w:tr>
        <w:trPr>
          <w:trHeight w:val="2898" w:hRule="exact"/>
        </w:trPr>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z w:val="18"/>
                <w:szCs w:val="18"/>
              </w:rPr>
              <w:t>股权激励计 划授予的限 </w:t>
            </w:r>
            <w:r>
              <w:rPr>
                <w:rFonts w:ascii="宋体" w:hAnsi="宋体" w:cs="宋体" w:eastAsia="宋体" w:hint="default"/>
                <w:spacing w:val="-15"/>
                <w:sz w:val="18"/>
                <w:szCs w:val="18"/>
              </w:rPr>
              <w:t>制性股票（除</w:t>
            </w:r>
            <w:r>
              <w:rPr>
                <w:rFonts w:ascii="宋体" w:hAnsi="宋体" w:cs="宋体" w:eastAsia="宋体" w:hint="default"/>
                <w:sz w:val="18"/>
                <w:szCs w:val="18"/>
              </w:rPr>
              <w:t> 董监高以外 的人员）</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5,886,480</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12,289,969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3,457,063</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14,719,386</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2" w:right="100"/>
              <w:jc w:val="left"/>
              <w:rPr>
                <w:rFonts w:ascii="宋体" w:hAnsi="宋体" w:cs="宋体" w:eastAsia="宋体" w:hint="default"/>
                <w:sz w:val="18"/>
                <w:szCs w:val="18"/>
              </w:rPr>
            </w:pPr>
            <w:r>
              <w:rPr>
                <w:rFonts w:ascii="宋体" w:hAnsi="宋体" w:cs="宋体" w:eastAsia="宋体" w:hint="default"/>
                <w:sz w:val="18"/>
                <w:szCs w:val="18"/>
              </w:rPr>
              <w:t>根据《公司股票 期权与限制性 股票激励计划</w:t>
            </w:r>
          </w:p>
          <w:p>
            <w:pPr>
              <w:pStyle w:val="TableParagraph"/>
              <w:spacing w:line="314" w:lineRule="auto" w:before="19"/>
              <w:ind w:left="102" w:right="4"/>
              <w:jc w:val="left"/>
              <w:rPr>
                <w:rFonts w:ascii="宋体" w:hAnsi="宋体" w:cs="宋体" w:eastAsia="宋体" w:hint="default"/>
                <w:sz w:val="18"/>
                <w:szCs w:val="18"/>
              </w:rPr>
            </w:pPr>
            <w:r>
              <w:rPr>
                <w:rFonts w:ascii="宋体" w:hAnsi="宋体" w:cs="宋体" w:eastAsia="宋体" w:hint="default"/>
                <w:spacing w:val="-12"/>
                <w:sz w:val="18"/>
                <w:szCs w:val="18"/>
              </w:rPr>
              <w:t>（草案修订稿）》</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及《公司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年限制性股票 激励计划（草 案）》执行</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0"/>
              <w:ind w:left="103" w:right="102"/>
              <w:jc w:val="left"/>
              <w:rPr>
                <w:rFonts w:ascii="宋体" w:hAnsi="宋体" w:cs="宋体" w:eastAsia="宋体" w:hint="default"/>
                <w:sz w:val="18"/>
                <w:szCs w:val="18"/>
              </w:rPr>
            </w:pPr>
            <w:r>
              <w:rPr>
                <w:rFonts w:ascii="宋体" w:hAnsi="宋体" w:cs="宋体" w:eastAsia="宋体" w:hint="default"/>
                <w:sz w:val="18"/>
                <w:szCs w:val="18"/>
              </w:rPr>
              <w:t>股票期权与限制性股票 激励计划授予的限制性 股票已于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 </w:t>
            </w:r>
            <w:r>
              <w:rPr>
                <w:rFonts w:ascii="宋体" w:hAnsi="宋体" w:cs="宋体" w:eastAsia="宋体" w:hint="default"/>
                <w:spacing w:val="-9"/>
                <w:sz w:val="18"/>
                <w:szCs w:val="18"/>
              </w:rPr>
              <w:t>日解除限售；</w:t>
            </w:r>
            <w:r>
              <w:rPr>
                <w:rFonts w:ascii="Times New Roman" w:hAnsi="Times New Roman" w:cs="Times New Roman" w:eastAsia="Times New Roman" w:hint="default"/>
                <w:spacing w:val="-9"/>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年限制 性股票激励计划授予的 限制性股票解除限售日 为股份授予登记完成日 起锁定</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 之后</w:t>
            </w:r>
          </w:p>
        </w:tc>
      </w:tr>
      <w:tr>
        <w:trPr>
          <w:trHeight w:val="402" w:hRule="exact"/>
        </w:trPr>
        <w:tc>
          <w:tcPr>
            <w:tcW w:w="1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141,472,562</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78,290,490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26,044,605</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193,718,447</w:t>
            </w:r>
          </w:p>
        </w:tc>
        <w:tc>
          <w:tcPr>
            <w:tcW w:w="1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21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882"/>
        <w:jc w:val="left"/>
        <w:rPr>
          <w:b w:val="0"/>
          <w:bCs w:val="0"/>
        </w:rPr>
      </w:pPr>
      <w:bookmarkStart w:name="二、证券发行与上市情况" w:id="112"/>
      <w:bookmarkEnd w:id="112"/>
      <w:r>
        <w:rPr>
          <w:b w:val="0"/>
          <w:bCs w:val="0"/>
        </w:rPr>
      </w:r>
      <w:r>
        <w:rPr/>
        <w:t>二、证券发行与上市情况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报告期内证券发行（不含优先股）情况" w:id="113"/>
      <w:bookmarkEnd w:id="113"/>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12"/>
        <w:gridCol w:w="1293"/>
        <w:gridCol w:w="1295"/>
        <w:gridCol w:w="1295"/>
        <w:gridCol w:w="1784"/>
        <w:gridCol w:w="1275"/>
        <w:gridCol w:w="1215"/>
      </w:tblGrid>
      <w:tr>
        <w:trPr>
          <w:trHeight w:val="714" w:hRule="exact"/>
        </w:trPr>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42" w:right="158" w:hanging="180"/>
              <w:jc w:val="left"/>
              <w:rPr>
                <w:rFonts w:ascii="宋体" w:hAnsi="宋体" w:cs="宋体" w:eastAsia="宋体" w:hint="default"/>
                <w:sz w:val="18"/>
                <w:szCs w:val="18"/>
              </w:rPr>
            </w:pPr>
            <w:r>
              <w:rPr>
                <w:rFonts w:ascii="宋体" w:hAnsi="宋体" w:cs="宋体" w:eastAsia="宋体" w:hint="default"/>
                <w:sz w:val="18"/>
                <w:szCs w:val="18"/>
              </w:rPr>
              <w:t>股票及其衍生 证券名称</w:t>
            </w:r>
          </w:p>
        </w:tc>
        <w:tc>
          <w:tcPr>
            <w:tcW w:w="1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1"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1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73" w:right="101" w:hanging="269"/>
              <w:jc w:val="left"/>
              <w:rPr>
                <w:rFonts w:ascii="宋体" w:hAnsi="宋体" w:cs="宋体" w:eastAsia="宋体" w:hint="default"/>
                <w:sz w:val="18"/>
                <w:szCs w:val="18"/>
              </w:rPr>
            </w:pPr>
            <w:r>
              <w:rPr>
                <w:rFonts w:ascii="宋体" w:hAnsi="宋体" w:cs="宋体" w:eastAsia="宋体" w:hint="default"/>
                <w:sz w:val="18"/>
                <w:szCs w:val="18"/>
              </w:rPr>
              <w:t>发行价格（或 利率）</w:t>
            </w:r>
          </w:p>
        </w:tc>
        <w:tc>
          <w:tcPr>
            <w:tcW w:w="1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2"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26" w:right="0"/>
              <w:jc w:val="left"/>
              <w:rPr>
                <w:rFonts w:ascii="宋体" w:hAnsi="宋体" w:cs="宋体" w:eastAsia="宋体" w:hint="default"/>
                <w:sz w:val="18"/>
                <w:szCs w:val="18"/>
              </w:rPr>
            </w:pPr>
            <w:r>
              <w:rPr>
                <w:rFonts w:ascii="宋体" w:hAnsi="宋体" w:cs="宋体" w:eastAsia="宋体" w:hint="default"/>
                <w:sz w:val="18"/>
                <w:szCs w:val="18"/>
              </w:rPr>
              <w:t>上市日期</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62" w:right="181" w:hanging="180"/>
              <w:jc w:val="left"/>
              <w:rPr>
                <w:rFonts w:ascii="宋体" w:hAnsi="宋体" w:cs="宋体" w:eastAsia="宋体" w:hint="default"/>
                <w:sz w:val="18"/>
                <w:szCs w:val="18"/>
              </w:rPr>
            </w:pPr>
            <w:r>
              <w:rPr>
                <w:rFonts w:ascii="宋体" w:hAnsi="宋体" w:cs="宋体" w:eastAsia="宋体" w:hint="default"/>
                <w:sz w:val="18"/>
                <w:szCs w:val="18"/>
              </w:rPr>
              <w:t>获准上市交 易数量</w:t>
            </w:r>
          </w:p>
        </w:tc>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12" w:right="150" w:hanging="360"/>
              <w:jc w:val="left"/>
              <w:rPr>
                <w:rFonts w:ascii="宋体" w:hAnsi="宋体" w:cs="宋体" w:eastAsia="宋体" w:hint="default"/>
                <w:sz w:val="18"/>
                <w:szCs w:val="18"/>
              </w:rPr>
            </w:pPr>
            <w:r>
              <w:rPr>
                <w:rFonts w:ascii="宋体" w:hAnsi="宋体" w:cs="宋体" w:eastAsia="宋体" w:hint="default"/>
                <w:sz w:val="18"/>
                <w:szCs w:val="18"/>
              </w:rPr>
              <w:t>交易终止日 期</w:t>
            </w:r>
          </w:p>
        </w:tc>
      </w:tr>
      <w:tr>
        <w:trPr>
          <w:trHeight w:val="402" w:hRule="exact"/>
        </w:trPr>
        <w:tc>
          <w:tcPr>
            <w:tcW w:w="9569"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714" w:hRule="exac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限制性股票</w:t>
            </w:r>
          </w:p>
        </w:tc>
        <w:tc>
          <w:tcPr>
            <w:tcW w:w="1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8.00</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8" w:right="0"/>
              <w:jc w:val="left"/>
              <w:rPr>
                <w:rFonts w:ascii="Times New Roman" w:hAnsi="Times New Roman" w:cs="Times New Roman" w:eastAsia="Times New Roman" w:hint="default"/>
                <w:sz w:val="18"/>
                <w:szCs w:val="18"/>
              </w:rPr>
            </w:pPr>
            <w:r>
              <w:rPr>
                <w:rFonts w:ascii="Times New Roman"/>
                <w:sz w:val="18"/>
              </w:rPr>
              <w:t>11,237,500</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9" w:right="0"/>
              <w:jc w:val="left"/>
              <w:rPr>
                <w:rFonts w:ascii="Times New Roman" w:hAnsi="Times New Roman" w:cs="Times New Roman" w:eastAsia="Times New Roman" w:hint="default"/>
                <w:sz w:val="18"/>
                <w:szCs w:val="18"/>
              </w:rPr>
            </w:pPr>
            <w:r>
              <w:rPr>
                <w:rFonts w:ascii="Times New Roman"/>
                <w:sz w:val="18"/>
              </w:rPr>
              <w:t>11,237,500</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6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9569"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可转换公司债券、分离交易的可转换公司债券、公司债类</w:t>
            </w:r>
          </w:p>
        </w:tc>
      </w:tr>
      <w:tr>
        <w:trPr>
          <w:trHeight w:val="402" w:hRule="exact"/>
        </w:trPr>
        <w:tc>
          <w:tcPr>
            <w:tcW w:w="9569"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其他衍生证券类</w:t>
            </w:r>
          </w:p>
        </w:tc>
      </w:tr>
    </w:tbl>
    <w:p>
      <w:pPr>
        <w:pStyle w:val="BodyText"/>
        <w:spacing w:line="240" w:lineRule="auto" w:before="51"/>
        <w:ind w:right="882"/>
        <w:jc w:val="left"/>
      </w:pPr>
      <w:r>
        <w:rPr/>
        <w:t>报告期内证券发行（不含优先股）情况的说明</w:t>
      </w:r>
    </w:p>
    <w:p>
      <w:pPr>
        <w:pStyle w:val="BodyText"/>
        <w:spacing w:line="240" w:lineRule="auto" w:before="115"/>
        <w:ind w:left="472" w:right="882"/>
        <w:jc w:val="left"/>
      </w:pPr>
      <w:r>
        <w:rPr>
          <w:rFonts w:ascii="Times New Roman" w:hAnsi="Times New Roman" w:cs="Times New Roman" w:eastAsia="Times New Roman" w:hint="default"/>
        </w:rPr>
        <w:t>1</w:t>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日，公司《股票期权与限制性股票激励计划》激励对象通过自主行权方式共计行权</w:t>
      </w:r>
      <w:r>
        <w:rPr>
          <w:rFonts w:ascii="Times New Roman" w:hAnsi="Times New Roman" w:cs="Times New Roman" w:eastAsia="Times New Roman" w:hint="default"/>
        </w:rPr>
        <w:t>405,176</w:t>
      </w:r>
      <w:r>
        <w:rPr/>
        <w:t>份。</w:t>
      </w:r>
    </w:p>
    <w:p>
      <w:pPr>
        <w:pStyle w:val="BodyText"/>
        <w:spacing w:line="304" w:lineRule="auto" w:before="63"/>
        <w:ind w:right="1129" w:firstLine="36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23</w:t>
      </w:r>
      <w:r>
        <w:rPr/>
        <w:t>日，公司第六届董事会第二十三次会议审议通过了《关于公司</w:t>
      </w:r>
      <w:r>
        <w:rPr>
          <w:rFonts w:ascii="Times New Roman" w:hAnsi="Times New Roman" w:cs="Times New Roman" w:eastAsia="Times New Roman" w:hint="default"/>
        </w:rPr>
        <w:t>&lt;2019</w:t>
      </w:r>
      <w:r>
        <w:rPr/>
        <w:t>年限制性股票激励计划（草案）</w:t>
      </w:r>
      <w:r>
        <w:rPr>
          <w:rFonts w:ascii="Times New Roman" w:hAnsi="Times New Roman" w:cs="Times New Roman" w:eastAsia="Times New Roman" w:hint="default"/>
        </w:rPr>
        <w:t>&gt;</w:t>
      </w:r>
      <w:r>
        <w:rPr>
          <w:rFonts w:ascii="Times New Roman" w:hAnsi="Times New Roman" w:cs="Times New Roman" w:eastAsia="Times New Roman" w:hint="default"/>
          <w:w w:val="99"/>
        </w:rPr>
        <w:t> </w:t>
      </w:r>
      <w:r>
        <w:rPr>
          <w:spacing w:val="-2"/>
        </w:rPr>
        <w:t>及其摘要的议案》，并披露了《</w:t>
      </w:r>
      <w:r>
        <w:rPr>
          <w:rFonts w:ascii="Times New Roman" w:hAnsi="Times New Roman" w:cs="Times New Roman" w:eastAsia="Times New Roman" w:hint="default"/>
          <w:spacing w:val="-2"/>
        </w:rPr>
        <w:t>2019</w:t>
      </w:r>
      <w:r>
        <w:rPr>
          <w:spacing w:val="-2"/>
        </w:rPr>
        <w:t>年限制性股票激励计划（草案）》。公司第六届监事会第十九次会议审议通过上述议案</w:t>
      </w:r>
      <w:r>
        <w:rPr>
          <w:spacing w:val="-60"/>
        </w:rPr>
        <w:t> </w:t>
      </w:r>
      <w:r>
        <w:rPr>
          <w:spacing w:val="-60"/>
        </w:rPr>
      </w:r>
      <w:r>
        <w:rPr/>
        <w:t>并对公司本次限制性股票激励计划的激励对象名单进行核实，公司独立董事就本次限制性股票激励计划发表了独立意见。</w:t>
      </w:r>
      <w:r>
        <w:rPr>
          <w:spacing w:val="-9"/>
        </w:rPr>
        <w:t> </w:t>
      </w:r>
      <w:r>
        <w:rPr>
          <w:spacing w:val="-9"/>
        </w:rPr>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7</w:t>
      </w:r>
      <w:r>
        <w:rPr>
          <w:spacing w:val="-1"/>
        </w:rPr>
        <w:t>日，公司</w:t>
      </w:r>
      <w:r>
        <w:rPr>
          <w:rFonts w:ascii="Times New Roman" w:hAnsi="Times New Roman" w:cs="Times New Roman" w:eastAsia="Times New Roman" w:hint="default"/>
          <w:spacing w:val="-1"/>
        </w:rPr>
        <w:t>2019</w:t>
      </w:r>
      <w:r>
        <w:rPr>
          <w:spacing w:val="-1"/>
        </w:rPr>
        <w:t>年第三次临时股东大会审议并通过了《关于公司</w:t>
      </w:r>
      <w:r>
        <w:rPr>
          <w:rFonts w:ascii="Times New Roman" w:hAnsi="Times New Roman" w:cs="Times New Roman" w:eastAsia="Times New Roman" w:hint="default"/>
          <w:spacing w:val="-1"/>
        </w:rPr>
        <w:t>&lt;2019</w:t>
      </w:r>
      <w:r>
        <w:rPr>
          <w:spacing w:val="-1"/>
        </w:rPr>
        <w:t>年限制性股票激励计划（草案）</w:t>
      </w:r>
      <w:r>
        <w:rPr>
          <w:rFonts w:ascii="Times New Roman" w:hAnsi="Times New Roman" w:cs="Times New Roman" w:eastAsia="Times New Roman" w:hint="default"/>
          <w:spacing w:val="-1"/>
        </w:rPr>
        <w:t>&gt;</w:t>
      </w:r>
      <w:r>
        <w:rPr>
          <w:spacing w:val="-1"/>
        </w:rPr>
        <w:t>及其摘要</w:t>
      </w:r>
      <w:r>
        <w:rPr>
          <w:spacing w:val="-51"/>
        </w:rPr>
        <w:t> </w:t>
      </w:r>
      <w:r>
        <w:rPr/>
        <w:t>的议案》、《关于公司</w:t>
      </w:r>
      <w:r>
        <w:rPr>
          <w:rFonts w:ascii="Times New Roman" w:hAnsi="Times New Roman" w:cs="Times New Roman" w:eastAsia="Times New Roman" w:hint="default"/>
        </w:rPr>
        <w:t>&lt;2019</w:t>
      </w:r>
      <w:r>
        <w:rPr/>
        <w:t>年限制性股票激励计划实施考核管理办法</w:t>
      </w:r>
      <w:r>
        <w:rPr>
          <w:rFonts w:ascii="Times New Roman" w:hAnsi="Times New Roman" w:cs="Times New Roman" w:eastAsia="Times New Roman" w:hint="default"/>
        </w:rPr>
        <w:t>&gt;</w:t>
      </w:r>
      <w:r>
        <w:rPr/>
        <w:t>的议案》和《关于提请股东大会授权董事会办理股</w:t>
      </w:r>
      <w:r>
        <w:rPr>
          <w:spacing w:val="-30"/>
        </w:rPr>
        <w:t> </w:t>
      </w:r>
      <w:r>
        <w:rPr>
          <w:spacing w:val="-30"/>
        </w:rPr>
      </w:r>
      <w:r>
        <w:rPr/>
        <w:t>权激励相关事宜的议案》。</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w:t>
      </w:r>
      <w:r>
        <w:rPr/>
        <w:t>日，公司此次激励计划首次授予部分限制性股票完成授予登记工作。本次限制性股</w:t>
      </w:r>
    </w:p>
    <w:p>
      <w:pPr>
        <w:spacing w:after="0" w:line="304"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882"/>
        <w:jc w:val="left"/>
      </w:pPr>
      <w:r>
        <w:rPr/>
        <w:t>票激励计划首次授予对象为</w:t>
      </w:r>
      <w:r>
        <w:rPr>
          <w:rFonts w:ascii="Times New Roman" w:hAnsi="Times New Roman" w:cs="Times New Roman" w:eastAsia="Times New Roman" w:hint="default"/>
        </w:rPr>
        <w:t>305</w:t>
      </w:r>
      <w:r>
        <w:rPr/>
        <w:t>人，首次授予数量为</w:t>
      </w:r>
      <w:r>
        <w:rPr>
          <w:rFonts w:ascii="Times New Roman" w:hAnsi="Times New Roman" w:cs="Times New Roman" w:eastAsia="Times New Roman" w:hint="default"/>
        </w:rPr>
        <w:t>1,123.75</w:t>
      </w:r>
      <w:r>
        <w:rPr/>
        <w:t>万股，占授予前公司总股本的</w:t>
      </w:r>
      <w:r>
        <w:rPr>
          <w:rFonts w:ascii="Times New Roman" w:hAnsi="Times New Roman" w:cs="Times New Roman" w:eastAsia="Times New Roman" w:hint="default"/>
        </w:rPr>
        <w:t>1.53%</w:t>
      </w:r>
      <w:r>
        <w:rPr/>
        <w:t>。</w:t>
      </w:r>
      <w:r>
        <w:rPr>
          <w:spacing w:val="50"/>
        </w:rPr>
        <w:t> </w:t>
      </w:r>
      <w:r>
        <w:rPr/>
        <w:t>本次首次授予的限制性</w:t>
      </w:r>
      <w:r>
        <w:rPr>
          <w:spacing w:val="-76"/>
        </w:rPr>
        <w:t> </w:t>
      </w:r>
      <w:r>
        <w:rPr>
          <w:spacing w:val="-76"/>
        </w:rPr>
      </w:r>
      <w:r>
        <w:rPr/>
        <w:t>股票上市日期为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5</w:t>
      </w:r>
      <w:r>
        <w:rPr/>
        <w:t>日（星期四）。</w:t>
      </w:r>
    </w:p>
    <w:p>
      <w:pPr>
        <w:spacing w:line="240" w:lineRule="auto" w:before="13"/>
        <w:rPr>
          <w:rFonts w:ascii="宋体" w:hAnsi="宋体" w:cs="宋体" w:eastAsia="宋体" w:hint="default"/>
          <w:sz w:val="21"/>
          <w:szCs w:val="21"/>
        </w:rPr>
      </w:pPr>
    </w:p>
    <w:p>
      <w:pPr>
        <w:pStyle w:val="Heading3"/>
        <w:spacing w:line="240" w:lineRule="auto"/>
        <w:ind w:right="882"/>
        <w:jc w:val="left"/>
        <w:rPr>
          <w:b w:val="0"/>
          <w:bCs w:val="0"/>
        </w:rPr>
      </w:pPr>
      <w:bookmarkStart w:name="2、公司股份总数及股东结构的变动、公司资产和负债结构的变动情况说明" w:id="114"/>
      <w:bookmarkEnd w:id="114"/>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left="472" w:right="5714" w:hanging="360"/>
        <w:jc w:val="left"/>
      </w:pPr>
      <w:r>
        <w:rPr/>
        <w:t>√ 适用 □ 不适用 一、股票期权与限制性股票激励计划激励股份回购注销情况</w:t>
      </w:r>
    </w:p>
    <w:p>
      <w:pPr>
        <w:pStyle w:val="BodyText"/>
        <w:spacing w:line="236" w:lineRule="exact"/>
        <w:ind w:right="0" w:firstLine="30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12</w:t>
      </w:r>
      <w:r>
        <w:rPr/>
        <w:t>日，公司股票期权与限制性股票激励计划之离职人员尚未解锁的限制性股票已在中国证券登记结算有</w:t>
      </w:r>
    </w:p>
    <w:p>
      <w:pPr>
        <w:pStyle w:val="BodyText"/>
        <w:spacing w:line="300" w:lineRule="auto" w:before="63"/>
        <w:ind w:right="1129"/>
        <w:jc w:val="left"/>
      </w:pPr>
      <w:r>
        <w:rPr>
          <w:spacing w:val="-1"/>
        </w:rPr>
        <w:t>限责任公司深圳分公司完成注销回购手续，公司本次回购注销的股票数量为</w:t>
      </w:r>
      <w:r>
        <w:rPr>
          <w:rFonts w:ascii="Times New Roman" w:hAnsi="Times New Roman" w:cs="Times New Roman" w:eastAsia="Times New Roman" w:hint="default"/>
          <w:spacing w:val="-1"/>
        </w:rPr>
        <w:t>117,003</w:t>
      </w:r>
      <w:r>
        <w:rPr>
          <w:spacing w:val="-1"/>
        </w:rPr>
        <w:t>股，占回购前公司总股本的</w:t>
      </w:r>
      <w:r>
        <w:rPr>
          <w:rFonts w:ascii="Times New Roman" w:hAnsi="Times New Roman" w:cs="Times New Roman" w:eastAsia="Times New Roman" w:hint="default"/>
          <w:spacing w:val="-1"/>
        </w:rPr>
        <w:t>0.0158%</w:t>
      </w:r>
      <w:r>
        <w:rPr>
          <w:spacing w:val="-1"/>
        </w:rPr>
        <w:t>。具</w:t>
      </w:r>
      <w:r>
        <w:rPr>
          <w:spacing w:val="-86"/>
        </w:rPr>
        <w:t> </w:t>
      </w:r>
      <w:r>
        <w:rPr>
          <w:spacing w:val="-86"/>
        </w:rPr>
      </w:r>
      <w:r>
        <w:rPr/>
        <w:t>体内容详见公司在巨潮资讯网站（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2019-106</w:t>
      </w:r>
      <w:r>
        <w:rPr/>
        <w:t>）。</w:t>
      </w:r>
    </w:p>
    <w:p>
      <w:pPr>
        <w:pStyle w:val="BodyText"/>
        <w:spacing w:line="240" w:lineRule="auto" w:before="13"/>
        <w:ind w:left="472" w:right="882"/>
        <w:jc w:val="left"/>
      </w:pPr>
      <w:r>
        <w:rPr/>
        <w:t>二、限售股解禁情况</w:t>
      </w:r>
    </w:p>
    <w:p>
      <w:pPr>
        <w:pStyle w:val="BodyText"/>
        <w:spacing w:line="300" w:lineRule="auto" w:before="76"/>
        <w:ind w:right="1126" w:firstLine="36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29</w:t>
      </w:r>
      <w:r>
        <w:rPr/>
        <w:t>日，公司在中国证监会指定披露媒体巨潮资讯网上刊登《关于股票期权与限制性股票激励计划首次授 予部分限制性股票第三个解锁期解除限售的公告》，本次解除限售的限制性股票数量为</w:t>
      </w:r>
      <w:r>
        <w:rPr>
          <w:spacing w:val="1"/>
        </w:rPr>
        <w:t> </w:t>
      </w:r>
      <w:r>
        <w:rPr>
          <w:rFonts w:ascii="Times New Roman" w:hAnsi="Times New Roman" w:cs="Times New Roman" w:eastAsia="Times New Roman" w:hint="default"/>
        </w:rPr>
        <w:t>2,949,014</w:t>
      </w:r>
      <w:r>
        <w:rPr/>
        <w:t>股，占公司总股本的比例 </w:t>
      </w:r>
      <w:r>
        <w:rPr>
          <w:spacing w:val="-2"/>
        </w:rPr>
        <w:t>为</w:t>
      </w:r>
      <w:r>
        <w:rPr>
          <w:rFonts w:ascii="Times New Roman" w:hAnsi="Times New Roman" w:cs="Times New Roman" w:eastAsia="Times New Roman" w:hint="default"/>
          <w:spacing w:val="-2"/>
        </w:rPr>
        <w:t>0.61%</w:t>
      </w:r>
      <w:r>
        <w:rPr>
          <w:spacing w:val="-2"/>
        </w:rPr>
        <w:t>，其中实际可上市流数量为：解除限售的股权激励股份上市流通日为</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4</w:t>
      </w:r>
      <w:r>
        <w:rPr>
          <w:spacing w:val="-2"/>
        </w:rPr>
        <w:t>日（星期五），涉及股东人数：</w:t>
      </w:r>
      <w:r>
        <w:rPr>
          <w:rFonts w:ascii="Times New Roman" w:hAnsi="Times New Roman" w:cs="Times New Roman" w:eastAsia="Times New Roman" w:hint="default"/>
          <w:spacing w:val="-2"/>
        </w:rPr>
        <w:t>304</w:t>
      </w:r>
      <w:r>
        <w:rPr>
          <w:rFonts w:ascii="Times New Roman" w:hAnsi="Times New Roman" w:cs="Times New Roman" w:eastAsia="Times New Roman" w:hint="default"/>
          <w:spacing w:val="-23"/>
        </w:rPr>
        <w:t> </w:t>
      </w:r>
      <w:r>
        <w:rPr>
          <w:rFonts w:ascii="Times New Roman" w:hAnsi="Times New Roman" w:cs="Times New Roman" w:eastAsia="Times New Roman" w:hint="default"/>
          <w:spacing w:val="-23"/>
        </w:rPr>
      </w:r>
      <w:r>
        <w:rPr/>
        <w:t>人。具体内容详见公司在巨潮资讯网站（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2018-108</w:t>
      </w:r>
      <w:r>
        <w:rPr/>
        <w:t>）。</w:t>
      </w:r>
    </w:p>
    <w:p>
      <w:pPr>
        <w:pStyle w:val="BodyText"/>
        <w:spacing w:line="300" w:lineRule="auto" w:before="13"/>
        <w:ind w:right="1129" w:firstLine="36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w:t>
      </w:r>
      <w:r>
        <w:rPr/>
        <w:t>日，公司在中国证监会指定披露媒体巨潮资讯网上刊登《关于股票期权与限制性股票激励计划预留授予 </w:t>
      </w:r>
      <w:r>
        <w:rPr>
          <w:spacing w:val="3"/>
        </w:rPr>
        <w:t>部分限制性股票第三个解锁期解除限售的公告》，本次解除限售的限制性股票数量为</w:t>
      </w:r>
      <w:r>
        <w:rPr>
          <w:rFonts w:ascii="Times New Roman" w:hAnsi="Times New Roman" w:cs="Times New Roman" w:eastAsia="Times New Roman" w:hint="default"/>
          <w:spacing w:val="3"/>
        </w:rPr>
        <w:t>638,546</w:t>
      </w:r>
      <w:r>
        <w:rPr>
          <w:spacing w:val="3"/>
        </w:rPr>
        <w:t>股，占公司总股本的比例为</w:t>
      </w:r>
      <w:r>
        <w:rPr>
          <w:spacing w:val="-67"/>
        </w:rPr>
        <w:t> </w:t>
      </w:r>
      <w:r>
        <w:rPr>
          <w:spacing w:val="-67"/>
        </w:rPr>
      </w:r>
      <w:r>
        <w:rPr>
          <w:rFonts w:ascii="Times New Roman" w:hAnsi="Times New Roman" w:cs="Times New Roman" w:eastAsia="Times New Roman" w:hint="default"/>
          <w:spacing w:val="-1"/>
        </w:rPr>
        <w:t>0.0877%</w:t>
      </w:r>
      <w:r>
        <w:rPr>
          <w:spacing w:val="-1"/>
        </w:rPr>
        <w:t>，解除限售的股权激励股份上市流通日为</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5</w:t>
      </w:r>
      <w:r>
        <w:rPr>
          <w:spacing w:val="-1"/>
        </w:rPr>
        <w:t>日（星期五），涉及股东人数：</w:t>
      </w:r>
      <w:r>
        <w:rPr>
          <w:rFonts w:ascii="Times New Roman" w:hAnsi="Times New Roman" w:cs="Times New Roman" w:eastAsia="Times New Roman" w:hint="default"/>
          <w:spacing w:val="-1"/>
        </w:rPr>
        <w:t>22</w:t>
      </w:r>
      <w:r>
        <w:rPr>
          <w:spacing w:val="-1"/>
        </w:rPr>
        <w:t>人。具体内容详见公司在巨</w:t>
      </w:r>
      <w:r>
        <w:rPr>
          <w:spacing w:val="-42"/>
        </w:rPr>
        <w:t> </w:t>
      </w:r>
      <w:r>
        <w:rPr/>
        <w:t>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2019-057</w:t>
      </w:r>
      <w:r>
        <w:rPr/>
        <w:t>）。</w:t>
      </w:r>
    </w:p>
    <w:p>
      <w:pPr>
        <w:pStyle w:val="BodyText"/>
        <w:spacing w:line="300" w:lineRule="auto" w:before="13"/>
        <w:ind w:right="1131" w:firstLine="360"/>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26</w:t>
      </w:r>
      <w:r>
        <w:rPr/>
        <w:t>日，公司在中国证监会指定披露媒体巨潮资讯网上刊登《关于限售股份上市流通的提示性公告</w:t>
      </w:r>
      <w:r>
        <w:rPr>
          <w:spacing w:val="2"/>
        </w:rPr>
        <w:t> </w:t>
      </w:r>
      <w:r>
        <w:rPr/>
        <w:t>》，本</w:t>
      </w:r>
      <w:r>
        <w:rPr/>
        <w:t> 次申请解除股份限售的股东为浙江鑫粟科技有限公司和宁波铜粟投资管理有限公司，解除限售股份数量为</w:t>
      </w:r>
      <w:r>
        <w:rPr>
          <w:rFonts w:ascii="Times New Roman" w:hAnsi="Times New Roman" w:cs="Times New Roman" w:eastAsia="Times New Roman" w:hint="default"/>
        </w:rPr>
        <w:t>17,923,741</w:t>
      </w:r>
      <w:r>
        <w:rPr/>
        <w:t>股，占</w:t>
      </w:r>
      <w:r>
        <w:rPr>
          <w:spacing w:val="-87"/>
        </w:rPr>
        <w:t> </w:t>
      </w:r>
      <w:r>
        <w:rPr/>
        <w:t>公司股本总额的</w:t>
      </w:r>
      <w:r>
        <w:rPr>
          <w:rFonts w:ascii="Times New Roman" w:hAnsi="Times New Roman" w:cs="Times New Roman" w:eastAsia="Times New Roman" w:hint="default"/>
        </w:rPr>
        <w:t>2.4609%</w:t>
      </w:r>
      <w:r>
        <w:rPr/>
        <w:t>，其中实际可上市流通股份为</w:t>
      </w:r>
      <w:r>
        <w:rPr>
          <w:rFonts w:ascii="Times New Roman" w:hAnsi="Times New Roman" w:cs="Times New Roman" w:eastAsia="Times New Roman" w:hint="default"/>
        </w:rPr>
        <w:t>17,923,741</w:t>
      </w:r>
      <w:r>
        <w:rPr/>
        <w:t>股，占公司股本总额的</w:t>
      </w:r>
      <w:r>
        <w:rPr>
          <w:rFonts w:ascii="Times New Roman" w:hAnsi="Times New Roman" w:cs="Times New Roman" w:eastAsia="Times New Roman" w:hint="default"/>
        </w:rPr>
        <w:t>2.4609%</w:t>
      </w:r>
      <w:r>
        <w:rPr/>
        <w:t>，上市流通日期为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rFonts w:ascii="Times New Roman" w:hAnsi="Times New Roman" w:cs="Times New Roman" w:eastAsia="Times New Roman" w:hint="default"/>
        </w:rPr>
        <w:t>29</w:t>
      </w:r>
      <w:r>
        <w:rPr/>
        <w:t>日（星期一）。具体内容详见公司在巨潮资讯网站（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2019-061</w:t>
      </w:r>
      <w:r>
        <w:rPr/>
        <w:t>）。</w:t>
      </w:r>
    </w:p>
    <w:p>
      <w:pPr>
        <w:pStyle w:val="BodyText"/>
        <w:spacing w:line="240" w:lineRule="auto" w:before="13"/>
        <w:ind w:left="472" w:right="882"/>
        <w:jc w:val="left"/>
      </w:pPr>
      <w:r>
        <w:rPr/>
        <w:t>三、公司权益分派情况</w:t>
      </w:r>
    </w:p>
    <w:p>
      <w:pPr>
        <w:pStyle w:val="BodyText"/>
        <w:spacing w:line="300" w:lineRule="auto" w:before="76"/>
        <w:ind w:right="1129" w:firstLine="360"/>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17</w:t>
      </w:r>
      <w:r>
        <w:rPr/>
        <w:t>日，公司在中国证监会指定披露媒体巨潮资讯网上刊登《</w:t>
      </w:r>
      <w:r>
        <w:rPr>
          <w:rFonts w:ascii="Times New Roman" w:hAnsi="Times New Roman" w:cs="Times New Roman" w:eastAsia="Times New Roman" w:hint="default"/>
        </w:rPr>
        <w:t>2018</w:t>
      </w:r>
      <w:r>
        <w:rPr/>
        <w:t>年年度权益分派实施公告》，本次权益分派 </w:t>
      </w:r>
      <w:r>
        <w:rPr>
          <w:spacing w:val="-7"/>
        </w:rPr>
        <w:t>股权登记日为：</w:t>
      </w:r>
      <w:r>
        <w:rPr>
          <w:rFonts w:ascii="Times New Roman" w:hAnsi="Times New Roman" w:cs="Times New Roman" w:eastAsia="Times New Roman" w:hint="default"/>
          <w:spacing w:val="-7"/>
        </w:rPr>
        <w:t>2019</w:t>
      </w:r>
      <w:r>
        <w:rPr>
          <w:spacing w:val="-7"/>
        </w:rPr>
        <w:t>年</w:t>
      </w:r>
      <w:r>
        <w:rPr>
          <w:rFonts w:ascii="Times New Roman" w:hAnsi="Times New Roman" w:cs="Times New Roman" w:eastAsia="Times New Roman" w:hint="default"/>
          <w:spacing w:val="-7"/>
        </w:rPr>
        <w:t>6</w:t>
      </w:r>
      <w:r>
        <w:rPr>
          <w:spacing w:val="-7"/>
        </w:rPr>
        <w:t>月</w:t>
      </w:r>
      <w:r>
        <w:rPr>
          <w:rFonts w:ascii="Times New Roman" w:hAnsi="Times New Roman" w:cs="Times New Roman" w:eastAsia="Times New Roman" w:hint="default"/>
          <w:spacing w:val="-7"/>
        </w:rPr>
        <w:t>24</w:t>
      </w:r>
      <w:r>
        <w:rPr>
          <w:spacing w:val="-7"/>
        </w:rPr>
        <w:t>日，除权除息日为：</w:t>
      </w:r>
      <w:r>
        <w:rPr>
          <w:rFonts w:ascii="Times New Roman" w:hAnsi="Times New Roman" w:cs="Times New Roman" w:eastAsia="Times New Roman" w:hint="default"/>
          <w:spacing w:val="-7"/>
        </w:rPr>
        <w:t>2019</w:t>
      </w:r>
      <w:r>
        <w:rPr>
          <w:spacing w:val="-7"/>
        </w:rPr>
        <w:t>年</w:t>
      </w:r>
      <w:r>
        <w:rPr>
          <w:rFonts w:ascii="Times New Roman" w:hAnsi="Times New Roman" w:cs="Times New Roman" w:eastAsia="Times New Roman" w:hint="default"/>
          <w:spacing w:val="-7"/>
        </w:rPr>
        <w:t>6</w:t>
      </w:r>
      <w:r>
        <w:rPr>
          <w:spacing w:val="-7"/>
        </w:rPr>
        <w:t>月</w:t>
      </w:r>
      <w:r>
        <w:rPr>
          <w:rFonts w:ascii="Times New Roman" w:hAnsi="Times New Roman" w:cs="Times New Roman" w:eastAsia="Times New Roman" w:hint="default"/>
          <w:spacing w:val="-7"/>
        </w:rPr>
        <w:t>25</w:t>
      </w:r>
      <w:r>
        <w:rPr>
          <w:spacing w:val="-7"/>
        </w:rPr>
        <w:t>日。</w:t>
      </w:r>
      <w:r>
        <w:rPr>
          <w:rFonts w:ascii="Times New Roman" w:hAnsi="Times New Roman" w:cs="Times New Roman" w:eastAsia="Times New Roman" w:hint="default"/>
          <w:spacing w:val="-7"/>
        </w:rPr>
        <w:t>2018</w:t>
      </w:r>
      <w:r>
        <w:rPr>
          <w:spacing w:val="-7"/>
        </w:rPr>
        <w:t>年年度权益分派方案为：以公司现有总股本</w:t>
      </w:r>
      <w:r>
        <w:rPr>
          <w:spacing w:val="47"/>
        </w:rPr>
        <w:t> </w:t>
      </w:r>
      <w:r>
        <w:rPr>
          <w:rFonts w:ascii="Times New Roman" w:hAnsi="Times New Roman" w:cs="Times New Roman" w:eastAsia="Times New Roman" w:hint="default"/>
          <w:spacing w:val="-1"/>
        </w:rPr>
        <w:t>485,543,274</w:t>
      </w:r>
      <w:r>
        <w:rPr>
          <w:rFonts w:ascii="Times New Roman" w:hAnsi="Times New Roman" w:cs="Times New Roman" w:eastAsia="Times New Roman" w:hint="default"/>
          <w:spacing w:val="-33"/>
        </w:rPr>
        <w:t> </w:t>
      </w:r>
      <w:r>
        <w:rPr>
          <w:rFonts w:ascii="Times New Roman" w:hAnsi="Times New Roman" w:cs="Times New Roman" w:eastAsia="Times New Roman" w:hint="default"/>
          <w:spacing w:val="-33"/>
        </w:rPr>
      </w:r>
      <w:r>
        <w:rPr/>
        <w:t>股为基数，向全体股东每</w:t>
      </w:r>
      <w:r>
        <w:rPr>
          <w:rFonts w:ascii="Times New Roman" w:hAnsi="Times New Roman" w:cs="Times New Roman" w:eastAsia="Times New Roman" w:hint="default"/>
        </w:rPr>
        <w:t>10</w:t>
      </w:r>
      <w:r>
        <w:rPr/>
        <w:t>股派发现金股利</w:t>
      </w:r>
      <w:r>
        <w:rPr>
          <w:rFonts w:ascii="Times New Roman" w:hAnsi="Times New Roman" w:cs="Times New Roman" w:eastAsia="Times New Roman" w:hint="default"/>
        </w:rPr>
        <w:t>0.499995</w:t>
      </w:r>
      <w:r>
        <w:rPr/>
        <w:t>元（含税），同时以资本公积金向全体股东每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4.999953</w:t>
      </w:r>
      <w:r>
        <w:rPr/>
        <w:t>股。分 红</w:t>
      </w:r>
      <w:r>
        <w:rPr>
          <w:spacing w:val="-55"/>
        </w:rPr>
        <w:t> </w:t>
      </w:r>
      <w:r>
        <w:rPr/>
        <w:t>前</w:t>
      </w:r>
      <w:r>
        <w:rPr>
          <w:spacing w:val="-53"/>
        </w:rPr>
        <w:t> </w:t>
      </w:r>
      <w:r>
        <w:rPr/>
        <w:t>本</w:t>
      </w:r>
      <w:r>
        <w:rPr>
          <w:spacing w:val="-55"/>
        </w:rPr>
        <w:t> </w:t>
      </w:r>
      <w:r>
        <w:rPr/>
        <w:t>公</w:t>
      </w:r>
      <w:r>
        <w:rPr>
          <w:spacing w:val="-55"/>
        </w:rPr>
        <w:t> </w:t>
      </w:r>
      <w:r>
        <w:rPr/>
        <w:t>司</w:t>
      </w:r>
      <w:r>
        <w:rPr>
          <w:spacing w:val="-55"/>
        </w:rPr>
        <w:t> </w:t>
      </w:r>
      <w:r>
        <w:rPr/>
        <w:t>总</w:t>
      </w:r>
      <w:r>
        <w:rPr>
          <w:spacing w:val="-53"/>
        </w:rPr>
        <w:t> </w:t>
      </w:r>
      <w:r>
        <w:rPr/>
        <w:t>股</w:t>
      </w:r>
      <w:r>
        <w:rPr>
          <w:spacing w:val="-55"/>
        </w:rPr>
        <w:t> </w:t>
      </w:r>
      <w:r>
        <w:rPr/>
        <w:t>本</w:t>
      </w:r>
      <w:r>
        <w:rPr>
          <w:spacing w:val="-55"/>
        </w:rPr>
        <w:t> </w:t>
      </w:r>
      <w:r>
        <w:rPr/>
        <w:t>为</w:t>
      </w:r>
      <w:r>
        <w:rPr>
          <w:spacing w:val="-53"/>
        </w:rPr>
        <w:t> </w:t>
      </w:r>
      <w:r>
        <w:rPr>
          <w:rFonts w:ascii="Times New Roman" w:hAnsi="Times New Roman" w:cs="Times New Roman" w:eastAsia="Times New Roman" w:hint="default"/>
        </w:rPr>
        <w:t>485,543,274</w:t>
      </w:r>
      <w:r>
        <w:rPr>
          <w:rFonts w:ascii="Times New Roman" w:hAnsi="Times New Roman" w:cs="Times New Roman" w:eastAsia="Times New Roman" w:hint="default"/>
          <w:spacing w:val="-12"/>
        </w:rPr>
        <w:t> </w:t>
      </w:r>
      <w:r>
        <w:rPr/>
        <w:t>股</w:t>
      </w:r>
      <w:r>
        <w:rPr>
          <w:spacing w:val="-55"/>
        </w:rPr>
        <w:t> </w:t>
      </w:r>
      <w:r>
        <w:rPr/>
        <w:t>，</w:t>
      </w:r>
      <w:r>
        <w:rPr>
          <w:spacing w:val="-53"/>
        </w:rPr>
        <w:t> </w:t>
      </w:r>
      <w:r>
        <w:rPr/>
        <w:t>分</w:t>
      </w:r>
      <w:r>
        <w:rPr>
          <w:spacing w:val="-55"/>
        </w:rPr>
        <w:t> </w:t>
      </w:r>
      <w:r>
        <w:rPr/>
        <w:t>红</w:t>
      </w:r>
      <w:r>
        <w:rPr>
          <w:spacing w:val="-55"/>
        </w:rPr>
        <w:t> </w:t>
      </w:r>
      <w:r>
        <w:rPr/>
        <w:t>后</w:t>
      </w:r>
      <w:r>
        <w:rPr>
          <w:spacing w:val="-55"/>
        </w:rPr>
        <w:t> </w:t>
      </w:r>
      <w:r>
        <w:rPr/>
        <w:t>总</w:t>
      </w:r>
      <w:r>
        <w:rPr>
          <w:spacing w:val="-53"/>
        </w:rPr>
        <w:t> </w:t>
      </w:r>
      <w:r>
        <w:rPr/>
        <w:t>股</w:t>
      </w:r>
      <w:r>
        <w:rPr>
          <w:spacing w:val="-55"/>
        </w:rPr>
        <w:t> </w:t>
      </w:r>
      <w:r>
        <w:rPr/>
        <w:t>本</w:t>
      </w:r>
      <w:r>
        <w:rPr>
          <w:spacing w:val="-55"/>
        </w:rPr>
        <w:t> </w:t>
      </w:r>
      <w:r>
        <w:rPr/>
        <w:t>增</w:t>
      </w:r>
      <w:r>
        <w:rPr>
          <w:spacing w:val="-53"/>
        </w:rPr>
        <w:t> </w:t>
      </w:r>
      <w:r>
        <w:rPr/>
        <w:t>至</w:t>
      </w:r>
      <w:r>
        <w:rPr>
          <w:spacing w:val="-55"/>
        </w:rPr>
        <w:t> </w:t>
      </w:r>
      <w:r>
        <w:rPr>
          <w:rFonts w:ascii="Times New Roman" w:hAnsi="Times New Roman" w:cs="Times New Roman" w:eastAsia="Times New Roman" w:hint="default"/>
        </w:rPr>
        <w:t>728,312,628</w:t>
      </w:r>
      <w:r>
        <w:rPr>
          <w:rFonts w:ascii="Times New Roman" w:hAnsi="Times New Roman" w:cs="Times New Roman" w:eastAsia="Times New Roman" w:hint="default"/>
          <w:spacing w:val="-12"/>
        </w:rPr>
        <w:t> </w:t>
      </w:r>
      <w:r>
        <w:rPr/>
        <w:t>股</w:t>
      </w:r>
      <w:r>
        <w:rPr>
          <w:spacing w:val="-55"/>
        </w:rPr>
        <w:t> </w:t>
      </w:r>
      <w:r>
        <w:rPr/>
        <w:t>。</w:t>
      </w:r>
      <w:r>
        <w:rPr>
          <w:spacing w:val="-53"/>
        </w:rPr>
        <w:t> </w:t>
      </w:r>
      <w:r>
        <w:rPr/>
        <w:t>具</w:t>
      </w:r>
      <w:r>
        <w:rPr>
          <w:spacing w:val="-55"/>
        </w:rPr>
        <w:t> </w:t>
      </w:r>
      <w:r>
        <w:rPr/>
        <w:t>体</w:t>
      </w:r>
      <w:r>
        <w:rPr>
          <w:spacing w:val="-55"/>
        </w:rPr>
        <w:t> </w:t>
      </w:r>
      <w:r>
        <w:rPr/>
        <w:t>内</w:t>
      </w:r>
      <w:r>
        <w:rPr>
          <w:spacing w:val="-55"/>
        </w:rPr>
        <w:t> </w:t>
      </w:r>
      <w:r>
        <w:rPr/>
        <w:t>容</w:t>
      </w:r>
      <w:r>
        <w:rPr>
          <w:spacing w:val="-53"/>
        </w:rPr>
        <w:t> </w:t>
      </w:r>
      <w:r>
        <w:rPr/>
        <w:t>详</w:t>
      </w:r>
      <w:r>
        <w:rPr>
          <w:spacing w:val="-55"/>
        </w:rPr>
        <w:t> </w:t>
      </w:r>
      <w:r>
        <w:rPr/>
        <w:t>见</w:t>
      </w:r>
      <w:r>
        <w:rPr>
          <w:spacing w:val="-55"/>
        </w:rPr>
        <w:t> </w:t>
      </w:r>
      <w:r>
        <w:rPr/>
        <w:t>公</w:t>
      </w:r>
      <w:r>
        <w:rPr>
          <w:spacing w:val="-53"/>
        </w:rPr>
        <w:t> </w:t>
      </w:r>
      <w:r>
        <w:rPr/>
        <w:t>司</w:t>
      </w:r>
      <w:r>
        <w:rPr>
          <w:spacing w:val="-55"/>
        </w:rPr>
        <w:t> </w:t>
      </w:r>
      <w:r>
        <w:rPr/>
        <w:t>在</w:t>
      </w:r>
      <w:r>
        <w:rPr>
          <w:spacing w:val="-55"/>
        </w:rPr>
        <w:t> </w:t>
      </w:r>
      <w:r>
        <w:rPr/>
        <w:t>巨</w:t>
      </w:r>
      <w:r>
        <w:rPr>
          <w:spacing w:val="-53"/>
        </w:rPr>
        <w:t> </w:t>
      </w:r>
      <w:r>
        <w:rPr/>
        <w:t>潮</w:t>
      </w:r>
      <w:r>
        <w:rPr>
          <w:spacing w:val="-55"/>
        </w:rPr>
        <w:t> </w:t>
      </w:r>
      <w:r>
        <w:rPr/>
        <w:t>资</w:t>
      </w:r>
      <w:r>
        <w:rPr>
          <w:spacing w:val="-55"/>
        </w:rPr>
        <w:t> </w:t>
      </w:r>
      <w:r>
        <w:rPr/>
        <w:t>讯</w:t>
      </w:r>
      <w:r>
        <w:rPr>
          <w:spacing w:val="-55"/>
        </w:rPr>
        <w:t> </w:t>
      </w:r>
      <w:r>
        <w:rPr/>
        <w:t>网</w:t>
      </w:r>
      <w:r>
        <w:rPr>
          <w:spacing w:val="-53"/>
        </w:rPr>
        <w:t> </w:t>
      </w:r>
      <w:r>
        <w:rPr/>
        <w:t>站</w:t>
      </w:r>
    </w:p>
    <w:p>
      <w:pPr>
        <w:pStyle w:val="BodyText"/>
        <w:spacing w:line="300" w:lineRule="auto" w:before="13"/>
        <w:ind w:left="652" w:right="5829" w:hanging="540"/>
        <w:jc w:val="left"/>
      </w:pPr>
      <w:r>
        <w:rPr/>
        <w:t>（</w:t>
      </w:r>
      <w:hyperlink r:id="rId14">
        <w:r>
          <w:rPr>
            <w:rFonts w:ascii="Times New Roman" w:hAnsi="Times New Roman" w:cs="Times New Roman" w:eastAsia="Times New Roman" w:hint="default"/>
          </w:rPr>
          <w:t>www.cninfo.com.cn</w:t>
        </w:r>
      </w:hyperlink>
      <w:r>
        <w:rPr/>
        <w:t>）披露的公告（公告编号：</w:t>
      </w:r>
      <w:r>
        <w:rPr>
          <w:spacing w:val="-20"/>
        </w:rPr>
        <w:t> </w:t>
      </w:r>
      <w:r>
        <w:rPr>
          <w:rFonts w:ascii="Times New Roman" w:hAnsi="Times New Roman" w:cs="Times New Roman" w:eastAsia="Times New Roman" w:hint="default"/>
        </w:rPr>
        <w:t>2019-051</w:t>
      </w:r>
      <w:r>
        <w:rPr/>
        <w:t>）。 </w:t>
      </w:r>
      <w:r>
        <w:rPr>
          <w:rFonts w:ascii="Times New Roman" w:hAnsi="Times New Roman" w:cs="Times New Roman" w:eastAsia="Times New Roman" w:hint="default"/>
        </w:rPr>
        <w:t>4</w:t>
      </w:r>
      <w:r>
        <w:rPr/>
        <w:t>、股票期权与限制性股票激励计划期权行权情况</w:t>
      </w:r>
    </w:p>
    <w:p>
      <w:pPr>
        <w:pStyle w:val="BodyText"/>
        <w:spacing w:line="300" w:lineRule="auto" w:before="13"/>
        <w:ind w:left="472" w:right="1124" w:hanging="89"/>
        <w:jc w:val="left"/>
      </w:pPr>
      <w:r>
        <w:rPr/>
        <w:t>报告期内，公司股票期权与限制性股票激励计划期权激励对象行权共计行权</w:t>
      </w:r>
      <w:r>
        <w:rPr>
          <w:rFonts w:ascii="Times New Roman" w:hAnsi="Times New Roman" w:cs="Times New Roman" w:eastAsia="Times New Roman" w:hint="default"/>
        </w:rPr>
        <w:t>405,176</w:t>
      </w:r>
      <w:r>
        <w:rPr/>
        <w:t>份。 五、</w:t>
      </w:r>
      <w:r>
        <w:rPr>
          <w:rFonts w:ascii="Times New Roman" w:hAnsi="Times New Roman" w:cs="Times New Roman" w:eastAsia="Times New Roman" w:hint="default"/>
        </w:rPr>
        <w:t>2019</w:t>
      </w:r>
      <w:r>
        <w:rPr/>
        <w:t>年限制性股票授予情况 </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w:t>
      </w:r>
      <w:r>
        <w:rPr/>
        <w:t>日，公司完成</w:t>
      </w:r>
      <w:r>
        <w:rPr>
          <w:rFonts w:ascii="Times New Roman" w:hAnsi="Times New Roman" w:cs="Times New Roman" w:eastAsia="Times New Roman" w:hint="default"/>
        </w:rPr>
        <w:t>2019</w:t>
      </w:r>
      <w:r>
        <w:rPr/>
        <w:t>年限制性股票激励计划的首次授予登记工作，本次限制性股票激励计划首次授予对象为</w:t>
      </w:r>
    </w:p>
    <w:p>
      <w:pPr>
        <w:pStyle w:val="BodyText"/>
        <w:spacing w:line="300" w:lineRule="auto" w:before="13"/>
        <w:ind w:right="1132"/>
        <w:jc w:val="left"/>
      </w:pPr>
      <w:r>
        <w:rPr>
          <w:rFonts w:ascii="Times New Roman" w:hAnsi="Times New Roman" w:cs="Times New Roman" w:eastAsia="Times New Roman" w:hint="default"/>
        </w:rPr>
        <w:t>305</w:t>
      </w:r>
      <w:r>
        <w:rPr/>
        <w:t>人，首次授予数量为</w:t>
      </w:r>
      <w:r>
        <w:rPr>
          <w:rFonts w:ascii="Times New Roman" w:hAnsi="Times New Roman" w:cs="Times New Roman" w:eastAsia="Times New Roman" w:hint="default"/>
        </w:rPr>
        <w:t>1,123.75</w:t>
      </w:r>
      <w:r>
        <w:rPr/>
        <w:t>万股，占授予前公司总股本的</w:t>
      </w:r>
      <w:r>
        <w:rPr>
          <w:rFonts w:ascii="Times New Roman" w:hAnsi="Times New Roman" w:cs="Times New Roman" w:eastAsia="Times New Roman" w:hint="default"/>
        </w:rPr>
        <w:t>1.53%</w:t>
      </w:r>
      <w:r>
        <w:rPr/>
        <w:t>，上市日期为</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5</w:t>
      </w:r>
      <w:r>
        <w:rPr/>
        <w:t>日（星期四）。具体内容详</w:t>
      </w:r>
      <w:r>
        <w:rPr>
          <w:spacing w:val="-29"/>
        </w:rPr>
        <w:t> </w:t>
      </w:r>
      <w:r>
        <w:rPr>
          <w:spacing w:val="-29"/>
        </w:rPr>
      </w:r>
      <w:r>
        <w:rPr/>
        <w:t>见公司在巨潮资讯网站（</w:t>
      </w:r>
      <w:hyperlink r:id="rId14">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2019-104</w:t>
      </w:r>
      <w:r>
        <w:rPr/>
        <w:t>）。</w:t>
      </w:r>
    </w:p>
    <w:p>
      <w:pPr>
        <w:pStyle w:val="BodyText"/>
        <w:spacing w:line="240" w:lineRule="auto" w:before="13"/>
        <w:ind w:left="472" w:right="882"/>
        <w:jc w:val="left"/>
      </w:pPr>
      <w:r>
        <w:rPr/>
        <w:t>六、高管锁定股释放流动性</w:t>
      </w:r>
    </w:p>
    <w:p>
      <w:pPr>
        <w:pStyle w:val="BodyText"/>
        <w:spacing w:line="240" w:lineRule="auto" w:before="76"/>
        <w:ind w:left="384" w:right="882"/>
        <w:jc w:val="left"/>
      </w:pPr>
      <w:r>
        <w:rPr>
          <w:rFonts w:ascii="Times New Roman" w:hAnsi="Times New Roman" w:cs="Times New Roman" w:eastAsia="Times New Roman" w:hint="default"/>
        </w:rPr>
        <w:t>2019</w:t>
      </w:r>
      <w:r>
        <w:rPr/>
        <w:t>年度，高管锁定股释放流动性，引起股份性质变动。</w:t>
      </w:r>
    </w:p>
    <w:p>
      <w:pPr>
        <w:spacing w:line="240" w:lineRule="auto" w:before="10"/>
        <w:rPr>
          <w:rFonts w:ascii="宋体" w:hAnsi="宋体" w:cs="宋体" w:eastAsia="宋体" w:hint="default"/>
          <w:sz w:val="25"/>
          <w:szCs w:val="25"/>
        </w:rPr>
      </w:pPr>
    </w:p>
    <w:p>
      <w:pPr>
        <w:pStyle w:val="Heading3"/>
        <w:spacing w:line="240" w:lineRule="auto"/>
        <w:ind w:right="882"/>
        <w:jc w:val="left"/>
        <w:rPr>
          <w:b w:val="0"/>
          <w:bCs w:val="0"/>
        </w:rPr>
      </w:pPr>
      <w:bookmarkStart w:name="3、现存的内部职工股情况" w:id="115"/>
      <w:bookmarkEnd w:id="115"/>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right="882"/>
        <w:jc w:val="left"/>
        <w:rPr>
          <w:b w:val="0"/>
          <w:bCs w:val="0"/>
        </w:rPr>
      </w:pPr>
      <w:bookmarkStart w:name="三、股东和实际控制人情况" w:id="116"/>
      <w:bookmarkEnd w:id="116"/>
      <w:r>
        <w:rPr>
          <w:b w:val="0"/>
          <w:bCs w:val="0"/>
        </w:rPr>
      </w:r>
      <w:r>
        <w:rPr/>
        <w:t>三、股东和实际控制人情况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公司股东数量及持股情况" w:id="117"/>
      <w:bookmarkEnd w:id="117"/>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单位：股</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01"/>
        <w:gridCol w:w="1196"/>
        <w:gridCol w:w="930"/>
        <w:gridCol w:w="1063"/>
        <w:gridCol w:w="1063"/>
        <w:gridCol w:w="1063"/>
        <w:gridCol w:w="926"/>
        <w:gridCol w:w="1068"/>
        <w:gridCol w:w="1059"/>
      </w:tblGrid>
      <w:tr>
        <w:trPr>
          <w:trHeight w:val="2274" w:hRule="exact"/>
        </w:trPr>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01" w:right="187"/>
              <w:jc w:val="both"/>
              <w:rPr>
                <w:rFonts w:ascii="宋体" w:hAnsi="宋体" w:cs="宋体" w:eastAsia="宋体" w:hint="default"/>
                <w:sz w:val="18"/>
                <w:szCs w:val="18"/>
              </w:rPr>
            </w:pPr>
            <w:r>
              <w:rPr>
                <w:rFonts w:ascii="宋体" w:hAnsi="宋体" w:cs="宋体" w:eastAsia="宋体" w:hint="default"/>
                <w:sz w:val="18"/>
                <w:szCs w:val="18"/>
              </w:rPr>
              <w:t>报告期末普 通股股东总 数</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588" w:right="0"/>
              <w:jc w:val="left"/>
              <w:rPr>
                <w:rFonts w:ascii="Times New Roman" w:hAnsi="Times New Roman" w:cs="Times New Roman" w:eastAsia="Times New Roman" w:hint="default"/>
                <w:sz w:val="18"/>
                <w:szCs w:val="18"/>
              </w:rPr>
            </w:pPr>
            <w:r>
              <w:rPr>
                <w:rFonts w:ascii="Times New Roman"/>
                <w:sz w:val="18"/>
              </w:rPr>
              <w:t>24,041</w:t>
            </w:r>
          </w:p>
        </w:tc>
        <w:tc>
          <w:tcPr>
            <w:tcW w:w="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2" w:right="275"/>
              <w:jc w:val="both"/>
              <w:rPr>
                <w:rFonts w:ascii="宋体" w:hAnsi="宋体" w:cs="宋体" w:eastAsia="宋体" w:hint="default"/>
                <w:sz w:val="18"/>
                <w:szCs w:val="18"/>
              </w:rPr>
            </w:pPr>
            <w:r>
              <w:rPr>
                <w:rFonts w:ascii="宋体" w:hAnsi="宋体" w:cs="宋体" w:eastAsia="宋体" w:hint="default"/>
                <w:sz w:val="18"/>
                <w:szCs w:val="18"/>
              </w:rPr>
              <w:t>年度报 告披露 日前上 一月末 普通股 股东总 数</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26,069</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3" w:right="47"/>
              <w:jc w:val="left"/>
              <w:rPr>
                <w:rFonts w:ascii="宋体" w:hAnsi="宋体" w:cs="宋体" w:eastAsia="宋体" w:hint="default"/>
                <w:sz w:val="18"/>
                <w:szCs w:val="18"/>
              </w:rPr>
            </w:pPr>
            <w:r>
              <w:rPr>
                <w:rFonts w:ascii="宋体" w:hAnsi="宋体" w:cs="宋体" w:eastAsia="宋体" w:hint="default"/>
                <w:sz w:val="18"/>
                <w:szCs w:val="18"/>
              </w:rPr>
              <w:t>报告期末 表决权恢 复的优先 股股东总 数（如有）</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（参见注</w:t>
            </w:r>
          </w:p>
          <w:p>
            <w:pPr>
              <w:pStyle w:val="TableParagraph"/>
              <w:spacing w:line="240" w:lineRule="auto" w:before="7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9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01" w:right="260"/>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优先股股东总数（如 有）（参见注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9"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02" w:hRule="exact"/>
        </w:trPr>
        <w:tc>
          <w:tcPr>
            <w:tcW w:w="12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93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368" w:right="189"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10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66" w:right="165"/>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10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66" w:right="165"/>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10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66" w:right="164"/>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92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188" w:right="186"/>
              <w:jc w:val="both"/>
              <w:rPr>
                <w:rFonts w:ascii="宋体" w:hAnsi="宋体" w:cs="宋体" w:eastAsia="宋体" w:hint="default"/>
                <w:sz w:val="18"/>
                <w:szCs w:val="18"/>
              </w:rPr>
            </w:pPr>
            <w:r>
              <w:rPr>
                <w:rFonts w:ascii="宋体" w:hAnsi="宋体" w:cs="宋体" w:eastAsia="宋体" w:hint="default"/>
                <w:sz w:val="18"/>
                <w:szCs w:val="18"/>
              </w:rPr>
              <w:t>持有无 限售条 件的股 份数量</w:t>
            </w:r>
          </w:p>
        </w:tc>
        <w:tc>
          <w:tcPr>
            <w:tcW w:w="21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28"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936" w:hRule="exact"/>
        </w:trPr>
        <w:tc>
          <w:tcPr>
            <w:tcW w:w="1201"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930" w:type="dxa"/>
            <w:vMerge/>
            <w:tcBorders>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926" w:type="dxa"/>
            <w:vMerge/>
            <w:tcBorders>
              <w:left w:val="single" w:sz="4" w:space="0" w:color="000000"/>
              <w:bottom w:val="single" w:sz="4" w:space="0" w:color="000000"/>
              <w:right w:val="single" w:sz="4" w:space="0" w:color="000000"/>
            </w:tcBorders>
            <w:shd w:val="clear" w:color="auto" w:fill="D2D2D2"/>
          </w:tcPr>
          <w:p>
            <w:pPr/>
          </w:p>
        </w:tc>
        <w:tc>
          <w:tcPr>
            <w:tcW w:w="1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34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71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18.10%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133,882,21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44,627,125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100,411,66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33,470,5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88,678,822</w:t>
            </w:r>
          </w:p>
        </w:tc>
      </w:tr>
      <w:tr>
        <w:trPr>
          <w:trHeight w:val="71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87"/>
              <w:jc w:val="left"/>
              <w:rPr>
                <w:rFonts w:ascii="宋体" w:hAnsi="宋体" w:cs="宋体" w:eastAsia="宋体" w:hint="default"/>
                <w:sz w:val="18"/>
                <w:szCs w:val="18"/>
              </w:rPr>
            </w:pPr>
            <w:r>
              <w:rPr>
                <w:rFonts w:ascii="宋体" w:hAnsi="宋体" w:cs="宋体" w:eastAsia="宋体" w:hint="default"/>
                <w:sz w:val="18"/>
                <w:szCs w:val="18"/>
              </w:rPr>
              <w:t>杭州阜康投 资有限公司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81"/>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10.34%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76,499,760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25,499,760</w:t>
            </w:r>
          </w:p>
        </w:tc>
        <w:tc>
          <w:tcPr>
            <w:tcW w:w="1063"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76,499,7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53,199,854</w:t>
            </w:r>
          </w:p>
        </w:tc>
      </w:tr>
      <w:tr>
        <w:trPr>
          <w:trHeight w:val="71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87"/>
              <w:jc w:val="left"/>
              <w:rPr>
                <w:rFonts w:ascii="宋体" w:hAnsi="宋体" w:cs="宋体" w:eastAsia="宋体" w:hint="default"/>
                <w:sz w:val="18"/>
                <w:szCs w:val="18"/>
              </w:rPr>
            </w:pPr>
            <w:r>
              <w:rPr>
                <w:rFonts w:ascii="宋体" w:hAnsi="宋体" w:cs="宋体" w:eastAsia="宋体" w:hint="default"/>
                <w:sz w:val="18"/>
                <w:szCs w:val="18"/>
              </w:rPr>
              <w:t>浙江鑫粟科 技有限公司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81"/>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9.10%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67,285,464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11,865,076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49,878,197</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17,407,2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67</w:t>
            </w:r>
          </w:p>
        </w:tc>
        <w:tc>
          <w:tcPr>
            <w:tcW w:w="1068"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87"/>
              <w:jc w:val="both"/>
              <w:rPr>
                <w:rFonts w:ascii="宋体" w:hAnsi="宋体" w:cs="宋体" w:eastAsia="宋体" w:hint="default"/>
                <w:sz w:val="18"/>
                <w:szCs w:val="18"/>
              </w:rPr>
            </w:pPr>
            <w:r>
              <w:rPr>
                <w:rFonts w:ascii="宋体" w:hAnsi="宋体" w:cs="宋体" w:eastAsia="宋体" w:hint="default"/>
                <w:sz w:val="18"/>
                <w:szCs w:val="18"/>
              </w:rPr>
              <w:t>雅戈尔集团 股份有限公 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3" w:right="181"/>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2.92%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21,571,213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2,339,513</w:t>
            </w:r>
          </w:p>
        </w:tc>
        <w:tc>
          <w:tcPr>
            <w:tcW w:w="1063"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21,571,2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13</w:t>
            </w:r>
          </w:p>
        </w:tc>
        <w:tc>
          <w:tcPr>
            <w:tcW w:w="1068"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张吕峥</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2.76%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20,418,686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2,268,686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20,418,686</w:t>
            </w:r>
          </w:p>
        </w:tc>
        <w:tc>
          <w:tcPr>
            <w:tcW w:w="926"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20,174,936</w:t>
            </w:r>
          </w:p>
        </w:tc>
      </w:tr>
      <w:tr>
        <w:trPr>
          <w:trHeight w:val="1026"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87"/>
              <w:jc w:val="both"/>
              <w:rPr>
                <w:rFonts w:ascii="宋体" w:hAnsi="宋体" w:cs="宋体" w:eastAsia="宋体" w:hint="default"/>
                <w:sz w:val="18"/>
                <w:szCs w:val="18"/>
              </w:rPr>
            </w:pPr>
            <w:r>
              <w:rPr>
                <w:rFonts w:ascii="宋体" w:hAnsi="宋体" w:cs="宋体" w:eastAsia="宋体" w:hint="default"/>
                <w:sz w:val="18"/>
                <w:szCs w:val="18"/>
              </w:rPr>
              <w:t>浙江省兴合 集团有限责 任公司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3" w:right="181"/>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1.53%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11,305,386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3,768,438</w:t>
            </w:r>
          </w:p>
        </w:tc>
        <w:tc>
          <w:tcPr>
            <w:tcW w:w="1063"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11,305,3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86</w:t>
            </w:r>
          </w:p>
        </w:tc>
        <w:tc>
          <w:tcPr>
            <w:tcW w:w="1068"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87"/>
              <w:jc w:val="both"/>
              <w:rPr>
                <w:rFonts w:ascii="宋体" w:hAnsi="宋体" w:cs="宋体" w:eastAsia="宋体" w:hint="default"/>
                <w:sz w:val="18"/>
                <w:szCs w:val="18"/>
              </w:rPr>
            </w:pPr>
            <w:r>
              <w:rPr>
                <w:rFonts w:ascii="宋体" w:hAnsi="宋体" w:cs="宋体" w:eastAsia="宋体" w:hint="default"/>
                <w:sz w:val="18"/>
                <w:szCs w:val="18"/>
              </w:rPr>
              <w:t>中国建设银 行股份有限 公司－华夏 优势增长混 合型证券投 资基金</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1.21%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8,917,851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8,722,313</w:t>
            </w:r>
          </w:p>
        </w:tc>
        <w:tc>
          <w:tcPr>
            <w:tcW w:w="1063"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8,917,85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w:t>
            </w:r>
          </w:p>
        </w:tc>
        <w:tc>
          <w:tcPr>
            <w:tcW w:w="1068"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102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87"/>
              <w:jc w:val="both"/>
              <w:rPr>
                <w:rFonts w:ascii="宋体" w:hAnsi="宋体" w:cs="宋体" w:eastAsia="宋体" w:hint="default"/>
                <w:sz w:val="18"/>
                <w:szCs w:val="18"/>
              </w:rPr>
            </w:pPr>
            <w:r>
              <w:rPr>
                <w:rFonts w:ascii="宋体" w:hAnsi="宋体" w:cs="宋体" w:eastAsia="宋体" w:hint="default"/>
                <w:sz w:val="18"/>
                <w:szCs w:val="18"/>
              </w:rPr>
              <w:t>中央汇金资 产管理有限 责任公司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8,637,273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2,879,073</w:t>
            </w:r>
          </w:p>
        </w:tc>
        <w:tc>
          <w:tcPr>
            <w:tcW w:w="1063"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8,637,27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3</w:t>
            </w:r>
          </w:p>
        </w:tc>
        <w:tc>
          <w:tcPr>
            <w:tcW w:w="1068"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35"/>
          <w:pgSz w:w="11910" w:h="16840"/>
          <w:pgMar w:footer="1016" w:header="907" w:top="1100" w:bottom="1200" w:left="1020" w:right="0"/>
          <w:pgNumType w:start="7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01"/>
        <w:gridCol w:w="1196"/>
        <w:gridCol w:w="930"/>
        <w:gridCol w:w="1063"/>
        <w:gridCol w:w="1063"/>
        <w:gridCol w:w="1063"/>
        <w:gridCol w:w="926"/>
        <w:gridCol w:w="1068"/>
        <w:gridCol w:w="1059"/>
      </w:tblGrid>
      <w:tr>
        <w:trPr>
          <w:trHeight w:val="1338"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87"/>
              <w:jc w:val="left"/>
              <w:rPr>
                <w:rFonts w:ascii="宋体" w:hAnsi="宋体" w:cs="宋体" w:eastAsia="宋体" w:hint="default"/>
                <w:sz w:val="18"/>
                <w:szCs w:val="18"/>
              </w:rPr>
            </w:pPr>
            <w:r>
              <w:rPr>
                <w:rFonts w:ascii="宋体" w:hAnsi="宋体" w:cs="宋体" w:eastAsia="宋体" w:hint="default"/>
                <w:sz w:val="18"/>
                <w:szCs w:val="18"/>
              </w:rPr>
              <w:t>华夏基金管 理有限公司</w:t>
            </w:r>
          </w:p>
          <w:p>
            <w:pPr>
              <w:pStyle w:val="TableParagraph"/>
              <w:spacing w:line="316" w:lineRule="auto" w:before="19"/>
              <w:ind w:left="101" w:right="187"/>
              <w:jc w:val="left"/>
              <w:rPr>
                <w:rFonts w:ascii="宋体" w:hAnsi="宋体" w:cs="宋体" w:eastAsia="宋体" w:hint="default"/>
                <w:sz w:val="18"/>
                <w:szCs w:val="18"/>
              </w:rPr>
            </w:pPr>
            <w:r>
              <w:rPr>
                <w:rFonts w:ascii="宋体" w:hAnsi="宋体" w:cs="宋体" w:eastAsia="宋体" w:hint="default"/>
                <w:sz w:val="18"/>
                <w:szCs w:val="18"/>
              </w:rPr>
              <w:t>－社保基金 四二二组合</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99"/>
              <w:jc w:val="right"/>
              <w:rPr>
                <w:rFonts w:ascii="Times New Roman" w:hAnsi="Times New Roman" w:cs="Times New Roman" w:eastAsia="Times New Roman" w:hint="default"/>
                <w:sz w:val="18"/>
                <w:szCs w:val="18"/>
              </w:rPr>
            </w:pPr>
            <w:r>
              <w:rPr>
                <w:rFonts w:ascii="Times New Roman"/>
                <w:sz w:val="18"/>
              </w:rPr>
              <w:t>0.99%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99"/>
              <w:jc w:val="right"/>
              <w:rPr>
                <w:rFonts w:ascii="Times New Roman" w:hAnsi="Times New Roman" w:cs="Times New Roman" w:eastAsia="Times New Roman" w:hint="default"/>
                <w:sz w:val="18"/>
                <w:szCs w:val="18"/>
              </w:rPr>
            </w:pPr>
            <w:r>
              <w:rPr>
                <w:rFonts w:ascii="Times New Roman"/>
                <w:spacing w:val="-1"/>
                <w:sz w:val="18"/>
              </w:rPr>
              <w:t>7,295,386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left="103" w:right="0"/>
              <w:jc w:val="left"/>
              <w:rPr>
                <w:rFonts w:ascii="Times New Roman" w:hAnsi="Times New Roman" w:cs="Times New Roman" w:eastAsia="Times New Roman" w:hint="default"/>
                <w:sz w:val="18"/>
                <w:szCs w:val="18"/>
              </w:rPr>
            </w:pPr>
            <w:r>
              <w:rPr>
                <w:rFonts w:ascii="Times New Roman"/>
                <w:sz w:val="18"/>
              </w:rPr>
              <w:t>7,295,386</w:t>
            </w:r>
          </w:p>
        </w:tc>
        <w:tc>
          <w:tcPr>
            <w:tcW w:w="1063"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7,295,38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1068"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87"/>
              <w:jc w:val="both"/>
              <w:rPr>
                <w:rFonts w:ascii="宋体" w:hAnsi="宋体" w:cs="宋体" w:eastAsia="宋体" w:hint="default"/>
                <w:sz w:val="18"/>
                <w:szCs w:val="18"/>
              </w:rPr>
            </w:pPr>
            <w:r>
              <w:rPr>
                <w:rFonts w:ascii="宋体" w:hAnsi="宋体" w:cs="宋体" w:eastAsia="宋体" w:hint="default"/>
                <w:sz w:val="18"/>
                <w:szCs w:val="18"/>
              </w:rPr>
              <w:t>兴业银行股 份有限公司</w:t>
            </w:r>
          </w:p>
          <w:p>
            <w:pPr>
              <w:pStyle w:val="TableParagraph"/>
              <w:spacing w:line="316" w:lineRule="auto" w:before="19"/>
              <w:ind w:left="101" w:right="187"/>
              <w:jc w:val="both"/>
              <w:rPr>
                <w:rFonts w:ascii="宋体" w:hAnsi="宋体" w:cs="宋体" w:eastAsia="宋体" w:hint="default"/>
                <w:sz w:val="18"/>
                <w:szCs w:val="18"/>
              </w:rPr>
            </w:pPr>
            <w:r>
              <w:rPr>
                <w:rFonts w:ascii="宋体" w:hAnsi="宋体" w:cs="宋体" w:eastAsia="宋体" w:hint="default"/>
                <w:sz w:val="18"/>
                <w:szCs w:val="18"/>
              </w:rPr>
              <w:t>－中邮战略 新兴产业混 合型证券投 资基金</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0.91%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6,697,929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2,670,985</w:t>
            </w:r>
          </w:p>
        </w:tc>
        <w:tc>
          <w:tcPr>
            <w:tcW w:w="1063"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6,697,92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w:t>
            </w:r>
          </w:p>
        </w:tc>
        <w:tc>
          <w:tcPr>
            <w:tcW w:w="1068"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39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23"/>
              <w:jc w:val="left"/>
              <w:rPr>
                <w:rFonts w:ascii="宋体" w:hAnsi="宋体" w:cs="宋体" w:eastAsia="宋体" w:hint="default"/>
                <w:sz w:val="18"/>
                <w:szCs w:val="18"/>
              </w:rPr>
            </w:pPr>
            <w:r>
              <w:rPr>
                <w:rFonts w:ascii="宋体" w:hAnsi="宋体" w:cs="宋体" w:eastAsia="宋体" w:hint="default"/>
                <w:sz w:val="18"/>
                <w:szCs w:val="18"/>
              </w:rPr>
              <w:t>战略投资者或一般法人因配 售新股成为前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名股东的 情况（如有）（参见注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7172"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239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23"/>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p>
        </w:tc>
        <w:tc>
          <w:tcPr>
            <w:tcW w:w="7172" w:type="dxa"/>
            <w:gridSpan w:val="7"/>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00"/>
              <w:jc w:val="left"/>
              <w:rPr>
                <w:rFonts w:ascii="宋体" w:hAnsi="宋体" w:cs="宋体" w:eastAsia="宋体" w:hint="default"/>
                <w:sz w:val="18"/>
                <w:szCs w:val="18"/>
              </w:rPr>
            </w:pPr>
            <w:r>
              <w:rPr>
                <w:rFonts w:ascii="宋体" w:hAnsi="宋体" w:cs="宋体" w:eastAsia="宋体" w:hint="default"/>
                <w:spacing w:val="-2"/>
                <w:sz w:val="18"/>
                <w:szCs w:val="18"/>
              </w:rPr>
              <w:t>公司控股股东、实际控制人为葛航先生；杭州阜康投资有限的公司为实际控制人控制的公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司；公司未知其他股东是否存在关联关系。</w:t>
            </w:r>
          </w:p>
        </w:tc>
      </w:tr>
      <w:tr>
        <w:trPr>
          <w:trHeight w:val="402" w:hRule="exact"/>
        </w:trPr>
        <w:tc>
          <w:tcPr>
            <w:tcW w:w="9569"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402" w:hRule="exact"/>
        </w:trPr>
        <w:tc>
          <w:tcPr>
            <w:tcW w:w="239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5045"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left="1168"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1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股份种类</w:t>
            </w:r>
          </w:p>
        </w:tc>
      </w:tr>
      <w:tr>
        <w:trPr>
          <w:trHeight w:val="402" w:hRule="exact"/>
        </w:trPr>
        <w:tc>
          <w:tcPr>
            <w:tcW w:w="2397" w:type="dxa"/>
            <w:gridSpan w:val="2"/>
            <w:vMerge/>
            <w:tcBorders>
              <w:left w:val="single" w:sz="4" w:space="0" w:color="000000"/>
              <w:bottom w:val="single" w:sz="4" w:space="0" w:color="000000"/>
              <w:right w:val="single" w:sz="4" w:space="0" w:color="000000"/>
            </w:tcBorders>
            <w:shd w:val="clear" w:color="auto" w:fill="D2D2D2"/>
          </w:tcPr>
          <w:p>
            <w:pPr/>
          </w:p>
        </w:tc>
        <w:tc>
          <w:tcPr>
            <w:tcW w:w="5045" w:type="dxa"/>
            <w:gridSpan w:val="5"/>
            <w:vMerge/>
            <w:tcBorders>
              <w:left w:val="single" w:sz="4" w:space="0" w:color="000000"/>
              <w:bottom w:val="single" w:sz="4" w:space="0" w:color="000000"/>
              <w:right w:val="single" w:sz="4" w:space="0" w:color="000000"/>
            </w:tcBorders>
            <w:shd w:val="clear" w:color="auto" w:fill="D2D2D2"/>
          </w:tcPr>
          <w:p>
            <w:pPr/>
          </w:p>
        </w:tc>
        <w:tc>
          <w:tcPr>
            <w:tcW w:w="1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9"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4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714" w:hRule="exact"/>
        </w:trPr>
        <w:tc>
          <w:tcPr>
            <w:tcW w:w="23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杭州阜康投资有限公司</w:t>
            </w:r>
          </w:p>
        </w:tc>
        <w:tc>
          <w:tcPr>
            <w:tcW w:w="5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76,499,760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76,499,760</w:t>
            </w:r>
          </w:p>
        </w:tc>
      </w:tr>
      <w:tr>
        <w:trPr>
          <w:trHeight w:val="714" w:hRule="exact"/>
        </w:trPr>
        <w:tc>
          <w:tcPr>
            <w:tcW w:w="23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5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33,470,555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33,470,555</w:t>
            </w:r>
          </w:p>
        </w:tc>
      </w:tr>
      <w:tr>
        <w:trPr>
          <w:trHeight w:val="714" w:hRule="exact"/>
        </w:trPr>
        <w:tc>
          <w:tcPr>
            <w:tcW w:w="23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雅戈尔集团股份有限公司</w:t>
            </w:r>
          </w:p>
        </w:tc>
        <w:tc>
          <w:tcPr>
            <w:tcW w:w="5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21,571,213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21,571,213</w:t>
            </w:r>
          </w:p>
        </w:tc>
      </w:tr>
      <w:tr>
        <w:trPr>
          <w:trHeight w:val="714" w:hRule="exact"/>
        </w:trPr>
        <w:tc>
          <w:tcPr>
            <w:tcW w:w="23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浙江鑫粟科技有限公司</w:t>
            </w:r>
          </w:p>
        </w:tc>
        <w:tc>
          <w:tcPr>
            <w:tcW w:w="5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17,407,267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17,407,267</w:t>
            </w:r>
          </w:p>
        </w:tc>
      </w:tr>
      <w:tr>
        <w:trPr>
          <w:trHeight w:val="714" w:hRule="exact"/>
        </w:trPr>
        <w:tc>
          <w:tcPr>
            <w:tcW w:w="239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23"/>
              <w:jc w:val="left"/>
              <w:rPr>
                <w:rFonts w:ascii="宋体" w:hAnsi="宋体" w:cs="宋体" w:eastAsia="宋体" w:hint="default"/>
                <w:sz w:val="18"/>
                <w:szCs w:val="18"/>
              </w:rPr>
            </w:pPr>
            <w:r>
              <w:rPr>
                <w:rFonts w:ascii="宋体" w:hAnsi="宋体" w:cs="宋体" w:eastAsia="宋体" w:hint="default"/>
                <w:sz w:val="18"/>
                <w:szCs w:val="18"/>
              </w:rPr>
              <w:t>浙江省兴合集团有限责任公 司</w:t>
            </w:r>
          </w:p>
        </w:tc>
        <w:tc>
          <w:tcPr>
            <w:tcW w:w="5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11,305,386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11,305,386</w:t>
            </w:r>
          </w:p>
        </w:tc>
      </w:tr>
      <w:tr>
        <w:trPr>
          <w:trHeight w:val="1026" w:hRule="exact"/>
        </w:trPr>
        <w:tc>
          <w:tcPr>
            <w:tcW w:w="23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中国建设银行股份有限公司</w:t>
            </w:r>
          </w:p>
          <w:p>
            <w:pPr>
              <w:pStyle w:val="TableParagraph"/>
              <w:spacing w:line="316" w:lineRule="auto" w:before="76"/>
              <w:ind w:left="101" w:right="123"/>
              <w:jc w:val="left"/>
              <w:rPr>
                <w:rFonts w:ascii="宋体" w:hAnsi="宋体" w:cs="宋体" w:eastAsia="宋体" w:hint="default"/>
                <w:sz w:val="18"/>
                <w:szCs w:val="18"/>
              </w:rPr>
            </w:pPr>
            <w:r>
              <w:rPr>
                <w:rFonts w:ascii="宋体" w:hAnsi="宋体" w:cs="宋体" w:eastAsia="宋体" w:hint="default"/>
                <w:sz w:val="18"/>
                <w:szCs w:val="18"/>
              </w:rPr>
              <w:t>－华夏优势增长混合型证券 投资基金</w:t>
            </w:r>
          </w:p>
        </w:tc>
        <w:tc>
          <w:tcPr>
            <w:tcW w:w="5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8,917,851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8,917,851</w:t>
            </w:r>
          </w:p>
        </w:tc>
      </w:tr>
      <w:tr>
        <w:trPr>
          <w:trHeight w:val="714" w:hRule="exact"/>
        </w:trPr>
        <w:tc>
          <w:tcPr>
            <w:tcW w:w="239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23"/>
              <w:jc w:val="left"/>
              <w:rPr>
                <w:rFonts w:ascii="宋体" w:hAnsi="宋体" w:cs="宋体" w:eastAsia="宋体" w:hint="default"/>
                <w:sz w:val="18"/>
                <w:szCs w:val="18"/>
              </w:rPr>
            </w:pPr>
            <w:r>
              <w:rPr>
                <w:rFonts w:ascii="宋体" w:hAnsi="宋体" w:cs="宋体" w:eastAsia="宋体" w:hint="default"/>
                <w:sz w:val="18"/>
                <w:szCs w:val="18"/>
              </w:rPr>
              <w:t>中央汇金资产管理有限责任 公司</w:t>
            </w:r>
          </w:p>
        </w:tc>
        <w:tc>
          <w:tcPr>
            <w:tcW w:w="5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8,637,273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8,637,273</w:t>
            </w:r>
          </w:p>
        </w:tc>
      </w:tr>
      <w:tr>
        <w:trPr>
          <w:trHeight w:val="714" w:hRule="exact"/>
        </w:trPr>
        <w:tc>
          <w:tcPr>
            <w:tcW w:w="239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23"/>
              <w:jc w:val="left"/>
              <w:rPr>
                <w:rFonts w:ascii="宋体" w:hAnsi="宋体" w:cs="宋体" w:eastAsia="宋体" w:hint="default"/>
                <w:sz w:val="18"/>
                <w:szCs w:val="18"/>
              </w:rPr>
            </w:pPr>
            <w:r>
              <w:rPr>
                <w:rFonts w:ascii="宋体" w:hAnsi="宋体" w:cs="宋体" w:eastAsia="宋体" w:hint="default"/>
                <w:sz w:val="18"/>
                <w:szCs w:val="18"/>
              </w:rPr>
              <w:t>华夏基金管理有限公司－社 保基金四二二组合</w:t>
            </w:r>
          </w:p>
        </w:tc>
        <w:tc>
          <w:tcPr>
            <w:tcW w:w="5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7,295,386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7,295,386</w:t>
            </w:r>
          </w:p>
        </w:tc>
      </w:tr>
      <w:tr>
        <w:trPr>
          <w:trHeight w:val="1024" w:hRule="exact"/>
        </w:trPr>
        <w:tc>
          <w:tcPr>
            <w:tcW w:w="239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23"/>
              <w:jc w:val="both"/>
              <w:rPr>
                <w:rFonts w:ascii="宋体" w:hAnsi="宋体" w:cs="宋体" w:eastAsia="宋体" w:hint="default"/>
                <w:sz w:val="18"/>
                <w:szCs w:val="18"/>
              </w:rPr>
            </w:pPr>
            <w:r>
              <w:rPr>
                <w:rFonts w:ascii="宋体" w:hAnsi="宋体" w:cs="宋体" w:eastAsia="宋体" w:hint="default"/>
                <w:sz w:val="18"/>
                <w:szCs w:val="18"/>
              </w:rPr>
              <w:t>兴业银行股份有限公司－中 邮战略新兴产业混合型证券 投资基金</w:t>
            </w:r>
          </w:p>
        </w:tc>
        <w:tc>
          <w:tcPr>
            <w:tcW w:w="5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6,697,929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6,697,929</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397"/>
        <w:gridCol w:w="5045"/>
        <w:gridCol w:w="1068"/>
        <w:gridCol w:w="1059"/>
      </w:tblGrid>
      <w:tr>
        <w:trPr>
          <w:trHeight w:val="1026"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中国农业银行股份有限公司</w:t>
            </w:r>
          </w:p>
          <w:p>
            <w:pPr>
              <w:pStyle w:val="TableParagraph"/>
              <w:spacing w:line="316" w:lineRule="auto" w:before="76"/>
              <w:ind w:left="101" w:right="123"/>
              <w:jc w:val="left"/>
              <w:rPr>
                <w:rFonts w:ascii="宋体" w:hAnsi="宋体" w:cs="宋体" w:eastAsia="宋体" w:hint="default"/>
                <w:sz w:val="18"/>
                <w:szCs w:val="18"/>
              </w:rPr>
            </w:pPr>
            <w:r>
              <w:rPr>
                <w:rFonts w:ascii="宋体" w:hAnsi="宋体" w:cs="宋体" w:eastAsia="宋体" w:hint="default"/>
                <w:sz w:val="18"/>
                <w:szCs w:val="18"/>
              </w:rPr>
              <w:t>－中邮核心优选混合型证券 投资基金</w:t>
            </w:r>
          </w:p>
        </w:tc>
        <w:tc>
          <w:tcPr>
            <w:tcW w:w="5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6,596,529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2" w:right="234"/>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27" w:right="0"/>
              <w:jc w:val="left"/>
              <w:rPr>
                <w:rFonts w:ascii="Times New Roman" w:hAnsi="Times New Roman" w:cs="Times New Roman" w:eastAsia="Times New Roman" w:hint="default"/>
                <w:sz w:val="18"/>
                <w:szCs w:val="18"/>
              </w:rPr>
            </w:pPr>
            <w:r>
              <w:rPr>
                <w:rFonts w:ascii="Times New Roman"/>
                <w:sz w:val="18"/>
              </w:rPr>
              <w:t>6,596,529</w:t>
            </w:r>
          </w:p>
        </w:tc>
      </w:tr>
      <w:tr>
        <w:trPr>
          <w:trHeight w:val="1650" w:hRule="exact"/>
        </w:trPr>
        <w:tc>
          <w:tcPr>
            <w:tcW w:w="23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pacing w:val="-12"/>
                <w:sz w:val="18"/>
                <w:szCs w:val="18"/>
              </w:rPr>
              <w:t>之间，以及前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w:t>
            </w:r>
          </w:p>
          <w:p>
            <w:pPr>
              <w:pStyle w:val="TableParagraph"/>
              <w:spacing w:line="309" w:lineRule="auto" w:before="63"/>
              <w:ind w:left="101" w:right="123"/>
              <w:jc w:val="left"/>
              <w:rPr>
                <w:rFonts w:ascii="宋体" w:hAnsi="宋体" w:cs="宋体" w:eastAsia="宋体" w:hint="default"/>
                <w:sz w:val="18"/>
                <w:szCs w:val="18"/>
              </w:rPr>
            </w:pPr>
            <w:r>
              <w:rPr>
                <w:rFonts w:ascii="宋体" w:hAnsi="宋体" w:cs="宋体" w:eastAsia="宋体" w:hint="default"/>
                <w:sz w:val="18"/>
                <w:szCs w:val="18"/>
              </w:rPr>
              <w:t>通股股东和前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 间关联关系或一致行动的说 明</w:t>
            </w:r>
          </w:p>
        </w:tc>
        <w:tc>
          <w:tcPr>
            <w:tcW w:w="71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2" w:right="100"/>
              <w:jc w:val="left"/>
              <w:rPr>
                <w:rFonts w:ascii="宋体" w:hAnsi="宋体" w:cs="宋体" w:eastAsia="宋体" w:hint="default"/>
                <w:sz w:val="18"/>
                <w:szCs w:val="18"/>
              </w:rPr>
            </w:pPr>
            <w:r>
              <w:rPr>
                <w:rFonts w:ascii="宋体" w:hAnsi="宋体" w:cs="宋体" w:eastAsia="宋体" w:hint="default"/>
                <w:spacing w:val="-2"/>
                <w:sz w:val="18"/>
                <w:szCs w:val="18"/>
              </w:rPr>
              <w:t>公司控股股东、实际控制人为葛航先生；杭州阜康投资有限的公司为实际控制人控制的公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司；公司未知其他股东是否存在关联关系。</w:t>
            </w:r>
          </w:p>
        </w:tc>
      </w:tr>
      <w:tr>
        <w:trPr>
          <w:trHeight w:val="714" w:hRule="exact"/>
        </w:trPr>
        <w:tc>
          <w:tcPr>
            <w:tcW w:w="23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23"/>
              <w:jc w:val="left"/>
              <w:rPr>
                <w:rFonts w:ascii="宋体" w:hAnsi="宋体" w:cs="宋体" w:eastAsia="宋体" w:hint="default"/>
                <w:sz w:val="18"/>
                <w:szCs w:val="18"/>
              </w:rPr>
            </w:pPr>
            <w:r>
              <w:rPr>
                <w:rFonts w:ascii="宋体" w:hAnsi="宋体" w:cs="宋体" w:eastAsia="宋体" w:hint="default"/>
                <w:sz w:val="18"/>
                <w:szCs w:val="18"/>
              </w:rPr>
              <w:t>参与融资融券业务股东情况 说明（如有）（参见注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71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51"/>
        <w:ind w:right="882"/>
        <w:jc w:val="left"/>
      </w:pPr>
      <w:r>
        <w:rPr/>
        <w:t>公司前</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名无限售条件普通股股东在报告期内是否进行约定购回交易</w:t>
      </w:r>
    </w:p>
    <w:p>
      <w:pPr>
        <w:pStyle w:val="BodyText"/>
        <w:spacing w:line="240" w:lineRule="auto" w:before="103"/>
        <w:ind w:right="882"/>
        <w:jc w:val="left"/>
      </w:pPr>
      <w:r>
        <w:rPr/>
        <w:t>□ 是 √ 否</w:t>
      </w:r>
    </w:p>
    <w:p>
      <w:pPr>
        <w:pStyle w:val="BodyText"/>
        <w:spacing w:line="240" w:lineRule="auto" w:before="115"/>
        <w:ind w:right="882"/>
        <w:jc w:val="left"/>
      </w:pPr>
      <w:r>
        <w:rPr/>
        <w:t>公司前</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名无限售条件普通股股东在报告期内未进行约定购回交易。</w:t>
      </w:r>
    </w:p>
    <w:p>
      <w:pPr>
        <w:spacing w:line="240" w:lineRule="auto" w:before="13"/>
        <w:rPr>
          <w:rFonts w:ascii="宋体" w:hAnsi="宋体" w:cs="宋体" w:eastAsia="宋体" w:hint="default"/>
          <w:sz w:val="25"/>
          <w:szCs w:val="25"/>
        </w:rPr>
      </w:pPr>
    </w:p>
    <w:p>
      <w:pPr>
        <w:pStyle w:val="Heading3"/>
        <w:spacing w:line="240" w:lineRule="auto"/>
        <w:ind w:right="882"/>
        <w:jc w:val="left"/>
        <w:rPr>
          <w:b w:val="0"/>
          <w:bCs w:val="0"/>
        </w:rPr>
      </w:pPr>
      <w:bookmarkStart w:name="2、公司控股股东情况" w:id="118"/>
      <w:bookmarkEnd w:id="118"/>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594"/>
        <w:jc w:val="left"/>
      </w:pPr>
      <w:r>
        <w:rPr/>
        <w:t>控股股东性质：自然人控股 控股股东类型：自然人</w:t>
      </w:r>
    </w:p>
    <w:tbl>
      <w:tblPr>
        <w:tblW w:w="0" w:type="auto"/>
        <w:jc w:val="left"/>
        <w:tblInd w:w="109" w:type="dxa"/>
        <w:tblLayout w:type="fixed"/>
        <w:tblCellMar>
          <w:top w:w="0" w:type="dxa"/>
          <w:left w:w="0" w:type="dxa"/>
          <w:bottom w:w="0" w:type="dxa"/>
          <w:right w:w="0" w:type="dxa"/>
        </w:tblCellMar>
        <w:tblLook w:val="01E0"/>
      </w:tblPr>
      <w:tblGrid>
        <w:gridCol w:w="3417"/>
        <w:gridCol w:w="2030"/>
        <w:gridCol w:w="4120"/>
      </w:tblGrid>
      <w:tr>
        <w:trPr>
          <w:trHeight w:val="402" w:hRule="exact"/>
        </w:trPr>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0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94"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2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258" w:hRule="exact"/>
        </w:trPr>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95"/>
              <w:jc w:val="both"/>
              <w:rPr>
                <w:rFonts w:ascii="宋体" w:hAnsi="宋体" w:cs="宋体" w:eastAsia="宋体" w:hint="default"/>
                <w:sz w:val="18"/>
                <w:szCs w:val="18"/>
              </w:rPr>
            </w:pPr>
            <w:r>
              <w:rPr>
                <w:rFonts w:ascii="宋体" w:hAnsi="宋体" w:cs="宋体" w:eastAsia="宋体" w:hint="default"/>
                <w:sz w:val="18"/>
                <w:szCs w:val="18"/>
              </w:rPr>
              <w:t>公司董事长，浙江中宇信息科技有限公司执行董事，北京甲和灯科技股份有 限公司、杭州迪通创健股权投资基金管理有限公司、杭州隽宝科技有限公司 董事，杭州鼎心企业管理咨询有限公司执行董事兼总经理，浙江省软件行业 协会会长、浙商大健康委员会副会长、浙江大学校友总会健康分会秘书长。</w:t>
            </w:r>
          </w:p>
        </w:tc>
      </w:tr>
      <w:tr>
        <w:trPr>
          <w:trHeight w:val="714" w:hRule="exact"/>
        </w:trPr>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43"/>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 公司的股权情况</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70"/>
        <w:ind w:right="882"/>
        <w:jc w:val="left"/>
      </w:pPr>
      <w:r>
        <w:rPr/>
        <w:t>控股股东报告期内变更</w:t>
      </w:r>
    </w:p>
    <w:p>
      <w:pPr>
        <w:pStyle w:val="BodyText"/>
        <w:spacing w:line="360" w:lineRule="auto" w:before="115"/>
        <w:ind w:right="6794"/>
        <w:jc w:val="left"/>
      </w:pPr>
      <w:r>
        <w:rPr/>
        <w:t>□ 适用 √ 不适用 公司报告期控股股东未发生变更。</w:t>
      </w:r>
    </w:p>
    <w:p>
      <w:pPr>
        <w:spacing w:line="240" w:lineRule="auto" w:before="12"/>
        <w:rPr>
          <w:rFonts w:ascii="宋体" w:hAnsi="宋体" w:cs="宋体" w:eastAsia="宋体" w:hint="default"/>
          <w:sz w:val="19"/>
          <w:szCs w:val="19"/>
        </w:rPr>
      </w:pPr>
    </w:p>
    <w:p>
      <w:pPr>
        <w:pStyle w:val="Heading3"/>
        <w:spacing w:line="240" w:lineRule="auto"/>
        <w:ind w:right="882"/>
        <w:jc w:val="left"/>
        <w:rPr>
          <w:b w:val="0"/>
          <w:bCs w:val="0"/>
        </w:rPr>
      </w:pPr>
      <w:bookmarkStart w:name="3、公司实际控制人及其一致行动人" w:id="119"/>
      <w:bookmarkEnd w:id="119"/>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8414"/>
        <w:jc w:val="left"/>
      </w:pPr>
      <w:r>
        <w:rPr/>
        <w:t>实际控制人性质：境内自然人 实际控制人类型：自然人</w:t>
      </w: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60"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69"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1" w:right="108"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256"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6"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both"/>
              <w:rPr>
                <w:rFonts w:ascii="宋体" w:hAnsi="宋体" w:cs="宋体" w:eastAsia="宋体" w:hint="default"/>
                <w:sz w:val="18"/>
                <w:szCs w:val="18"/>
              </w:rPr>
            </w:pPr>
            <w:r>
              <w:rPr>
                <w:rFonts w:ascii="宋体" w:hAnsi="宋体" w:cs="宋体" w:eastAsia="宋体" w:hint="default"/>
                <w:spacing w:val="-2"/>
                <w:sz w:val="18"/>
                <w:szCs w:val="18"/>
              </w:rPr>
              <w:t>公司董事长，浙江中宇信息科技有限公司执行董事，北京甲和灯科技股份有限公司、杭州</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迪通创健股权投资基金管理有限公司、杭州隽宝科技有限公司董事，杭州鼎心企业管理咨</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2"/>
                <w:sz w:val="18"/>
                <w:szCs w:val="18"/>
              </w:rPr>
              <w:t>询有限公司执行董事兼总经理，浙江省软件行业协会会长、浙商大健康委员会副会长、浙</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江大学校友总会健康分会秘书长。</w:t>
            </w:r>
          </w:p>
        </w:tc>
      </w:tr>
    </w:tbl>
    <w:p>
      <w:pPr>
        <w:spacing w:after="0" w:line="316" w:lineRule="auto"/>
        <w:jc w:val="both"/>
        <w:rPr>
          <w:rFonts w:ascii="宋体" w:hAnsi="宋体" w:cs="宋体" w:eastAsia="宋体" w:hint="default"/>
          <w:sz w:val="18"/>
          <w:szCs w:val="18"/>
        </w:rPr>
        <w:sectPr>
          <w:pgSz w:w="11910" w:h="16840"/>
          <w:pgMar w:header="907" w:footer="1016" w:top="1100" w:bottom="1200" w:left="1020" w:right="0"/>
        </w:sectPr>
      </w:pPr>
    </w:p>
    <w:p>
      <w:pPr>
        <w:spacing w:line="240" w:lineRule="auto" w:before="1"/>
        <w:rPr>
          <w:rFonts w:ascii="宋体" w:hAnsi="宋体" w:cs="宋体" w:eastAsia="宋体" w:hint="default"/>
          <w:sz w:val="25"/>
          <w:szCs w:val="25"/>
        </w:rPr>
      </w:pPr>
    </w:p>
    <w:p>
      <w:pPr>
        <w:spacing w:line="728" w:lineRule="exact"/>
        <w:ind w:left="204"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79.4pt;height:36.450pt;mso-position-horizontal-relative:char;mso-position-vertical-relative:line" coordorigin="0,0" coordsize="9588,729">
            <v:group style="position:absolute;left:13;top:13;width:2387;height:709" coordorigin="13,13" coordsize="2387,709">
              <v:shape style="position:absolute;left:13;top:13;width:2387;height:709" coordorigin="13,13" coordsize="2387,709" path="m13,13l2400,13,2400,722,13,722,13,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724;width:9578;height:2" coordorigin="5,724" coordsize="9578,2">
              <v:shape style="position:absolute;left:5;top:724;width:9578;height:2" coordorigin="5,724" coordsize="9578,0" path="m5,724l9582,724e" filled="false" stroked="true" strokeweight=".48pt" strokecolor="#000000">
                <v:path arrowok="t"/>
              </v:shape>
            </v:group>
            <v:group style="position:absolute;left:10;top:5;width:2;height:714" coordorigin="10,5" coordsize="2,714">
              <v:shape style="position:absolute;left:10;top:5;width:2;height:714" coordorigin="10,5" coordsize="0,714" path="m10,5l10,719e" filled="false" stroked="true" strokeweight=".48pt" strokecolor="#000000">
                <v:path arrowok="t"/>
              </v:shape>
            </v:group>
            <v:group style="position:absolute;left:2402;top:5;width:2;height:714" coordorigin="2402,5" coordsize="2,714">
              <v:shape style="position:absolute;left:2402;top:5;width:2;height:714" coordorigin="2402,5" coordsize="0,714" path="m2402,5l2402,719e" filled="false" stroked="true" strokeweight=".48pt" strokecolor="#000000">
                <v:path arrowok="t"/>
              </v:shape>
            </v:group>
            <v:group style="position:absolute;left:9578;top:5;width:2;height:714" coordorigin="9578,5" coordsize="2,714">
              <v:shape style="position:absolute;left:9578;top:5;width:2;height:714" coordorigin="9578,5" coordsize="0,714" path="m9578,5l9578,719e" filled="false" stroked="true" strokeweight=".48pt" strokecolor="#000000">
                <v:path arrowok="t"/>
              </v:shape>
              <v:shape style="position:absolute;left:10;top:10;width:2392;height:714" type="#_x0000_t202" filled="false" stroked="false">
                <v:textbox inset="0,0,0,0">
                  <w:txbxContent>
                    <w:p>
                      <w:pPr>
                        <w:spacing w:line="300" w:lineRule="auto" w:before="54"/>
                        <w:ind w:left="106" w:right="213" w:firstLine="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 上市公司情况</w:t>
                      </w:r>
                    </w:p>
                  </w:txbxContent>
                </v:textbox>
                <w10:wrap type="none"/>
              </v:shape>
              <v:shape style="position:absolute;left:2509;top:27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不适用</w:t>
                      </w:r>
                    </w:p>
                  </w:txbxContent>
                </v:textbox>
                <w10:wrap type="none"/>
              </v:shape>
            </v:group>
          </v:group>
        </w:pict>
      </w:r>
      <w:r>
        <w:rPr>
          <w:rFonts w:ascii="宋体" w:hAnsi="宋体" w:cs="宋体" w:eastAsia="宋体" w:hint="default"/>
          <w:position w:val="-14"/>
          <w:sz w:val="20"/>
          <w:szCs w:val="20"/>
        </w:rPr>
      </w:r>
    </w:p>
    <w:p>
      <w:pPr>
        <w:pStyle w:val="BodyText"/>
        <w:spacing w:line="240" w:lineRule="auto" w:before="51"/>
        <w:ind w:left="212" w:right="1031"/>
        <w:jc w:val="left"/>
      </w:pPr>
      <w:r>
        <w:rPr/>
        <w:t>实际控制人报告期内变更</w:t>
      </w:r>
    </w:p>
    <w:p>
      <w:pPr>
        <w:pStyle w:val="BodyText"/>
        <w:spacing w:line="357" w:lineRule="auto" w:before="117"/>
        <w:ind w:left="212" w:right="6794"/>
        <w:jc w:val="left"/>
      </w:pPr>
      <w:r>
        <w:rPr/>
        <w:t>□ 适用 √ 不适用 公司报告期实际控制人未发生变更。 公司与实际控制人之间的产权及控制关系的方框图</w:t>
      </w:r>
    </w:p>
    <w:p>
      <w:pPr>
        <w:spacing w:line="240" w:lineRule="auto" w:before="9"/>
        <w:rPr>
          <w:rFonts w:ascii="宋体" w:hAnsi="宋体" w:cs="宋体" w:eastAsia="宋体" w:hint="default"/>
          <w:sz w:val="23"/>
          <w:szCs w:val="23"/>
        </w:rPr>
      </w:pPr>
    </w:p>
    <w:p>
      <w:pPr>
        <w:spacing w:line="3462" w:lineRule="exact"/>
        <w:ind w:left="983"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5133406" cy="2198941"/>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36" cstate="print"/>
                    <a:stretch>
                      <a:fillRect/>
                    </a:stretch>
                  </pic:blipFill>
                  <pic:spPr>
                    <a:xfrm>
                      <a:off x="0" y="0"/>
                      <a:ext cx="5133406" cy="2198941"/>
                    </a:xfrm>
                    <a:prstGeom prst="rect">
                      <a:avLst/>
                    </a:prstGeom>
                  </pic:spPr>
                </pic:pic>
              </a:graphicData>
            </a:graphic>
          </wp:inline>
        </w:drawing>
      </w:r>
      <w:r>
        <w:rPr>
          <w:rFonts w:ascii="宋体" w:hAnsi="宋体" w:cs="宋体" w:eastAsia="宋体" w:hint="default"/>
          <w:position w:val="-68"/>
          <w:sz w:val="20"/>
          <w:szCs w:val="20"/>
        </w:rPr>
      </w:r>
    </w:p>
    <w:p>
      <w:pPr>
        <w:spacing w:line="240" w:lineRule="auto" w:before="0"/>
        <w:rPr>
          <w:rFonts w:ascii="宋体" w:hAnsi="宋体" w:cs="宋体" w:eastAsia="宋体" w:hint="default"/>
          <w:sz w:val="18"/>
          <w:szCs w:val="18"/>
        </w:rPr>
      </w:pPr>
    </w:p>
    <w:p>
      <w:pPr>
        <w:pStyle w:val="BodyText"/>
        <w:spacing w:line="240" w:lineRule="auto" w:before="125"/>
        <w:ind w:left="212" w:right="1031"/>
        <w:jc w:val="left"/>
      </w:pPr>
      <w:r>
        <w:rPr/>
        <w:t>实际控制人通过信托或其他资产管理方式控制公司</w:t>
      </w:r>
    </w:p>
    <w:p>
      <w:pPr>
        <w:spacing w:line="240" w:lineRule="auto" w:before="1"/>
        <w:rPr>
          <w:rFonts w:ascii="宋体" w:hAnsi="宋体" w:cs="宋体" w:eastAsia="宋体" w:hint="default"/>
          <w:sz w:val="21"/>
          <w:szCs w:val="21"/>
        </w:rPr>
      </w:pPr>
    </w:p>
    <w:p>
      <w:pPr>
        <w:pStyle w:val="BodyText"/>
        <w:spacing w:line="240" w:lineRule="auto"/>
        <w:ind w:left="212" w:right="1031"/>
        <w:jc w:val="left"/>
      </w:pPr>
      <w:r>
        <w:rPr/>
        <w:t>□ 适用 √ 不适用</w:t>
      </w:r>
    </w:p>
    <w:p>
      <w:pPr>
        <w:spacing w:line="240" w:lineRule="auto" w:before="0"/>
        <w:rPr>
          <w:rFonts w:ascii="宋体" w:hAnsi="宋体" w:cs="宋体" w:eastAsia="宋体" w:hint="default"/>
          <w:sz w:val="18"/>
          <w:szCs w:val="18"/>
        </w:rPr>
      </w:pPr>
    </w:p>
    <w:p>
      <w:pPr>
        <w:pStyle w:val="Heading3"/>
        <w:spacing w:line="240" w:lineRule="auto" w:before="118"/>
        <w:ind w:left="212" w:right="1031"/>
        <w:jc w:val="left"/>
        <w:rPr>
          <w:b w:val="0"/>
          <w:bCs w:val="0"/>
        </w:rPr>
      </w:pPr>
      <w:bookmarkStart w:name="4、其他持股在10%以上的法人股东" w:id="120"/>
      <w:bookmarkEnd w:id="120"/>
      <w:r>
        <w:rPr>
          <w:b w:val="0"/>
          <w:bCs w:val="0"/>
        </w:rPr>
      </w:r>
      <w:r>
        <w:rPr>
          <w:rFonts w:ascii="Times New Roman" w:hAnsi="Times New Roman" w:cs="Times New Roman" w:eastAsia="Times New Roman" w:hint="default"/>
        </w:rPr>
        <w:t>4</w:t>
      </w:r>
      <w:r>
        <w:rPr/>
        <w:t>、其他持股在</w:t>
      </w:r>
      <w:r>
        <w:rPr>
          <w:spacing w:val="-60"/>
        </w:rPr>
        <w:t> </w:t>
      </w:r>
      <w:r>
        <w:rPr>
          <w:rFonts w:ascii="Times New Roman" w:hAnsi="Times New Roman" w:cs="Times New Roman" w:eastAsia="Times New Roman" w:hint="default"/>
        </w:rPr>
        <w:t>10%</w:t>
      </w:r>
      <w:r>
        <w:rPr/>
        <w:t>以上的法人股东</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212" w:right="1031"/>
        <w:jc w:val="left"/>
      </w:pPr>
      <w:r>
        <w:rPr/>
        <w:t>√ 适用 □ 不适用</w:t>
      </w:r>
    </w:p>
    <w:p>
      <w:pPr>
        <w:spacing w:line="240" w:lineRule="auto" w:before="2"/>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1320"/>
        <w:gridCol w:w="1177"/>
        <w:gridCol w:w="1020"/>
        <w:gridCol w:w="1080"/>
        <w:gridCol w:w="5257"/>
      </w:tblGrid>
      <w:tr>
        <w:trPr>
          <w:trHeight w:val="714" w:hRule="exact"/>
        </w:trPr>
        <w:tc>
          <w:tcPr>
            <w:tcW w:w="1320"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法人股东名称</w:t>
            </w:r>
          </w:p>
        </w:tc>
        <w:tc>
          <w:tcPr>
            <w:tcW w:w="1177"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300" w:lineRule="auto" w:before="51"/>
              <w:ind w:left="133" w:right="106" w:hanging="24"/>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单位负责人</w:t>
            </w:r>
          </w:p>
        </w:tc>
        <w:tc>
          <w:tcPr>
            <w:tcW w:w="1020"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4"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080"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5257"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2" w:right="0"/>
              <w:jc w:val="left"/>
              <w:rPr>
                <w:rFonts w:ascii="宋体" w:hAnsi="宋体" w:cs="宋体" w:eastAsia="宋体" w:hint="default"/>
                <w:sz w:val="18"/>
                <w:szCs w:val="18"/>
              </w:rPr>
            </w:pPr>
            <w:r>
              <w:rPr>
                <w:rFonts w:ascii="宋体" w:hAnsi="宋体" w:cs="宋体" w:eastAsia="宋体" w:hint="default"/>
                <w:sz w:val="18"/>
                <w:szCs w:val="18"/>
              </w:rPr>
              <w:t>主要经营业务或管理活动</w:t>
            </w:r>
          </w:p>
        </w:tc>
      </w:tr>
      <w:tr>
        <w:trPr>
          <w:trHeight w:val="357" w:hRule="exact"/>
        </w:trPr>
        <w:tc>
          <w:tcPr>
            <w:tcW w:w="1320" w:type="dxa"/>
            <w:tcBorders>
              <w:top w:val="single" w:sz="4" w:space="0" w:color="000000"/>
              <w:left w:val="single" w:sz="4" w:space="0" w:color="000000"/>
              <w:bottom w:val="nil" w:sz="6" w:space="0" w:color="auto"/>
              <w:right w:val="single" w:sz="4" w:space="0" w:color="000000"/>
            </w:tcBorders>
          </w:tcPr>
          <w:p>
            <w:pPr/>
          </w:p>
        </w:tc>
        <w:tc>
          <w:tcPr>
            <w:tcW w:w="1177" w:type="dxa"/>
            <w:tcBorders>
              <w:top w:val="single" w:sz="4" w:space="0" w:color="000000"/>
              <w:left w:val="single" w:sz="4" w:space="0" w:color="000000"/>
              <w:bottom w:val="nil" w:sz="6" w:space="0" w:color="auto"/>
              <w:right w:val="single" w:sz="4" w:space="0" w:color="000000"/>
            </w:tcBorders>
          </w:tcPr>
          <w:p>
            <w:pPr/>
          </w:p>
        </w:tc>
        <w:tc>
          <w:tcPr>
            <w:tcW w:w="102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52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服务：实业投资、私募股权投资、投资咨询（除证券、期货）、</w:t>
            </w:r>
          </w:p>
        </w:tc>
      </w:tr>
      <w:tr>
        <w:trPr>
          <w:trHeight w:val="312" w:hRule="exact"/>
        </w:trPr>
        <w:tc>
          <w:tcPr>
            <w:tcW w:w="1320"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52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4"/>
                <w:sz w:val="18"/>
                <w:szCs w:val="18"/>
              </w:rPr>
              <w:t>投资管理（未经金融等监管部门批准，不得从事向公众融资存款、</w:t>
            </w:r>
          </w:p>
        </w:tc>
      </w:tr>
      <w:tr>
        <w:trPr>
          <w:trHeight w:val="312" w:hRule="exact"/>
        </w:trPr>
        <w:tc>
          <w:tcPr>
            <w:tcW w:w="1320"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52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融资担保、代客理财等金融服务）、企业管理咨询、物业管理、</w:t>
            </w:r>
          </w:p>
        </w:tc>
      </w:tr>
      <w:tr>
        <w:trPr>
          <w:trHeight w:val="312" w:hRule="exact"/>
        </w:trPr>
        <w:tc>
          <w:tcPr>
            <w:tcW w:w="1320"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52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会展服务、会务服务、商务信息咨询、互联网信息；技术开发、</w:t>
            </w:r>
          </w:p>
        </w:tc>
      </w:tr>
      <w:tr>
        <w:trPr>
          <w:trHeight w:val="629" w:hRule="exact"/>
        </w:trPr>
        <w:tc>
          <w:tcPr>
            <w:tcW w:w="132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126"/>
              <w:jc w:val="left"/>
              <w:rPr>
                <w:rFonts w:ascii="宋体" w:hAnsi="宋体" w:cs="宋体" w:eastAsia="宋体" w:hint="default"/>
                <w:sz w:val="18"/>
                <w:szCs w:val="18"/>
              </w:rPr>
            </w:pPr>
            <w:r>
              <w:rPr>
                <w:rFonts w:ascii="宋体" w:hAnsi="宋体" w:cs="宋体" w:eastAsia="宋体" w:hint="default"/>
                <w:sz w:val="18"/>
                <w:szCs w:val="18"/>
              </w:rPr>
              <w:t>杭州阜康投资 有限公司</w:t>
            </w:r>
          </w:p>
        </w:tc>
        <w:tc>
          <w:tcPr>
            <w:tcW w:w="117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洪邵平</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1000.00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 人民币</w:t>
            </w:r>
          </w:p>
        </w:tc>
        <w:tc>
          <w:tcPr>
            <w:tcW w:w="5257"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103" w:right="102"/>
              <w:jc w:val="left"/>
              <w:rPr>
                <w:rFonts w:ascii="宋体" w:hAnsi="宋体" w:cs="宋体" w:eastAsia="宋体" w:hint="default"/>
                <w:sz w:val="18"/>
                <w:szCs w:val="18"/>
              </w:rPr>
            </w:pPr>
            <w:r>
              <w:rPr>
                <w:rFonts w:ascii="宋体" w:hAnsi="宋体" w:cs="宋体" w:eastAsia="宋体" w:hint="default"/>
                <w:spacing w:val="-4"/>
                <w:sz w:val="18"/>
                <w:szCs w:val="18"/>
              </w:rPr>
              <w:t>技术服务、技术咨询、成果转让服务</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电子商务技术、计算机硬件</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批发、零售：办公自动化设备、电子产品、金属材料、矿产品、</w:t>
            </w:r>
          </w:p>
        </w:tc>
      </w:tr>
      <w:tr>
        <w:trPr>
          <w:trHeight w:val="307" w:hRule="exact"/>
        </w:trPr>
        <w:tc>
          <w:tcPr>
            <w:tcW w:w="1320"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525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旅游用品、工艺品、化工原料及产品（除化学危险品及易制毒化</w:t>
            </w:r>
          </w:p>
        </w:tc>
      </w:tr>
      <w:tr>
        <w:trPr>
          <w:trHeight w:val="312" w:hRule="exact"/>
        </w:trPr>
        <w:tc>
          <w:tcPr>
            <w:tcW w:w="1320"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52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学品）、日用品、家具；货物进出口（法律、行政法规禁止的项</w:t>
            </w:r>
          </w:p>
        </w:tc>
      </w:tr>
      <w:tr>
        <w:trPr>
          <w:trHeight w:val="312" w:hRule="exact"/>
        </w:trPr>
        <w:tc>
          <w:tcPr>
            <w:tcW w:w="1320"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52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目除外，法律法规限制的项目取得许可后方可经营）（依法须经</w:t>
            </w:r>
          </w:p>
        </w:tc>
      </w:tr>
      <w:tr>
        <w:trPr>
          <w:trHeight w:val="357" w:hRule="exact"/>
        </w:trPr>
        <w:tc>
          <w:tcPr>
            <w:tcW w:w="1320" w:type="dxa"/>
            <w:tcBorders>
              <w:top w:val="nil" w:sz="6" w:space="0" w:color="auto"/>
              <w:left w:val="single" w:sz="4" w:space="0" w:color="000000"/>
              <w:bottom w:val="single" w:sz="4" w:space="0" w:color="000000"/>
              <w:right w:val="single" w:sz="4" w:space="0" w:color="000000"/>
            </w:tcBorders>
          </w:tcPr>
          <w:p>
            <w:pPr/>
          </w:p>
        </w:tc>
        <w:tc>
          <w:tcPr>
            <w:tcW w:w="1177" w:type="dxa"/>
            <w:tcBorders>
              <w:top w:val="nil" w:sz="6" w:space="0" w:color="auto"/>
              <w:left w:val="single" w:sz="4" w:space="0" w:color="000000"/>
              <w:bottom w:val="single" w:sz="4" w:space="0" w:color="000000"/>
              <w:right w:val="single" w:sz="4" w:space="0" w:color="000000"/>
            </w:tcBorders>
          </w:tcPr>
          <w:p>
            <w:pPr/>
          </w:p>
        </w:tc>
        <w:tc>
          <w:tcPr>
            <w:tcW w:w="102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525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批准的项目，经相关部门批准后方可开展经营活动）</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before="34"/>
        <w:ind w:left="212" w:right="1031"/>
        <w:jc w:val="left"/>
        <w:rPr>
          <w:b w:val="0"/>
          <w:bCs w:val="0"/>
        </w:rPr>
      </w:pPr>
      <w:bookmarkStart w:name="5、控股股东、实际控制人、重组方及其他承诺主体股份限制减持情况" w:id="121"/>
      <w:bookmarkEnd w:id="121"/>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12" w:right="1031"/>
        <w:jc w:val="left"/>
      </w:pPr>
      <w:r>
        <w:rPr/>
        <w:t>□ 适用 √ 不适用</w:t>
      </w:r>
    </w:p>
    <w:p>
      <w:pPr>
        <w:spacing w:after="0" w:line="240" w:lineRule="auto"/>
        <w:jc w:val="left"/>
        <w:sectPr>
          <w:pgSz w:w="11910" w:h="16840"/>
          <w:pgMar w:header="907" w:footer="1016" w:top="1100" w:bottom="1200" w:left="9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328" w:right="882"/>
        <w:jc w:val="left"/>
        <w:rPr>
          <w:b w:val="0"/>
          <w:bCs w:val="0"/>
        </w:rPr>
      </w:pPr>
      <w:bookmarkStart w:name="第七节优先股相关情况" w:id="122"/>
      <w:bookmarkEnd w:id="122"/>
      <w:r>
        <w:rPr>
          <w:b w:val="0"/>
          <w:bCs w:val="0"/>
        </w:rPr>
      </w:r>
      <w:bookmarkStart w:name="_bookmark5" w:id="123"/>
      <w:bookmarkEnd w:id="123"/>
      <w:r>
        <w:rPr>
          <w:b w:val="0"/>
          <w:bCs w:val="0"/>
        </w:rPr>
      </w:r>
      <w:r>
        <w:rPr/>
        <w:t>第七节优先股相关情况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pStyle w:val="BodyText"/>
        <w:spacing w:line="360" w:lineRule="auto" w:before="44"/>
        <w:ind w:right="8594"/>
        <w:jc w:val="left"/>
      </w:pPr>
      <w:r>
        <w:rPr/>
        <w:t>□ 适用 √ 不适用 报告期公司不存在优先股。</w:t>
      </w:r>
    </w:p>
    <w:p>
      <w:pPr>
        <w:spacing w:after="0" w:line="36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2685" w:right="882"/>
        <w:jc w:val="left"/>
        <w:rPr>
          <w:b w:val="0"/>
          <w:bCs w:val="0"/>
        </w:rPr>
      </w:pPr>
      <w:bookmarkStart w:name="第八节可转换公司债券相关情况" w:id="124"/>
      <w:bookmarkEnd w:id="124"/>
      <w:r>
        <w:rPr>
          <w:b w:val="0"/>
          <w:bCs w:val="0"/>
        </w:rPr>
      </w:r>
      <w:bookmarkStart w:name="_bookmark6" w:id="125"/>
      <w:bookmarkEnd w:id="125"/>
      <w:r>
        <w:rPr>
          <w:b w:val="0"/>
          <w:bCs w:val="0"/>
        </w:rPr>
      </w:r>
      <w:r>
        <w:rPr/>
        <w:t>第八节可转换公司债券相关情况</w:t>
      </w:r>
      <w:r>
        <w:rPr>
          <w:b w:val="0"/>
          <w:bCs w:val="0"/>
        </w:rPr>
      </w:r>
    </w:p>
    <w:p>
      <w:pPr>
        <w:spacing w:line="240" w:lineRule="auto" w:before="6"/>
        <w:rPr>
          <w:rFonts w:ascii="宋体" w:hAnsi="宋体" w:cs="宋体" w:eastAsia="宋体" w:hint="default"/>
          <w:b/>
          <w:bCs/>
          <w:sz w:val="42"/>
          <w:szCs w:val="42"/>
        </w:rPr>
      </w:pPr>
    </w:p>
    <w:p>
      <w:pPr>
        <w:pStyle w:val="BodyText"/>
        <w:spacing w:line="360" w:lineRule="auto"/>
        <w:ind w:right="7874"/>
        <w:jc w:val="left"/>
      </w:pPr>
      <w:r>
        <w:rPr/>
        <w:t>□ 适用 √ 不适用 报告期公司不存在可转换公司债券。</w:t>
      </w:r>
    </w:p>
    <w:p>
      <w:pPr>
        <w:spacing w:after="0" w:line="36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1723" w:right="882"/>
        <w:jc w:val="left"/>
        <w:rPr>
          <w:b w:val="0"/>
          <w:bCs w:val="0"/>
        </w:rPr>
      </w:pPr>
      <w:bookmarkStart w:name="第九节董事、监事、高级管理人员和员工情况" w:id="126"/>
      <w:bookmarkEnd w:id="126"/>
      <w:r>
        <w:rPr>
          <w:b w:val="0"/>
          <w:bCs w:val="0"/>
        </w:rPr>
      </w:r>
      <w:bookmarkStart w:name="_bookmark7" w:id="127"/>
      <w:bookmarkEnd w:id="127"/>
      <w:r>
        <w:rPr>
          <w:b w:val="0"/>
          <w:bCs w:val="0"/>
        </w:rPr>
      </w:r>
      <w:r>
        <w:rPr/>
        <w:t>第九节董事、监事、高级管理人员和员工情况</w:t>
      </w:r>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right="882"/>
        <w:jc w:val="left"/>
        <w:rPr>
          <w:b w:val="0"/>
          <w:bCs w:val="0"/>
        </w:rPr>
      </w:pPr>
      <w:bookmarkStart w:name="一、董事、监事和高级管理人员持股变动" w:id="128"/>
      <w:bookmarkEnd w:id="128"/>
      <w:r>
        <w:rPr>
          <w:b w:val="0"/>
          <w:bCs w:val="0"/>
        </w:rPr>
      </w:r>
      <w:r>
        <w:rPr/>
        <w:t>一、董事、监事和高级管理人员持股变动</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798"/>
        <w:gridCol w:w="797"/>
        <w:gridCol w:w="797"/>
        <w:gridCol w:w="797"/>
        <w:gridCol w:w="798"/>
        <w:gridCol w:w="797"/>
        <w:gridCol w:w="798"/>
        <w:gridCol w:w="798"/>
        <w:gridCol w:w="798"/>
        <w:gridCol w:w="798"/>
        <w:gridCol w:w="798"/>
        <w:gridCol w:w="798"/>
      </w:tblGrid>
      <w:tr>
        <w:trPr>
          <w:trHeight w:val="1338"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302" w:right="123" w:hanging="180"/>
              <w:jc w:val="left"/>
              <w:rPr>
                <w:rFonts w:ascii="宋体" w:hAnsi="宋体" w:cs="宋体" w:eastAsia="宋体" w:hint="default"/>
                <w:sz w:val="18"/>
                <w:szCs w:val="18"/>
              </w:rPr>
            </w:pPr>
            <w:r>
              <w:rPr>
                <w:rFonts w:ascii="宋体" w:hAnsi="宋体" w:cs="宋体" w:eastAsia="宋体" w:hint="default"/>
                <w:sz w:val="18"/>
                <w:szCs w:val="18"/>
              </w:rPr>
              <w:t>任职状 态</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122" w:right="122"/>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125" w:right="121"/>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5" w:right="122" w:hanging="92"/>
              <w:jc w:val="left"/>
              <w:rPr>
                <w:rFonts w:ascii="宋体" w:hAnsi="宋体" w:cs="宋体" w:eastAsia="宋体" w:hint="default"/>
                <w:sz w:val="18"/>
                <w:szCs w:val="18"/>
              </w:rPr>
            </w:pPr>
            <w:r>
              <w:rPr>
                <w:rFonts w:ascii="宋体" w:hAnsi="宋体" w:cs="宋体" w:eastAsia="宋体" w:hint="default"/>
                <w:sz w:val="18"/>
                <w:szCs w:val="18"/>
              </w:rPr>
              <w:t>期初持 股数</w:t>
            </w:r>
          </w:p>
          <w:p>
            <w:pPr>
              <w:pStyle w:val="TableParagraph"/>
              <w:spacing w:line="240" w:lineRule="auto" w:before="19"/>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5" w:right="121"/>
              <w:jc w:val="both"/>
              <w:rPr>
                <w:rFonts w:ascii="宋体" w:hAnsi="宋体" w:cs="宋体" w:eastAsia="宋体" w:hint="default"/>
                <w:sz w:val="18"/>
                <w:szCs w:val="18"/>
              </w:rPr>
            </w:pPr>
            <w:r>
              <w:rPr>
                <w:rFonts w:ascii="宋体" w:hAnsi="宋体" w:cs="宋体" w:eastAsia="宋体" w:hint="default"/>
                <w:sz w:val="18"/>
                <w:szCs w:val="18"/>
              </w:rPr>
              <w:t>本期增 持股份 数量</w:t>
            </w:r>
          </w:p>
          <w:p>
            <w:pPr>
              <w:pStyle w:val="TableParagraph"/>
              <w:spacing w:line="240" w:lineRule="auto" w:before="19"/>
              <w:ind w:left="125" w:right="0"/>
              <w:jc w:val="both"/>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3" w:right="122"/>
              <w:jc w:val="both"/>
              <w:rPr>
                <w:rFonts w:ascii="宋体" w:hAnsi="宋体" w:cs="宋体" w:eastAsia="宋体" w:hint="default"/>
                <w:sz w:val="18"/>
                <w:szCs w:val="18"/>
              </w:rPr>
            </w:pPr>
            <w:r>
              <w:rPr>
                <w:rFonts w:ascii="宋体" w:hAnsi="宋体" w:cs="宋体" w:eastAsia="宋体" w:hint="default"/>
                <w:sz w:val="18"/>
                <w:szCs w:val="18"/>
              </w:rPr>
              <w:t>本期减 持股份 数量</w:t>
            </w:r>
          </w:p>
          <w:p>
            <w:pPr>
              <w:pStyle w:val="TableParagraph"/>
              <w:spacing w:line="240" w:lineRule="auto" w:before="19"/>
              <w:ind w:left="123" w:right="0"/>
              <w:jc w:val="both"/>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125" w:right="121"/>
              <w:jc w:val="left"/>
              <w:rPr>
                <w:rFonts w:ascii="宋体" w:hAnsi="宋体" w:cs="宋体" w:eastAsia="宋体" w:hint="default"/>
                <w:sz w:val="18"/>
                <w:szCs w:val="18"/>
              </w:rPr>
            </w:pPr>
            <w:r>
              <w:rPr>
                <w:rFonts w:ascii="宋体" w:hAnsi="宋体" w:cs="宋体" w:eastAsia="宋体" w:hint="default"/>
                <w:sz w:val="18"/>
                <w:szCs w:val="18"/>
              </w:rPr>
              <w:t>其他增 减变动</w:t>
            </w:r>
          </w:p>
          <w:p>
            <w:pPr>
              <w:pStyle w:val="TableParagraph"/>
              <w:spacing w:line="240" w:lineRule="auto" w:before="19"/>
              <w:ind w:left="125"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5" w:right="122" w:hanging="92"/>
              <w:jc w:val="left"/>
              <w:rPr>
                <w:rFonts w:ascii="宋体" w:hAnsi="宋体" w:cs="宋体" w:eastAsia="宋体" w:hint="default"/>
                <w:sz w:val="18"/>
                <w:szCs w:val="18"/>
              </w:rPr>
            </w:pPr>
            <w:r>
              <w:rPr>
                <w:rFonts w:ascii="宋体" w:hAnsi="宋体" w:cs="宋体" w:eastAsia="宋体" w:hint="default"/>
                <w:sz w:val="18"/>
                <w:szCs w:val="18"/>
              </w:rPr>
              <w:t>期末持 股数</w:t>
            </w:r>
          </w:p>
          <w:p>
            <w:pPr>
              <w:pStyle w:val="TableParagraph"/>
              <w:spacing w:line="240" w:lineRule="auto" w:before="19"/>
              <w:ind w:left="123" w:right="0"/>
              <w:jc w:val="left"/>
              <w:rPr>
                <w:rFonts w:ascii="宋体" w:hAnsi="宋体" w:cs="宋体" w:eastAsia="宋体" w:hint="default"/>
                <w:sz w:val="18"/>
                <w:szCs w:val="18"/>
              </w:rPr>
            </w:pPr>
            <w:r>
              <w:rPr>
                <w:rFonts w:ascii="宋体" w:hAnsi="宋体" w:cs="宋体" w:eastAsia="宋体" w:hint="default"/>
                <w:sz w:val="18"/>
                <w:szCs w:val="18"/>
              </w:rPr>
              <w:t>（股）</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葛航</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89,255,</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092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44,627,</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125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133,88</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2,217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张吕峥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122" w:right="123"/>
              <w:jc w:val="left"/>
              <w:rPr>
                <w:rFonts w:ascii="宋体" w:hAnsi="宋体" w:cs="宋体" w:eastAsia="宋体" w:hint="default"/>
                <w:sz w:val="18"/>
                <w:szCs w:val="18"/>
              </w:rPr>
            </w:pPr>
            <w:r>
              <w:rPr>
                <w:rFonts w:ascii="宋体" w:hAnsi="宋体" w:cs="宋体" w:eastAsia="宋体" w:hint="default"/>
                <w:sz w:val="18"/>
                <w:szCs w:val="18"/>
              </w:rPr>
              <w:t>董事、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18,150,</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4,537,5</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6,806,1</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86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20,418,</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686</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胡燕</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22" w:right="123"/>
              <w:jc w:val="both"/>
              <w:rPr>
                <w:rFonts w:ascii="宋体" w:hAnsi="宋体" w:cs="宋体" w:eastAsia="宋体" w:hint="default"/>
                <w:sz w:val="18"/>
                <w:szCs w:val="18"/>
              </w:rPr>
            </w:pPr>
            <w:r>
              <w:rPr>
                <w:rFonts w:ascii="宋体" w:hAnsi="宋体" w:cs="宋体" w:eastAsia="宋体" w:hint="default"/>
                <w:sz w:val="18"/>
                <w:szCs w:val="18"/>
              </w:rPr>
              <w:t>董事、 董事会 秘书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90,000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80,000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44,999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214,99</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9</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 w:right="0"/>
              <w:jc w:val="center"/>
              <w:rPr>
                <w:rFonts w:ascii="宋体" w:hAnsi="宋体" w:cs="宋体" w:eastAsia="宋体" w:hint="default"/>
                <w:sz w:val="18"/>
                <w:szCs w:val="18"/>
              </w:rPr>
            </w:pPr>
            <w:r>
              <w:rPr>
                <w:rFonts w:ascii="宋体" w:hAnsi="宋体" w:cs="宋体" w:eastAsia="宋体" w:hint="default"/>
                <w:sz w:val="18"/>
                <w:szCs w:val="18"/>
              </w:rPr>
              <w:t>赵晔</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应晶</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杨建刚</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61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凌云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58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江乾坤</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叶建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213" w:right="123" w:hanging="92"/>
              <w:jc w:val="left"/>
              <w:rPr>
                <w:rFonts w:ascii="宋体" w:hAnsi="宋体" w:cs="宋体" w:eastAsia="宋体" w:hint="default"/>
                <w:sz w:val="18"/>
                <w:szCs w:val="18"/>
              </w:rPr>
            </w:pPr>
            <w:r>
              <w:rPr>
                <w:rFonts w:ascii="宋体" w:hAnsi="宋体" w:cs="宋体" w:eastAsia="宋体" w:hint="default"/>
                <w:sz w:val="18"/>
                <w:szCs w:val="18"/>
              </w:rPr>
              <w:t>监事会 主席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51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 w:right="0"/>
              <w:jc w:val="center"/>
              <w:rPr>
                <w:rFonts w:ascii="宋体" w:hAnsi="宋体" w:cs="宋体" w:eastAsia="宋体" w:hint="default"/>
                <w:sz w:val="18"/>
                <w:szCs w:val="18"/>
              </w:rPr>
            </w:pPr>
            <w:r>
              <w:rPr>
                <w:rFonts w:ascii="宋体" w:hAnsi="宋体" w:cs="宋体" w:eastAsia="宋体" w:hint="default"/>
                <w:sz w:val="18"/>
                <w:szCs w:val="18"/>
              </w:rPr>
              <w:t>贾驰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798"/>
        <w:gridCol w:w="797"/>
        <w:gridCol w:w="797"/>
        <w:gridCol w:w="797"/>
        <w:gridCol w:w="798"/>
        <w:gridCol w:w="797"/>
        <w:gridCol w:w="798"/>
        <w:gridCol w:w="798"/>
        <w:gridCol w:w="798"/>
        <w:gridCol w:w="798"/>
        <w:gridCol w:w="798"/>
        <w:gridCol w:w="798"/>
      </w:tblGrid>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李军</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职工监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56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pacing w:val="-3"/>
                <w:sz w:val="18"/>
                <w:szCs w:val="18"/>
              </w:rPr>
              <w:t>11</w:t>
            </w:r>
          </w:p>
          <w:p>
            <w:pPr>
              <w:pStyle w:val="TableParagraph"/>
              <w:spacing w:line="240" w:lineRule="auto" w:before="63"/>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高春蓉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22" w:right="123"/>
              <w:jc w:val="both"/>
              <w:rPr>
                <w:rFonts w:ascii="宋体" w:hAnsi="宋体" w:cs="宋体" w:eastAsia="宋体" w:hint="default"/>
                <w:sz w:val="18"/>
                <w:szCs w:val="18"/>
              </w:rPr>
            </w:pPr>
            <w:r>
              <w:rPr>
                <w:rFonts w:ascii="宋体" w:hAnsi="宋体" w:cs="宋体" w:eastAsia="宋体" w:hint="default"/>
                <w:sz w:val="18"/>
                <w:szCs w:val="18"/>
              </w:rPr>
              <w:t>副总经 理、总 工程师</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80,000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80,000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郁燕萍</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财务总 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54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180,00</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80,000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89,998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349,99</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8</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方宝林</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90,000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70,000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44,999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204,99</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9</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 w:right="0"/>
              <w:jc w:val="center"/>
              <w:rPr>
                <w:rFonts w:ascii="宋体" w:hAnsi="宋体" w:cs="宋体" w:eastAsia="宋体" w:hint="default"/>
                <w:sz w:val="18"/>
                <w:szCs w:val="18"/>
              </w:rPr>
            </w:pPr>
            <w:r>
              <w:rPr>
                <w:rFonts w:ascii="宋体" w:hAnsi="宋体" w:cs="宋体" w:eastAsia="宋体" w:hint="default"/>
                <w:sz w:val="18"/>
                <w:szCs w:val="18"/>
              </w:rPr>
              <w:t>张崧</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205,95</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80,000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102,97</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388,92</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3</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 w:right="0"/>
              <w:jc w:val="center"/>
              <w:rPr>
                <w:rFonts w:ascii="宋体" w:hAnsi="宋体" w:cs="宋体" w:eastAsia="宋体" w:hint="default"/>
                <w:sz w:val="18"/>
                <w:szCs w:val="18"/>
              </w:rPr>
            </w:pPr>
            <w:r>
              <w:rPr>
                <w:rFonts w:ascii="宋体" w:hAnsi="宋体" w:cs="宋体" w:eastAsia="宋体" w:hint="default"/>
                <w:sz w:val="18"/>
                <w:szCs w:val="18"/>
              </w:rPr>
              <w:t>陈东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80,000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80,000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孙烈峰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89,250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70,000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44,624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203,87</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4</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李寒穷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p>
          <w:p>
            <w:pPr>
              <w:pStyle w:val="TableParagraph"/>
              <w:spacing w:line="240" w:lineRule="auto" w:before="63"/>
              <w:ind w:left="1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r>
              <w:rPr>
                <w:rFonts w:ascii="Times New Roman"/>
                <w:sz w:val="18"/>
              </w:rPr>
              <w:t>108,06</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0,292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540,00</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r>
              <w:rPr>
                <w:rFonts w:ascii="Times New Roman"/>
                <w:sz w:val="18"/>
              </w:rPr>
              <w:t>4,537,5</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51,760,</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904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r>
              <w:rPr>
                <w:rFonts w:ascii="Times New Roman"/>
                <w:sz w:val="18"/>
              </w:rPr>
              <w:t>155,82</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3,696</w:t>
            </w:r>
          </w:p>
        </w:tc>
      </w:tr>
    </w:tbl>
    <w:p>
      <w:pPr>
        <w:spacing w:line="240" w:lineRule="auto" w:before="0"/>
        <w:rPr>
          <w:rFonts w:ascii="宋体" w:hAnsi="宋体" w:cs="宋体" w:eastAsia="宋体" w:hint="default"/>
          <w:b/>
          <w:bCs/>
          <w:sz w:val="18"/>
          <w:szCs w:val="18"/>
        </w:rPr>
      </w:pPr>
    </w:p>
    <w:p>
      <w:pPr>
        <w:pStyle w:val="Heading2"/>
        <w:spacing w:line="240" w:lineRule="auto" w:before="26"/>
        <w:ind w:right="882"/>
        <w:jc w:val="left"/>
        <w:rPr>
          <w:b w:val="0"/>
          <w:bCs w:val="0"/>
        </w:rPr>
      </w:pPr>
      <w:bookmarkStart w:name="二、公司董事、监事、高级管理人员变动情况" w:id="129"/>
      <w:bookmarkEnd w:id="129"/>
      <w:r>
        <w:rPr>
          <w:b w:val="0"/>
          <w:bCs w:val="0"/>
        </w:rPr>
      </w:r>
      <w:r>
        <w:rPr/>
        <w:t>二、公司董事、监事、高级管理人员变动情况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29"/>
        <w:gridCol w:w="1330"/>
        <w:gridCol w:w="1330"/>
        <w:gridCol w:w="2098"/>
        <w:gridCol w:w="3480"/>
      </w:tblGrid>
      <w:tr>
        <w:trPr>
          <w:trHeight w:val="402" w:hRule="exact"/>
        </w:trPr>
        <w:tc>
          <w:tcPr>
            <w:tcW w:w="1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2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34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2" w:hRule="exact"/>
        </w:trPr>
        <w:tc>
          <w:tcPr>
            <w:tcW w:w="1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李寒穷</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个人原因</w:t>
            </w:r>
          </w:p>
        </w:tc>
      </w:tr>
    </w:tbl>
    <w:p>
      <w:pPr>
        <w:spacing w:line="240" w:lineRule="auto" w:before="2"/>
        <w:rPr>
          <w:rFonts w:ascii="宋体" w:hAnsi="宋体" w:cs="宋体" w:eastAsia="宋体" w:hint="default"/>
          <w:sz w:val="18"/>
          <w:szCs w:val="18"/>
        </w:rPr>
      </w:pPr>
    </w:p>
    <w:p>
      <w:pPr>
        <w:pStyle w:val="Heading2"/>
        <w:spacing w:line="240" w:lineRule="auto" w:before="26"/>
        <w:ind w:right="882"/>
        <w:jc w:val="left"/>
        <w:rPr>
          <w:b w:val="0"/>
          <w:bCs w:val="0"/>
        </w:rPr>
      </w:pPr>
      <w:bookmarkStart w:name="三、任职情况" w:id="130"/>
      <w:bookmarkEnd w:id="130"/>
      <w:r>
        <w:rPr>
          <w:b w:val="0"/>
          <w:bCs w:val="0"/>
        </w:rPr>
      </w:r>
      <w:r>
        <w:rPr/>
        <w:t>三、任职情况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公司现任董事、监事、高级管理人员专业背景、主要工作经历以及目前在公司的主要职责</w:t>
      </w:r>
    </w:p>
    <w:p>
      <w:pPr>
        <w:pStyle w:val="BodyText"/>
        <w:spacing w:line="240" w:lineRule="auto" w:before="117"/>
        <w:ind w:left="472" w:right="882"/>
        <w:jc w:val="left"/>
      </w:pPr>
      <w:r>
        <w:rPr/>
        <w:t>（一）董事会成员</w:t>
      </w:r>
    </w:p>
    <w:p>
      <w:pPr>
        <w:pStyle w:val="BodyText"/>
        <w:spacing w:line="307" w:lineRule="auto" w:before="76"/>
        <w:ind w:right="882" w:firstLine="360"/>
        <w:jc w:val="left"/>
      </w:pPr>
      <w:r>
        <w:rPr>
          <w:rFonts w:ascii="Times New Roman" w:hAnsi="Times New Roman" w:cs="Times New Roman" w:eastAsia="Times New Roman" w:hint="default"/>
          <w:spacing w:val="-2"/>
        </w:rPr>
        <w:t>1</w:t>
      </w:r>
      <w:r>
        <w:rPr>
          <w:spacing w:val="-2"/>
        </w:rPr>
        <w:t>、葛航先生，</w:t>
      </w:r>
      <w:r>
        <w:rPr>
          <w:rFonts w:ascii="Times New Roman" w:hAnsi="Times New Roman" w:cs="Times New Roman" w:eastAsia="Times New Roman" w:hint="default"/>
          <w:spacing w:val="-2"/>
        </w:rPr>
        <w:t>1963</w:t>
      </w:r>
      <w:r>
        <w:rPr>
          <w:spacing w:val="-2"/>
        </w:rPr>
        <w:t>年出生，中国国籍，浙江大学机电专业，长江商学院</w:t>
      </w:r>
      <w:r>
        <w:rPr>
          <w:rFonts w:ascii="Times New Roman" w:hAnsi="Times New Roman" w:cs="Times New Roman" w:eastAsia="Times New Roman" w:hint="default"/>
          <w:spacing w:val="-2"/>
        </w:rPr>
        <w:t>EMBA</w:t>
      </w:r>
      <w:r>
        <w:rPr>
          <w:spacing w:val="-2"/>
        </w:rPr>
        <w:t>硕士研究生，清华经管企业家学者博士，</w:t>
      </w:r>
      <w:r>
        <w:rPr/>
        <w:t> </w:t>
      </w:r>
      <w:r>
        <w:rPr>
          <w:spacing w:val="-2"/>
        </w:rPr>
        <w:t>高级工程师。</w:t>
      </w:r>
      <w:r>
        <w:rPr>
          <w:rFonts w:ascii="Times New Roman" w:hAnsi="Times New Roman" w:cs="Times New Roman" w:eastAsia="Times New Roman" w:hint="default"/>
          <w:spacing w:val="-2"/>
        </w:rPr>
        <w:t>1998</w:t>
      </w:r>
      <w:r>
        <w:rPr>
          <w:spacing w:val="-2"/>
        </w:rPr>
        <w:t>年至今担任创业慧康科技股份有限公司董事长，曾任浙江浙大网新软件产业集团有限公司董事长、浙大网</w:t>
      </w:r>
      <w:r>
        <w:rPr>
          <w:spacing w:val="-61"/>
        </w:rPr>
        <w:t> </w:t>
      </w:r>
      <w:r>
        <w:rPr>
          <w:spacing w:val="-61"/>
        </w:rPr>
      </w:r>
      <w:r>
        <w:rPr>
          <w:spacing w:val="-2"/>
        </w:rPr>
        <w:t>新科技股份有限公司董事兼副总裁等职务。曾荣获改革开放四十年浙江工业创业发展四十人之一、第十七届浙江省优秀企业</w:t>
      </w:r>
      <w:r>
        <w:rPr>
          <w:spacing w:val="-64"/>
        </w:rPr>
        <w:t> </w:t>
      </w:r>
      <w:r>
        <w:rPr>
          <w:spacing w:val="-64"/>
        </w:rPr>
      </w:r>
      <w:r>
        <w:rPr>
          <w:spacing w:val="-2"/>
        </w:rPr>
        <w:t>家、浙江省科技进步奖、杭州市劳动模范、杭州市科技进步奖、杭州市新产品新技术奖、杭州市管理创新奖以及浙江省科技</w:t>
      </w:r>
    </w:p>
    <w:p>
      <w:pPr>
        <w:spacing w:after="0" w:line="307"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30"/>
        <w:jc w:val="both"/>
      </w:pPr>
      <w:r>
        <w:rPr>
          <w:spacing w:val="-2"/>
        </w:rPr>
        <w:t>创新先进个人、浙江省软件行业杰出企业家、杭州市成绩突出科技工作者、杭州市第五届优秀社会主义事业建设者、杭州市</w:t>
      </w:r>
      <w:r>
        <w:rPr>
          <w:spacing w:val="-64"/>
        </w:rPr>
        <w:t> </w:t>
      </w:r>
      <w:r>
        <w:rPr>
          <w:spacing w:val="-64"/>
        </w:rPr>
      </w:r>
      <w:r>
        <w:rPr>
          <w:spacing w:val="-2"/>
        </w:rPr>
        <w:t>级领军人才等称号。现任公司董事长，浙江中宇信息科技有限公司执行董事，北京甲和灯科技股份有限公司、杭州迪通创健</w:t>
      </w:r>
      <w:r>
        <w:rPr>
          <w:spacing w:val="-64"/>
        </w:rPr>
        <w:t> </w:t>
      </w:r>
      <w:r>
        <w:rPr>
          <w:spacing w:val="-64"/>
        </w:rPr>
      </w:r>
      <w:r>
        <w:rPr>
          <w:spacing w:val="-2"/>
        </w:rPr>
        <w:t>股权投资基金管理有限公司、杭州隽宝科技有限公司董事，杭州鼎心企业管理咨询有限公司执行董事兼总经理，浙江省软件</w:t>
      </w:r>
      <w:r>
        <w:rPr>
          <w:spacing w:val="-63"/>
        </w:rPr>
        <w:t> </w:t>
      </w:r>
      <w:r>
        <w:rPr>
          <w:spacing w:val="-63"/>
        </w:rPr>
      </w:r>
      <w:r>
        <w:rPr/>
        <w:t>行业协会会长、浙商大健康委员会副会长、浙江大学校友总会健康分会秘书长。</w:t>
      </w:r>
    </w:p>
    <w:p>
      <w:pPr>
        <w:pStyle w:val="BodyText"/>
        <w:spacing w:line="312" w:lineRule="auto" w:before="19"/>
        <w:ind w:right="1051" w:firstLine="360"/>
        <w:jc w:val="both"/>
      </w:pPr>
      <w:r>
        <w:rPr>
          <w:rFonts w:ascii="Times New Roman" w:hAnsi="Times New Roman" w:cs="Times New Roman" w:eastAsia="Times New Roman" w:hint="default"/>
        </w:rPr>
        <w:t>2</w:t>
      </w:r>
      <w:r>
        <w:rPr/>
        <w:t>、张吕峥先生，</w:t>
      </w:r>
      <w:r>
        <w:rPr>
          <w:rFonts w:ascii="Times New Roman" w:hAnsi="Times New Roman" w:cs="Times New Roman" w:eastAsia="Times New Roman" w:hint="default"/>
        </w:rPr>
        <w:t>1971</w:t>
      </w:r>
      <w:r>
        <w:rPr/>
        <w:t>年出生，中国国籍，浙江大学研究生学历，高级经济师，曾荣获浙江省科技新浙商、杭州市优秀 </w:t>
      </w:r>
      <w:r>
        <w:rPr>
          <w:spacing w:val="-2"/>
        </w:rPr>
        <w:t>企业家、杭州市级领军人才、杭州市新产品新技术一等奖。历任公司董事、副总经理，现任公司董事、总经理、阜康投资董</w:t>
      </w:r>
      <w:r>
        <w:rPr>
          <w:spacing w:val="-62"/>
        </w:rPr>
        <w:t> </w:t>
      </w:r>
      <w:r>
        <w:rPr>
          <w:spacing w:val="-62"/>
        </w:rPr>
      </w:r>
      <w:r>
        <w:rPr>
          <w:spacing w:val="-2"/>
        </w:rPr>
        <w:t>事、苏州创业亿康信息科技有限公司执行董事、浙江医康数据科技研究院有限公司执行董事、创业软件南京有限公司执行董</w:t>
      </w:r>
      <w:r>
        <w:rPr>
          <w:spacing w:val="-63"/>
        </w:rPr>
        <w:t> </w:t>
      </w:r>
      <w:r>
        <w:rPr>
          <w:spacing w:val="-63"/>
        </w:rPr>
      </w:r>
      <w:r>
        <w:rPr/>
        <w:t>事、广东中拓信息技术有限公司董事长、中山市蓝天电脑有限公司蓝天电脑董事长、浙江创源环境科技股份有限公司董事。</w:t>
      </w:r>
    </w:p>
    <w:p>
      <w:pPr>
        <w:pStyle w:val="BodyText"/>
        <w:spacing w:line="309" w:lineRule="auto" w:before="22"/>
        <w:ind w:right="882" w:firstLine="360"/>
        <w:jc w:val="left"/>
      </w:pPr>
      <w:r>
        <w:rPr>
          <w:rFonts w:ascii="Times New Roman" w:hAnsi="Times New Roman" w:cs="Times New Roman" w:eastAsia="Times New Roman" w:hint="default"/>
          <w:spacing w:val="-2"/>
        </w:rPr>
        <w:t>3</w:t>
      </w:r>
      <w:r>
        <w:rPr>
          <w:spacing w:val="-2"/>
        </w:rPr>
        <w:t>、胡燕女士，</w:t>
      </w:r>
      <w:r>
        <w:rPr>
          <w:rFonts w:ascii="Times New Roman" w:hAnsi="Times New Roman" w:cs="Times New Roman" w:eastAsia="Times New Roman" w:hint="default"/>
          <w:spacing w:val="-2"/>
        </w:rPr>
        <w:t>1977</w:t>
      </w:r>
      <w:r>
        <w:rPr>
          <w:spacing w:val="-2"/>
        </w:rPr>
        <w:t>年出生，中国国籍，法学、会计学专业，本科学历。</w:t>
      </w:r>
      <w:r>
        <w:rPr>
          <w:rFonts w:ascii="Times New Roman" w:hAnsi="Times New Roman" w:cs="Times New Roman" w:eastAsia="Times New Roman" w:hint="default"/>
          <w:spacing w:val="-2"/>
        </w:rPr>
        <w:t>1998</w:t>
      </w:r>
      <w:r>
        <w:rPr>
          <w:spacing w:val="-2"/>
        </w:rPr>
        <w:t>年至今在创业慧康科技股份有限公司工作，</w:t>
      </w:r>
      <w:r>
        <w:rPr/>
        <w:t> </w:t>
      </w:r>
      <w:r>
        <w:rPr>
          <w:spacing w:val="-2"/>
        </w:rPr>
        <w:t>历任公司财务部副经理、证券法务部经理、公司总经理助理。现任公司董事、董事会秘书、慧康物联董事、杭州美诺泰科科</w:t>
      </w:r>
      <w:r>
        <w:rPr>
          <w:spacing w:val="-63"/>
        </w:rPr>
        <w:t> </w:t>
      </w:r>
      <w:r>
        <w:rPr>
          <w:spacing w:val="-63"/>
        </w:rPr>
      </w:r>
      <w:r>
        <w:rPr/>
        <w:t>技有限公司董事。</w:t>
      </w:r>
    </w:p>
    <w:p>
      <w:pPr>
        <w:pStyle w:val="BodyText"/>
        <w:spacing w:line="240" w:lineRule="auto" w:before="24"/>
        <w:ind w:left="472" w:right="882"/>
        <w:jc w:val="left"/>
        <w:rPr>
          <w:rFonts w:ascii="Times New Roman" w:hAnsi="Times New Roman" w:cs="Times New Roman" w:eastAsia="Times New Roman" w:hint="default"/>
        </w:rPr>
      </w:pPr>
      <w:r>
        <w:rPr>
          <w:rFonts w:ascii="Times New Roman" w:hAnsi="Times New Roman" w:cs="Times New Roman" w:eastAsia="Times New Roman" w:hint="default"/>
        </w:rPr>
        <w:t>4</w:t>
      </w:r>
      <w:r>
        <w:rPr/>
        <w:t>、应晶先生，</w:t>
      </w:r>
      <w:r>
        <w:rPr>
          <w:rFonts w:ascii="Times New Roman" w:hAnsi="Times New Roman" w:cs="Times New Roman" w:eastAsia="Times New Roman" w:hint="default"/>
        </w:rPr>
        <w:t>1971</w:t>
      </w:r>
      <w:r>
        <w:rPr/>
        <w:t>年出生，中国国籍，计算机专业，博士研究生学历，浙江大学计算机学院教授，博士生导师，</w:t>
      </w:r>
      <w:r>
        <w:rPr>
          <w:rFonts w:ascii="Times New Roman" w:hAnsi="Times New Roman" w:cs="Times New Roman" w:eastAsia="Times New Roman" w:hint="default"/>
        </w:rPr>
        <w:t>2016</w:t>
      </w:r>
    </w:p>
    <w:p>
      <w:pPr>
        <w:pStyle w:val="BodyText"/>
        <w:spacing w:line="240" w:lineRule="auto" w:before="63"/>
        <w:ind w:right="0"/>
        <w:jc w:val="both"/>
      </w:pP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29</w:t>
      </w:r>
      <w:r>
        <w:rPr/>
        <w:t>日至今任公司董事。</w:t>
      </w:r>
    </w:p>
    <w:p>
      <w:pPr>
        <w:pStyle w:val="BodyText"/>
        <w:spacing w:line="300" w:lineRule="auto" w:before="63"/>
        <w:ind w:right="1124" w:firstLine="360"/>
        <w:jc w:val="left"/>
      </w:pPr>
      <w:r>
        <w:rPr>
          <w:rFonts w:ascii="Times New Roman" w:hAnsi="Times New Roman" w:cs="Times New Roman" w:eastAsia="Times New Roman" w:hint="default"/>
        </w:rPr>
        <w:t>5</w:t>
      </w:r>
      <w:r>
        <w:rPr/>
        <w:t>、赵晔女士，</w:t>
      </w:r>
      <w:r>
        <w:rPr>
          <w:rFonts w:ascii="Times New Roman" w:hAnsi="Times New Roman" w:cs="Times New Roman" w:eastAsia="Times New Roman" w:hint="default"/>
        </w:rPr>
        <w:t>1971</w:t>
      </w:r>
      <w:r>
        <w:rPr/>
        <w:t>年出生，中国国籍，无境外永久居留权，本科学历，高级经济师。历任浙江建达电子工程有限公司 惠普金牌服务中心经理、信息产品技术支持服务事业部总经理、慧康物联董事长。现任公司董事。</w:t>
      </w:r>
    </w:p>
    <w:p>
      <w:pPr>
        <w:pStyle w:val="BodyText"/>
        <w:spacing w:line="304" w:lineRule="auto" w:before="31"/>
        <w:ind w:right="1034" w:firstLine="360"/>
        <w:jc w:val="left"/>
      </w:pPr>
      <w:r>
        <w:rPr>
          <w:rFonts w:ascii="Times New Roman" w:hAnsi="Times New Roman" w:cs="Times New Roman" w:eastAsia="Times New Roman" w:hint="default"/>
          <w:spacing w:val="-2"/>
        </w:rPr>
        <w:t>6</w:t>
      </w:r>
      <w:r>
        <w:rPr>
          <w:spacing w:val="-2"/>
        </w:rPr>
        <w:t>、江乾坤先生，</w:t>
      </w:r>
      <w:r>
        <w:rPr>
          <w:rFonts w:ascii="Times New Roman" w:hAnsi="Times New Roman" w:cs="Times New Roman" w:eastAsia="Times New Roman" w:hint="default"/>
          <w:spacing w:val="-2"/>
        </w:rPr>
        <w:t>1974</w:t>
      </w:r>
      <w:r>
        <w:rPr>
          <w:spacing w:val="-2"/>
        </w:rPr>
        <w:t>年出生，中国国籍，浙江大学经济学（公司金融）博士，理论经济学博士后，</w:t>
      </w:r>
      <w:r>
        <w:rPr>
          <w:rFonts w:ascii="Times New Roman" w:hAnsi="Times New Roman" w:cs="Times New Roman" w:eastAsia="Times New Roman" w:hint="default"/>
          <w:spacing w:val="-2"/>
        </w:rPr>
        <w:t>2005</w:t>
      </w:r>
      <w:r>
        <w:rPr>
          <w:spacing w:val="-2"/>
        </w:rPr>
        <w:t>年</w:t>
      </w:r>
      <w:r>
        <w:rPr>
          <w:rFonts w:ascii="Times New Roman" w:hAnsi="Times New Roman" w:cs="Times New Roman" w:eastAsia="Times New Roman" w:hint="default"/>
          <w:spacing w:val="-2"/>
        </w:rPr>
        <w:t>7</w:t>
      </w:r>
      <w:r>
        <w:rPr>
          <w:spacing w:val="-2"/>
        </w:rPr>
        <w:t>月至今任杭</w:t>
      </w:r>
      <w:r>
        <w:rPr/>
        <w:t> </w:t>
      </w:r>
      <w:r>
        <w:rPr>
          <w:spacing w:val="-2"/>
        </w:rPr>
        <w:t>州电子科技大学会计学院教授，中国财务云服务研究院院长助理。</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8</w:t>
      </w:r>
      <w:r>
        <w:rPr>
          <w:spacing w:val="-2"/>
        </w:rPr>
        <w:t>月至</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3</w:t>
      </w:r>
      <w:r>
        <w:rPr>
          <w:spacing w:val="-2"/>
        </w:rPr>
        <w:t>月在美国东南密苏里大学和马里兰大</w:t>
      </w:r>
      <w:r>
        <w:rPr>
          <w:spacing w:val="-59"/>
        </w:rPr>
        <w:t> </w:t>
      </w:r>
      <w:r>
        <w:rPr>
          <w:spacing w:val="-3"/>
        </w:rPr>
        <w:t>学商学院高级访问学者，</w:t>
      </w:r>
      <w:r>
        <w:rPr>
          <w:rFonts w:ascii="Times New Roman" w:hAnsi="Times New Roman" w:cs="Times New Roman" w:eastAsia="Times New Roman" w:hint="default"/>
          <w:spacing w:val="-3"/>
        </w:rPr>
        <w:t>2013</w:t>
      </w:r>
      <w:r>
        <w:rPr>
          <w:spacing w:val="-3"/>
        </w:rPr>
        <w:t>年</w:t>
      </w:r>
      <w:r>
        <w:rPr>
          <w:rFonts w:ascii="Times New Roman" w:hAnsi="Times New Roman" w:cs="Times New Roman" w:eastAsia="Times New Roman" w:hint="default"/>
          <w:spacing w:val="-3"/>
        </w:rPr>
        <w:t>4</w:t>
      </w:r>
      <w:r>
        <w:rPr>
          <w:spacing w:val="-3"/>
        </w:rPr>
        <w:t>月至</w:t>
      </w:r>
      <w:r>
        <w:rPr>
          <w:rFonts w:ascii="Times New Roman" w:hAnsi="Times New Roman" w:cs="Times New Roman" w:eastAsia="Times New Roman" w:hint="default"/>
          <w:spacing w:val="-3"/>
        </w:rPr>
        <w:t>2014</w:t>
      </w:r>
      <w:r>
        <w:rPr>
          <w:spacing w:val="-3"/>
        </w:rPr>
        <w:t>年</w:t>
      </w:r>
      <w:r>
        <w:rPr>
          <w:rFonts w:ascii="Times New Roman" w:hAnsi="Times New Roman" w:cs="Times New Roman" w:eastAsia="Times New Roman" w:hint="default"/>
          <w:spacing w:val="-3"/>
        </w:rPr>
        <w:t>3</w:t>
      </w:r>
      <w:r>
        <w:rPr>
          <w:spacing w:val="-3"/>
        </w:rPr>
        <w:t>月兼任温州市平阳县金融办副主任（温州金改百人计划）。现任公司独立董事、</w:t>
      </w:r>
      <w:r>
        <w:rPr>
          <w:spacing w:val="-88"/>
        </w:rPr>
        <w:t> </w:t>
      </w:r>
      <w:r>
        <w:rPr>
          <w:spacing w:val="-88"/>
        </w:rPr>
      </w:r>
      <w:r>
        <w:rPr>
          <w:spacing w:val="-4"/>
        </w:rPr>
        <w:t>浙江长华汽车零部件股份有限公司独立董事、宁波天龙电子股份有限公司独立董事、杭州格林达化学股份有限公司独立董事、</w:t>
      </w:r>
      <w:r>
        <w:rPr>
          <w:spacing w:val="-41"/>
        </w:rPr>
        <w:t> </w:t>
      </w:r>
      <w:r>
        <w:rPr>
          <w:spacing w:val="-41"/>
        </w:rPr>
      </w:r>
      <w:r>
        <w:rPr/>
        <w:t>深圳传音控股股份有限公司独立董事。</w:t>
      </w:r>
    </w:p>
    <w:p>
      <w:pPr>
        <w:pStyle w:val="BodyText"/>
        <w:spacing w:line="300" w:lineRule="auto" w:before="28"/>
        <w:ind w:right="882" w:firstLine="360"/>
        <w:jc w:val="left"/>
      </w:pPr>
      <w:r>
        <w:rPr>
          <w:rFonts w:ascii="Times New Roman" w:hAnsi="Times New Roman" w:cs="Times New Roman" w:eastAsia="Times New Roman" w:hint="default"/>
        </w:rPr>
        <w:t>7</w:t>
      </w:r>
      <w:r>
        <w:rPr/>
        <w:t>、凌云先生，</w:t>
      </w:r>
      <w:r>
        <w:rPr>
          <w:rFonts w:ascii="Times New Roman" w:hAnsi="Times New Roman" w:cs="Times New Roman" w:eastAsia="Times New Roman" w:hint="default"/>
        </w:rPr>
        <w:t>1962</w:t>
      </w:r>
      <w:r>
        <w:rPr/>
        <w:t>年出生，中国国籍，计算机科学与技术专业，硕士研究生学历，浙江工商大学教授，多次获得浙江 </w:t>
      </w:r>
      <w:r>
        <w:rPr>
          <w:spacing w:val="-4"/>
        </w:rPr>
        <w:t>省科学技术奖。</w:t>
      </w:r>
      <w:r>
        <w:rPr>
          <w:rFonts w:ascii="Times New Roman" w:hAnsi="Times New Roman" w:cs="Times New Roman" w:eastAsia="Times New Roman" w:hint="default"/>
          <w:spacing w:val="-4"/>
        </w:rPr>
        <w:t>1983</w:t>
      </w:r>
      <w:r>
        <w:rPr>
          <w:spacing w:val="-4"/>
        </w:rPr>
        <w:t>年至今在浙江工商大学任教，历任浙江工商大学计算机与信息工程学院副院长、院长、学校科研处处长。</w:t>
      </w:r>
      <w:r>
        <w:rPr>
          <w:spacing w:val="-37"/>
        </w:rPr>
        <w:t> </w:t>
      </w:r>
      <w:r>
        <w:rPr>
          <w:spacing w:val="-37"/>
        </w:rPr>
      </w:r>
      <w:r>
        <w:rPr/>
        <w:t>现任浙江工商大学教授，公司独立董事，浙大网新科技股份有限公司独立董事。</w:t>
      </w:r>
    </w:p>
    <w:p>
      <w:pPr>
        <w:pStyle w:val="BodyText"/>
        <w:spacing w:line="240" w:lineRule="auto" w:before="31"/>
        <w:ind w:left="472" w:right="882"/>
        <w:jc w:val="left"/>
        <w:rPr>
          <w:rFonts w:ascii="Times New Roman" w:hAnsi="Times New Roman" w:cs="Times New Roman" w:eastAsia="Times New Roman" w:hint="default"/>
        </w:rPr>
      </w:pPr>
      <w:r>
        <w:rPr>
          <w:rFonts w:ascii="Times New Roman" w:hAnsi="Times New Roman" w:cs="Times New Roman" w:eastAsia="Times New Roman" w:hint="default"/>
          <w:spacing w:val="-5"/>
        </w:rPr>
        <w:t>8</w:t>
      </w:r>
      <w:r>
        <w:rPr>
          <w:spacing w:val="-5"/>
        </w:rPr>
        <w:t>、杨建刚先生，</w:t>
      </w:r>
      <w:r>
        <w:rPr>
          <w:rFonts w:ascii="Times New Roman" w:hAnsi="Times New Roman" w:cs="Times New Roman" w:eastAsia="Times New Roman" w:hint="default"/>
          <w:spacing w:val="-5"/>
        </w:rPr>
        <w:t>1959</w:t>
      </w:r>
      <w:r>
        <w:rPr>
          <w:spacing w:val="-5"/>
        </w:rPr>
        <w:t>年出生，中国国籍。</w:t>
      </w:r>
      <w:r>
        <w:rPr>
          <w:rFonts w:ascii="Times New Roman" w:hAnsi="Times New Roman" w:cs="Times New Roman" w:eastAsia="Times New Roman" w:hint="default"/>
          <w:spacing w:val="-5"/>
        </w:rPr>
        <w:t>1976</w:t>
      </w:r>
      <w:r>
        <w:rPr>
          <w:spacing w:val="-5"/>
        </w:rPr>
        <w:t>年参加工作，</w:t>
      </w:r>
      <w:r>
        <w:rPr>
          <w:rFonts w:ascii="Times New Roman" w:hAnsi="Times New Roman" w:cs="Times New Roman" w:eastAsia="Times New Roman" w:hint="default"/>
          <w:spacing w:val="-5"/>
        </w:rPr>
        <w:t>1987</w:t>
      </w:r>
      <w:r>
        <w:rPr>
          <w:spacing w:val="-5"/>
        </w:rPr>
        <w:t>年公派留学法国，</w:t>
      </w:r>
      <w:r>
        <w:rPr>
          <w:rFonts w:ascii="Times New Roman" w:hAnsi="Times New Roman" w:cs="Times New Roman" w:eastAsia="Times New Roman" w:hint="default"/>
          <w:spacing w:val="-5"/>
        </w:rPr>
        <w:t>1991</w:t>
      </w:r>
      <w:r>
        <w:rPr>
          <w:spacing w:val="-5"/>
        </w:rPr>
        <w:t>年获法国</w:t>
      </w:r>
      <w:r>
        <w:rPr>
          <w:rFonts w:ascii="Times New Roman" w:hAnsi="Times New Roman" w:cs="Times New Roman" w:eastAsia="Times New Roman" w:hint="default"/>
          <w:spacing w:val="-5"/>
        </w:rPr>
        <w:t>ENSAM</w:t>
      </w:r>
      <w:r>
        <w:rPr>
          <w:spacing w:val="-5"/>
        </w:rPr>
        <w:t>博士学位。</w:t>
      </w:r>
      <w:r>
        <w:rPr>
          <w:rFonts w:ascii="Times New Roman" w:hAnsi="Times New Roman" w:cs="Times New Roman" w:eastAsia="Times New Roman" w:hint="default"/>
          <w:spacing w:val="-5"/>
        </w:rPr>
        <w:t>1992</w:t>
      </w:r>
    </w:p>
    <w:p>
      <w:pPr>
        <w:pStyle w:val="BodyText"/>
        <w:spacing w:line="240" w:lineRule="auto" w:before="63"/>
        <w:ind w:right="0"/>
        <w:jc w:val="both"/>
      </w:pPr>
      <w:r>
        <w:rPr/>
        <w:t>年浙江大学电工学科博士后，</w:t>
      </w:r>
      <w:r>
        <w:rPr>
          <w:rFonts w:ascii="Times New Roman" w:hAnsi="Times New Roman" w:cs="Times New Roman" w:eastAsia="Times New Roman" w:hint="default"/>
        </w:rPr>
        <w:t>1994</w:t>
      </w:r>
      <w:r>
        <w:rPr/>
        <w:t>年起在浙江大学计算机学院任教，教授，博士生导师。现任公司独立董事。</w:t>
      </w:r>
    </w:p>
    <w:p>
      <w:pPr>
        <w:pStyle w:val="BodyText"/>
        <w:spacing w:line="240" w:lineRule="auto" w:before="63"/>
        <w:ind w:left="472" w:right="882"/>
        <w:jc w:val="left"/>
      </w:pPr>
      <w:r>
        <w:rPr/>
        <w:t>（二）监事会成员</w:t>
      </w:r>
    </w:p>
    <w:p>
      <w:pPr>
        <w:pStyle w:val="BodyText"/>
        <w:spacing w:line="304" w:lineRule="auto" w:before="76"/>
        <w:ind w:right="1123" w:firstLine="360"/>
        <w:jc w:val="both"/>
      </w:pPr>
      <w:r>
        <w:rPr>
          <w:rFonts w:ascii="Times New Roman" w:hAnsi="Times New Roman" w:cs="Times New Roman" w:eastAsia="Times New Roman" w:hint="default"/>
          <w:spacing w:val="-1"/>
        </w:rPr>
        <w:t>1</w:t>
      </w:r>
      <w:r>
        <w:rPr>
          <w:spacing w:val="-1"/>
        </w:rPr>
        <w:t>、叶建先生，出生于</w:t>
      </w:r>
      <w:r>
        <w:rPr>
          <w:rFonts w:ascii="Times New Roman" w:hAnsi="Times New Roman" w:cs="Times New Roman" w:eastAsia="Times New Roman" w:hint="default"/>
          <w:spacing w:val="-1"/>
        </w:rPr>
        <w:t>1969</w:t>
      </w:r>
      <w:r>
        <w:rPr>
          <w:spacing w:val="-1"/>
        </w:rPr>
        <w:t>年，中国国籍，无境外永久居留权，浙江大学</w:t>
      </w:r>
      <w:r>
        <w:rPr>
          <w:rFonts w:ascii="Times New Roman" w:hAnsi="Times New Roman" w:cs="Times New Roman" w:eastAsia="Times New Roman" w:hint="default"/>
          <w:spacing w:val="-1"/>
        </w:rPr>
        <w:t>MBA</w:t>
      </w:r>
      <w:r>
        <w:rPr>
          <w:spacing w:val="-1"/>
        </w:rPr>
        <w:t>。</w:t>
      </w:r>
      <w:r>
        <w:rPr>
          <w:rFonts w:ascii="Times New Roman" w:hAnsi="Times New Roman" w:cs="Times New Roman" w:eastAsia="Times New Roman" w:hint="default"/>
          <w:spacing w:val="-1"/>
        </w:rPr>
        <w:t>1990</w:t>
      </w:r>
      <w:r>
        <w:rPr>
          <w:spacing w:val="-1"/>
        </w:rPr>
        <w:t>年参加工作，曾就职于杭州应用工</w:t>
      </w:r>
      <w:r>
        <w:rPr/>
        <w:t> </w:t>
      </w:r>
      <w:r>
        <w:rPr>
          <w:spacing w:val="-2"/>
        </w:rPr>
        <w:t>程技术学院计算中心、保隆（天津）国际贸易有限公司、浙租方博计算机有限公司，深圳新地网络信息技术有限公司，</w:t>
      </w:r>
      <w:r>
        <w:rPr>
          <w:rFonts w:ascii="Times New Roman" w:hAnsi="Times New Roman" w:cs="Times New Roman" w:eastAsia="Times New Roman" w:hint="default"/>
          <w:spacing w:val="-2"/>
        </w:rPr>
        <w:t>2000</w:t>
      </w:r>
      <w:r>
        <w:rPr>
          <w:rFonts w:ascii="Times New Roman" w:hAnsi="Times New Roman" w:cs="Times New Roman" w:eastAsia="Times New Roman" w:hint="default"/>
          <w:spacing w:val="-14"/>
        </w:rPr>
        <w:t> </w:t>
      </w:r>
      <w:r>
        <w:rPr>
          <w:rFonts w:ascii="Times New Roman" w:hAnsi="Times New Roman" w:cs="Times New Roman" w:eastAsia="Times New Roman" w:hint="default"/>
          <w:spacing w:val="-14"/>
        </w:rPr>
      </w:r>
      <w:r>
        <w:rPr>
          <w:spacing w:val="-2"/>
        </w:rPr>
        <w:t>至</w:t>
      </w:r>
      <w:r>
        <w:rPr>
          <w:rFonts w:ascii="Times New Roman" w:hAnsi="Times New Roman" w:cs="Times New Roman" w:eastAsia="Times New Roman" w:hint="default"/>
          <w:spacing w:val="-2"/>
        </w:rPr>
        <w:t>2011</w:t>
      </w:r>
      <w:r>
        <w:rPr>
          <w:spacing w:val="-2"/>
        </w:rPr>
        <w:t>年任杭州创业计算机工程有限公司执行董事、总经理职务，现任公司监事会主席、阜康投资董事、杭州联旗科技有限</w:t>
      </w:r>
      <w:r>
        <w:rPr>
          <w:spacing w:val="-65"/>
        </w:rPr>
        <w:t> </w:t>
      </w:r>
      <w:r>
        <w:rPr>
          <w:spacing w:val="-65"/>
        </w:rPr>
      </w:r>
      <w:r>
        <w:rPr>
          <w:spacing w:val="-2"/>
        </w:rPr>
        <w:t>公司执行董事、重庆创易康软件有限公司执行董事兼总经理、杭州卓腾信息技术有限公司董事、浙江创源环境科技股份有限</w:t>
      </w:r>
      <w:r>
        <w:rPr>
          <w:spacing w:val="-63"/>
        </w:rPr>
        <w:t> </w:t>
      </w:r>
      <w:r>
        <w:rPr>
          <w:spacing w:val="-63"/>
        </w:rPr>
      </w:r>
      <w:r>
        <w:rPr/>
        <w:t>公司董事。</w:t>
      </w:r>
    </w:p>
    <w:p>
      <w:pPr>
        <w:pStyle w:val="BodyText"/>
        <w:spacing w:line="300" w:lineRule="auto" w:before="28"/>
        <w:ind w:right="1124" w:firstLine="360"/>
        <w:jc w:val="left"/>
      </w:pPr>
      <w:r>
        <w:rPr>
          <w:rFonts w:ascii="Times New Roman" w:hAnsi="Times New Roman" w:cs="Times New Roman" w:eastAsia="Times New Roman" w:hint="default"/>
        </w:rPr>
        <w:t>2</w:t>
      </w:r>
      <w:r>
        <w:rPr/>
        <w:t>、贾驰女士，出生于</w:t>
      </w:r>
      <w:r>
        <w:rPr>
          <w:rFonts w:ascii="Times New Roman" w:hAnsi="Times New Roman" w:cs="Times New Roman" w:eastAsia="Times New Roman" w:hint="default"/>
        </w:rPr>
        <w:t>1977</w:t>
      </w:r>
      <w:r>
        <w:rPr/>
        <w:t>年，中国国籍，无境外永久居留权，博士研究生学历，副教授。</w:t>
      </w:r>
      <w:r>
        <w:rPr>
          <w:rFonts w:ascii="Times New Roman" w:hAnsi="Times New Roman" w:cs="Times New Roman" w:eastAsia="Times New Roman" w:hint="default"/>
        </w:rPr>
        <w:t>1999</w:t>
      </w:r>
      <w:r>
        <w:rPr/>
        <w:t>至</w:t>
      </w:r>
      <w:r>
        <w:rPr>
          <w:rFonts w:ascii="Times New Roman" w:hAnsi="Times New Roman" w:cs="Times New Roman" w:eastAsia="Times New Roman" w:hint="default"/>
        </w:rPr>
        <w:t>2000</w:t>
      </w:r>
      <w:r>
        <w:rPr/>
        <w:t>年在浙江东方集 团股份有限公司任职员，</w:t>
      </w:r>
      <w:r>
        <w:rPr>
          <w:rFonts w:ascii="Times New Roman" w:hAnsi="Times New Roman" w:cs="Times New Roman" w:eastAsia="Times New Roman" w:hint="default"/>
        </w:rPr>
        <w:t>2003</w:t>
      </w:r>
      <w:r>
        <w:rPr/>
        <w:t>至今在浙江工商大学任教，任副教授，</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11</w:t>
      </w:r>
      <w:r>
        <w:rPr/>
        <w:t>月起至今任公司监事。</w:t>
      </w:r>
    </w:p>
    <w:p>
      <w:pPr>
        <w:pStyle w:val="BodyText"/>
        <w:spacing w:line="300" w:lineRule="auto" w:before="13"/>
        <w:ind w:right="1124" w:firstLine="360"/>
        <w:jc w:val="left"/>
      </w:pPr>
      <w:r>
        <w:rPr>
          <w:rFonts w:ascii="Times New Roman" w:hAnsi="Times New Roman" w:cs="Times New Roman" w:eastAsia="Times New Roman" w:hint="default"/>
        </w:rPr>
        <w:t>3</w:t>
      </w:r>
      <w:r>
        <w:rPr/>
        <w:t>、李军女士，</w:t>
      </w:r>
      <w:r>
        <w:rPr>
          <w:rFonts w:ascii="Times New Roman" w:hAnsi="Times New Roman" w:cs="Times New Roman" w:eastAsia="Times New Roman" w:hint="default"/>
        </w:rPr>
        <w:t>1964</w:t>
      </w:r>
      <w:r>
        <w:rPr/>
        <w:t>年出生，中国国籍，本科学历，高级经济师。</w:t>
      </w:r>
      <w:r>
        <w:rPr>
          <w:rFonts w:ascii="Times New Roman" w:hAnsi="Times New Roman" w:cs="Times New Roman" w:eastAsia="Times New Roman" w:hint="default"/>
        </w:rPr>
        <w:t>1999</w:t>
      </w:r>
      <w:r>
        <w:rPr/>
        <w:t>年至今在创业慧康科技股份有限公司工作，历任 财务部副经理、财务部经理等职务，现任公司职工监事、杭州卓腾信息技术有限公司董事长、慧康物联董事。</w:t>
      </w:r>
    </w:p>
    <w:p>
      <w:pPr>
        <w:pStyle w:val="BodyText"/>
        <w:spacing w:line="309" w:lineRule="auto" w:before="31"/>
        <w:ind w:left="472" w:right="3824"/>
        <w:jc w:val="left"/>
      </w:pPr>
      <w:r>
        <w:rPr/>
        <w:t>（三）高级管理人员 公司高级管理人员共</w:t>
      </w:r>
      <w:r>
        <w:rPr>
          <w:rFonts w:ascii="Times New Roman" w:hAnsi="Times New Roman" w:cs="Times New Roman" w:eastAsia="Times New Roman" w:hint="default"/>
        </w:rPr>
        <w:t>9</w:t>
      </w:r>
      <w:r>
        <w:rPr/>
        <w:t>名，全部专职在公司领取薪水。上述高级管理人员简历如下： </w:t>
      </w:r>
      <w:r>
        <w:rPr>
          <w:rFonts w:ascii="Times New Roman" w:hAnsi="Times New Roman" w:cs="Times New Roman" w:eastAsia="Times New Roman" w:hint="default"/>
        </w:rPr>
        <w:t>1</w:t>
      </w:r>
      <w:r>
        <w:rPr/>
        <w:t>、葛航先生，董事长，简历见“（一）董事会成员”。</w:t>
      </w:r>
    </w:p>
    <w:p>
      <w:pPr>
        <w:pStyle w:val="BodyText"/>
        <w:spacing w:line="240" w:lineRule="auto" w:before="5"/>
        <w:ind w:left="472" w:right="882"/>
        <w:jc w:val="left"/>
      </w:pPr>
      <w:r>
        <w:rPr>
          <w:rFonts w:ascii="Times New Roman" w:hAnsi="Times New Roman" w:cs="Times New Roman" w:eastAsia="Times New Roman" w:hint="default"/>
        </w:rPr>
        <w:t>2</w:t>
      </w:r>
      <w:r>
        <w:rPr/>
        <w:t>、张吕峥先生，总经理，简历见“（一）董事会成员”。</w:t>
      </w:r>
    </w:p>
    <w:p>
      <w:pPr>
        <w:pStyle w:val="BodyText"/>
        <w:spacing w:line="240" w:lineRule="auto" w:before="63"/>
        <w:ind w:left="472" w:right="882"/>
        <w:jc w:val="left"/>
      </w:pPr>
      <w:r>
        <w:rPr>
          <w:rFonts w:ascii="Times New Roman" w:hAnsi="Times New Roman" w:cs="Times New Roman" w:eastAsia="Times New Roman" w:hint="default"/>
        </w:rPr>
        <w:t>3</w:t>
      </w:r>
      <w:r>
        <w:rPr/>
        <w:t>、胡燕女士，董事会秘书，简历见“（一）董事会成员”。</w:t>
      </w:r>
    </w:p>
    <w:p>
      <w:pPr>
        <w:pStyle w:val="BodyText"/>
        <w:spacing w:line="307" w:lineRule="auto" w:before="63"/>
        <w:ind w:right="1034" w:firstLine="360"/>
        <w:jc w:val="left"/>
      </w:pPr>
      <w:r>
        <w:rPr>
          <w:rFonts w:ascii="Times New Roman" w:hAnsi="Times New Roman" w:cs="Times New Roman" w:eastAsia="Times New Roman" w:hint="default"/>
        </w:rPr>
        <w:t>4</w:t>
      </w:r>
      <w:r>
        <w:rPr/>
        <w:t>、高春蓉女士，</w:t>
      </w:r>
      <w:r>
        <w:rPr>
          <w:rFonts w:ascii="Times New Roman" w:hAnsi="Times New Roman" w:cs="Times New Roman" w:eastAsia="Times New Roman" w:hint="default"/>
        </w:rPr>
        <w:t>1971</w:t>
      </w:r>
      <w:r>
        <w:rPr/>
        <w:t>年生，中国国籍，计算机通信工程专业，博士研究生学历。自</w:t>
      </w:r>
      <w:r>
        <w:rPr>
          <w:rFonts w:ascii="Times New Roman" w:hAnsi="Times New Roman" w:cs="Times New Roman" w:eastAsia="Times New Roman" w:hint="default"/>
        </w:rPr>
        <w:t>1992</w:t>
      </w:r>
      <w:r>
        <w:rPr/>
        <w:t>年起在</w:t>
      </w:r>
      <w:r>
        <w:rPr>
          <w:rFonts w:ascii="Times New Roman" w:hAnsi="Times New Roman" w:cs="Times New Roman" w:eastAsia="Times New Roman" w:hint="default"/>
        </w:rPr>
        <w:t>CESEC</w:t>
      </w:r>
      <w:r>
        <w:rPr/>
        <w:t>研究所工作，先 后承担过“七五”以来多项重点项目的体制论证、总体设计以及关键技术的研究工作，历任该研究所助理工程师、工程师、 高级工程师。曾获得国家科技进步一等奖</w:t>
      </w:r>
      <w:r>
        <w:rPr>
          <w:rFonts w:ascii="Times New Roman" w:hAnsi="Times New Roman" w:cs="Times New Roman" w:eastAsia="Times New Roman" w:hint="default"/>
        </w:rPr>
        <w:t>1</w:t>
      </w:r>
      <w:r>
        <w:rPr/>
        <w:t>次，国家科技进步三等奖</w:t>
      </w:r>
      <w:r>
        <w:rPr>
          <w:rFonts w:ascii="Times New Roman" w:hAnsi="Times New Roman" w:cs="Times New Roman" w:eastAsia="Times New Roman" w:hint="default"/>
        </w:rPr>
        <w:t>1</w:t>
      </w:r>
      <w:r>
        <w:rPr/>
        <w:t>次，军队科技进步一等奖</w:t>
      </w:r>
      <w:r>
        <w:rPr>
          <w:rFonts w:ascii="Times New Roman" w:hAnsi="Times New Roman" w:cs="Times New Roman" w:eastAsia="Times New Roman" w:hint="default"/>
        </w:rPr>
        <w:t>2</w:t>
      </w:r>
      <w:r>
        <w:rPr/>
        <w:t>次，军队科技进步三等奖</w:t>
      </w:r>
      <w:r>
        <w:rPr>
          <w:rFonts w:ascii="Times New Roman" w:hAnsi="Times New Roman" w:cs="Times New Roman" w:eastAsia="Times New Roman" w:hint="default"/>
        </w:rPr>
        <w:t>1</w:t>
      </w:r>
      <w:r>
        <w:rPr>
          <w:rFonts w:ascii="Times New Roman" w:hAnsi="Times New Roman" w:cs="Times New Roman" w:eastAsia="Times New Roman" w:hint="default"/>
          <w:spacing w:val="35"/>
        </w:rPr>
        <w:t> </w:t>
      </w:r>
      <w:r>
        <w:rPr>
          <w:spacing w:val="-2"/>
        </w:rPr>
        <w:t>次。翻译出版了多本专业技术书籍。多次在国际学术会议、全国性学术会议、全军学术会议上发表并宣讲论文。</w:t>
      </w:r>
      <w:r>
        <w:rPr>
          <w:rFonts w:ascii="Times New Roman" w:hAnsi="Times New Roman" w:cs="Times New Roman" w:eastAsia="Times New Roman" w:hint="default"/>
          <w:spacing w:val="-2"/>
        </w:rPr>
        <w:t>2013</w:t>
      </w:r>
      <w:r>
        <w:rPr>
          <w:spacing w:val="-2"/>
        </w:rPr>
        <w:t>年起在</w:t>
      </w:r>
    </w:p>
    <w:p>
      <w:pPr>
        <w:spacing w:after="0" w:line="307"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882"/>
        <w:jc w:val="left"/>
      </w:pPr>
      <w:r>
        <w:rPr>
          <w:spacing w:val="-2"/>
        </w:rPr>
        <w:t>创业慧康科技股份有限公司工作，现任公司副总经理、总工程师，中国卫生信息学会健康医疗大数据医疗质量管理与监督专</w:t>
      </w:r>
      <w:r>
        <w:rPr>
          <w:spacing w:val="-63"/>
        </w:rPr>
        <w:t> </w:t>
      </w:r>
      <w:r>
        <w:rPr>
          <w:spacing w:val="-63"/>
        </w:rPr>
      </w:r>
      <w:r>
        <w:rPr/>
        <w:t>业委员会副秘书长。</w:t>
      </w:r>
    </w:p>
    <w:p>
      <w:pPr>
        <w:pStyle w:val="BodyText"/>
        <w:spacing w:line="300" w:lineRule="auto" w:before="19"/>
        <w:ind w:right="1130" w:firstLine="360"/>
        <w:jc w:val="both"/>
      </w:pPr>
      <w:r>
        <w:rPr>
          <w:rFonts w:ascii="Times New Roman" w:hAnsi="Times New Roman" w:cs="Times New Roman" w:eastAsia="Times New Roman" w:hint="default"/>
        </w:rPr>
        <w:t>5</w:t>
      </w:r>
      <w:r>
        <w:rPr/>
        <w:t>、方宝林先生，</w:t>
      </w:r>
      <w:r>
        <w:rPr>
          <w:rFonts w:ascii="Times New Roman" w:hAnsi="Times New Roman" w:cs="Times New Roman" w:eastAsia="Times New Roman" w:hint="default"/>
        </w:rPr>
        <w:t>1972</w:t>
      </w:r>
      <w:r>
        <w:rPr/>
        <w:t>年出生，中国国籍，本科学历，高级项目管理师。曾主持和参与了多项国家、省、市级重点项目 </w:t>
      </w:r>
      <w:r>
        <w:rPr>
          <w:spacing w:val="-2"/>
        </w:rPr>
        <w:t>的技术开发和工程实施工作，多次荣获省、市科技奖励，</w:t>
      </w:r>
      <w:r>
        <w:rPr>
          <w:rFonts w:ascii="Times New Roman" w:hAnsi="Times New Roman" w:cs="Times New Roman" w:eastAsia="Times New Roman" w:hint="default"/>
          <w:spacing w:val="-2"/>
        </w:rPr>
        <w:t>2010</w:t>
      </w:r>
      <w:r>
        <w:rPr>
          <w:spacing w:val="-2"/>
        </w:rPr>
        <w:t>年被评为杭州高新区优秀科技工作者。历任杭州正恒软件有限</w:t>
      </w:r>
      <w:r>
        <w:rPr>
          <w:spacing w:val="-62"/>
        </w:rPr>
        <w:t> </w:t>
      </w:r>
      <w:r>
        <w:rPr>
          <w:spacing w:val="-62"/>
        </w:rPr>
      </w:r>
      <w:r>
        <w:rPr/>
        <w:t>公司总经理，</w:t>
      </w:r>
      <w:r>
        <w:rPr>
          <w:rFonts w:ascii="Times New Roman" w:hAnsi="Times New Roman" w:cs="Times New Roman" w:eastAsia="Times New Roman" w:hint="default"/>
        </w:rPr>
        <w:t>2004</w:t>
      </w:r>
      <w:r>
        <w:rPr/>
        <w:t>年加入公司，历任公司</w:t>
      </w:r>
      <w:r>
        <w:rPr>
          <w:rFonts w:ascii="Times New Roman" w:hAnsi="Times New Roman" w:cs="Times New Roman" w:eastAsia="Times New Roman" w:hint="default"/>
        </w:rPr>
        <w:t>LIS</w:t>
      </w:r>
      <w:r>
        <w:rPr/>
        <w:t>事业部总经理、研发中心主任，现任公司副总经理。</w:t>
      </w:r>
    </w:p>
    <w:p>
      <w:pPr>
        <w:pStyle w:val="BodyText"/>
        <w:spacing w:line="300" w:lineRule="auto" w:before="13"/>
        <w:ind w:right="1130" w:firstLine="360"/>
        <w:jc w:val="both"/>
      </w:pPr>
      <w:r>
        <w:rPr>
          <w:rFonts w:ascii="Times New Roman" w:hAnsi="Times New Roman" w:cs="Times New Roman" w:eastAsia="Times New Roman" w:hint="default"/>
          <w:spacing w:val="-2"/>
        </w:rPr>
        <w:t>6</w:t>
      </w:r>
      <w:r>
        <w:rPr>
          <w:spacing w:val="-2"/>
        </w:rPr>
        <w:t>、张崧先生，</w:t>
      </w:r>
      <w:r>
        <w:rPr>
          <w:rFonts w:ascii="Times New Roman" w:hAnsi="Times New Roman" w:cs="Times New Roman" w:eastAsia="Times New Roman" w:hint="default"/>
          <w:spacing w:val="-2"/>
        </w:rPr>
        <w:t>1982</w:t>
      </w:r>
      <w:r>
        <w:rPr>
          <w:spacing w:val="-2"/>
        </w:rPr>
        <w:t>年出生，中国国籍，本科学历。</w:t>
      </w:r>
      <w:r>
        <w:rPr>
          <w:rFonts w:ascii="Times New Roman" w:hAnsi="Times New Roman" w:cs="Times New Roman" w:eastAsia="Times New Roman" w:hint="default"/>
          <w:spacing w:val="-2"/>
        </w:rPr>
        <w:t>2001</w:t>
      </w:r>
      <w:r>
        <w:rPr>
          <w:spacing w:val="-2"/>
        </w:rPr>
        <w:t>年</w:t>
      </w:r>
      <w:r>
        <w:rPr>
          <w:rFonts w:ascii="Times New Roman" w:hAnsi="Times New Roman" w:cs="Times New Roman" w:eastAsia="Times New Roman" w:hint="default"/>
          <w:spacing w:val="-2"/>
        </w:rPr>
        <w:t>5</w:t>
      </w:r>
      <w:r>
        <w:rPr>
          <w:spacing w:val="-2"/>
        </w:rPr>
        <w:t>月加入公司，分管创业慧康互联网事业群、闵行区联合运营</w:t>
      </w:r>
      <w:r>
        <w:rPr/>
        <w:t> 中心。现任公司副总经理、新疆创什信息科技有限公司执行董事、杭州慧心健康科技有限公司董事长。</w:t>
      </w:r>
    </w:p>
    <w:p>
      <w:pPr>
        <w:pStyle w:val="BodyText"/>
        <w:spacing w:line="300" w:lineRule="auto" w:before="31"/>
        <w:ind w:right="1131" w:firstLine="360"/>
        <w:jc w:val="both"/>
      </w:pPr>
      <w:r>
        <w:rPr>
          <w:rFonts w:ascii="Times New Roman" w:hAnsi="Times New Roman" w:cs="Times New Roman" w:eastAsia="Times New Roman" w:hint="default"/>
        </w:rPr>
        <w:t>7</w:t>
      </w:r>
      <w:r>
        <w:rPr/>
        <w:t>、孙烈峰先生，</w:t>
      </w:r>
      <w:r>
        <w:rPr>
          <w:rFonts w:ascii="Times New Roman" w:hAnsi="Times New Roman" w:cs="Times New Roman" w:eastAsia="Times New Roman" w:hint="default"/>
        </w:rPr>
        <w:t>1970</w:t>
      </w:r>
      <w:r>
        <w:rPr/>
        <w:t>年出生，中国国籍，本科学历，工程师。</w:t>
      </w:r>
      <w:r>
        <w:rPr>
          <w:rFonts w:ascii="Times New Roman" w:hAnsi="Times New Roman" w:cs="Times New Roman" w:eastAsia="Times New Roman" w:hint="default"/>
        </w:rPr>
        <w:t>1993</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4</w:t>
      </w:r>
      <w:r>
        <w:rPr/>
        <w:t>月在杭州汽车发动机厂工作。</w:t>
      </w:r>
      <w:r>
        <w:rPr>
          <w:rFonts w:ascii="Times New Roman" w:hAnsi="Times New Roman" w:cs="Times New Roman" w:eastAsia="Times New Roman" w:hint="default"/>
        </w:rPr>
        <w:t>1999 </w:t>
      </w:r>
      <w:r>
        <w:rPr/>
        <w:t>年</w:t>
      </w:r>
      <w:r>
        <w:rPr>
          <w:rFonts w:ascii="Times New Roman" w:hAnsi="Times New Roman" w:cs="Times New Roman" w:eastAsia="Times New Roman" w:hint="default"/>
        </w:rPr>
        <w:t>5</w:t>
      </w:r>
      <w:r>
        <w:rPr/>
        <w:t>月起在创业慧康科技股份有限公司工作，长期从事创业慧康科技股份有限公司产品研发及管理工作，历任公司产品中心</w:t>
      </w:r>
      <w:r>
        <w:rPr>
          <w:spacing w:val="-84"/>
        </w:rPr>
        <w:t> </w:t>
      </w:r>
      <w:r>
        <w:rPr>
          <w:spacing w:val="-84"/>
        </w:rPr>
      </w:r>
      <w:r>
        <w:rPr/>
        <w:t>总经理、上海研究院院长、华南研究院院长、华南大区总经理。现任公司副总经理。</w:t>
      </w:r>
    </w:p>
    <w:p>
      <w:pPr>
        <w:pStyle w:val="BodyText"/>
        <w:spacing w:line="309" w:lineRule="auto" w:before="31"/>
        <w:ind w:right="882" w:firstLine="360"/>
        <w:jc w:val="left"/>
      </w:pPr>
      <w:r>
        <w:rPr>
          <w:rFonts w:ascii="Times New Roman" w:hAnsi="Times New Roman" w:cs="Times New Roman" w:eastAsia="Times New Roman" w:hint="default"/>
        </w:rPr>
        <w:t>8</w:t>
      </w:r>
      <w:r>
        <w:rPr/>
        <w:t>、陈东先生，</w:t>
      </w:r>
      <w:r>
        <w:rPr>
          <w:rFonts w:ascii="Times New Roman" w:hAnsi="Times New Roman" w:cs="Times New Roman" w:eastAsia="Times New Roman" w:hint="default"/>
        </w:rPr>
        <w:t>1970</w:t>
      </w:r>
      <w:r>
        <w:rPr/>
        <w:t>年出生，中国国籍，本科学历，工程师。</w:t>
      </w:r>
      <w:r>
        <w:rPr>
          <w:rFonts w:ascii="Times New Roman" w:hAnsi="Times New Roman" w:cs="Times New Roman" w:eastAsia="Times New Roman" w:hint="default"/>
        </w:rPr>
        <w:t>2000</w:t>
      </w:r>
      <w:r>
        <w:rPr/>
        <w:t>年至今任职于创业慧康科技股份有限公司，曾任杭州 </w:t>
      </w:r>
      <w:r>
        <w:rPr>
          <w:spacing w:val="-4"/>
        </w:rPr>
        <w:t>创业计算机公司副总经理，现任公司副总经理、杭州阜康董事、慧康物联执行董事、天津创津科技有限公司经理兼执行董事、</w:t>
      </w:r>
      <w:r>
        <w:rPr>
          <w:spacing w:val="-43"/>
        </w:rPr>
        <w:t> </w:t>
      </w:r>
      <w:r>
        <w:rPr>
          <w:spacing w:val="-43"/>
        </w:rPr>
      </w:r>
      <w:r>
        <w:rPr/>
        <w:t>杭州医康物联科技有限公司执行董事兼总经理、自贡市杭创科技有限公司总经理。</w:t>
      </w:r>
    </w:p>
    <w:p>
      <w:pPr>
        <w:pStyle w:val="BodyText"/>
        <w:spacing w:line="300" w:lineRule="auto" w:before="24"/>
        <w:ind w:right="1130" w:firstLine="360"/>
        <w:jc w:val="both"/>
      </w:pPr>
      <w:r>
        <w:rPr>
          <w:rFonts w:ascii="Times New Roman" w:hAnsi="Times New Roman" w:cs="Times New Roman" w:eastAsia="Times New Roman" w:hint="default"/>
        </w:rPr>
        <w:t>9</w:t>
      </w:r>
      <w:r>
        <w:rPr/>
        <w:t>、郁燕萍女士，</w:t>
      </w:r>
      <w:r>
        <w:rPr>
          <w:rFonts w:ascii="Times New Roman" w:hAnsi="Times New Roman" w:cs="Times New Roman" w:eastAsia="Times New Roman" w:hint="default"/>
        </w:rPr>
        <w:t>1966</w:t>
      </w:r>
      <w:r>
        <w:rPr/>
        <w:t>年出生，中国国籍，经济管理专业，本科学历，高级经济师、注册会计师。</w:t>
      </w:r>
      <w:r>
        <w:rPr>
          <w:rFonts w:ascii="Times New Roman" w:hAnsi="Times New Roman" w:cs="Times New Roman" w:eastAsia="Times New Roman" w:hint="default"/>
        </w:rPr>
        <w:t>1988</w:t>
      </w:r>
      <w:r>
        <w:rPr/>
        <w:t>年至</w:t>
      </w:r>
      <w:r>
        <w:rPr>
          <w:rFonts w:ascii="Times New Roman" w:hAnsi="Times New Roman" w:cs="Times New Roman" w:eastAsia="Times New Roman" w:hint="default"/>
        </w:rPr>
        <w:t>1995</w:t>
      </w:r>
      <w:r>
        <w:rPr/>
        <w:t>年任浙 江省饲料公司会计，</w:t>
      </w:r>
      <w:r>
        <w:rPr>
          <w:rFonts w:ascii="Times New Roman" w:hAnsi="Times New Roman" w:cs="Times New Roman" w:eastAsia="Times New Roman" w:hint="default"/>
        </w:rPr>
        <w:t>1995</w:t>
      </w:r>
      <w:r>
        <w:rPr/>
        <w:t>年至</w:t>
      </w:r>
      <w:r>
        <w:rPr>
          <w:rFonts w:ascii="Times New Roman" w:hAnsi="Times New Roman" w:cs="Times New Roman" w:eastAsia="Times New Roman" w:hint="default"/>
        </w:rPr>
        <w:t>2005</w:t>
      </w:r>
      <w:r>
        <w:rPr/>
        <w:t>年任浙江中饲粮油饲料有限公司主办会计</w:t>
      </w:r>
      <w:r>
        <w:rPr>
          <w:rFonts w:ascii="Times New Roman" w:hAnsi="Times New Roman" w:cs="Times New Roman" w:eastAsia="Times New Roman" w:hint="default"/>
        </w:rPr>
        <w:t>,</w:t>
      </w:r>
      <w:r>
        <w:rPr/>
        <w:t>浙江兴威工程技术有限公司财务经理。</w:t>
      </w:r>
      <w:r>
        <w:rPr>
          <w:rFonts w:ascii="Times New Roman" w:hAnsi="Times New Roman" w:cs="Times New Roman" w:eastAsia="Times New Roman" w:hint="default"/>
        </w:rPr>
        <w:t>2005</w:t>
      </w:r>
      <w:r>
        <w:rPr/>
        <w:t>年</w:t>
      </w:r>
      <w:r>
        <w:rPr>
          <w:spacing w:val="-50"/>
        </w:rPr>
        <w:t> </w:t>
      </w:r>
      <w:r>
        <w:rPr>
          <w:spacing w:val="-2"/>
        </w:rPr>
        <w:t>起在公司工作，曾任公司审计部经理，</w:t>
      </w:r>
      <w:r>
        <w:rPr>
          <w:rFonts w:ascii="Times New Roman" w:hAnsi="Times New Roman" w:cs="Times New Roman" w:eastAsia="Times New Roman" w:hint="default"/>
          <w:spacing w:val="-2"/>
        </w:rPr>
        <w:t>2006</w:t>
      </w:r>
      <w:r>
        <w:rPr>
          <w:spacing w:val="-2"/>
        </w:rPr>
        <w:t>年起任公司财务总监，财务部负责人。现任公司财务总监，杭州梅清数码科技有</w:t>
      </w:r>
      <w:r>
        <w:rPr>
          <w:spacing w:val="-61"/>
        </w:rPr>
        <w:t> </w:t>
      </w:r>
      <w:r>
        <w:rPr>
          <w:spacing w:val="-61"/>
        </w:rPr>
      </w:r>
      <w:r>
        <w:rPr/>
        <w:t>限公司董事、北京梅清智慧医疗科技有限公司董事。</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4"/>
          <w:szCs w:val="14"/>
        </w:rPr>
      </w:pPr>
    </w:p>
    <w:p>
      <w:pPr>
        <w:pStyle w:val="BodyText"/>
        <w:spacing w:line="240" w:lineRule="auto"/>
        <w:ind w:right="882"/>
        <w:jc w:val="left"/>
      </w:pPr>
      <w:r>
        <w:rPr/>
        <w:t>在股东单位任职情况</w:t>
      </w:r>
    </w:p>
    <w:p>
      <w:pPr>
        <w:pStyle w:val="BodyText"/>
        <w:spacing w:line="240" w:lineRule="auto" w:before="117"/>
        <w:ind w:right="882"/>
        <w:jc w:val="left"/>
      </w:pPr>
      <w:r>
        <w:rPr/>
        <w:t>√ 适用 □ 不适用</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22"/>
        <w:gridCol w:w="2968"/>
        <w:gridCol w:w="2507"/>
        <w:gridCol w:w="2670"/>
      </w:tblGrid>
      <w:tr>
        <w:trPr>
          <w:trHeight w:val="402" w:hRule="exact"/>
        </w:trPr>
        <w:tc>
          <w:tcPr>
            <w:tcW w:w="14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任职人员姓名</w:t>
            </w: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股东单位名称</w:t>
            </w:r>
          </w:p>
        </w:tc>
        <w:tc>
          <w:tcPr>
            <w:tcW w:w="25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在股东单位担任的职务</w:t>
            </w:r>
          </w:p>
        </w:tc>
        <w:tc>
          <w:tcPr>
            <w:tcW w:w="26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在股东单位是否领取报酬津贴</w:t>
            </w:r>
          </w:p>
        </w:tc>
      </w:tr>
      <w:tr>
        <w:trPr>
          <w:trHeight w:val="402" w:hRule="exact"/>
        </w:trPr>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张吕峥</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阜康投资</w:t>
            </w:r>
          </w:p>
        </w:tc>
        <w:tc>
          <w:tcPr>
            <w:tcW w:w="2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陈东</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阜康投资</w:t>
            </w:r>
          </w:p>
        </w:tc>
        <w:tc>
          <w:tcPr>
            <w:tcW w:w="2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叶建</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阜康投资</w:t>
            </w:r>
          </w:p>
        </w:tc>
        <w:tc>
          <w:tcPr>
            <w:tcW w:w="2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胡燕</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阜康投资</w:t>
            </w:r>
          </w:p>
        </w:tc>
        <w:tc>
          <w:tcPr>
            <w:tcW w:w="2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2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2"/>
        <w:ind w:right="882"/>
        <w:jc w:val="left"/>
      </w:pPr>
      <w:r>
        <w:rPr/>
        <w:t>在其他单位任职情况</w:t>
      </w:r>
    </w:p>
    <w:p>
      <w:pPr>
        <w:pStyle w:val="BodyText"/>
        <w:spacing w:line="240" w:lineRule="auto" w:before="115"/>
        <w:ind w:right="882"/>
        <w:jc w:val="left"/>
      </w:pPr>
      <w:r>
        <w:rPr/>
        <w:t>√ 适用 □ 不适用</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67"/>
        <w:gridCol w:w="4395"/>
        <w:gridCol w:w="1725"/>
        <w:gridCol w:w="1980"/>
      </w:tblGrid>
      <w:tr>
        <w:trPr>
          <w:trHeight w:val="714" w:hRule="exact"/>
        </w:trPr>
        <w:tc>
          <w:tcPr>
            <w:tcW w:w="14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任职人员姓名</w:t>
            </w:r>
          </w:p>
        </w:tc>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76" w:right="136" w:hanging="540"/>
              <w:jc w:val="left"/>
              <w:rPr>
                <w:rFonts w:ascii="宋体" w:hAnsi="宋体" w:cs="宋体" w:eastAsia="宋体" w:hint="default"/>
                <w:sz w:val="18"/>
                <w:szCs w:val="18"/>
              </w:rPr>
            </w:pPr>
            <w:r>
              <w:rPr>
                <w:rFonts w:ascii="宋体" w:hAnsi="宋体" w:cs="宋体" w:eastAsia="宋体" w:hint="default"/>
                <w:sz w:val="18"/>
                <w:szCs w:val="18"/>
              </w:rPr>
              <w:t>在其他单位担任的 职务</w:t>
            </w:r>
          </w:p>
        </w:tc>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24" w:right="172" w:hanging="449"/>
              <w:jc w:val="left"/>
              <w:rPr>
                <w:rFonts w:ascii="宋体" w:hAnsi="宋体" w:cs="宋体" w:eastAsia="宋体" w:hint="default"/>
                <w:sz w:val="18"/>
                <w:szCs w:val="18"/>
              </w:rPr>
            </w:pPr>
            <w:r>
              <w:rPr>
                <w:rFonts w:ascii="宋体" w:hAnsi="宋体" w:cs="宋体" w:eastAsia="宋体" w:hint="default"/>
                <w:sz w:val="18"/>
                <w:szCs w:val="18"/>
              </w:rPr>
              <w:t>在其他单位是否领取 报酬津贴</w:t>
            </w:r>
          </w:p>
        </w:tc>
      </w:tr>
      <w:tr>
        <w:trPr>
          <w:trHeight w:val="714"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葛航</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39"/>
              <w:jc w:val="left"/>
              <w:rPr>
                <w:rFonts w:ascii="宋体" w:hAnsi="宋体" w:cs="宋体" w:eastAsia="宋体" w:hint="default"/>
                <w:sz w:val="18"/>
                <w:szCs w:val="18"/>
              </w:rPr>
            </w:pPr>
            <w:r>
              <w:rPr>
                <w:rFonts w:ascii="宋体" w:hAnsi="宋体" w:cs="宋体" w:eastAsia="宋体" w:hint="default"/>
                <w:sz w:val="18"/>
                <w:szCs w:val="18"/>
              </w:rPr>
              <w:t>北京甲和灯科技股份有限公司、杭州迪通创健股权投 资基金管理有限公司、杭州隽宝科技有限公司</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葛航</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浙江中宇信息科技有限公司</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葛航</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杭州鼎心企业管理咨询有限公司</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执行董事兼总经理</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张吕峥</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浙江创源环境科技股份有限公司</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应晶</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浙江大学</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教授、博士生导师</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1026"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
              <w:jc w:val="center"/>
              <w:rPr>
                <w:rFonts w:ascii="宋体" w:hAnsi="宋体" w:cs="宋体" w:eastAsia="宋体" w:hint="default"/>
                <w:sz w:val="18"/>
                <w:szCs w:val="18"/>
              </w:rPr>
            </w:pPr>
            <w:r>
              <w:rPr>
                <w:rFonts w:ascii="宋体" w:hAnsi="宋体" w:cs="宋体" w:eastAsia="宋体" w:hint="default"/>
                <w:sz w:val="18"/>
                <w:szCs w:val="18"/>
              </w:rPr>
              <w:t>江乾坤</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39"/>
              <w:jc w:val="both"/>
              <w:rPr>
                <w:rFonts w:ascii="宋体" w:hAnsi="宋体" w:cs="宋体" w:eastAsia="宋体" w:hint="default"/>
                <w:sz w:val="18"/>
                <w:szCs w:val="18"/>
              </w:rPr>
            </w:pPr>
            <w:r>
              <w:rPr>
                <w:rFonts w:ascii="宋体" w:hAnsi="宋体" w:cs="宋体" w:eastAsia="宋体" w:hint="default"/>
                <w:sz w:val="18"/>
                <w:szCs w:val="18"/>
              </w:rPr>
              <w:t>浙江长华汽车零部件股份有限公司、深圳传音控股股 份有限公司、宁波天龙电子股份有限公司、杭州格林 达化学股份有限公司</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0"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江乾坤</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杭州电子科技大学</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教授</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center"/>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467"/>
        <w:gridCol w:w="4395"/>
        <w:gridCol w:w="1725"/>
        <w:gridCol w:w="1980"/>
      </w:tblGrid>
      <w:tr>
        <w:trPr>
          <w:trHeight w:val="402"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凌云</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浙大网新科技股份有限公司</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9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凌云</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浙江工商大学</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教授</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贾驰</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浙江工商大学</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副教授</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杨建刚</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浙江大学</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教授、博士生导师</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叶建</w:t>
            </w:r>
          </w:p>
        </w:tc>
        <w:tc>
          <w:tcPr>
            <w:tcW w:w="4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浙江创源环境科技股份有限公司</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467" w:type="dxa"/>
            <w:tcBorders>
              <w:top w:val="single" w:sz="4" w:space="0" w:color="000000"/>
              <w:left w:val="single" w:sz="4" w:space="0" w:color="000000"/>
              <w:bottom w:val="single" w:sz="4" w:space="0" w:color="000000"/>
              <w:right w:val="single" w:sz="4" w:space="0" w:color="000000"/>
            </w:tcBorders>
            <w:shd w:val="clear" w:color="auto" w:fill="A3A3A3"/>
          </w:tcPr>
          <w:p>
            <w:pPr>
              <w:pStyle w:val="TableParagraph"/>
              <w:spacing w:line="316" w:lineRule="auto" w:before="51"/>
              <w:ind w:left="188" w:right="187"/>
              <w:jc w:val="left"/>
              <w:rPr>
                <w:rFonts w:ascii="宋体" w:hAnsi="宋体" w:cs="宋体" w:eastAsia="宋体" w:hint="default"/>
                <w:sz w:val="18"/>
                <w:szCs w:val="18"/>
              </w:rPr>
            </w:pPr>
            <w:r>
              <w:rPr>
                <w:rFonts w:ascii="宋体" w:hAnsi="宋体" w:cs="宋体" w:eastAsia="宋体" w:hint="default"/>
                <w:sz w:val="18"/>
                <w:szCs w:val="18"/>
              </w:rPr>
              <w:t>在其他单位任 职情况的说明</w:t>
            </w:r>
          </w:p>
        </w:tc>
        <w:tc>
          <w:tcPr>
            <w:tcW w:w="810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50"/>
        <w:ind w:right="882"/>
        <w:jc w:val="left"/>
      </w:pPr>
      <w:r>
        <w:rPr/>
        <w:t>公司现任及报告期内离任董事、监事和高级管理人员近三年证券监管机构处罚的情况</w:t>
      </w:r>
    </w:p>
    <w:p>
      <w:pPr>
        <w:pStyle w:val="BodyText"/>
        <w:spacing w:line="240" w:lineRule="auto" w:before="117"/>
        <w:ind w:right="882"/>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882"/>
        <w:jc w:val="left"/>
        <w:rPr>
          <w:b w:val="0"/>
          <w:bCs w:val="0"/>
        </w:rPr>
      </w:pPr>
      <w:bookmarkStart w:name="四、董事、监事、高级管理人员报酬情况" w:id="131"/>
      <w:bookmarkEnd w:id="131"/>
      <w:r>
        <w:rPr>
          <w:b w:val="0"/>
          <w:bCs w:val="0"/>
        </w:rPr>
      </w:r>
      <w:r>
        <w:rPr/>
        <w:t>四、董事、监事、高级管理人员报酬情况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882"/>
        <w:jc w:val="left"/>
      </w:pPr>
      <w:r>
        <w:rPr/>
        <w:t>董事、监事、高级管理人员报酬的决策程序、确定依据、实际支付情况</w:t>
      </w:r>
    </w:p>
    <w:p>
      <w:pPr>
        <w:spacing w:line="240" w:lineRule="auto" w:before="0"/>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5423"/>
        <w:gridCol w:w="4199"/>
      </w:tblGrid>
      <w:tr>
        <w:trPr>
          <w:trHeight w:val="971" w:hRule="exact"/>
        </w:trPr>
        <w:tc>
          <w:tcPr>
            <w:tcW w:w="5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董事、监事、高级管理人员报酬的决策程序</w:t>
            </w:r>
          </w:p>
        </w:tc>
        <w:tc>
          <w:tcPr>
            <w:tcW w:w="419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2"/>
              <w:ind w:left="3" w:right="0"/>
              <w:jc w:val="both"/>
              <w:rPr>
                <w:rFonts w:ascii="宋体" w:hAnsi="宋体" w:cs="宋体" w:eastAsia="宋体" w:hint="default"/>
                <w:sz w:val="18"/>
                <w:szCs w:val="18"/>
              </w:rPr>
            </w:pPr>
            <w:r>
              <w:rPr>
                <w:rFonts w:ascii="宋体" w:hAnsi="宋体" w:cs="宋体" w:eastAsia="宋体" w:hint="default"/>
                <w:sz w:val="18"/>
                <w:szCs w:val="18"/>
              </w:rPr>
              <w:t>董事、监事及高级管理人员的薪酬方案由董事会薪酬</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与考核委员会拟定，经董事会、监事会、股东大会审</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议通过后实施。</w:t>
            </w:r>
          </w:p>
        </w:tc>
      </w:tr>
      <w:tr>
        <w:trPr>
          <w:trHeight w:val="659" w:hRule="exact"/>
        </w:trPr>
        <w:tc>
          <w:tcPr>
            <w:tcW w:w="5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董事、监事、高级管理人员报酬确定依据</w:t>
            </w:r>
          </w:p>
        </w:tc>
        <w:tc>
          <w:tcPr>
            <w:tcW w:w="419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0"/>
              <w:jc w:val="left"/>
              <w:rPr>
                <w:rFonts w:ascii="宋体" w:hAnsi="宋体" w:cs="宋体" w:eastAsia="宋体" w:hint="default"/>
                <w:sz w:val="18"/>
                <w:szCs w:val="18"/>
              </w:rPr>
            </w:pPr>
            <w:r>
              <w:rPr>
                <w:rFonts w:ascii="宋体" w:hAnsi="宋体" w:cs="宋体" w:eastAsia="宋体" w:hint="default"/>
                <w:sz w:val="18"/>
                <w:szCs w:val="18"/>
              </w:rPr>
              <w:t>董事、监事和高级管理人员的报酬按照公司规定，结</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合其经营绩效、工作能力能考核确定并发放。</w:t>
            </w:r>
          </w:p>
        </w:tc>
      </w:tr>
      <w:tr>
        <w:trPr>
          <w:trHeight w:val="659" w:hRule="exact"/>
        </w:trPr>
        <w:tc>
          <w:tcPr>
            <w:tcW w:w="5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董事、监事和高级管理人员报酬的实际支付情况</w:t>
            </w:r>
          </w:p>
        </w:tc>
        <w:tc>
          <w:tcPr>
            <w:tcW w:w="419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公司现有独立董事、监事、高级管理人员的基本薪酬</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已按月支付，其中一定比例考核后发放。</w:t>
            </w:r>
          </w:p>
        </w:tc>
      </w:tr>
    </w:tbl>
    <w:p>
      <w:pPr>
        <w:spacing w:line="240" w:lineRule="auto" w:before="5"/>
        <w:rPr>
          <w:rFonts w:ascii="宋体" w:hAnsi="宋体" w:cs="宋体" w:eastAsia="宋体" w:hint="default"/>
          <w:sz w:val="24"/>
          <w:szCs w:val="24"/>
        </w:rPr>
      </w:pPr>
    </w:p>
    <w:p>
      <w:pPr>
        <w:pStyle w:val="BodyText"/>
        <w:spacing w:line="240" w:lineRule="auto" w:before="44"/>
        <w:ind w:right="882"/>
        <w:jc w:val="left"/>
      </w:pPr>
      <w:r>
        <w:rPr/>
        <w:t>公司报告期内董事、监事和高级管理人员报酬情况</w:t>
      </w:r>
    </w:p>
    <w:p>
      <w:pPr>
        <w:pStyle w:val="BodyText"/>
        <w:spacing w:line="240" w:lineRule="auto" w:before="117"/>
        <w:ind w:left="0" w:right="1132"/>
        <w:jc w:val="right"/>
      </w:pPr>
      <w:r>
        <w:rPr/>
        <w:t>单位：万元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71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38" w:right="136"/>
              <w:jc w:val="left"/>
              <w:rPr>
                <w:rFonts w:ascii="宋体" w:hAnsi="宋体" w:cs="宋体" w:eastAsia="宋体" w:hint="default"/>
                <w:sz w:val="18"/>
                <w:szCs w:val="18"/>
              </w:rPr>
            </w:pPr>
            <w:r>
              <w:rPr>
                <w:rFonts w:ascii="宋体" w:hAnsi="宋体" w:cs="宋体" w:eastAsia="宋体" w:hint="default"/>
                <w:sz w:val="18"/>
                <w:szCs w:val="18"/>
              </w:rPr>
              <w:t>从公司获得的 税前报酬总额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37" w:right="138"/>
              <w:jc w:val="left"/>
              <w:rPr>
                <w:rFonts w:ascii="宋体" w:hAnsi="宋体" w:cs="宋体" w:eastAsia="宋体" w:hint="default"/>
                <w:sz w:val="18"/>
                <w:szCs w:val="18"/>
              </w:rPr>
            </w:pPr>
            <w:r>
              <w:rPr>
                <w:rFonts w:ascii="宋体" w:hAnsi="宋体" w:cs="宋体" w:eastAsia="宋体" w:hint="default"/>
                <w:sz w:val="18"/>
                <w:szCs w:val="18"/>
              </w:rPr>
              <w:t>是否在公司关 联方获取报酬</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葛航</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59.17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张吕峥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57.97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胡燕</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497" w:right="138" w:hanging="360"/>
              <w:jc w:val="left"/>
              <w:rPr>
                <w:rFonts w:ascii="宋体" w:hAnsi="宋体" w:cs="宋体" w:eastAsia="宋体" w:hint="default"/>
                <w:sz w:val="18"/>
                <w:szCs w:val="18"/>
              </w:rPr>
            </w:pPr>
            <w:r>
              <w:rPr>
                <w:rFonts w:ascii="宋体" w:hAnsi="宋体" w:cs="宋体" w:eastAsia="宋体" w:hint="default"/>
                <w:sz w:val="18"/>
                <w:szCs w:val="18"/>
              </w:rPr>
              <w:t>董事、董事会 秘书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43.99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赵晔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80.79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应晶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江乾坤</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凌云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杨建刚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叶建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44.68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贾驰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李军</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33.45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0"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郁燕萍</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54.29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footerReference w:type="default" r:id="rId37"/>
          <w:pgSz w:w="11910" w:h="16840"/>
          <w:pgMar w:footer="1016" w:header="907" w:top="1100" w:bottom="1200" w:left="1020" w:right="0"/>
          <w:pgNumType w:start="8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方宝林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副总经</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586"/>
              <w:jc w:val="righ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44.85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高春蓉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408" w:right="138" w:hanging="272"/>
              <w:jc w:val="left"/>
              <w:rPr>
                <w:rFonts w:ascii="宋体" w:hAnsi="宋体" w:cs="宋体" w:eastAsia="宋体" w:hint="default"/>
                <w:sz w:val="18"/>
                <w:szCs w:val="18"/>
              </w:rPr>
            </w:pPr>
            <w:r>
              <w:rPr>
                <w:rFonts w:ascii="宋体" w:hAnsi="宋体" w:cs="宋体" w:eastAsia="宋体" w:hint="default"/>
                <w:sz w:val="18"/>
                <w:szCs w:val="18"/>
              </w:rPr>
              <w:t>副总经理、总 工程师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86"/>
              <w:jc w:val="righ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42.56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张崧</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586"/>
              <w:jc w:val="righ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57.11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陈东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86"/>
              <w:jc w:val="righ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68.86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孙烈峰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586"/>
              <w:jc w:val="righ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50.07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李寒穷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86"/>
              <w:jc w:val="righ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617"/>
              <w:jc w:val="right"/>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661.79</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619" w:right="0"/>
              <w:jc w:val="lef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240" w:lineRule="auto" w:before="51"/>
        <w:ind w:right="-20"/>
        <w:jc w:val="left"/>
      </w:pPr>
      <w:r>
        <w:rPr/>
        <w:t>公司董事、高级管理人员报告期内被授予的股权激励情况</w:t>
      </w:r>
    </w:p>
    <w:p>
      <w:pPr>
        <w:pStyle w:val="BodyText"/>
        <w:spacing w:line="240" w:lineRule="auto" w:before="117"/>
        <w:ind w:right="-20"/>
        <w:jc w:val="left"/>
      </w:pPr>
      <w:r>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right="0"/>
        <w:jc w:val="left"/>
      </w:pPr>
      <w:r>
        <w:rPr/>
        <w:t>单位：股</w:t>
      </w:r>
    </w:p>
    <w:p>
      <w:pPr>
        <w:spacing w:after="0" w:line="240" w:lineRule="auto"/>
        <w:jc w:val="left"/>
        <w:sectPr>
          <w:type w:val="continuous"/>
          <w:pgSz w:w="11910" w:h="16840"/>
          <w:pgMar w:top="1100" w:bottom="1200" w:left="1020" w:right="0"/>
          <w:cols w:num="2" w:equalWidth="0">
            <w:col w:w="4613" w:space="4305"/>
            <w:col w:w="197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865"/>
        <w:gridCol w:w="870"/>
        <w:gridCol w:w="869"/>
        <w:gridCol w:w="869"/>
        <w:gridCol w:w="870"/>
        <w:gridCol w:w="870"/>
        <w:gridCol w:w="870"/>
        <w:gridCol w:w="870"/>
        <w:gridCol w:w="870"/>
        <w:gridCol w:w="870"/>
        <w:gridCol w:w="870"/>
      </w:tblGrid>
      <w:tr>
        <w:trPr>
          <w:trHeight w:val="1962" w:hRule="exact"/>
        </w:trPr>
        <w:tc>
          <w:tcPr>
            <w:tcW w:w="8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5"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59" w:right="157"/>
              <w:jc w:val="both"/>
              <w:rPr>
                <w:rFonts w:ascii="宋体" w:hAnsi="宋体" w:cs="宋体" w:eastAsia="宋体" w:hint="default"/>
                <w:sz w:val="18"/>
                <w:szCs w:val="18"/>
              </w:rPr>
            </w:pPr>
            <w:r>
              <w:rPr>
                <w:rFonts w:ascii="宋体" w:hAnsi="宋体" w:cs="宋体" w:eastAsia="宋体" w:hint="default"/>
                <w:sz w:val="18"/>
                <w:szCs w:val="18"/>
              </w:rPr>
              <w:t>报告期 内可行 权股数</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59" w:right="157"/>
              <w:jc w:val="both"/>
              <w:rPr>
                <w:rFonts w:ascii="宋体" w:hAnsi="宋体" w:cs="宋体" w:eastAsia="宋体" w:hint="default"/>
                <w:sz w:val="18"/>
                <w:szCs w:val="18"/>
              </w:rPr>
            </w:pPr>
            <w:r>
              <w:rPr>
                <w:rFonts w:ascii="宋体" w:hAnsi="宋体" w:cs="宋体" w:eastAsia="宋体" w:hint="default"/>
                <w:sz w:val="18"/>
                <w:szCs w:val="18"/>
              </w:rPr>
              <w:t>报告期 内已行 权股数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35" w:right="133" w:firstLine="24"/>
              <w:jc w:val="both"/>
              <w:rPr>
                <w:rFonts w:ascii="宋体" w:hAnsi="宋体" w:cs="宋体" w:eastAsia="宋体" w:hint="default"/>
                <w:sz w:val="18"/>
                <w:szCs w:val="18"/>
              </w:rPr>
            </w:pPr>
            <w:r>
              <w:rPr>
                <w:rFonts w:ascii="宋体" w:hAnsi="宋体" w:cs="宋体" w:eastAsia="宋体" w:hint="default"/>
                <w:sz w:val="18"/>
                <w:szCs w:val="18"/>
              </w:rPr>
              <w:t>报告期 内已行 权股数 行权价 格（元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60" w:right="157"/>
              <w:jc w:val="left"/>
              <w:rPr>
                <w:rFonts w:ascii="宋体" w:hAnsi="宋体" w:cs="宋体" w:eastAsia="宋体" w:hint="default"/>
                <w:sz w:val="18"/>
                <w:szCs w:val="18"/>
              </w:rPr>
            </w:pPr>
            <w:r>
              <w:rPr>
                <w:rFonts w:ascii="宋体" w:hAnsi="宋体" w:cs="宋体" w:eastAsia="宋体" w:hint="default"/>
                <w:sz w:val="18"/>
                <w:szCs w:val="18"/>
              </w:rPr>
              <w:t>报告期 末市价</w:t>
            </w:r>
          </w:p>
          <w:p>
            <w:pPr>
              <w:pStyle w:val="TableParagraph"/>
              <w:spacing w:line="300" w:lineRule="auto" w:before="19"/>
              <w:ind w:left="249" w:right="223" w:hanging="24"/>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59" w:right="159"/>
              <w:jc w:val="both"/>
              <w:rPr>
                <w:rFonts w:ascii="宋体" w:hAnsi="宋体" w:cs="宋体" w:eastAsia="宋体" w:hint="default"/>
                <w:sz w:val="18"/>
                <w:szCs w:val="18"/>
              </w:rPr>
            </w:pPr>
            <w:r>
              <w:rPr>
                <w:rFonts w:ascii="宋体" w:hAnsi="宋体" w:cs="宋体" w:eastAsia="宋体" w:hint="default"/>
                <w:sz w:val="18"/>
                <w:szCs w:val="18"/>
              </w:rPr>
              <w:t>期初持 有限制 性股票 数量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60" w:right="157"/>
              <w:jc w:val="both"/>
              <w:rPr>
                <w:rFonts w:ascii="宋体" w:hAnsi="宋体" w:cs="宋体" w:eastAsia="宋体" w:hint="default"/>
                <w:sz w:val="18"/>
                <w:szCs w:val="18"/>
              </w:rPr>
            </w:pPr>
            <w:r>
              <w:rPr>
                <w:rFonts w:ascii="宋体" w:hAnsi="宋体" w:cs="宋体" w:eastAsia="宋体" w:hint="default"/>
                <w:sz w:val="18"/>
                <w:szCs w:val="18"/>
              </w:rPr>
              <w:t>本期已 解锁股 份数量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9" w:right="159"/>
              <w:jc w:val="center"/>
              <w:rPr>
                <w:rFonts w:ascii="宋体" w:hAnsi="宋体" w:cs="宋体" w:eastAsia="宋体" w:hint="default"/>
                <w:sz w:val="18"/>
                <w:szCs w:val="18"/>
              </w:rPr>
            </w:pPr>
            <w:r>
              <w:rPr>
                <w:rFonts w:ascii="宋体" w:hAnsi="宋体" w:cs="宋体" w:eastAsia="宋体" w:hint="default"/>
                <w:sz w:val="18"/>
                <w:szCs w:val="18"/>
              </w:rPr>
              <w:t>报告期 新授予 限制性 股票数 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134" w:right="134" w:firstLine="26"/>
              <w:jc w:val="both"/>
              <w:rPr>
                <w:rFonts w:ascii="宋体" w:hAnsi="宋体" w:cs="宋体" w:eastAsia="宋体" w:hint="default"/>
                <w:sz w:val="18"/>
                <w:szCs w:val="18"/>
              </w:rPr>
            </w:pPr>
            <w:r>
              <w:rPr>
                <w:rFonts w:ascii="宋体" w:hAnsi="宋体" w:cs="宋体" w:eastAsia="宋体" w:hint="default"/>
                <w:sz w:val="18"/>
                <w:szCs w:val="18"/>
              </w:rPr>
              <w:t>限制性 股票的 授予价 格（元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59" w:right="159"/>
              <w:jc w:val="both"/>
              <w:rPr>
                <w:rFonts w:ascii="宋体" w:hAnsi="宋体" w:cs="宋体" w:eastAsia="宋体" w:hint="default"/>
                <w:sz w:val="18"/>
                <w:szCs w:val="18"/>
              </w:rPr>
            </w:pPr>
            <w:r>
              <w:rPr>
                <w:rFonts w:ascii="宋体" w:hAnsi="宋体" w:cs="宋体" w:eastAsia="宋体" w:hint="default"/>
                <w:sz w:val="18"/>
                <w:szCs w:val="18"/>
              </w:rPr>
              <w:t>期末持 有限制 性股票 数量</w:t>
            </w:r>
          </w:p>
        </w:tc>
      </w:tr>
      <w:tr>
        <w:trPr>
          <w:trHeight w:val="714"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张吕峥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02"/>
              <w:jc w:val="left"/>
              <w:rPr>
                <w:rFonts w:ascii="宋体" w:hAnsi="宋体" w:cs="宋体" w:eastAsia="宋体" w:hint="default"/>
                <w:sz w:val="18"/>
                <w:szCs w:val="18"/>
              </w:rPr>
            </w:pPr>
            <w:r>
              <w:rPr>
                <w:rFonts w:ascii="宋体" w:hAnsi="宋体" w:cs="宋体" w:eastAsia="宋体" w:hint="default"/>
                <w:spacing w:val="-17"/>
                <w:sz w:val="18"/>
                <w:szCs w:val="18"/>
              </w:rPr>
              <w:t>董事、总</w:t>
            </w:r>
            <w:r>
              <w:rPr>
                <w:rFonts w:ascii="宋体" w:hAnsi="宋体" w:cs="宋体" w:eastAsia="宋体" w:hint="default"/>
                <w:sz w:val="18"/>
                <w:szCs w:val="18"/>
              </w:rPr>
              <w:t> 经理</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22,500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17.94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37,500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60" w:right="0"/>
              <w:jc w:val="center"/>
              <w:rPr>
                <w:rFonts w:ascii="Times New Roman" w:hAnsi="Times New Roman" w:cs="Times New Roman" w:eastAsia="Times New Roman" w:hint="default"/>
                <w:sz w:val="18"/>
                <w:szCs w:val="18"/>
              </w:rPr>
            </w:pPr>
            <w:r>
              <w:rPr>
                <w:rFonts w:ascii="Times New Roman"/>
                <w:sz w:val="18"/>
              </w:rPr>
              <w:t>56,250</w:t>
            </w:r>
          </w:p>
        </w:tc>
      </w:tr>
      <w:tr>
        <w:trPr>
          <w:trHeight w:val="1026"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胡燕</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17"/>
                <w:sz w:val="18"/>
                <w:szCs w:val="18"/>
              </w:rPr>
              <w:t>董事、董</w:t>
            </w:r>
            <w:r>
              <w:rPr>
                <w:rFonts w:ascii="宋体" w:hAnsi="宋体" w:cs="宋体" w:eastAsia="宋体" w:hint="default"/>
                <w:sz w:val="18"/>
                <w:szCs w:val="18"/>
              </w:rPr>
              <w:t> 事会秘 书</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22,500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17.94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125,000</w:t>
            </w:r>
          </w:p>
        </w:tc>
      </w:tr>
      <w:tr>
        <w:trPr>
          <w:trHeight w:val="714"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郁燕萍</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15"/>
              <w:jc w:val="left"/>
              <w:rPr>
                <w:rFonts w:ascii="宋体" w:hAnsi="宋体" w:cs="宋体" w:eastAsia="宋体" w:hint="default"/>
                <w:sz w:val="18"/>
                <w:szCs w:val="18"/>
              </w:rPr>
            </w:pPr>
            <w:r>
              <w:rPr>
                <w:rFonts w:ascii="宋体" w:hAnsi="宋体" w:cs="宋体" w:eastAsia="宋体" w:hint="default"/>
                <w:sz w:val="18"/>
                <w:szCs w:val="18"/>
              </w:rPr>
              <w:t>财务总 监</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17.94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169,999</w:t>
            </w:r>
          </w:p>
        </w:tc>
      </w:tr>
      <w:tr>
        <w:trPr>
          <w:trHeight w:val="1026"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高春蓉</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z w:val="18"/>
                <w:szCs w:val="18"/>
              </w:rPr>
              <w:t>副总经 </w:t>
            </w:r>
            <w:r>
              <w:rPr>
                <w:rFonts w:ascii="宋体" w:hAnsi="宋体" w:cs="宋体" w:eastAsia="宋体" w:hint="default"/>
                <w:spacing w:val="-17"/>
                <w:sz w:val="18"/>
                <w:szCs w:val="18"/>
              </w:rPr>
              <w:t>理、总工</w:t>
            </w:r>
            <w:r>
              <w:rPr>
                <w:rFonts w:ascii="宋体" w:hAnsi="宋体" w:cs="宋体" w:eastAsia="宋体" w:hint="default"/>
                <w:sz w:val="18"/>
                <w:szCs w:val="18"/>
              </w:rPr>
              <w:t> 程师</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22,500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17.94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60" w:right="0"/>
              <w:jc w:val="center"/>
              <w:rPr>
                <w:rFonts w:ascii="Times New Roman" w:hAnsi="Times New Roman" w:cs="Times New Roman" w:eastAsia="Times New Roman" w:hint="default"/>
                <w:sz w:val="18"/>
                <w:szCs w:val="18"/>
              </w:rPr>
            </w:pPr>
            <w:r>
              <w:rPr>
                <w:rFonts w:ascii="Times New Roman"/>
                <w:sz w:val="18"/>
              </w:rPr>
              <w:t>80,000</w:t>
            </w:r>
          </w:p>
        </w:tc>
      </w:tr>
      <w:tr>
        <w:trPr>
          <w:trHeight w:val="714"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张崧</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15"/>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17.94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169,999</w:t>
            </w:r>
          </w:p>
        </w:tc>
      </w:tr>
      <w:tr>
        <w:trPr>
          <w:trHeight w:val="714"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陈东</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5"/>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17.94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0" w:right="0"/>
              <w:jc w:val="center"/>
              <w:rPr>
                <w:rFonts w:ascii="Times New Roman" w:hAnsi="Times New Roman" w:cs="Times New Roman" w:eastAsia="Times New Roman" w:hint="default"/>
                <w:sz w:val="18"/>
                <w:szCs w:val="18"/>
              </w:rPr>
            </w:pPr>
            <w:r>
              <w:rPr>
                <w:rFonts w:ascii="Times New Roman"/>
                <w:sz w:val="18"/>
              </w:rPr>
              <w:t>80,000</w:t>
            </w:r>
          </w:p>
        </w:tc>
      </w:tr>
      <w:tr>
        <w:trPr>
          <w:trHeight w:val="714"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孙烈峰</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15"/>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17.94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115,000</w:t>
            </w:r>
          </w:p>
        </w:tc>
      </w:tr>
      <w:tr>
        <w:trPr>
          <w:trHeight w:val="714"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方宝林</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5"/>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22,500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17.94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115,000</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371" w:right="0"/>
              <w:jc w:val="left"/>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495,000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247,500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540,000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6" w:right="0"/>
              <w:jc w:val="center"/>
              <w:rPr>
                <w:rFonts w:ascii="Times New Roman" w:hAnsi="Times New Roman" w:cs="Times New Roman" w:eastAsia="Times New Roman" w:hint="default"/>
                <w:sz w:val="18"/>
                <w:szCs w:val="18"/>
              </w:rPr>
            </w:pPr>
            <w:r>
              <w:rPr>
                <w:rFonts w:ascii="Times New Roman"/>
                <w:sz w:val="18"/>
              </w:rPr>
              <w:t>911,248</w:t>
            </w:r>
          </w:p>
        </w:tc>
      </w:tr>
      <w:tr>
        <w:trPr>
          <w:trHeight w:val="714" w:hRule="exact"/>
        </w:trPr>
        <w:tc>
          <w:tcPr>
            <w:tcW w:w="8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01"/>
              <w:jc w:val="left"/>
              <w:rPr>
                <w:rFonts w:ascii="宋体" w:hAnsi="宋体" w:cs="宋体" w:eastAsia="宋体" w:hint="default"/>
                <w:sz w:val="18"/>
                <w:szCs w:val="18"/>
              </w:rPr>
            </w:pPr>
            <w:r>
              <w:rPr>
                <w:rFonts w:ascii="宋体" w:hAnsi="宋体" w:cs="宋体" w:eastAsia="宋体" w:hint="default"/>
                <w:spacing w:val="-18"/>
                <w:sz w:val="18"/>
                <w:szCs w:val="18"/>
              </w:rPr>
              <w:t>备注（如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w:t>
            </w:r>
          </w:p>
        </w:tc>
        <w:tc>
          <w:tcPr>
            <w:tcW w:w="86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type w:val="continuous"/>
          <w:pgSz w:w="11910" w:h="16840"/>
          <w:pgMar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left="592" w:right="882"/>
        <w:jc w:val="left"/>
        <w:rPr>
          <w:b w:val="0"/>
          <w:bCs w:val="0"/>
        </w:rPr>
      </w:pPr>
      <w:bookmarkStart w:name="五、公司员工情况" w:id="132"/>
      <w:bookmarkEnd w:id="132"/>
      <w:r>
        <w:rPr>
          <w:b w:val="0"/>
          <w:bCs w:val="0"/>
        </w:rPr>
      </w:r>
      <w:r>
        <w:rPr/>
        <w:t>五、公司员工情况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532" w:right="882"/>
        <w:jc w:val="left"/>
        <w:rPr>
          <w:b w:val="0"/>
          <w:bCs w:val="0"/>
        </w:rPr>
      </w:pPr>
      <w:bookmarkStart w:name="1、员工数量、专业构成及教育程度" w:id="133"/>
      <w:bookmarkEnd w:id="133"/>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2,025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1,169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3,194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3,194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77"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1,714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995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38</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161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3,194</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博士</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硕士</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1,754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大专及以下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1,336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3,194</w:t>
            </w:r>
          </w:p>
        </w:tc>
      </w:tr>
    </w:tbl>
    <w:p>
      <w:pPr>
        <w:spacing w:line="240" w:lineRule="auto" w:before="1"/>
        <w:rPr>
          <w:rFonts w:ascii="宋体" w:hAnsi="宋体" w:cs="宋体" w:eastAsia="宋体" w:hint="default"/>
          <w:b/>
          <w:bCs/>
          <w:sz w:val="20"/>
          <w:szCs w:val="20"/>
        </w:rPr>
      </w:pPr>
    </w:p>
    <w:p>
      <w:pPr>
        <w:pStyle w:val="Heading3"/>
        <w:spacing w:line="240" w:lineRule="auto" w:before="34"/>
        <w:ind w:left="532" w:right="882"/>
        <w:jc w:val="left"/>
        <w:rPr>
          <w:b w:val="0"/>
          <w:bCs w:val="0"/>
        </w:rPr>
      </w:pPr>
      <w:bookmarkStart w:name="2、薪酬政策" w:id="134"/>
      <w:bookmarkEnd w:id="134"/>
      <w:r>
        <w:rPr>
          <w:b w:val="0"/>
          <w:bCs w:val="0"/>
        </w:rPr>
      </w:r>
      <w:r>
        <w:rPr>
          <w:rFonts w:ascii="Times New Roman" w:hAnsi="Times New Roman" w:cs="Times New Roman" w:eastAsia="Times New Roman" w:hint="default"/>
        </w:rPr>
        <w:t>2</w:t>
      </w:r>
      <w:r>
        <w:rPr/>
        <w:t>、薪酬政策</w:t>
      </w:r>
      <w:r>
        <w:rPr>
          <w:b w:val="0"/>
          <w:bCs w:val="0"/>
        </w:rPr>
      </w:r>
    </w:p>
    <w:p>
      <w:pPr>
        <w:pStyle w:val="BodyText"/>
        <w:spacing w:line="316" w:lineRule="auto" w:before="46"/>
        <w:ind w:right="882" w:firstLine="360"/>
        <w:jc w:val="left"/>
      </w:pPr>
      <w:r>
        <w:rPr>
          <w:spacing w:val="-2"/>
        </w:rPr>
        <w:t>公司薪酬政策坚持与岗位价值相匹配的基本原则，同时兼顾技术与专业化能力的差别化对待，根据不同类别岗位职级制</w:t>
      </w:r>
      <w:r>
        <w:rPr/>
        <w:t> 定相应的薪酬等级体系，在每个岗位职级内根据其技术能力、专业化能力水平确定对应的薪酬。 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pStyle w:val="BodyText"/>
        <w:spacing w:line="300" w:lineRule="auto"/>
        <w:ind w:right="1199" w:firstLine="360"/>
        <w:jc w:val="left"/>
      </w:pPr>
      <w:r>
        <w:rPr>
          <w:rFonts w:ascii="Times New Roman" w:hAnsi="Times New Roman" w:cs="Times New Roman" w:eastAsia="Times New Roman" w:hint="default"/>
        </w:rPr>
        <w:t>2019</w:t>
      </w:r>
      <w:r>
        <w:rPr/>
        <w:t>年度公司计入成本部分的职工薪酬总额</w:t>
      </w:r>
      <w:r>
        <w:rPr>
          <w:rFonts w:ascii="Times New Roman" w:hAnsi="Times New Roman" w:cs="Times New Roman" w:eastAsia="Times New Roman" w:hint="default"/>
        </w:rPr>
        <w:t>18,093.55</w:t>
      </w:r>
      <w:r>
        <w:rPr/>
        <w:t>万元，占公司本期营业成本的</w:t>
      </w:r>
      <w:r>
        <w:rPr>
          <w:rFonts w:ascii="Times New Roman" w:hAnsi="Times New Roman" w:cs="Times New Roman" w:eastAsia="Times New Roman" w:hint="default"/>
        </w:rPr>
        <w:t>26.26%</w:t>
      </w:r>
      <w:r>
        <w:rPr/>
        <w:t>。</w:t>
      </w:r>
      <w:r>
        <w:rPr>
          <w:rFonts w:ascii="Times New Roman" w:hAnsi="Times New Roman" w:cs="Times New Roman" w:eastAsia="Times New Roman" w:hint="default"/>
        </w:rPr>
        <w:t>2019</w:t>
      </w:r>
      <w:r>
        <w:rPr/>
        <w:t>年末公司技术人员数 量</w:t>
      </w:r>
      <w:r>
        <w:rPr>
          <w:rFonts w:ascii="Times New Roman" w:hAnsi="Times New Roman" w:cs="Times New Roman" w:eastAsia="Times New Roman" w:hint="default"/>
        </w:rPr>
        <w:t>995</w:t>
      </w:r>
      <w:r>
        <w:rPr/>
        <w:t>人，与上年同期相比无重大变动。</w:t>
      </w:r>
    </w:p>
    <w:p>
      <w:pPr>
        <w:spacing w:line="240" w:lineRule="auto" w:before="12"/>
        <w:rPr>
          <w:rFonts w:ascii="宋体" w:hAnsi="宋体" w:cs="宋体" w:eastAsia="宋体" w:hint="default"/>
          <w:sz w:val="22"/>
          <w:szCs w:val="22"/>
        </w:rPr>
      </w:pPr>
    </w:p>
    <w:p>
      <w:pPr>
        <w:pStyle w:val="Heading3"/>
        <w:spacing w:line="240" w:lineRule="auto"/>
        <w:ind w:left="532" w:right="882"/>
        <w:jc w:val="left"/>
        <w:rPr>
          <w:b w:val="0"/>
          <w:bCs w:val="0"/>
        </w:rPr>
      </w:pPr>
      <w:bookmarkStart w:name="3、培训计划" w:id="135"/>
      <w:bookmarkEnd w:id="135"/>
      <w:r>
        <w:rPr>
          <w:b w:val="0"/>
          <w:bCs w:val="0"/>
        </w:rPr>
      </w:r>
      <w:r>
        <w:rPr>
          <w:rFonts w:ascii="Times New Roman" w:hAnsi="Times New Roman" w:cs="Times New Roman" w:eastAsia="Times New Roman" w:hint="default"/>
        </w:rPr>
        <w:t>3</w:t>
      </w:r>
      <w:r>
        <w:rPr/>
        <w:t>、培训计划</w:t>
      </w:r>
      <w:r>
        <w:rPr>
          <w:b w:val="0"/>
          <w:bCs w:val="0"/>
        </w:rPr>
      </w:r>
    </w:p>
    <w:p>
      <w:pPr>
        <w:pStyle w:val="BodyText"/>
        <w:spacing w:line="316" w:lineRule="auto" w:before="46"/>
        <w:ind w:right="1034" w:firstLine="360"/>
        <w:jc w:val="left"/>
      </w:pPr>
      <w:r>
        <w:rPr>
          <w:spacing w:val="-2"/>
        </w:rPr>
        <w:t>人力资源一直是公司的核心战略资源，公司坚持“以人为本”的人才方针，不断完善人力资源管理体系建设。公司始终</w:t>
      </w:r>
      <w:r>
        <w:rPr/>
        <w:t> 非常重视企业员工的发展，每年根据各部门自身情况，经过需求调查以及往年的培训结果反馈，编制各部门年度培训计划， 并报人力资源部备案。公司人力资源部每年根据需求制定对相关岗位人员的年度培训计划，报公司批准后执行。</w:t>
      </w:r>
    </w:p>
    <w:p>
      <w:pPr>
        <w:spacing w:line="240" w:lineRule="auto" w:before="4"/>
        <w:rPr>
          <w:rFonts w:ascii="宋体" w:hAnsi="宋体" w:cs="宋体" w:eastAsia="宋体" w:hint="default"/>
          <w:sz w:val="23"/>
          <w:szCs w:val="23"/>
        </w:rPr>
      </w:pPr>
    </w:p>
    <w:p>
      <w:pPr>
        <w:pStyle w:val="Heading3"/>
        <w:spacing w:line="240" w:lineRule="auto"/>
        <w:ind w:left="532" w:right="882"/>
        <w:jc w:val="left"/>
        <w:rPr>
          <w:b w:val="0"/>
          <w:bCs w:val="0"/>
        </w:rPr>
      </w:pPr>
      <w:bookmarkStart w:name="4、劳务外包情况" w:id="136"/>
      <w:bookmarkEnd w:id="136"/>
      <w:r>
        <w:rPr>
          <w:b w:val="0"/>
          <w:bCs w:val="0"/>
        </w:rPr>
      </w:r>
      <w:r>
        <w:rPr>
          <w:rFonts w:ascii="Times New Roman" w:hAnsi="Times New Roman" w:cs="Times New Roman" w:eastAsia="Times New Roman" w:hint="default"/>
        </w:rPr>
        <w:t>4</w:t>
      </w:r>
      <w:r>
        <w:rPr/>
        <w:t>、劳务外包情况</w:t>
      </w:r>
      <w:r>
        <w:rPr>
          <w:b w:val="0"/>
          <w:bCs w:val="0"/>
        </w:rPr>
      </w:r>
    </w:p>
    <w:p>
      <w:pPr>
        <w:pStyle w:val="BodyText"/>
        <w:spacing w:line="240" w:lineRule="auto" w:before="46"/>
        <w:ind w:left="472"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right="3782"/>
        <w:jc w:val="center"/>
        <w:rPr>
          <w:b w:val="0"/>
          <w:bCs w:val="0"/>
        </w:rPr>
      </w:pPr>
      <w:bookmarkStart w:name="第十节公司治理" w:id="137"/>
      <w:bookmarkEnd w:id="137"/>
      <w:r>
        <w:rPr>
          <w:b w:val="0"/>
          <w:bCs w:val="0"/>
        </w:rPr>
      </w:r>
      <w:bookmarkStart w:name="_bookmark8" w:id="138"/>
      <w:bookmarkEnd w:id="138"/>
      <w:r>
        <w:rPr>
          <w:b w:val="0"/>
          <w:bCs w:val="0"/>
        </w:rPr>
      </w:r>
      <w:r>
        <w:rPr/>
        <w:t>第十节公司治理</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0"/>
        <w:jc w:val="both"/>
        <w:rPr>
          <w:b w:val="0"/>
          <w:bCs w:val="0"/>
        </w:rPr>
      </w:pPr>
      <w:bookmarkStart w:name="一、公司治理的基本状况" w:id="139"/>
      <w:bookmarkEnd w:id="139"/>
      <w:r>
        <w:rPr>
          <w:b w:val="0"/>
          <w:bCs w:val="0"/>
        </w:rPr>
      </w:r>
      <w:r>
        <w:rPr/>
        <w:t>一、公司治理的基本状况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882" w:firstLine="360"/>
        <w:jc w:val="left"/>
      </w:pPr>
      <w:r>
        <w:rPr>
          <w:spacing w:val="-2"/>
        </w:rPr>
        <w:t>公司严格按照《公司法》、《证券法》、《深圳证券交易所创业板股票上市规则》、《深圳证券交易所创业板上市公司</w:t>
      </w:r>
      <w:r>
        <w:rPr/>
        <w:t> </w:t>
      </w:r>
      <w:r>
        <w:rPr>
          <w:spacing w:val="-4"/>
        </w:rPr>
        <w:t>规范运作指引》等相关法律、法规和规范性文件的要求，不断完善公司的法人治理结构，建立健全公司内部管理和控制制度，</w:t>
      </w:r>
      <w:r>
        <w:rPr>
          <w:spacing w:val="-43"/>
        </w:rPr>
        <w:t> </w:t>
      </w:r>
      <w:r>
        <w:rPr>
          <w:spacing w:val="-43"/>
        </w:rPr>
      </w:r>
      <w:r>
        <w:rPr>
          <w:spacing w:val="-4"/>
        </w:rPr>
        <w:t>持续深入开展公司治理活动，促进公司规范运作，提高公司治理水平。报告期内，公司股东大会、董事会、监事会依法运作，</w:t>
      </w:r>
      <w:r>
        <w:rPr>
          <w:spacing w:val="-43"/>
        </w:rPr>
        <w:t> </w:t>
      </w:r>
      <w:r>
        <w:rPr>
          <w:spacing w:val="-43"/>
        </w:rPr>
      </w:r>
      <w:r>
        <w:rPr/>
        <w:t>公司治理的实际情况符合中国证监会、深圳证券交易所等发布的法律法规和规范性文件的要求。</w:t>
      </w:r>
    </w:p>
    <w:p>
      <w:pPr>
        <w:pStyle w:val="BodyText"/>
        <w:spacing w:line="316" w:lineRule="auto" w:before="19"/>
        <w:ind w:right="1051" w:firstLine="360"/>
        <w:jc w:val="both"/>
      </w:pPr>
      <w:r>
        <w:rPr>
          <w:spacing w:val="-2"/>
        </w:rPr>
        <w:t>截止目前，公司依据监管部门和公司实际情况在治理方面制定了各项规章制度，主要有《公司章程》、《股东大会议事</w:t>
      </w:r>
      <w:r>
        <w:rPr/>
        <w:t> </w:t>
      </w:r>
      <w:r>
        <w:rPr>
          <w:spacing w:val="-2"/>
        </w:rPr>
        <w:t>规则》、《董事会议事规则》、《监事会议事规则》、《独立董事工作制度》、《战略委员会工作规则》、《审计委员会工</w:t>
      </w:r>
      <w:r>
        <w:rPr>
          <w:spacing w:val="-68"/>
        </w:rPr>
        <w:t> </w:t>
      </w:r>
      <w:r>
        <w:rPr>
          <w:spacing w:val="-68"/>
        </w:rPr>
      </w:r>
      <w:r>
        <w:rPr/>
        <w:t>作规则》、《提名委员会工作规则》、《薪酬与考核委员会工作规则》、《总经理工作细则》、《董事会秘书工作细则》、</w:t>
      </w:r>
    </w:p>
    <w:p>
      <w:pPr>
        <w:pStyle w:val="BodyText"/>
        <w:spacing w:line="316" w:lineRule="auto" w:before="19"/>
        <w:ind w:right="1132"/>
        <w:jc w:val="both"/>
      </w:pPr>
      <w:r>
        <w:rPr>
          <w:spacing w:val="-2"/>
        </w:rPr>
        <w:t>《对外投资管理制度》、《对外担保管理制度》《关联交易决策制度》、《募集资金管理制度》、《内部审计制度》、《内</w:t>
      </w:r>
      <w:r>
        <w:rPr>
          <w:spacing w:val="-67"/>
        </w:rPr>
        <w:t> </w:t>
      </w:r>
      <w:r>
        <w:rPr>
          <w:spacing w:val="-67"/>
        </w:rPr>
      </w:r>
      <w:r>
        <w:rPr>
          <w:spacing w:val="-2"/>
        </w:rPr>
        <w:t>部控制制度》等规章制度。通过一系列制度的制定，搭建了较为完善的公司法人治理结构的制度平台，从制度上明确了股东</w:t>
      </w:r>
      <w:r>
        <w:rPr>
          <w:spacing w:val="-66"/>
        </w:rPr>
        <w:t> </w:t>
      </w:r>
      <w:r>
        <w:rPr>
          <w:spacing w:val="-66"/>
        </w:rPr>
      </w:r>
      <w:r>
        <w:rPr/>
        <w:t>大会、董事会、监事会及管理层各自应履行的职责和议事规程，从而为公司的规范运作提供了制度保障。</w:t>
      </w:r>
    </w:p>
    <w:p>
      <w:pPr>
        <w:pStyle w:val="BodyText"/>
        <w:spacing w:line="316" w:lineRule="auto" w:before="19"/>
        <w:ind w:left="472" w:right="882"/>
        <w:jc w:val="left"/>
      </w:pPr>
      <w:r>
        <w:rPr/>
        <w:t>（一）关于股东和股东大会 </w:t>
      </w:r>
      <w:r>
        <w:rPr>
          <w:spacing w:val="-2"/>
        </w:rPr>
        <w:t>公司严格按照《公司法》、《上市公司股东大会规则》、《公司章程》、《股东大会议事规则》等相关法律、法规和规</w:t>
      </w:r>
    </w:p>
    <w:p>
      <w:pPr>
        <w:pStyle w:val="BodyText"/>
        <w:spacing w:line="316" w:lineRule="auto" w:before="19"/>
        <w:ind w:right="1132"/>
        <w:jc w:val="both"/>
      </w:pPr>
      <w:r>
        <w:rPr>
          <w:spacing w:val="-2"/>
        </w:rPr>
        <w:t>范性文件的要求召开股东大会，规范股东大会的召集、召开及表决程序。报告期内，公司召开的股东大会均有公司董事会召</w:t>
      </w:r>
      <w:r>
        <w:rPr>
          <w:spacing w:val="-66"/>
        </w:rPr>
        <w:t> </w:t>
      </w:r>
      <w:r>
        <w:rPr>
          <w:spacing w:val="-66"/>
        </w:rPr>
      </w:r>
      <w:r>
        <w:rPr>
          <w:spacing w:val="-2"/>
        </w:rPr>
        <w:t>集召开，董事长主持，公司聘请的法律顾问对股东大会现场会议进行了见证并出具了法律意见书。在股东大会上能够保证各</w:t>
      </w:r>
      <w:r>
        <w:rPr>
          <w:spacing w:val="-65"/>
        </w:rPr>
        <w:t> </w:t>
      </w:r>
      <w:r>
        <w:rPr>
          <w:spacing w:val="-65"/>
        </w:rPr>
      </w:r>
      <w:r>
        <w:rPr/>
        <w:t>位股东有充分的发言权，确保全体股东特别是中小股东享有平等地位，充分行使自己的权利。</w:t>
      </w:r>
    </w:p>
    <w:p>
      <w:pPr>
        <w:pStyle w:val="BodyText"/>
        <w:spacing w:line="312" w:lineRule="auto" w:before="19"/>
        <w:ind w:right="1132" w:firstLine="360"/>
        <w:jc w:val="both"/>
      </w:pPr>
      <w:r>
        <w:rPr>
          <w:spacing w:val="-2"/>
        </w:rPr>
        <w:t>报告期内，本公司召开的股东大会不存在违反《上市公司股东大会规则》的情形，公司未发生独立或合计持有本公司有</w:t>
      </w:r>
      <w:r>
        <w:rPr/>
        <w:t> </w:t>
      </w:r>
      <w:r>
        <w:rPr>
          <w:spacing w:val="-5"/>
        </w:rPr>
        <w:t>表决权股份总额</w:t>
      </w:r>
      <w:r>
        <w:rPr>
          <w:rFonts w:ascii="Times New Roman" w:hAnsi="Times New Roman" w:cs="Times New Roman" w:eastAsia="Times New Roman" w:hint="default"/>
          <w:spacing w:val="-5"/>
        </w:rPr>
        <w:t>10%</w:t>
      </w:r>
      <w:r>
        <w:rPr>
          <w:spacing w:val="-5"/>
        </w:rPr>
        <w:t>以上的股东请求召开临时股东大会的情形，也不存在监事会提议召开的股东大会。按照《公司法》、《公</w:t>
      </w:r>
      <w:r>
        <w:rPr>
          <w:spacing w:val="-44"/>
        </w:rPr>
        <w:t> </w:t>
      </w:r>
      <w:r>
        <w:rPr>
          <w:spacing w:val="-44"/>
        </w:rPr>
      </w:r>
      <w:r>
        <w:rPr>
          <w:spacing w:val="-2"/>
        </w:rPr>
        <w:t>司章程》的规定应由股东大会审议的重大事项，本公司均通过股东大会审议，不存在绕过股东大会的情况，也不存在先实施</w:t>
      </w:r>
      <w:r>
        <w:rPr>
          <w:spacing w:val="-66"/>
        </w:rPr>
        <w:t> </w:t>
      </w:r>
      <w:r>
        <w:rPr>
          <w:spacing w:val="-66"/>
        </w:rPr>
      </w:r>
      <w:r>
        <w:rPr/>
        <w:t>后审议的情况。</w:t>
      </w:r>
    </w:p>
    <w:p>
      <w:pPr>
        <w:pStyle w:val="BodyText"/>
        <w:spacing w:line="316" w:lineRule="auto" w:before="22"/>
        <w:ind w:left="472" w:right="882"/>
        <w:jc w:val="left"/>
      </w:pPr>
      <w:r>
        <w:rPr/>
        <w:t>（二）关于公司与控股股东 </w:t>
      </w:r>
      <w:r>
        <w:rPr>
          <w:spacing w:val="-2"/>
        </w:rPr>
        <w:t>公司控股股东、实际控制人葛航先生严格按照《上市公司治理准则》、《深圳证券交易所创业板上市规则》、《深证证</w:t>
      </w:r>
    </w:p>
    <w:p>
      <w:pPr>
        <w:pStyle w:val="BodyText"/>
        <w:spacing w:line="316" w:lineRule="auto" w:before="19"/>
        <w:ind w:right="1132"/>
        <w:jc w:val="both"/>
      </w:pPr>
      <w:r>
        <w:rPr>
          <w:spacing w:val="-2"/>
        </w:rPr>
        <w:t>券交易所创业板规范运作指引》、《公司章程》等的规定和要求，不存在超越公司股东大会直接或间接干预公司的决策和经</w:t>
      </w:r>
      <w:r>
        <w:rPr>
          <w:spacing w:val="-65"/>
        </w:rPr>
        <w:t> </w:t>
      </w:r>
      <w:r>
        <w:rPr>
          <w:spacing w:val="-65"/>
        </w:rPr>
      </w:r>
      <w:r>
        <w:rPr>
          <w:spacing w:val="-2"/>
        </w:rPr>
        <w:t>营活动的行为，未损害公司及其他股东的利益，不存在控股股东占用公司资金的现象，公司不存在为控股股东提供担保的情</w:t>
      </w:r>
      <w:r>
        <w:rPr>
          <w:spacing w:val="-65"/>
        </w:rPr>
        <w:t> </w:t>
      </w:r>
      <w:r>
        <w:rPr>
          <w:spacing w:val="-65"/>
        </w:rPr>
      </w:r>
      <w:r>
        <w:rPr/>
        <w:t>况。</w:t>
      </w:r>
    </w:p>
    <w:p>
      <w:pPr>
        <w:pStyle w:val="BodyText"/>
        <w:spacing w:line="316" w:lineRule="auto" w:before="19"/>
        <w:ind w:left="472" w:right="882"/>
        <w:jc w:val="left"/>
      </w:pPr>
      <w:r>
        <w:rPr/>
        <w:t>（三）关于董事和董事会 </w:t>
      </w:r>
      <w:r>
        <w:rPr>
          <w:spacing w:val="-2"/>
        </w:rPr>
        <w:t>董事会的人数及人员构成符合法律、法规和《公司章程》的规定。各位董事能够依照《董事会议事规则》、《独立董事</w:t>
      </w:r>
    </w:p>
    <w:p>
      <w:pPr>
        <w:pStyle w:val="BodyText"/>
        <w:spacing w:line="316" w:lineRule="auto" w:before="19"/>
        <w:ind w:right="1132"/>
        <w:jc w:val="both"/>
      </w:pPr>
      <w:r>
        <w:rPr>
          <w:spacing w:val="-2"/>
        </w:rPr>
        <w:t>工作制度》、《深圳证券交易所创业板上市公司规范运作指引》等相关规定开展工作，出席董事会、董事会专门委员会和股</w:t>
      </w:r>
      <w:r>
        <w:rPr>
          <w:spacing w:val="-65"/>
        </w:rPr>
        <w:t> </w:t>
      </w:r>
      <w:r>
        <w:rPr>
          <w:spacing w:val="-65"/>
        </w:rPr>
      </w:r>
      <w:r>
        <w:rPr>
          <w:spacing w:val="-2"/>
        </w:rPr>
        <w:t>东大会，勤勉尽责地履行职责和义务，同时各位董事均积极参加相关培训，熟悉相关法律法规，切实提高了履行董事职责的</w:t>
      </w:r>
      <w:r>
        <w:rPr>
          <w:spacing w:val="-66"/>
        </w:rPr>
        <w:t> </w:t>
      </w:r>
      <w:r>
        <w:rPr>
          <w:spacing w:val="-66"/>
        </w:rPr>
      </w:r>
      <w:r>
        <w:rPr/>
        <w:t>能力。</w:t>
      </w:r>
    </w:p>
    <w:p>
      <w:pPr>
        <w:pStyle w:val="BodyText"/>
        <w:spacing w:line="316" w:lineRule="auto" w:before="19"/>
        <w:ind w:right="1132" w:firstLine="360"/>
        <w:jc w:val="both"/>
      </w:pPr>
      <w:r>
        <w:rPr>
          <w:spacing w:val="-2"/>
        </w:rPr>
        <w:t>公司按照《深圳证券交易所创业板上市公司规范运作指引》的规定，下设有审计委员会、战略委员会、薪酬与考核委员</w:t>
      </w:r>
      <w:r>
        <w:rPr/>
        <w:t> </w:t>
      </w:r>
      <w:r>
        <w:rPr>
          <w:spacing w:val="-2"/>
        </w:rPr>
        <w:t>会和提名委员会四个专门委员会。专门委员会成员全部由董事组成，除战略委员会由董事长担任召集人以外，其他专门委员</w:t>
      </w:r>
      <w:r>
        <w:rPr>
          <w:spacing w:val="-65"/>
        </w:rPr>
        <w:t> </w:t>
      </w:r>
      <w:r>
        <w:rPr>
          <w:spacing w:val="-65"/>
        </w:rPr>
      </w:r>
      <w:r>
        <w:rPr>
          <w:spacing w:val="-2"/>
        </w:rPr>
        <w:t>会均有独立董事担任召集人，为董事会的决策提供了科学和专业的意见。各委员会依据《公司章程》和董事会专门委员会工</w:t>
      </w:r>
      <w:r>
        <w:rPr>
          <w:spacing w:val="-66"/>
        </w:rPr>
        <w:t> </w:t>
      </w:r>
      <w:r>
        <w:rPr>
          <w:spacing w:val="-66"/>
        </w:rPr>
      </w:r>
      <w:r>
        <w:rPr/>
        <w:t>作规则的规定履行职责，不受公司任何其他部门和个人干预。</w:t>
      </w:r>
    </w:p>
    <w:p>
      <w:pPr>
        <w:pStyle w:val="BodyText"/>
        <w:spacing w:line="316" w:lineRule="auto" w:before="19"/>
        <w:ind w:left="472" w:right="1119"/>
        <w:jc w:val="left"/>
      </w:pPr>
      <w:r>
        <w:rPr/>
        <w:t>（四）关于监事与监事会 </w:t>
      </w:r>
      <w:r>
        <w:rPr>
          <w:spacing w:val="-5"/>
        </w:rPr>
        <w:t>公司监事会设监事三名，其中职工监事一名，监事会的人数和人员构成符合相关规定。报告期内所有监事均能够按照《公</w:t>
      </w:r>
    </w:p>
    <w:p>
      <w:pPr>
        <w:pStyle w:val="BodyText"/>
        <w:spacing w:line="316" w:lineRule="auto" w:before="19"/>
        <w:ind w:right="1132"/>
        <w:jc w:val="both"/>
      </w:pPr>
      <w:r>
        <w:rPr>
          <w:spacing w:val="-2"/>
        </w:rPr>
        <w:t>司章程》、《监事会议事规则》以及相关法律、法规和规范性文件的要求，认真履行自己的职责，对公司重大事项、财务状</w:t>
      </w:r>
      <w:r>
        <w:rPr>
          <w:spacing w:val="-66"/>
        </w:rPr>
        <w:t> </w:t>
      </w:r>
      <w:r>
        <w:rPr>
          <w:spacing w:val="-66"/>
        </w:rPr>
      </w:r>
      <w:r>
        <w:rPr>
          <w:spacing w:val="-2"/>
        </w:rPr>
        <w:t>况以及董事、高级管理人员履行职责的合法合规性进行监督。同时，公司监事积极参加相关培训，通过进一步的学习，熟悉</w:t>
      </w:r>
      <w:r>
        <w:rPr>
          <w:spacing w:val="-65"/>
        </w:rPr>
        <w:t> </w:t>
      </w:r>
      <w:r>
        <w:rPr>
          <w:spacing w:val="-65"/>
        </w:rPr>
      </w:r>
      <w:r>
        <w:rPr/>
        <w:t>有关法律法规，切实提高了履行监事职责的能力。</w:t>
      </w:r>
    </w:p>
    <w:p>
      <w:pPr>
        <w:spacing w:after="0" w:line="316"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38" w:lineRule="auto" w:before="44"/>
        <w:ind w:right="882" w:firstLine="360"/>
        <w:jc w:val="left"/>
      </w:pPr>
      <w:r>
        <w:rPr/>
        <w:t>（五）关于信息披露与透明度 </w:t>
      </w:r>
      <w:r>
        <w:rPr>
          <w:spacing w:val="-2"/>
        </w:rPr>
        <w:t>公司高度重视信息披露与投资者关系管理工作，严格按照《上市公司信息披露管理办法》、深圳证券交易所创业板上市公司</w:t>
      </w:r>
      <w:r>
        <w:rPr>
          <w:spacing w:val="-65"/>
        </w:rPr>
        <w:t> </w:t>
      </w:r>
      <w:r>
        <w:rPr>
          <w:spacing w:val="-65"/>
        </w:rPr>
      </w:r>
      <w:r>
        <w:rPr>
          <w:spacing w:val="-4"/>
        </w:rPr>
        <w:t>的信息披露格式指引等规定以及公司制定的《信息披露制度》等操作性文件的要求，真实准确、完整及时的披露信息。同时，</w:t>
      </w:r>
    </w:p>
    <w:p>
      <w:pPr>
        <w:pStyle w:val="BodyText"/>
        <w:spacing w:line="316" w:lineRule="auto" w:before="2"/>
        <w:ind w:right="1130"/>
        <w:jc w:val="both"/>
      </w:pPr>
      <w:r>
        <w:rPr>
          <w:spacing w:val="-2"/>
        </w:rPr>
        <w:t>明确董事长为公司信息披露第一责任人，董事会秘书为信息披露负责人，证券部负责信息披露的日常事务。公司指定《证券</w:t>
      </w:r>
      <w:r>
        <w:rPr>
          <w:spacing w:val="-64"/>
        </w:rPr>
        <w:t> </w:t>
      </w:r>
      <w:r>
        <w:rPr>
          <w:spacing w:val="-64"/>
        </w:rPr>
      </w:r>
      <w:r>
        <w:rPr>
          <w:spacing w:val="-2"/>
        </w:rPr>
        <w:t>时报》、《证券日报》、《中国证券报》、《上海证券报》为公司信息披露报纸，巨潮资讯网为公司信息披露网站。公司上</w:t>
      </w:r>
      <w:r>
        <w:rPr>
          <w:spacing w:val="-66"/>
        </w:rPr>
        <w:t> </w:t>
      </w:r>
      <w:r>
        <w:rPr>
          <w:spacing w:val="-66"/>
        </w:rPr>
      </w:r>
      <w:r>
        <w:rPr>
          <w:spacing w:val="-2"/>
        </w:rPr>
        <w:t>市以来，不断尝试更加有效的方式开展投资者关系管理工作，设立了互动易、投资者关系管理微信公众号、电话专线、专用</w:t>
      </w:r>
      <w:r>
        <w:rPr>
          <w:spacing w:val="-65"/>
        </w:rPr>
        <w:t> </w:t>
      </w:r>
      <w:r>
        <w:rPr>
          <w:spacing w:val="-65"/>
        </w:rPr>
      </w:r>
      <w:r>
        <w:rPr/>
        <w:t>邮箱等多种渠道与投资者进行沟通和交流。</w:t>
      </w:r>
    </w:p>
    <w:p>
      <w:pPr>
        <w:pStyle w:val="BodyText"/>
        <w:spacing w:line="316" w:lineRule="auto" w:before="59"/>
        <w:ind w:left="472" w:right="882" w:hanging="89"/>
        <w:jc w:val="left"/>
      </w:pPr>
      <w:r>
        <w:rPr/>
        <w:t>（六）关于相关利益者 </w:t>
      </w:r>
      <w:r>
        <w:rPr>
          <w:spacing w:val="-4"/>
        </w:rPr>
        <w:t>公司充分尊重和维护相关利益者的合法权益，重视公司的社会责任，积极与相关利益者合作，加强与各方的沟通和交流，</w:t>
      </w:r>
    </w:p>
    <w:p>
      <w:pPr>
        <w:pStyle w:val="BodyText"/>
        <w:spacing w:line="360" w:lineRule="auto" w:before="19"/>
        <w:ind w:right="3554"/>
        <w:jc w:val="left"/>
      </w:pPr>
      <w:r>
        <w:rPr/>
        <w:t>实现股东、员工、社会等各方利益的协调平衡，共同推动公司持续、健康的发展。 公司治理的实际状况与中国证监会发布的有关上市公司治理的规范性文件是否存在重大差异</w:t>
      </w:r>
    </w:p>
    <w:p>
      <w:pPr>
        <w:pStyle w:val="BodyText"/>
        <w:spacing w:line="360" w:lineRule="auto" w:before="25"/>
        <w:ind w:right="3554"/>
        <w:jc w:val="left"/>
      </w:pPr>
      <w:r>
        <w:rPr/>
        <w:t>□ 是 √ 否 公司治理的实际状况与中国证监会发布的有关上市公司治理的规范性文件不存在重大差异。</w:t>
      </w:r>
    </w:p>
    <w:p>
      <w:pPr>
        <w:spacing w:line="240" w:lineRule="auto" w:before="2"/>
        <w:rPr>
          <w:rFonts w:ascii="宋体" w:hAnsi="宋体" w:cs="宋体" w:eastAsia="宋体" w:hint="default"/>
          <w:sz w:val="18"/>
          <w:szCs w:val="18"/>
        </w:rPr>
      </w:pPr>
    </w:p>
    <w:p>
      <w:pPr>
        <w:pStyle w:val="Heading2"/>
        <w:spacing w:line="240" w:lineRule="auto"/>
        <w:ind w:right="0"/>
        <w:jc w:val="both"/>
        <w:rPr>
          <w:b w:val="0"/>
          <w:bCs w:val="0"/>
        </w:rPr>
      </w:pPr>
      <w:bookmarkStart w:name="二、公司相对于控股股东在业务、人员、资产、机构、财务等方面的独立情况" w:id="140"/>
      <w:bookmarkEnd w:id="140"/>
      <w:r>
        <w:rPr>
          <w:b w:val="0"/>
          <w:bCs w:val="0"/>
        </w:rPr>
      </w:r>
      <w:r>
        <w:rPr/>
        <w:t>二、公司相对于控股股东在业务、人员、资产、机构、财务等方面的独立情况</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left="472" w:right="1154"/>
        <w:jc w:val="left"/>
      </w:pPr>
      <w:r>
        <w:rPr>
          <w:rFonts w:ascii="Times New Roman" w:hAnsi="Times New Roman" w:cs="Times New Roman" w:eastAsia="Times New Roman" w:hint="default"/>
        </w:rPr>
        <w:t>1</w:t>
      </w:r>
      <w:r>
        <w:rPr/>
        <w:t>、业务独立情况 公司拥有独立完整的业务体系和面向市场的独立经营能力。公司实际控制人及持有公司</w:t>
      </w:r>
      <w:r>
        <w:rPr>
          <w:rFonts w:ascii="Times New Roman" w:hAnsi="Times New Roman" w:cs="Times New Roman" w:eastAsia="Times New Roman" w:hint="default"/>
        </w:rPr>
        <w:t>5%</w:t>
      </w:r>
      <w:r>
        <w:rPr/>
        <w:t>以上股份的股东已向本公司</w:t>
      </w:r>
    </w:p>
    <w:p>
      <w:pPr>
        <w:pStyle w:val="BodyText"/>
        <w:spacing w:line="316" w:lineRule="auto" w:before="13"/>
        <w:ind w:right="1051"/>
        <w:jc w:val="both"/>
      </w:pPr>
      <w:r>
        <w:rPr>
          <w:spacing w:val="-2"/>
        </w:rPr>
        <w:t>出具了《关于避免同业竞争的承诺函》，承诺不从事与本公司形成竞争关系的相关业务。公司严格按照《公司法》、《证券</w:t>
      </w:r>
      <w:r>
        <w:rPr>
          <w:spacing w:val="-66"/>
        </w:rPr>
        <w:t> </w:t>
      </w:r>
      <w:r>
        <w:rPr>
          <w:spacing w:val="-66"/>
        </w:rPr>
      </w:r>
      <w:r>
        <w:rPr>
          <w:spacing w:val="-2"/>
        </w:rPr>
        <w:t>法》等有关法律、法规和《公司章程》的要求规范运作，建立健全了公司法人治理结构，在业务、资产、人员、机构、财务</w:t>
      </w:r>
      <w:r>
        <w:rPr>
          <w:spacing w:val="-70"/>
        </w:rPr>
        <w:t> </w:t>
      </w:r>
      <w:r>
        <w:rPr>
          <w:spacing w:val="-70"/>
        </w:rPr>
      </w:r>
      <w:r>
        <w:rPr/>
        <w:t>等方面均独立于实际控制人及其控制的其他企业，公司具有独立、完整的资产和业务体系，具备面向市场独立经营的能力。</w:t>
      </w:r>
    </w:p>
    <w:p>
      <w:pPr>
        <w:pStyle w:val="BodyText"/>
        <w:spacing w:line="312" w:lineRule="auto" w:before="19"/>
        <w:ind w:right="882" w:firstLine="360"/>
        <w:jc w:val="left"/>
      </w:pPr>
      <w:r>
        <w:rPr>
          <w:rFonts w:ascii="Times New Roman" w:hAnsi="Times New Roman" w:cs="Times New Roman" w:eastAsia="Times New Roman" w:hint="default"/>
        </w:rPr>
        <w:t>2</w:t>
      </w:r>
      <w:r>
        <w:rPr/>
        <w:t>、人员独立情况 </w:t>
      </w:r>
      <w:r>
        <w:rPr>
          <w:spacing w:val="-4"/>
        </w:rPr>
        <w:t>公司董事、监事及高级管理人员严格按照《公司法》、《公司章程》的有关规定产生；公司总经理、副总经理、财务负责人、</w:t>
      </w:r>
      <w:r>
        <w:rPr>
          <w:spacing w:val="-48"/>
        </w:rPr>
        <w:t> </w:t>
      </w:r>
      <w:r>
        <w:rPr>
          <w:spacing w:val="-48"/>
        </w:rPr>
      </w:r>
      <w:r>
        <w:rPr>
          <w:spacing w:val="-2"/>
        </w:rPr>
        <w:t>董事会秘书等高级管理人员均专职在公司工作并领取薪酬；公司的人事及工资管理完全独立，在地方社保部门办理了独立的</w:t>
      </w:r>
      <w:r>
        <w:rPr>
          <w:spacing w:val="-64"/>
        </w:rPr>
        <w:t> </w:t>
      </w:r>
      <w:r>
        <w:rPr>
          <w:spacing w:val="-64"/>
        </w:rPr>
      </w:r>
      <w:r>
        <w:rPr/>
        <w:t>社保登记，并根据《劳动法》和公司劳动管理制度等有关规定与公司员工签订劳动合同。</w:t>
      </w:r>
    </w:p>
    <w:p>
      <w:pPr>
        <w:pStyle w:val="BodyText"/>
        <w:spacing w:line="300" w:lineRule="auto" w:before="22"/>
        <w:ind w:left="472" w:right="882"/>
        <w:jc w:val="left"/>
      </w:pPr>
      <w:r>
        <w:rPr>
          <w:rFonts w:ascii="Times New Roman" w:hAnsi="Times New Roman" w:cs="Times New Roman" w:eastAsia="Times New Roman" w:hint="default"/>
        </w:rPr>
        <w:t>3</w:t>
      </w:r>
      <w:r>
        <w:rPr/>
        <w:t>、资产完整情况 </w:t>
      </w:r>
      <w:r>
        <w:rPr>
          <w:spacing w:val="-2"/>
        </w:rPr>
        <w:t>公司合法拥有与生产经营有关的资产，拥有独立完整的生产系统、辅助生产系统和配套设施，具有独立的原料采购和产</w:t>
      </w:r>
    </w:p>
    <w:p>
      <w:pPr>
        <w:pStyle w:val="BodyText"/>
        <w:spacing w:line="316" w:lineRule="auto" w:before="31"/>
        <w:ind w:right="1132"/>
        <w:jc w:val="both"/>
      </w:pPr>
      <w:r>
        <w:rPr>
          <w:spacing w:val="-2"/>
        </w:rPr>
        <w:t>品销售系统。公司拥有与经营有关的研发、生产、销售和技术服务体系及房屋所有权、土地使用权、商标、专利权及专利申</w:t>
      </w:r>
      <w:r>
        <w:rPr>
          <w:spacing w:val="-66"/>
        </w:rPr>
        <w:t> </w:t>
      </w:r>
      <w:r>
        <w:rPr>
          <w:spacing w:val="-66"/>
        </w:rPr>
      </w:r>
      <w:r>
        <w:rPr>
          <w:spacing w:val="-2"/>
        </w:rPr>
        <w:t>请权、车辆、办公设施等相关资产，上述资产不存在与他人共有的情形。报告期内，公司不存在以其资产、权益或信用为关</w:t>
      </w:r>
      <w:r>
        <w:rPr>
          <w:spacing w:val="-66"/>
        </w:rPr>
        <w:t> </w:t>
      </w:r>
      <w:r>
        <w:rPr>
          <w:spacing w:val="-66"/>
        </w:rPr>
      </w:r>
      <w:r>
        <w:rPr>
          <w:spacing w:val="-2"/>
        </w:rPr>
        <w:t>联方提供担保的情形，也不存在公司的资产或资源被公司股东、实际控制人及其控制的其他企业使用或占用的情形，公司对</w:t>
      </w:r>
      <w:r>
        <w:rPr>
          <w:spacing w:val="-65"/>
        </w:rPr>
        <w:t> </w:t>
      </w:r>
      <w:r>
        <w:rPr>
          <w:spacing w:val="-65"/>
        </w:rPr>
      </w:r>
      <w:r>
        <w:rPr/>
        <w:t>所有资产均拥有完整的控制和支配权。</w:t>
      </w:r>
    </w:p>
    <w:p>
      <w:pPr>
        <w:pStyle w:val="BodyText"/>
        <w:spacing w:line="300" w:lineRule="auto" w:before="19"/>
        <w:ind w:left="472" w:right="882"/>
        <w:jc w:val="left"/>
      </w:pPr>
      <w:r>
        <w:rPr>
          <w:rFonts w:ascii="Times New Roman" w:hAnsi="Times New Roman" w:cs="Times New Roman" w:eastAsia="Times New Roman" w:hint="default"/>
        </w:rPr>
        <w:t>4</w:t>
      </w:r>
      <w:r>
        <w:rPr/>
        <w:t>、机构独立情况 </w:t>
      </w:r>
      <w:r>
        <w:rPr>
          <w:spacing w:val="-2"/>
        </w:rPr>
        <w:t>公司按《公司法》与《公司章程》的要求建立健全了股东大会、董事会、监事会和经营管理层的组织结构体系，独立行</w:t>
      </w:r>
    </w:p>
    <w:p>
      <w:pPr>
        <w:pStyle w:val="BodyText"/>
        <w:spacing w:line="240" w:lineRule="auto" w:before="31"/>
        <w:ind w:right="0"/>
        <w:jc w:val="both"/>
      </w:pPr>
      <w:r>
        <w:rPr/>
        <w:t>使经营管理职权。公司设有职能部门和分支机构，不存在与实际控制人及其控制的其他企业间机构混同的情形。</w:t>
      </w:r>
    </w:p>
    <w:p>
      <w:pPr>
        <w:pStyle w:val="BodyText"/>
        <w:spacing w:line="326" w:lineRule="auto" w:before="76"/>
        <w:ind w:right="882" w:firstLine="360"/>
        <w:jc w:val="left"/>
      </w:pPr>
      <w:r>
        <w:rPr>
          <w:rFonts w:ascii="Times New Roman" w:hAnsi="Times New Roman" w:cs="Times New Roman" w:eastAsia="Times New Roman" w:hint="default"/>
        </w:rPr>
        <w:t>5</w:t>
      </w:r>
      <w:r>
        <w:rPr/>
        <w:t>、财务独立情况 </w:t>
      </w:r>
      <w:r>
        <w:rPr>
          <w:spacing w:val="-2"/>
        </w:rPr>
        <w:t>公司设有独立的财务部门，建立了独立的会计核算体系、规范的财务管理制度和对子公司、分支机构的财务管理制度，能够</w:t>
      </w:r>
      <w:r>
        <w:rPr>
          <w:spacing w:val="-64"/>
        </w:rPr>
        <w:t> </w:t>
      </w:r>
      <w:r>
        <w:rPr>
          <w:spacing w:val="-64"/>
        </w:rPr>
      </w:r>
      <w:r>
        <w:rPr>
          <w:spacing w:val="-2"/>
        </w:rPr>
        <w:t>独立进行财务决策；财务负责人和财务人员均专职在本公司工作；在银行独立开立账户，并依法独立进行纳税申报和履行纳</w:t>
      </w:r>
      <w:r>
        <w:rPr>
          <w:spacing w:val="-63"/>
        </w:rPr>
        <w:t> </w:t>
      </w:r>
      <w:r>
        <w:rPr>
          <w:spacing w:val="-63"/>
        </w:rPr>
      </w:r>
      <w:r>
        <w:rPr/>
        <w:t>税义务；独立对外签订合同，不存在与股东共用银行账户或混合纳税现象。</w:t>
      </w:r>
    </w:p>
    <w:p>
      <w:pPr>
        <w:spacing w:line="240" w:lineRule="auto" w:before="1"/>
        <w:rPr>
          <w:rFonts w:ascii="宋体" w:hAnsi="宋体" w:cs="宋体" w:eastAsia="宋体" w:hint="default"/>
          <w:sz w:val="20"/>
          <w:szCs w:val="20"/>
        </w:rPr>
      </w:pPr>
    </w:p>
    <w:p>
      <w:pPr>
        <w:pStyle w:val="Heading2"/>
        <w:spacing w:line="240" w:lineRule="auto"/>
        <w:ind w:right="0"/>
        <w:jc w:val="both"/>
        <w:rPr>
          <w:b w:val="0"/>
          <w:bCs w:val="0"/>
        </w:rPr>
      </w:pPr>
      <w:bookmarkStart w:name="三、同业竞争情况" w:id="141"/>
      <w:bookmarkEnd w:id="141"/>
      <w:r>
        <w:rPr>
          <w:b w:val="0"/>
          <w:bCs w:val="0"/>
        </w:rPr>
      </w:r>
      <w:r>
        <w:rPr/>
        <w:t>三、同业竞争情况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 适用 √ 不适用</w:t>
      </w:r>
    </w:p>
    <w:p>
      <w:pPr>
        <w:spacing w:after="0" w:line="240" w:lineRule="auto"/>
        <w:jc w:val="both"/>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right="882"/>
        <w:jc w:val="left"/>
        <w:rPr>
          <w:b w:val="0"/>
          <w:bCs w:val="0"/>
        </w:rPr>
      </w:pPr>
      <w:bookmarkStart w:name="四、报告期内召开的年度股东大会和临时股东大会的有关情况" w:id="142"/>
      <w:bookmarkEnd w:id="142"/>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本报告期股东大会情况" w:id="143"/>
      <w:bookmarkEnd w:id="143"/>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437"/>
        <w:gridCol w:w="1305"/>
        <w:gridCol w:w="1110"/>
        <w:gridCol w:w="1170"/>
        <w:gridCol w:w="1350"/>
        <w:gridCol w:w="3194"/>
      </w:tblGrid>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53"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11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80" w:right="188" w:hanging="92"/>
              <w:jc w:val="left"/>
              <w:rPr>
                <w:rFonts w:ascii="宋体" w:hAnsi="宋体" w:cs="宋体" w:eastAsia="宋体" w:hint="default"/>
                <w:sz w:val="18"/>
                <w:szCs w:val="18"/>
              </w:rPr>
            </w:pPr>
            <w:r>
              <w:rPr>
                <w:rFonts w:ascii="宋体" w:hAnsi="宋体" w:cs="宋体" w:eastAsia="宋体" w:hint="default"/>
                <w:sz w:val="18"/>
                <w:szCs w:val="18"/>
              </w:rPr>
              <w:t>投资者参 与比例</w:t>
            </w:r>
          </w:p>
        </w:tc>
        <w:tc>
          <w:tcPr>
            <w:tcW w:w="11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19"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3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00" w:lineRule="auto"/>
              <w:ind w:left="101" w:right="19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 临时股东大会</w:t>
            </w:r>
          </w:p>
        </w:tc>
        <w:tc>
          <w:tcPr>
            <w:tcW w:w="1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8"/>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69"/>
              <w:jc w:val="right"/>
              <w:rPr>
                <w:rFonts w:ascii="Times New Roman" w:hAnsi="Times New Roman" w:cs="Times New Roman" w:eastAsia="Times New Roman" w:hint="default"/>
                <w:sz w:val="18"/>
                <w:szCs w:val="18"/>
              </w:rPr>
            </w:pPr>
            <w:r>
              <w:rPr>
                <w:rFonts w:ascii="Times New Roman"/>
                <w:spacing w:val="-1"/>
                <w:sz w:val="18"/>
              </w:rPr>
              <w:t>49.65%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1" w:right="100"/>
              <w:jc w:val="both"/>
              <w:rPr>
                <w:rFonts w:ascii="宋体" w:hAnsi="宋体" w:cs="宋体" w:eastAsia="宋体" w:hint="default"/>
                <w:sz w:val="18"/>
                <w:szCs w:val="18"/>
              </w:rPr>
            </w:pPr>
            <w:r>
              <w:rPr>
                <w:rFonts w:ascii="宋体" w:hAnsi="宋体" w:cs="宋体" w:eastAsia="宋体" w:hint="default"/>
                <w:spacing w:val="-6"/>
                <w:sz w:val="18"/>
                <w:szCs w:val="18"/>
              </w:rPr>
              <w:t>巨潮资讯网（</w:t>
            </w:r>
            <w:hyperlink r:id="rId14">
              <w:r>
                <w:rPr>
                  <w:rFonts w:ascii="Times New Roman" w:hAnsi="Times New Roman" w:cs="Times New Roman" w:eastAsia="Times New Roman" w:hint="default"/>
                  <w:spacing w:val="-6"/>
                  <w:sz w:val="18"/>
                  <w:szCs w:val="18"/>
                </w:rPr>
                <w:t>www.cninfo.com.cn</w:t>
              </w:r>
            </w:hyperlink>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,2019</w:t>
            </w:r>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宋体" w:hAnsi="宋体" w:cs="宋体" w:eastAsia="宋体" w:hint="default"/>
                <w:spacing w:val="-5"/>
                <w:sz w:val="18"/>
                <w:szCs w:val="18"/>
              </w:rPr>
              <w:t>年第一次临时股东大会决议公告，公告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编号：</w:t>
            </w:r>
            <w:r>
              <w:rPr>
                <w:rFonts w:ascii="Times New Roman" w:hAnsi="Times New Roman" w:cs="Times New Roman" w:eastAsia="Times New Roman" w:hint="default"/>
                <w:sz w:val="18"/>
                <w:szCs w:val="18"/>
              </w:rPr>
              <w:t>2019-005</w:t>
            </w:r>
            <w:r>
              <w:rPr>
                <w:rFonts w:ascii="宋体" w:hAnsi="宋体" w:cs="宋体" w:eastAsia="宋体" w:hint="default"/>
                <w:sz w:val="18"/>
                <w:szCs w:val="18"/>
              </w:rPr>
              <w:t>。</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0" w:lineRule="auto"/>
              <w:ind w:left="101" w:right="197"/>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 东大会</w:t>
            </w:r>
          </w:p>
        </w:tc>
        <w:tc>
          <w:tcPr>
            <w:tcW w:w="1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8"/>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69"/>
              <w:jc w:val="right"/>
              <w:rPr>
                <w:rFonts w:ascii="Times New Roman" w:hAnsi="Times New Roman" w:cs="Times New Roman" w:eastAsia="Times New Roman" w:hint="default"/>
                <w:sz w:val="18"/>
                <w:szCs w:val="18"/>
              </w:rPr>
            </w:pPr>
            <w:r>
              <w:rPr>
                <w:rFonts w:ascii="Times New Roman"/>
                <w:spacing w:val="-1"/>
                <w:sz w:val="18"/>
              </w:rPr>
              <w:t>48.69%</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1" w:right="20"/>
              <w:jc w:val="left"/>
              <w:rPr>
                <w:rFonts w:ascii="宋体" w:hAnsi="宋体" w:cs="宋体" w:eastAsia="宋体" w:hint="default"/>
                <w:sz w:val="18"/>
                <w:szCs w:val="18"/>
              </w:rPr>
            </w:pPr>
            <w:r>
              <w:rPr>
                <w:rFonts w:ascii="宋体" w:hAnsi="宋体" w:cs="宋体" w:eastAsia="宋体" w:hint="default"/>
                <w:spacing w:val="-6"/>
                <w:sz w:val="18"/>
                <w:szCs w:val="18"/>
              </w:rPr>
              <w:t>巨潮资讯网（</w:t>
            </w:r>
            <w:hyperlink r:id="rId14">
              <w:r>
                <w:rPr>
                  <w:rFonts w:ascii="Times New Roman" w:hAnsi="Times New Roman" w:cs="Times New Roman" w:eastAsia="Times New Roman" w:hint="default"/>
                  <w:spacing w:val="-6"/>
                  <w:sz w:val="18"/>
                  <w:szCs w:val="18"/>
                </w:rPr>
                <w:t>www.cninfo.com.cn</w:t>
              </w:r>
            </w:hyperlink>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,2018</w:t>
            </w:r>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宋体" w:hAnsi="宋体" w:cs="宋体" w:eastAsia="宋体" w:hint="default"/>
                <w:sz w:val="18"/>
                <w:szCs w:val="18"/>
              </w:rPr>
              <w:t>年年度股东大会决议公告，公告编号： </w:t>
            </w:r>
            <w:r>
              <w:rPr>
                <w:rFonts w:ascii="Times New Roman" w:hAnsi="Times New Roman" w:cs="Times New Roman" w:eastAsia="Times New Roman" w:hint="default"/>
                <w:sz w:val="18"/>
                <w:szCs w:val="18"/>
              </w:rPr>
              <w:t>2019-049</w:t>
            </w:r>
            <w:r>
              <w:rPr>
                <w:rFonts w:ascii="宋体" w:hAnsi="宋体" w:cs="宋体" w:eastAsia="宋体" w:hint="default"/>
                <w:sz w:val="18"/>
                <w:szCs w:val="18"/>
              </w:rPr>
              <w:t>。</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1" w:right="197"/>
              <w:jc w:val="both"/>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 临时股东大会 决议的公告</w:t>
            </w:r>
          </w:p>
        </w:tc>
        <w:tc>
          <w:tcPr>
            <w:tcW w:w="1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8"/>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69"/>
              <w:jc w:val="right"/>
              <w:rPr>
                <w:rFonts w:ascii="Times New Roman" w:hAnsi="Times New Roman" w:cs="Times New Roman" w:eastAsia="Times New Roman" w:hint="default"/>
                <w:sz w:val="18"/>
                <w:szCs w:val="18"/>
              </w:rPr>
            </w:pPr>
            <w:r>
              <w:rPr>
                <w:rFonts w:ascii="Times New Roman"/>
                <w:spacing w:val="-1"/>
                <w:sz w:val="18"/>
              </w:rPr>
              <w:t>52.08%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1" w:right="100"/>
              <w:jc w:val="both"/>
              <w:rPr>
                <w:rFonts w:ascii="宋体" w:hAnsi="宋体" w:cs="宋体" w:eastAsia="宋体" w:hint="default"/>
                <w:sz w:val="18"/>
                <w:szCs w:val="18"/>
              </w:rPr>
            </w:pPr>
            <w:r>
              <w:rPr>
                <w:rFonts w:ascii="宋体" w:hAnsi="宋体" w:cs="宋体" w:eastAsia="宋体" w:hint="default"/>
                <w:spacing w:val="-6"/>
                <w:sz w:val="18"/>
                <w:szCs w:val="18"/>
              </w:rPr>
              <w:t>巨潮资讯网（</w:t>
            </w:r>
            <w:hyperlink r:id="rId14">
              <w:r>
                <w:rPr>
                  <w:rFonts w:ascii="Times New Roman" w:hAnsi="Times New Roman" w:cs="Times New Roman" w:eastAsia="Times New Roman" w:hint="default"/>
                  <w:spacing w:val="-6"/>
                  <w:sz w:val="18"/>
                  <w:szCs w:val="18"/>
                </w:rPr>
                <w:t>www.cninfo.com.cn</w:t>
              </w:r>
            </w:hyperlink>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,2019</w:t>
            </w:r>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宋体" w:hAnsi="宋体" w:cs="宋体" w:eastAsia="宋体" w:hint="default"/>
                <w:spacing w:val="-5"/>
                <w:sz w:val="18"/>
                <w:szCs w:val="18"/>
              </w:rPr>
              <w:t>年第二次临时股东大会决议公告，公告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编号：</w:t>
            </w:r>
            <w:r>
              <w:rPr>
                <w:rFonts w:ascii="Times New Roman" w:hAnsi="Times New Roman" w:cs="Times New Roman" w:eastAsia="Times New Roman" w:hint="default"/>
                <w:sz w:val="18"/>
                <w:szCs w:val="18"/>
              </w:rPr>
              <w:t>2019-060</w:t>
            </w:r>
            <w:r>
              <w:rPr>
                <w:rFonts w:ascii="宋体" w:hAnsi="宋体" w:cs="宋体" w:eastAsia="宋体" w:hint="default"/>
                <w:sz w:val="18"/>
                <w:szCs w:val="18"/>
              </w:rPr>
              <w:t>。</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1" w:right="197"/>
              <w:jc w:val="both"/>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 临时股东大会 决议的公告</w:t>
            </w:r>
          </w:p>
        </w:tc>
        <w:tc>
          <w:tcPr>
            <w:tcW w:w="1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8"/>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69"/>
              <w:jc w:val="right"/>
              <w:rPr>
                <w:rFonts w:ascii="Times New Roman" w:hAnsi="Times New Roman" w:cs="Times New Roman" w:eastAsia="Times New Roman" w:hint="default"/>
                <w:sz w:val="18"/>
                <w:szCs w:val="18"/>
              </w:rPr>
            </w:pPr>
            <w:r>
              <w:rPr>
                <w:rFonts w:ascii="Times New Roman"/>
                <w:spacing w:val="-1"/>
                <w:sz w:val="18"/>
              </w:rPr>
              <w:t>45.97%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1" w:right="100"/>
              <w:jc w:val="both"/>
              <w:rPr>
                <w:rFonts w:ascii="宋体" w:hAnsi="宋体" w:cs="宋体" w:eastAsia="宋体" w:hint="default"/>
                <w:sz w:val="18"/>
                <w:szCs w:val="18"/>
              </w:rPr>
            </w:pPr>
            <w:r>
              <w:rPr>
                <w:rFonts w:ascii="宋体" w:hAnsi="宋体" w:cs="宋体" w:eastAsia="宋体" w:hint="default"/>
                <w:spacing w:val="-6"/>
                <w:sz w:val="18"/>
                <w:szCs w:val="18"/>
              </w:rPr>
              <w:t>巨潮资讯网（</w:t>
            </w:r>
            <w:hyperlink r:id="rId14">
              <w:r>
                <w:rPr>
                  <w:rFonts w:ascii="Times New Roman" w:hAnsi="Times New Roman" w:cs="Times New Roman" w:eastAsia="Times New Roman" w:hint="default"/>
                  <w:spacing w:val="-6"/>
                  <w:sz w:val="18"/>
                  <w:szCs w:val="18"/>
                </w:rPr>
                <w:t>www.cninfo.com.cn</w:t>
              </w:r>
            </w:hyperlink>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,2019</w:t>
            </w:r>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宋体" w:hAnsi="宋体" w:cs="宋体" w:eastAsia="宋体" w:hint="default"/>
                <w:spacing w:val="-5"/>
                <w:sz w:val="18"/>
                <w:szCs w:val="18"/>
              </w:rPr>
              <w:t>年第三次临时股东大会决议公告，公告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编号：</w:t>
            </w:r>
            <w:r>
              <w:rPr>
                <w:rFonts w:ascii="Times New Roman" w:hAnsi="Times New Roman" w:cs="Times New Roman" w:eastAsia="Times New Roman" w:hint="default"/>
                <w:sz w:val="18"/>
                <w:szCs w:val="18"/>
              </w:rPr>
              <w:t>2019-087</w:t>
            </w:r>
            <w:r>
              <w:rPr>
                <w:rFonts w:ascii="宋体" w:hAnsi="宋体" w:cs="宋体" w:eastAsia="宋体" w:hint="default"/>
                <w:sz w:val="18"/>
                <w:szCs w:val="18"/>
              </w:rPr>
              <w:t>。</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1" w:right="197"/>
              <w:jc w:val="both"/>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年第四次 临时股东大会 决议的公告</w:t>
            </w:r>
          </w:p>
        </w:tc>
        <w:tc>
          <w:tcPr>
            <w:tcW w:w="1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8"/>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269"/>
              <w:jc w:val="right"/>
              <w:rPr>
                <w:rFonts w:ascii="Times New Roman" w:hAnsi="Times New Roman" w:cs="Times New Roman" w:eastAsia="Times New Roman" w:hint="default"/>
                <w:sz w:val="18"/>
                <w:szCs w:val="18"/>
              </w:rPr>
            </w:pPr>
            <w:r>
              <w:rPr>
                <w:rFonts w:ascii="Times New Roman"/>
                <w:spacing w:val="-1"/>
                <w:sz w:val="18"/>
              </w:rPr>
              <w:t>49.58%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1" w:right="100"/>
              <w:jc w:val="both"/>
              <w:rPr>
                <w:rFonts w:ascii="宋体" w:hAnsi="宋体" w:cs="宋体" w:eastAsia="宋体" w:hint="default"/>
                <w:sz w:val="18"/>
                <w:szCs w:val="18"/>
              </w:rPr>
            </w:pPr>
            <w:r>
              <w:rPr>
                <w:rFonts w:ascii="宋体" w:hAnsi="宋体" w:cs="宋体" w:eastAsia="宋体" w:hint="default"/>
                <w:spacing w:val="-6"/>
                <w:sz w:val="18"/>
                <w:szCs w:val="18"/>
              </w:rPr>
              <w:t>巨潮资讯网（</w:t>
            </w:r>
            <w:hyperlink r:id="rId14">
              <w:r>
                <w:rPr>
                  <w:rFonts w:ascii="Times New Roman" w:hAnsi="Times New Roman" w:cs="Times New Roman" w:eastAsia="Times New Roman" w:hint="default"/>
                  <w:spacing w:val="-6"/>
                  <w:sz w:val="18"/>
                  <w:szCs w:val="18"/>
                </w:rPr>
                <w:t>www.cninfo.com.cn</w:t>
              </w:r>
            </w:hyperlink>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,2019</w:t>
            </w:r>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宋体" w:hAnsi="宋体" w:cs="宋体" w:eastAsia="宋体" w:hint="default"/>
                <w:spacing w:val="-5"/>
                <w:sz w:val="18"/>
                <w:szCs w:val="18"/>
              </w:rPr>
              <w:t>年第四次临时股东大会决议公告，公告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编号：</w:t>
            </w:r>
            <w:r>
              <w:rPr>
                <w:rFonts w:ascii="Times New Roman" w:hAnsi="Times New Roman" w:cs="Times New Roman" w:eastAsia="Times New Roman" w:hint="default"/>
                <w:sz w:val="18"/>
                <w:szCs w:val="18"/>
              </w:rPr>
              <w:t>2019-100</w:t>
            </w:r>
            <w:r>
              <w:rPr>
                <w:rFonts w:ascii="宋体" w:hAnsi="宋体" w:cs="宋体" w:eastAsia="宋体" w:hint="default"/>
                <w:sz w:val="18"/>
                <w:szCs w:val="18"/>
              </w:rPr>
              <w:t>。</w:t>
            </w:r>
          </w:p>
        </w:tc>
      </w:tr>
    </w:tbl>
    <w:p>
      <w:pPr>
        <w:spacing w:line="240" w:lineRule="auto" w:before="3"/>
        <w:rPr>
          <w:rFonts w:ascii="宋体" w:hAnsi="宋体" w:cs="宋体" w:eastAsia="宋体" w:hint="default"/>
          <w:b/>
          <w:bCs/>
          <w:sz w:val="19"/>
          <w:szCs w:val="19"/>
        </w:rPr>
      </w:pPr>
    </w:p>
    <w:p>
      <w:pPr>
        <w:pStyle w:val="Heading3"/>
        <w:spacing w:line="240" w:lineRule="auto" w:before="34"/>
        <w:ind w:right="882"/>
        <w:jc w:val="left"/>
        <w:rPr>
          <w:b w:val="0"/>
          <w:bCs w:val="0"/>
        </w:rPr>
      </w:pPr>
      <w:bookmarkStart w:name="2、表决权恢复的优先股股东请求召开临时股东大会" w:id="144"/>
      <w:bookmarkEnd w:id="144"/>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882"/>
        <w:jc w:val="left"/>
        <w:rPr>
          <w:b w:val="0"/>
          <w:bCs w:val="0"/>
        </w:rPr>
      </w:pPr>
      <w:bookmarkStart w:name="五、报告期内独立董事履行职责的情况" w:id="145"/>
      <w:bookmarkEnd w:id="145"/>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独立董事出席董事会及股东大会的情况" w:id="146"/>
      <w:bookmarkEnd w:id="146"/>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427"/>
        <w:gridCol w:w="1164"/>
        <w:gridCol w:w="1164"/>
        <w:gridCol w:w="1163"/>
        <w:gridCol w:w="1163"/>
        <w:gridCol w:w="1163"/>
        <w:gridCol w:w="1163"/>
        <w:gridCol w:w="1163"/>
      </w:tblGrid>
      <w:tr>
        <w:trPr>
          <w:trHeight w:val="402" w:hRule="exact"/>
        </w:trPr>
        <w:tc>
          <w:tcPr>
            <w:tcW w:w="9570"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338"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26" w:right="125"/>
              <w:jc w:val="center"/>
              <w:rPr>
                <w:rFonts w:ascii="宋体" w:hAnsi="宋体" w:cs="宋体" w:eastAsia="宋体" w:hint="default"/>
                <w:sz w:val="18"/>
                <w:szCs w:val="18"/>
              </w:rPr>
            </w:pPr>
            <w:r>
              <w:rPr>
                <w:rFonts w:ascii="宋体" w:hAnsi="宋体" w:cs="宋体" w:eastAsia="宋体" w:hint="default"/>
                <w:sz w:val="18"/>
                <w:szCs w:val="18"/>
              </w:rPr>
              <w:t>本报告期应 参加董事会 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7"/>
              <w:ind w:left="218" w:right="125" w:hanging="92"/>
              <w:jc w:val="left"/>
              <w:rPr>
                <w:rFonts w:ascii="宋体" w:hAnsi="宋体" w:cs="宋体" w:eastAsia="宋体" w:hint="default"/>
                <w:sz w:val="18"/>
                <w:szCs w:val="18"/>
              </w:rPr>
            </w:pPr>
            <w:r>
              <w:rPr>
                <w:rFonts w:ascii="宋体" w:hAnsi="宋体" w:cs="宋体" w:eastAsia="宋体" w:hint="default"/>
                <w:sz w:val="18"/>
                <w:szCs w:val="18"/>
              </w:rPr>
              <w:t>现场出席董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26" w:right="124"/>
              <w:jc w:val="center"/>
              <w:rPr>
                <w:rFonts w:ascii="宋体" w:hAnsi="宋体" w:cs="宋体" w:eastAsia="宋体" w:hint="default"/>
                <w:sz w:val="18"/>
                <w:szCs w:val="18"/>
              </w:rPr>
            </w:pPr>
            <w:r>
              <w:rPr>
                <w:rFonts w:ascii="宋体" w:hAnsi="宋体" w:cs="宋体" w:eastAsia="宋体" w:hint="default"/>
                <w:sz w:val="18"/>
                <w:szCs w:val="18"/>
              </w:rPr>
              <w:t>以通讯方式 参加董事会 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7"/>
              <w:ind w:left="216" w:right="125" w:hanging="92"/>
              <w:jc w:val="left"/>
              <w:rPr>
                <w:rFonts w:ascii="宋体" w:hAnsi="宋体" w:cs="宋体" w:eastAsia="宋体" w:hint="default"/>
                <w:sz w:val="18"/>
                <w:szCs w:val="18"/>
              </w:rPr>
            </w:pPr>
            <w:r>
              <w:rPr>
                <w:rFonts w:ascii="宋体" w:hAnsi="宋体" w:cs="宋体" w:eastAsia="宋体" w:hint="default"/>
                <w:sz w:val="18"/>
                <w:szCs w:val="18"/>
              </w:rPr>
              <w:t>委托出席董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7"/>
              <w:ind w:left="395" w:right="124" w:hanging="269"/>
              <w:jc w:val="left"/>
              <w:rPr>
                <w:rFonts w:ascii="宋体" w:hAnsi="宋体" w:cs="宋体" w:eastAsia="宋体" w:hint="default"/>
                <w:sz w:val="18"/>
                <w:szCs w:val="18"/>
              </w:rPr>
            </w:pPr>
            <w:r>
              <w:rPr>
                <w:rFonts w:ascii="宋体" w:hAnsi="宋体" w:cs="宋体" w:eastAsia="宋体" w:hint="default"/>
                <w:sz w:val="18"/>
                <w:szCs w:val="18"/>
              </w:rPr>
              <w:t>缺席董事会 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5" w:right="126"/>
              <w:jc w:val="center"/>
              <w:rPr>
                <w:rFonts w:ascii="宋体" w:hAnsi="宋体" w:cs="宋体" w:eastAsia="宋体" w:hint="default"/>
                <w:sz w:val="18"/>
                <w:szCs w:val="18"/>
              </w:rPr>
            </w:pPr>
            <w:r>
              <w:rPr>
                <w:rFonts w:ascii="宋体" w:hAnsi="宋体" w:cs="宋体" w:eastAsia="宋体" w:hint="default"/>
                <w:sz w:val="18"/>
                <w:szCs w:val="18"/>
              </w:rPr>
              <w:t>是否连续两 次未亲自参 加董事会会 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7"/>
              <w:ind w:left="306" w:right="125" w:hanging="180"/>
              <w:jc w:val="left"/>
              <w:rPr>
                <w:rFonts w:ascii="宋体" w:hAnsi="宋体" w:cs="宋体" w:eastAsia="宋体" w:hint="default"/>
                <w:sz w:val="18"/>
                <w:szCs w:val="18"/>
              </w:rPr>
            </w:pPr>
            <w:r>
              <w:rPr>
                <w:rFonts w:ascii="宋体" w:hAnsi="宋体" w:cs="宋体" w:eastAsia="宋体" w:hint="default"/>
                <w:sz w:val="18"/>
                <w:szCs w:val="18"/>
              </w:rPr>
              <w:t>出席股东大 会次数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江乾坤</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凌云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12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杨建刚</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5</w:t>
            </w:r>
          </w:p>
        </w:tc>
      </w:tr>
    </w:tbl>
    <w:p>
      <w:pPr>
        <w:pStyle w:val="BodyText"/>
        <w:spacing w:line="357" w:lineRule="auto" w:before="51"/>
        <w:ind w:right="8054"/>
        <w:jc w:val="left"/>
      </w:pPr>
      <w:r>
        <w:rPr/>
        <w:t>连续两次未亲自出席董事会的说明 不适用</w:t>
      </w:r>
    </w:p>
    <w:p>
      <w:pPr>
        <w:spacing w:after="0" w:line="357"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2、独立董事对公司有关事项提出异议的情况" w:id="147"/>
      <w:bookmarkEnd w:id="147"/>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独立董事对公司有关事项是否提出异议</w:t>
      </w:r>
    </w:p>
    <w:p>
      <w:pPr>
        <w:pStyle w:val="BodyText"/>
        <w:spacing w:line="357" w:lineRule="auto" w:before="117"/>
        <w:ind w:right="6974"/>
        <w:jc w:val="left"/>
      </w:pPr>
      <w:r>
        <w:rPr/>
        <w:t>□ 是 √ 否 报告期内独立董事对公司有关事项未提出异议。</w:t>
      </w:r>
    </w:p>
    <w:p>
      <w:pPr>
        <w:spacing w:line="240" w:lineRule="auto" w:before="3"/>
        <w:rPr>
          <w:rFonts w:ascii="宋体" w:hAnsi="宋体" w:cs="宋体" w:eastAsia="宋体" w:hint="default"/>
          <w:sz w:val="20"/>
          <w:szCs w:val="20"/>
        </w:rPr>
      </w:pPr>
    </w:p>
    <w:p>
      <w:pPr>
        <w:pStyle w:val="Heading3"/>
        <w:spacing w:line="240" w:lineRule="auto"/>
        <w:ind w:right="882"/>
        <w:jc w:val="left"/>
        <w:rPr>
          <w:b w:val="0"/>
          <w:bCs w:val="0"/>
        </w:rPr>
      </w:pPr>
      <w:bookmarkStart w:name="3、独立董事履行职责的其他说明" w:id="148"/>
      <w:bookmarkEnd w:id="148"/>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独立董事对公司有关建议是否被采纳</w:t>
      </w:r>
    </w:p>
    <w:p>
      <w:pPr>
        <w:pStyle w:val="BodyText"/>
        <w:spacing w:line="360" w:lineRule="auto" w:before="115"/>
        <w:ind w:right="6794"/>
        <w:jc w:val="left"/>
      </w:pPr>
      <w:r>
        <w:rPr/>
        <w:t>□ 是 √ 否 独立董事对公司有关建议被采纳或未被采纳的说明 报告期内独立董事对公司有关事项未提出异议。</w:t>
      </w:r>
    </w:p>
    <w:p>
      <w:pPr>
        <w:spacing w:line="240" w:lineRule="auto" w:before="2"/>
        <w:rPr>
          <w:rFonts w:ascii="宋体" w:hAnsi="宋体" w:cs="宋体" w:eastAsia="宋体" w:hint="default"/>
          <w:sz w:val="18"/>
          <w:szCs w:val="18"/>
        </w:rPr>
      </w:pPr>
    </w:p>
    <w:p>
      <w:pPr>
        <w:pStyle w:val="Heading2"/>
        <w:spacing w:line="240" w:lineRule="auto"/>
        <w:ind w:right="882"/>
        <w:jc w:val="left"/>
        <w:rPr>
          <w:b w:val="0"/>
          <w:bCs w:val="0"/>
        </w:rPr>
      </w:pPr>
      <w:bookmarkStart w:name="六、董事会下设专门委员会在报告期内履行职责情况" w:id="149"/>
      <w:bookmarkEnd w:id="149"/>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882" w:firstLine="364"/>
        <w:jc w:val="left"/>
      </w:pPr>
      <w:r>
        <w:rPr>
          <w:spacing w:val="-2"/>
        </w:rPr>
        <w:t>根据《公司法》、《公司章程》等相关法律法规的规定，公司董事会下设审计委员会、战略委员会、提名委员会和薪酬</w:t>
      </w:r>
      <w:r>
        <w:rPr/>
        <w:t> 与考核委员会四个专门委员会。</w:t>
      </w:r>
    </w:p>
    <w:p>
      <w:pPr>
        <w:pStyle w:val="BodyText"/>
        <w:spacing w:line="240" w:lineRule="auto" w:before="19"/>
        <w:ind w:left="477" w:right="882"/>
        <w:jc w:val="left"/>
      </w:pPr>
      <w:r>
        <w:rPr>
          <w:rFonts w:ascii="Times New Roman" w:hAnsi="Times New Roman" w:cs="Times New Roman" w:eastAsia="Times New Roman" w:hint="default"/>
        </w:rPr>
        <w:t>1</w:t>
      </w:r>
      <w:r>
        <w:rPr/>
        <w:t>、审计委员会委员：江乾坤、凌云、应晶</w:t>
      </w:r>
    </w:p>
    <w:p>
      <w:pPr>
        <w:pStyle w:val="BodyText"/>
        <w:spacing w:line="240" w:lineRule="auto" w:before="63"/>
        <w:ind w:left="477" w:right="882"/>
        <w:jc w:val="left"/>
      </w:pPr>
      <w:r>
        <w:rPr>
          <w:rFonts w:ascii="Times New Roman" w:hAnsi="Times New Roman" w:cs="Times New Roman" w:eastAsia="Times New Roman" w:hint="default"/>
        </w:rPr>
        <w:t>2</w:t>
      </w:r>
      <w:r>
        <w:rPr/>
        <w:t>、战略委员会委员：葛航、张吕峥、应晶</w:t>
      </w:r>
    </w:p>
    <w:p>
      <w:pPr>
        <w:pStyle w:val="BodyText"/>
        <w:spacing w:line="240" w:lineRule="auto" w:before="63"/>
        <w:ind w:left="477" w:right="882"/>
        <w:jc w:val="left"/>
      </w:pPr>
      <w:r>
        <w:rPr>
          <w:rFonts w:ascii="Times New Roman" w:hAnsi="Times New Roman" w:cs="Times New Roman" w:eastAsia="Times New Roman" w:hint="default"/>
        </w:rPr>
        <w:t>3</w:t>
      </w:r>
      <w:r>
        <w:rPr/>
        <w:t>、提名委员会委员：凌云、杨建刚、葛航</w:t>
      </w:r>
    </w:p>
    <w:p>
      <w:pPr>
        <w:pStyle w:val="BodyText"/>
        <w:spacing w:line="240" w:lineRule="auto" w:before="63"/>
        <w:ind w:left="477" w:right="882"/>
        <w:jc w:val="left"/>
      </w:pPr>
      <w:r>
        <w:rPr>
          <w:rFonts w:ascii="Times New Roman" w:hAnsi="Times New Roman" w:cs="Times New Roman" w:eastAsia="Times New Roman" w:hint="default"/>
        </w:rPr>
        <w:t>4</w:t>
      </w:r>
      <w:r>
        <w:rPr/>
        <w:t>、薪酬与考核委员会委员：杨建刚、江乾坤、葛航</w:t>
      </w:r>
    </w:p>
    <w:p>
      <w:pPr>
        <w:pStyle w:val="BodyText"/>
        <w:spacing w:line="316" w:lineRule="auto" w:before="63"/>
        <w:ind w:left="477" w:right="1029"/>
        <w:jc w:val="left"/>
      </w:pPr>
      <w:r>
        <w:rPr/>
        <w:t>（一）审计委员会在报告期内的履行职责情况 本公司的审计委员会是董事会按照股东大会决议设立的专门工作机构，对董事会负责，其主要职责是根据《公司章程》</w:t>
      </w:r>
    </w:p>
    <w:p>
      <w:pPr>
        <w:pStyle w:val="BodyText"/>
        <w:spacing w:line="316" w:lineRule="auto" w:before="19"/>
        <w:ind w:left="477" w:right="882" w:hanging="365"/>
        <w:jc w:val="left"/>
      </w:pPr>
      <w:r>
        <w:rPr/>
        <w:t>的规定对公司内部控制、财务信息和内部审计等进行监督、检查和评价等。 </w:t>
      </w:r>
      <w:r>
        <w:rPr>
          <w:spacing w:val="-2"/>
        </w:rPr>
        <w:t>本公司审计委员会的委员中，江乾坤、凌云为本公司独立董事，江乾坤为会计专业人士。本公司审计委员会的设立，为</w:t>
      </w:r>
    </w:p>
    <w:p>
      <w:pPr>
        <w:pStyle w:val="BodyText"/>
        <w:spacing w:line="316" w:lineRule="auto" w:before="19"/>
        <w:ind w:left="477" w:right="1119" w:hanging="365"/>
        <w:jc w:val="left"/>
      </w:pPr>
      <w:r>
        <w:rPr/>
        <w:t>强化董事会决策作用，确保董事会对高级管理人员的有效监督，完善了公司治理结构。 本报告期内，审计委员会共计召开</w:t>
      </w:r>
      <w:r>
        <w:rPr>
          <w:rFonts w:ascii="Times New Roman" w:hAnsi="Times New Roman" w:cs="Times New Roman" w:eastAsia="Times New Roman" w:hint="default"/>
        </w:rPr>
        <w:t>4</w:t>
      </w:r>
      <w:r>
        <w:rPr/>
        <w:t>次会议，认真审议公司内部控制自我评价报告、续聘财务审计机构、转让参股公司</w:t>
      </w:r>
    </w:p>
    <w:p>
      <w:pPr>
        <w:pStyle w:val="BodyText"/>
        <w:spacing w:line="309" w:lineRule="auto"/>
        <w:ind w:right="1034"/>
        <w:jc w:val="left"/>
      </w:pPr>
      <w:r>
        <w:rPr/>
        <w:t>股权暨关联交易的议案、关于公司</w:t>
      </w:r>
      <w:r>
        <w:rPr>
          <w:rFonts w:ascii="Times New Roman" w:hAnsi="Times New Roman" w:cs="Times New Roman" w:eastAsia="Times New Roman" w:hint="default"/>
        </w:rPr>
        <w:t>2018</w:t>
      </w:r>
      <w:r>
        <w:rPr/>
        <w:t>年年度报告、</w:t>
      </w:r>
      <w:r>
        <w:rPr>
          <w:rFonts w:ascii="Times New Roman" w:hAnsi="Times New Roman" w:cs="Times New Roman" w:eastAsia="Times New Roman" w:hint="default"/>
        </w:rPr>
        <w:t>2019</w:t>
      </w:r>
      <w:r>
        <w:rPr/>
        <w:t>年第一季度报告、半年度报告、第三季度报告相关事项的议案等， </w:t>
      </w:r>
      <w:r>
        <w:rPr>
          <w:spacing w:val="-2"/>
        </w:rPr>
        <w:t>根据《公司章程》《公司内部审计工作制度》等相关规定要求，结合自己在公司审计和财务管理方面的经验，对公司运作的</w:t>
      </w:r>
      <w:r>
        <w:rPr>
          <w:spacing w:val="-65"/>
        </w:rPr>
        <w:t> </w:t>
      </w:r>
      <w:r>
        <w:rPr>
          <w:spacing w:val="-65"/>
        </w:rPr>
      </w:r>
      <w:r>
        <w:rPr/>
        <w:t>合规情况进行了谨慎的审查。</w:t>
      </w:r>
    </w:p>
    <w:p>
      <w:pPr>
        <w:pStyle w:val="BodyText"/>
        <w:spacing w:line="316" w:lineRule="auto" w:before="24"/>
        <w:ind w:right="882" w:firstLine="364"/>
        <w:jc w:val="left"/>
      </w:pPr>
      <w:r>
        <w:rPr>
          <w:spacing w:val="-2"/>
        </w:rPr>
        <w:t>审计委员会自设立以来按照《公司章程》及《审计委员会工作规则》规范运作，运行情况良好，保证了公司内部审计制</w:t>
      </w:r>
      <w:r>
        <w:rPr/>
        <w:t> 度的有效实施以及与外部审计机构的有效沟通。</w:t>
      </w:r>
    </w:p>
    <w:p>
      <w:pPr>
        <w:pStyle w:val="BodyText"/>
        <w:spacing w:line="316" w:lineRule="auto" w:before="19"/>
        <w:ind w:left="477" w:right="882"/>
        <w:jc w:val="left"/>
      </w:pPr>
      <w:r>
        <w:rPr/>
        <w:t>（二）战略委员会在报告期内的履行职责情况 </w:t>
      </w:r>
      <w:r>
        <w:rPr>
          <w:spacing w:val="-2"/>
        </w:rPr>
        <w:t>公司战略委员会是董事会按照股东大会决议设立的董事会专门工作机构，对董事会负责，主要职责是对公司中长期发展</w:t>
      </w:r>
    </w:p>
    <w:p>
      <w:pPr>
        <w:pStyle w:val="BodyText"/>
        <w:spacing w:line="316" w:lineRule="auto" w:before="19"/>
        <w:ind w:left="477" w:right="1119" w:hanging="365"/>
        <w:jc w:val="left"/>
      </w:pPr>
      <w:r>
        <w:rPr/>
        <w:t>战略和重大投资决策进行研究并提出建议，在其职责权限范围内协助董事会开展相关工作。 本报告期内，公司战略委员会共计召开</w:t>
      </w:r>
      <w:r>
        <w:rPr>
          <w:rFonts w:ascii="Times New Roman" w:hAnsi="Times New Roman" w:cs="Times New Roman" w:eastAsia="Times New Roman" w:hint="default"/>
        </w:rPr>
        <w:t>1</w:t>
      </w:r>
      <w:r>
        <w:rPr/>
        <w:t>次会议，研究公司的发展战略并提出建议。本报告期内审议了</w:t>
      </w:r>
      <w:r>
        <w:rPr>
          <w:rFonts w:ascii="Times New Roman" w:hAnsi="Times New Roman" w:cs="Times New Roman" w:eastAsia="Times New Roman" w:hint="default"/>
        </w:rPr>
        <w:t>2019</w:t>
      </w:r>
      <w:r>
        <w:rPr/>
        <w:t>年度创业板</w:t>
      </w:r>
    </w:p>
    <w:p>
      <w:pPr>
        <w:pStyle w:val="BodyText"/>
        <w:spacing w:line="300" w:lineRule="auto"/>
        <w:ind w:left="477" w:right="4449" w:hanging="365"/>
        <w:jc w:val="left"/>
      </w:pPr>
      <w:r>
        <w:rPr/>
        <w:t>非公开发行</w:t>
      </w:r>
      <w:r>
        <w:rPr>
          <w:rFonts w:ascii="Times New Roman" w:hAnsi="Times New Roman" w:cs="Times New Roman" w:eastAsia="Times New Roman" w:hint="default"/>
        </w:rPr>
        <w:t>A</w:t>
      </w:r>
      <w:r>
        <w:rPr/>
        <w:t>股股票预案等公司重要决策。 公司战略委员会严格按照其既定议事规则履行职责，自设立以来有效运作。</w:t>
      </w:r>
    </w:p>
    <w:p>
      <w:pPr>
        <w:pStyle w:val="BodyText"/>
        <w:spacing w:line="316" w:lineRule="auto" w:before="31"/>
        <w:ind w:left="477" w:right="882"/>
        <w:jc w:val="left"/>
      </w:pPr>
      <w:r>
        <w:rPr/>
        <w:t>（三）提名委员会在报告期内的履行职责情况 </w:t>
      </w:r>
      <w:r>
        <w:rPr>
          <w:spacing w:val="-2"/>
        </w:rPr>
        <w:t>公司提名委员会是董事会按照股东大会决议设立的专门工作机构，对董事会负责，其主要职责是对公司董事和经理人员</w:t>
      </w:r>
    </w:p>
    <w:p>
      <w:pPr>
        <w:pStyle w:val="BodyText"/>
        <w:spacing w:line="316" w:lineRule="auto" w:before="19"/>
        <w:ind w:left="477" w:right="1119" w:hanging="365"/>
        <w:jc w:val="left"/>
      </w:pPr>
      <w:r>
        <w:rPr/>
        <w:t>的选拔标准和程序搜寻人选，进行选择并提出建议。 本报告期内，公司提名委员会设立以来共召开了</w:t>
      </w:r>
      <w:r>
        <w:rPr>
          <w:rFonts w:ascii="Times New Roman" w:hAnsi="Times New Roman" w:cs="Times New Roman" w:eastAsia="Times New Roman" w:hint="default"/>
        </w:rPr>
        <w:t>2</w:t>
      </w:r>
      <w:r>
        <w:rPr/>
        <w:t>次提名委员会，分别就现任董事及高级管理人员的任职情况及补选薪</w:t>
      </w:r>
    </w:p>
    <w:p>
      <w:pPr>
        <w:pStyle w:val="BodyText"/>
        <w:spacing w:line="316" w:lineRule="auto"/>
        <w:ind w:left="655" w:right="4271" w:hanging="543"/>
        <w:jc w:val="left"/>
      </w:pPr>
      <w:r>
        <w:rPr/>
        <w:t>酬与考核委员会委员发表了相关审查意见。 公司提名委员会严格按照其既定议事规则履行职责，自设立以来有效运作。</w:t>
      </w:r>
    </w:p>
    <w:p>
      <w:pPr>
        <w:spacing w:after="0" w:line="316" w:lineRule="auto"/>
        <w:jc w:val="left"/>
        <w:sectPr>
          <w:headerReference w:type="default" r:id="rId38"/>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left="477" w:right="882"/>
        <w:jc w:val="left"/>
      </w:pPr>
      <w:r>
        <w:rPr/>
        <w:t>（四）薪酬与考核委员会在报告期内的履行职责情况 </w:t>
      </w:r>
      <w:r>
        <w:rPr>
          <w:spacing w:val="-2"/>
        </w:rPr>
        <w:t>薪酬与考核委员会是董事会按照股东大会决议设立的专门工作机构，对董事会负责，其主要职责是审议并监督执行具有</w:t>
      </w:r>
    </w:p>
    <w:p>
      <w:pPr>
        <w:pStyle w:val="BodyText"/>
        <w:spacing w:line="316" w:lineRule="auto" w:before="19"/>
        <w:ind w:right="882"/>
        <w:jc w:val="left"/>
      </w:pPr>
      <w:r>
        <w:rPr>
          <w:spacing w:val="-2"/>
        </w:rPr>
        <w:t>有效激励与约束作用的薪酬制度和绩效考核制度，就本公司董事、监事、高级管理人员的薪酬制度、绩效考核制度以及激励</w:t>
      </w:r>
      <w:r>
        <w:rPr>
          <w:spacing w:val="-66"/>
        </w:rPr>
        <w:t> </w:t>
      </w:r>
      <w:r>
        <w:rPr>
          <w:spacing w:val="-66"/>
        </w:rPr>
      </w:r>
      <w:r>
        <w:rPr/>
        <w:t>方案向董事会建议，并对董事和高级管理人员的业绩和行为进行评估。</w:t>
      </w:r>
    </w:p>
    <w:p>
      <w:pPr>
        <w:pStyle w:val="BodyText"/>
        <w:spacing w:line="300" w:lineRule="auto" w:before="19"/>
        <w:ind w:right="1137" w:firstLine="364"/>
        <w:jc w:val="both"/>
      </w:pPr>
      <w:r>
        <w:rPr/>
        <w:t>本报告期内，公司薪酬与考核委员会共计召开</w:t>
      </w:r>
      <w:r>
        <w:rPr>
          <w:rFonts w:ascii="Times New Roman" w:hAnsi="Times New Roman" w:cs="Times New Roman" w:eastAsia="Times New Roman" w:hint="default"/>
        </w:rPr>
        <w:t>4</w:t>
      </w:r>
      <w:r>
        <w:rPr/>
        <w:t>次薪酬与考核委员会会议，会议就董事及高级管理人员</w:t>
      </w:r>
      <w:r>
        <w:rPr>
          <w:rFonts w:ascii="Times New Roman" w:hAnsi="Times New Roman" w:cs="Times New Roman" w:eastAsia="Times New Roman" w:hint="default"/>
        </w:rPr>
        <w:t>2018</w:t>
      </w:r>
      <w:r>
        <w:rPr/>
        <w:t>年度薪酬的 议案、公司《股票期权与限制性股票激励计划》首次授予部分和预留部分解锁</w:t>
      </w:r>
      <w:r>
        <w:rPr>
          <w:rFonts w:ascii="Times New Roman" w:hAnsi="Times New Roman" w:cs="Times New Roman" w:eastAsia="Times New Roman" w:hint="default"/>
        </w:rPr>
        <w:t>/</w:t>
      </w:r>
      <w:r>
        <w:rPr/>
        <w:t>行权、公司《</w:t>
      </w:r>
      <w:r>
        <w:rPr>
          <w:rFonts w:ascii="Times New Roman" w:hAnsi="Times New Roman" w:cs="Times New Roman" w:eastAsia="Times New Roman" w:hint="default"/>
        </w:rPr>
        <w:t>2019</w:t>
      </w:r>
      <w:r>
        <w:rPr/>
        <w:t>年度限制性股票激励计划</w:t>
      </w:r>
    </w:p>
    <w:p>
      <w:pPr>
        <w:pStyle w:val="BodyText"/>
        <w:spacing w:line="357" w:lineRule="auto" w:before="13"/>
        <w:ind w:left="477" w:right="3909" w:hanging="365"/>
        <w:jc w:val="left"/>
      </w:pPr>
      <w:r>
        <w:rPr/>
        <w:t>（草案）》的制定等事项进行了沟通、讨论，发表了相关意见。 公司薪酬与考核委员会严格按照其既定议事规则履行职责，自设立以来有效运作。</w:t>
      </w:r>
    </w:p>
    <w:p>
      <w:pPr>
        <w:pStyle w:val="Heading2"/>
        <w:spacing w:line="240" w:lineRule="auto" w:before="141"/>
        <w:ind w:right="882"/>
        <w:jc w:val="left"/>
        <w:rPr>
          <w:b w:val="0"/>
          <w:bCs w:val="0"/>
        </w:rPr>
      </w:pPr>
      <w:bookmarkStart w:name="七、监事会工作情况" w:id="150"/>
      <w:bookmarkEnd w:id="150"/>
      <w:r>
        <w:rPr>
          <w:b w:val="0"/>
          <w:bCs w:val="0"/>
        </w:rPr>
      </w:r>
      <w:r>
        <w:rPr/>
        <w:t>七、监事会工作情况</w:t>
      </w:r>
      <w:r>
        <w:rPr>
          <w:b w:val="0"/>
          <w:bCs w:val="0"/>
        </w:rPr>
      </w:r>
    </w:p>
    <w:p>
      <w:pPr>
        <w:spacing w:line="240" w:lineRule="auto" w:before="10"/>
        <w:rPr>
          <w:rFonts w:ascii="宋体" w:hAnsi="宋体" w:cs="宋体" w:eastAsia="宋体" w:hint="default"/>
          <w:b/>
          <w:bCs/>
          <w:sz w:val="18"/>
          <w:szCs w:val="18"/>
        </w:rPr>
      </w:pPr>
    </w:p>
    <w:p>
      <w:pPr>
        <w:pStyle w:val="BodyText"/>
        <w:spacing w:line="240" w:lineRule="auto"/>
        <w:ind w:right="882"/>
        <w:jc w:val="left"/>
      </w:pPr>
      <w:r>
        <w:rPr/>
        <w:t>监事会在报告期内的监督活动中发现公司是否存在风险</w:t>
      </w:r>
    </w:p>
    <w:p>
      <w:pPr>
        <w:pStyle w:val="BodyText"/>
        <w:spacing w:line="357" w:lineRule="auto" w:before="117"/>
        <w:ind w:right="7334"/>
        <w:jc w:val="left"/>
      </w:pPr>
      <w:r>
        <w:rPr/>
        <w:t>□ 是 √ 否 公司监事会对报告期内的监督事项无异议。</w:t>
      </w:r>
    </w:p>
    <w:p>
      <w:pPr>
        <w:pStyle w:val="Heading2"/>
        <w:spacing w:line="240" w:lineRule="auto" w:before="141"/>
        <w:ind w:right="882"/>
        <w:jc w:val="left"/>
        <w:rPr>
          <w:b w:val="0"/>
          <w:bCs w:val="0"/>
        </w:rPr>
      </w:pPr>
      <w:bookmarkStart w:name="八、高级管理人员的考评及激励情况" w:id="151"/>
      <w:bookmarkEnd w:id="151"/>
      <w:r>
        <w:rPr>
          <w:b w:val="0"/>
          <w:bCs w:val="0"/>
        </w:rPr>
      </w:r>
      <w:r>
        <w:rPr/>
        <w:t>八、高级管理人员的考评及激励情况</w:t>
      </w:r>
      <w:r>
        <w:rPr>
          <w:b w:val="0"/>
          <w:bCs w:val="0"/>
        </w:rPr>
      </w:r>
    </w:p>
    <w:p>
      <w:pPr>
        <w:spacing w:line="240" w:lineRule="auto" w:before="10"/>
        <w:rPr>
          <w:rFonts w:ascii="宋体" w:hAnsi="宋体" w:cs="宋体" w:eastAsia="宋体" w:hint="default"/>
          <w:b/>
          <w:bCs/>
          <w:sz w:val="18"/>
          <w:szCs w:val="18"/>
        </w:rPr>
      </w:pPr>
    </w:p>
    <w:p>
      <w:pPr>
        <w:pStyle w:val="BodyText"/>
        <w:spacing w:line="316" w:lineRule="auto"/>
        <w:ind w:right="1132" w:firstLine="360"/>
        <w:jc w:val="both"/>
      </w:pPr>
      <w:r>
        <w:rPr>
          <w:spacing w:val="-2"/>
        </w:rPr>
        <w:t>公司建立了完善的高级管理人员绩效考评体系和薪酬制度，高级管理人员的工作绩效与其收入直接挂钩。高级管理人员</w:t>
      </w:r>
      <w:r>
        <w:rPr/>
        <w:t> </w:t>
      </w:r>
      <w:r>
        <w:rPr>
          <w:spacing w:val="-2"/>
        </w:rPr>
        <w:t>的聘任公开、透明，符合法律、法规的规定。公司董事会下设薪酬和考核委员会协同公司人力资源部负责对公司董事、监事</w:t>
      </w:r>
      <w:r>
        <w:rPr>
          <w:spacing w:val="-65"/>
        </w:rPr>
        <w:t> </w:t>
      </w:r>
      <w:r>
        <w:rPr>
          <w:spacing w:val="-65"/>
        </w:rPr>
      </w:r>
      <w:r>
        <w:rPr/>
        <w:t>及高级管理人员进行绩效考核的实施。</w:t>
      </w:r>
    </w:p>
    <w:p>
      <w:pPr>
        <w:spacing w:line="240" w:lineRule="auto" w:before="13"/>
        <w:rPr>
          <w:rFonts w:ascii="宋体" w:hAnsi="宋体" w:cs="宋体" w:eastAsia="宋体" w:hint="default"/>
          <w:sz w:val="12"/>
          <w:szCs w:val="12"/>
        </w:rPr>
      </w:pPr>
    </w:p>
    <w:p>
      <w:pPr>
        <w:pStyle w:val="Heading2"/>
        <w:spacing w:line="240" w:lineRule="auto"/>
        <w:ind w:right="882"/>
        <w:jc w:val="left"/>
        <w:rPr>
          <w:b w:val="0"/>
          <w:bCs w:val="0"/>
        </w:rPr>
      </w:pPr>
      <w:bookmarkStart w:name="九、内部控制评价报告" w:id="152"/>
      <w:bookmarkEnd w:id="152"/>
      <w:r>
        <w:rPr>
          <w:b w:val="0"/>
          <w:bCs w:val="0"/>
        </w:rPr>
      </w:r>
      <w:r>
        <w:rPr/>
        <w:t>九、内部控制评价报告</w:t>
      </w:r>
      <w:r>
        <w:rPr>
          <w:b w:val="0"/>
          <w:bCs w:val="0"/>
        </w:rPr>
      </w:r>
    </w:p>
    <w:p>
      <w:pPr>
        <w:spacing w:line="240" w:lineRule="auto" w:before="11"/>
        <w:rPr>
          <w:rFonts w:ascii="宋体" w:hAnsi="宋体" w:cs="宋体" w:eastAsia="宋体" w:hint="default"/>
          <w:b/>
          <w:bCs/>
          <w:sz w:val="22"/>
          <w:szCs w:val="22"/>
        </w:rPr>
      </w:pPr>
    </w:p>
    <w:p>
      <w:pPr>
        <w:pStyle w:val="Heading3"/>
        <w:spacing w:line="240" w:lineRule="auto"/>
        <w:ind w:right="882"/>
        <w:jc w:val="left"/>
        <w:rPr>
          <w:b w:val="0"/>
          <w:bCs w:val="0"/>
        </w:rPr>
      </w:pPr>
      <w:bookmarkStart w:name="1、报告期内发现的内部控制重大缺陷的具体情况" w:id="153"/>
      <w:bookmarkEnd w:id="153"/>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6"/>
        <w:rPr>
          <w:rFonts w:ascii="宋体" w:hAnsi="宋体" w:cs="宋体" w:eastAsia="宋体" w:hint="default"/>
          <w:b/>
          <w:bCs/>
          <w:sz w:val="15"/>
          <w:szCs w:val="15"/>
        </w:rPr>
      </w:pPr>
    </w:p>
    <w:p>
      <w:pPr>
        <w:pStyle w:val="BodyText"/>
        <w:spacing w:line="240" w:lineRule="auto"/>
        <w:ind w:right="882"/>
        <w:jc w:val="left"/>
      </w:pPr>
      <w:r>
        <w:rPr/>
        <w:t>□ 是 √ 否</w:t>
      </w:r>
    </w:p>
    <w:p>
      <w:pPr>
        <w:spacing w:line="240" w:lineRule="auto" w:before="11"/>
        <w:rPr>
          <w:rFonts w:ascii="宋体" w:hAnsi="宋体" w:cs="宋体" w:eastAsia="宋体" w:hint="default"/>
          <w:sz w:val="15"/>
          <w:szCs w:val="15"/>
        </w:rPr>
      </w:pPr>
    </w:p>
    <w:p>
      <w:pPr>
        <w:pStyle w:val="Heading3"/>
        <w:spacing w:line="240" w:lineRule="auto"/>
        <w:ind w:right="882"/>
        <w:jc w:val="left"/>
        <w:rPr>
          <w:b w:val="0"/>
          <w:bCs w:val="0"/>
        </w:rPr>
      </w:pPr>
      <w:bookmarkStart w:name="2、内控自我评价报告" w:id="154"/>
      <w:bookmarkEnd w:id="154"/>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10"/>
        <w:rPr>
          <w:rFonts w:ascii="宋体" w:hAnsi="宋体" w:cs="宋体" w:eastAsia="宋体" w:hint="default"/>
          <w:b/>
          <w:bCs/>
          <w:sz w:val="8"/>
          <w:szCs w:val="8"/>
        </w:rPr>
      </w:pPr>
    </w:p>
    <w:tbl>
      <w:tblPr>
        <w:tblW w:w="0" w:type="auto"/>
        <w:jc w:val="left"/>
        <w:tblInd w:w="109" w:type="dxa"/>
        <w:tblLayout w:type="fixed"/>
        <w:tblCellMar>
          <w:top w:w="0" w:type="dxa"/>
          <w:left w:w="0" w:type="dxa"/>
          <w:bottom w:w="0" w:type="dxa"/>
          <w:right w:w="0" w:type="dxa"/>
        </w:tblCellMar>
        <w:tblLook w:val="01E0"/>
      </w:tblPr>
      <w:tblGrid>
        <w:gridCol w:w="2922"/>
        <w:gridCol w:w="3595"/>
        <w:gridCol w:w="3051"/>
      </w:tblGrid>
      <w:tr>
        <w:trPr>
          <w:trHeight w:val="402"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6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14"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646"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85"/>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年度内部控制自我评价报告》详见刊登于中国证监会指定的创业板信息披 露网站（巨潮网）</w:t>
            </w:r>
          </w:p>
        </w:tc>
      </w:tr>
      <w:tr>
        <w:trPr>
          <w:trHeight w:val="714"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8"/>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 合并财务报表资产总额的比例</w:t>
            </w:r>
          </w:p>
        </w:tc>
        <w:tc>
          <w:tcPr>
            <w:tcW w:w="66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714"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08"/>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 合并财务报表营业收入的比例</w:t>
            </w:r>
          </w:p>
        </w:tc>
        <w:tc>
          <w:tcPr>
            <w:tcW w:w="66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956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2"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1336"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59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3" w:right="101"/>
              <w:jc w:val="both"/>
              <w:rPr>
                <w:rFonts w:ascii="宋体" w:hAnsi="宋体" w:cs="宋体" w:eastAsia="宋体" w:hint="default"/>
                <w:sz w:val="18"/>
                <w:szCs w:val="18"/>
              </w:rPr>
            </w:pPr>
            <w:r>
              <w:rPr>
                <w:rFonts w:ascii="宋体" w:hAnsi="宋体" w:cs="宋体" w:eastAsia="宋体" w:hint="default"/>
                <w:sz w:val="18"/>
                <w:szCs w:val="18"/>
              </w:rPr>
              <w:t>重大缺陷：错报金额≥资产总额的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；重 </w:t>
            </w:r>
            <w:r>
              <w:rPr>
                <w:rFonts w:ascii="宋体" w:hAnsi="宋体" w:cs="宋体" w:eastAsia="宋体" w:hint="default"/>
                <w:spacing w:val="-3"/>
                <w:sz w:val="18"/>
                <w:szCs w:val="18"/>
              </w:rPr>
              <w:t>要缺陷：资产总额的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≤错报金额</w:t>
            </w:r>
            <w:r>
              <w:rPr>
                <w:rFonts w:ascii="Times New Roman" w:hAnsi="Times New Roman" w:cs="Times New Roman" w:eastAsia="Times New Roman" w:hint="default"/>
                <w:sz w:val="18"/>
                <w:szCs w:val="18"/>
              </w:rPr>
              <w:t>&lt;</w:t>
            </w:r>
            <w:r>
              <w:rPr>
                <w:rFonts w:ascii="宋体" w:hAnsi="宋体" w:cs="宋体" w:eastAsia="宋体" w:hint="default"/>
                <w:sz w:val="18"/>
                <w:szCs w:val="18"/>
              </w:rPr>
              <w:t>资产 总额的</w:t>
            </w:r>
            <w:r>
              <w:rPr>
                <w:rFonts w:ascii="宋体" w:hAnsi="宋体" w:cs="宋体" w:eastAsia="宋体" w:hint="default"/>
                <w:spacing w:val="-34"/>
                <w:sz w:val="18"/>
                <w:szCs w:val="18"/>
              </w:rPr>
              <w:t> </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；一般缺陷：错报金额</w:t>
            </w:r>
            <w:r>
              <w:rPr>
                <w:rFonts w:ascii="Times New Roman" w:hAnsi="Times New Roman" w:cs="Times New Roman" w:eastAsia="Times New Roman" w:hint="default"/>
                <w:spacing w:val="-5"/>
                <w:sz w:val="18"/>
                <w:szCs w:val="18"/>
              </w:rPr>
              <w:t>&lt;</w:t>
            </w:r>
            <w:r>
              <w:rPr>
                <w:rFonts w:ascii="宋体" w:hAnsi="宋体" w:cs="宋体" w:eastAsia="宋体" w:hint="default"/>
                <w:spacing w:val="-5"/>
                <w:sz w:val="18"/>
                <w:szCs w:val="18"/>
              </w:rPr>
              <w:t>资产总额</w:t>
            </w:r>
            <w:r>
              <w:rPr>
                <w:rFonts w:ascii="宋体" w:hAnsi="宋体" w:cs="宋体" w:eastAsia="宋体" w:hint="default"/>
                <w:spacing w:val="-87"/>
                <w:sz w:val="18"/>
                <w:szCs w:val="18"/>
              </w:rPr>
              <w:t> </w:t>
            </w:r>
            <w:r>
              <w:rPr>
                <w:rFonts w:ascii="宋体" w:hAnsi="宋体" w:cs="宋体" w:eastAsia="宋体" w:hint="default"/>
                <w:sz w:val="18"/>
                <w:szCs w:val="18"/>
              </w:rPr>
              <w:t>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56"/>
              <w:jc w:val="left"/>
              <w:rPr>
                <w:rFonts w:ascii="宋体" w:hAnsi="宋体" w:cs="宋体" w:eastAsia="宋体" w:hint="default"/>
                <w:sz w:val="18"/>
                <w:szCs w:val="18"/>
              </w:rPr>
            </w:pPr>
            <w:r>
              <w:rPr>
                <w:rFonts w:ascii="宋体" w:hAnsi="宋体" w:cs="宋体" w:eastAsia="宋体" w:hint="default"/>
                <w:sz w:val="18"/>
                <w:szCs w:val="18"/>
              </w:rPr>
              <w:t>公司根据缺陷造成直接财产损失占 公司资产总额的比率确定非财务报 </w:t>
            </w:r>
            <w:r>
              <w:rPr>
                <w:rFonts w:ascii="宋体" w:hAnsi="宋体" w:cs="宋体" w:eastAsia="宋体" w:hint="default"/>
                <w:spacing w:val="-3"/>
                <w:sz w:val="18"/>
                <w:szCs w:val="18"/>
              </w:rPr>
              <w:t>告内部控制缺陷评价的定量标准，标</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准参照财务报告内控缺陷定量标准。</w:t>
            </w:r>
          </w:p>
        </w:tc>
      </w:tr>
    </w:tbl>
    <w:p>
      <w:pPr>
        <w:spacing w:after="0" w:line="316"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922"/>
        <w:gridCol w:w="3595"/>
        <w:gridCol w:w="3051"/>
      </w:tblGrid>
      <w:tr>
        <w:trPr>
          <w:trHeight w:val="356" w:hRule="exact"/>
        </w:trPr>
        <w:tc>
          <w:tcPr>
            <w:tcW w:w="2922" w:type="dxa"/>
            <w:tcBorders>
              <w:top w:val="single" w:sz="4" w:space="0" w:color="000000"/>
              <w:left w:val="single" w:sz="4" w:space="0" w:color="000000"/>
              <w:bottom w:val="nil" w:sz="6" w:space="0" w:color="auto"/>
              <w:right w:val="single" w:sz="4" w:space="0" w:color="000000"/>
            </w:tcBorders>
            <w:shd w:val="clear" w:color="auto" w:fill="D2D2D2"/>
          </w:tcPr>
          <w:p>
            <w:pPr/>
          </w:p>
        </w:tc>
        <w:tc>
          <w:tcPr>
            <w:tcW w:w="3595" w:type="dxa"/>
            <w:tcBorders>
              <w:top w:val="single" w:sz="4" w:space="0" w:color="000000"/>
              <w:left w:val="single" w:sz="4" w:space="0" w:color="000000"/>
              <w:bottom w:val="nil" w:sz="6" w:space="0" w:color="auto"/>
              <w:right w:val="single" w:sz="4" w:space="0" w:color="000000"/>
            </w:tcBorders>
          </w:tcPr>
          <w:p>
            <w:pPr/>
          </w:p>
        </w:tc>
        <w:tc>
          <w:tcPr>
            <w:tcW w:w="305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定性标准即涉及业务性质的严重程</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度，公司根据其直接或潜在负面影响</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的性质、影响的范围等因素确定的非</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财务报告内部控制缺陷评价的定性</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标准如下：下列迹象表明非财务报告</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①公司董事、监事和高级管理人员舞弊；②</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内部控制可能存在重大缺陷：①公司</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公司更正已公布的财务报告；③注册会计师</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重大决策缺乏决策程序或程序严重</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发现当期财务报告存在重大错报，而内部控</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不合理且造成重大损失；②公司人员</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制在运行过程中未能发现该错报；④董事会</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因内部控制原因违犯国家法律、法</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及相关机构对内部控制的监督无效。</w:t>
            </w: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规，并给公司造成重大损失和严重不</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利影响；③公司经营活动严重违反国</w:t>
            </w:r>
          </w:p>
        </w:tc>
      </w:tr>
      <w:tr>
        <w:trPr>
          <w:trHeight w:val="317"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家法律法规</w:t>
            </w:r>
            <w:r>
              <w:rPr>
                <w:rFonts w:ascii="Times New Roman" w:hAnsi="Times New Roman" w:cs="Times New Roman" w:eastAsia="Times New Roman" w:hint="default"/>
                <w:sz w:val="18"/>
                <w:szCs w:val="18"/>
              </w:rPr>
              <w:t>;</w:t>
            </w:r>
            <w:r>
              <w:rPr>
                <w:rFonts w:ascii="宋体" w:hAnsi="宋体" w:cs="宋体" w:eastAsia="宋体" w:hint="default"/>
                <w:sz w:val="18"/>
                <w:szCs w:val="18"/>
              </w:rPr>
              <w:t>④重要业务长期缺乏制</w:t>
            </w:r>
          </w:p>
        </w:tc>
      </w:tr>
      <w:tr>
        <w:trPr>
          <w:trHeight w:val="307"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pacing w:val="-3"/>
                <w:sz w:val="18"/>
                <w:szCs w:val="18"/>
              </w:rPr>
              <w:t>度控制或制度系统性失效；⑤内部控</w:t>
            </w:r>
          </w:p>
        </w:tc>
      </w:tr>
      <w:tr>
        <w:trPr>
          <w:trHeight w:val="312" w:hRule="exact"/>
        </w:trPr>
        <w:tc>
          <w:tcPr>
            <w:tcW w:w="2922" w:type="dxa"/>
            <w:tcBorders>
              <w:top w:val="nil" w:sz="6" w:space="0" w:color="auto"/>
              <w:left w:val="single" w:sz="4" w:space="0" w:color="000000"/>
              <w:bottom w:val="nil" w:sz="6" w:space="0" w:color="auto"/>
              <w:right w:val="single" w:sz="4" w:space="0" w:color="000000"/>
            </w:tcBorders>
            <w:shd w:val="clear" w:color="auto" w:fill="D2D2D2"/>
          </w:tcPr>
          <w:p>
            <w:pPr/>
          </w:p>
        </w:tc>
        <w:tc>
          <w:tcPr>
            <w:tcW w:w="3595" w:type="dxa"/>
            <w:tcBorders>
              <w:top w:val="nil" w:sz="6" w:space="0" w:color="auto"/>
              <w:left w:val="single" w:sz="4" w:space="0" w:color="000000"/>
              <w:bottom w:val="nil" w:sz="6" w:space="0" w:color="auto"/>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制评价的结果是重大缺陷但未得到</w:t>
            </w:r>
          </w:p>
        </w:tc>
      </w:tr>
      <w:tr>
        <w:trPr>
          <w:trHeight w:val="358" w:hRule="exact"/>
        </w:trPr>
        <w:tc>
          <w:tcPr>
            <w:tcW w:w="2922" w:type="dxa"/>
            <w:tcBorders>
              <w:top w:val="nil" w:sz="6" w:space="0" w:color="auto"/>
              <w:left w:val="single" w:sz="4" w:space="0" w:color="000000"/>
              <w:bottom w:val="single" w:sz="4" w:space="0" w:color="000000"/>
              <w:right w:val="single" w:sz="4" w:space="0" w:color="000000"/>
            </w:tcBorders>
            <w:shd w:val="clear" w:color="auto" w:fill="D2D2D2"/>
          </w:tcPr>
          <w:p>
            <w:pPr/>
          </w:p>
        </w:tc>
        <w:tc>
          <w:tcPr>
            <w:tcW w:w="3595" w:type="dxa"/>
            <w:tcBorders>
              <w:top w:val="nil" w:sz="6" w:space="0" w:color="auto"/>
              <w:left w:val="single" w:sz="4" w:space="0" w:color="000000"/>
              <w:bottom w:val="single" w:sz="4" w:space="0" w:color="000000"/>
              <w:right w:val="single" w:sz="4" w:space="0" w:color="000000"/>
            </w:tcBorders>
          </w:tcPr>
          <w:p>
            <w:pPr/>
          </w:p>
        </w:tc>
        <w:tc>
          <w:tcPr>
            <w:tcW w:w="305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整改。</w:t>
            </w:r>
          </w:p>
        </w:tc>
      </w:tr>
      <w:tr>
        <w:trPr>
          <w:trHeight w:val="402"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6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6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6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6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0"/>
        <w:rPr>
          <w:rFonts w:ascii="宋体" w:hAnsi="宋体" w:cs="宋体" w:eastAsia="宋体" w:hint="default"/>
          <w:b/>
          <w:bCs/>
          <w:sz w:val="18"/>
          <w:szCs w:val="18"/>
        </w:rPr>
      </w:pPr>
    </w:p>
    <w:p>
      <w:pPr>
        <w:pStyle w:val="Heading2"/>
        <w:spacing w:line="240" w:lineRule="auto" w:before="26"/>
        <w:ind w:right="882"/>
        <w:jc w:val="left"/>
        <w:rPr>
          <w:b w:val="0"/>
          <w:bCs w:val="0"/>
        </w:rPr>
      </w:pPr>
      <w:bookmarkStart w:name="十、内部控制审计报告或鉴证报告" w:id="155"/>
      <w:bookmarkEnd w:id="155"/>
      <w:r>
        <w:rPr>
          <w:b w:val="0"/>
          <w:bCs w:val="0"/>
        </w:rPr>
      </w:r>
      <w:r>
        <w:rPr/>
        <w:t>十、内部控制审计报告或鉴证报告</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882"/>
        <w:jc w:val="left"/>
      </w:pPr>
      <w:r>
        <w:rPr/>
        <w:t>内部控制鉴证报告</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62"/>
        <w:gridCol w:w="6906"/>
      </w:tblGrid>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4"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1" w:right="183"/>
              <w:jc w:val="left"/>
              <w:rPr>
                <w:rFonts w:ascii="宋体" w:hAnsi="宋体" w:cs="宋体" w:eastAsia="宋体" w:hint="default"/>
                <w:sz w:val="18"/>
                <w:szCs w:val="18"/>
              </w:rPr>
            </w:pPr>
            <w:r>
              <w:rPr>
                <w:rFonts w:ascii="宋体" w:hAnsi="宋体" w:cs="宋体" w:eastAsia="宋体" w:hint="default"/>
                <w:sz w:val="18"/>
                <w:szCs w:val="18"/>
              </w:rPr>
              <w:t>我们认为，创业慧康公司按照深圳证券交易所《创业板上市公司规范运作指引》规定于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 方面保持了有效的财务报告内部控制。本结论是在受到审计报告中指出的固有限制的条件下形成的。</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08"/>
              <w:jc w:val="left"/>
              <w:rPr>
                <w:rFonts w:ascii="宋体" w:hAnsi="宋体" w:cs="宋体" w:eastAsia="宋体" w:hint="default"/>
                <w:sz w:val="18"/>
                <w:szCs w:val="18"/>
              </w:rPr>
            </w:pPr>
            <w:r>
              <w:rPr>
                <w:rFonts w:ascii="宋体" w:hAnsi="宋体" w:cs="宋体" w:eastAsia="宋体" w:hint="default"/>
                <w:sz w:val="18"/>
                <w:szCs w:val="18"/>
              </w:rPr>
              <w:t>内部控制鉴证报告全文披露日 期</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08"/>
              <w:jc w:val="left"/>
              <w:rPr>
                <w:rFonts w:ascii="宋体" w:hAnsi="宋体" w:cs="宋体" w:eastAsia="宋体" w:hint="default"/>
                <w:sz w:val="18"/>
                <w:szCs w:val="18"/>
              </w:rPr>
            </w:pPr>
            <w:r>
              <w:rPr>
                <w:rFonts w:ascii="宋体" w:hAnsi="宋体" w:cs="宋体" w:eastAsia="宋体" w:hint="default"/>
                <w:sz w:val="18"/>
                <w:szCs w:val="18"/>
              </w:rPr>
              <w:t>内部控制鉴证报告全文披露索 引</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hyperlink r:id="rId14">
              <w:r>
                <w:rPr>
                  <w:rFonts w:ascii="Times New Roman"/>
                  <w:sz w:val="18"/>
                </w:rPr>
                <w:t>www.cninfo.com.cn</w:t>
              </w:r>
            </w:hyperlink>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right="882"/>
        <w:jc w:val="left"/>
      </w:pPr>
      <w:r>
        <w:rPr/>
        <w:t>会计师事务所是否出具非标准意见的内部控制鉴证报告</w:t>
      </w:r>
    </w:p>
    <w:p>
      <w:pPr>
        <w:pStyle w:val="BodyText"/>
        <w:spacing w:line="360" w:lineRule="auto" w:before="115"/>
        <w:ind w:right="4634"/>
        <w:jc w:val="left"/>
      </w:pPr>
      <w:r>
        <w:rPr/>
        <w:t>□ 是 √ 否 会计师事务所出具的内部控制鉴证报告与董事会的自我评价报告意见是否一致</w:t>
      </w:r>
    </w:p>
    <w:p>
      <w:pPr>
        <w:pStyle w:val="BodyText"/>
        <w:spacing w:line="240" w:lineRule="auto" w:before="27"/>
        <w:ind w:right="882"/>
        <w:jc w:val="left"/>
      </w:pPr>
      <w:r>
        <w:rPr/>
        <w:t>√ 是 □ 否</w:t>
      </w:r>
    </w:p>
    <w:p>
      <w:pPr>
        <w:spacing w:after="0" w:line="24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007" w:right="882"/>
        <w:jc w:val="left"/>
        <w:rPr>
          <w:b w:val="0"/>
          <w:bCs w:val="0"/>
        </w:rPr>
      </w:pPr>
      <w:bookmarkStart w:name="第十一节公司债券相关情况" w:id="156"/>
      <w:bookmarkEnd w:id="156"/>
      <w:r>
        <w:rPr>
          <w:b w:val="0"/>
          <w:bCs w:val="0"/>
        </w:rPr>
      </w:r>
      <w:bookmarkStart w:name="_bookmark9" w:id="157"/>
      <w:bookmarkEnd w:id="157"/>
      <w:r>
        <w:rPr>
          <w:b w:val="0"/>
          <w:bCs w:val="0"/>
        </w:rPr>
      </w:r>
      <w:r>
        <w:rPr/>
        <w:t>第十一节公司债券相关情况</w:t>
      </w:r>
      <w:r>
        <w:rPr>
          <w:b w:val="0"/>
          <w:bCs w:val="0"/>
        </w:rPr>
      </w:r>
    </w:p>
    <w:p>
      <w:pPr>
        <w:spacing w:line="240" w:lineRule="auto" w:before="6"/>
        <w:rPr>
          <w:rFonts w:ascii="宋体" w:hAnsi="宋体" w:cs="宋体" w:eastAsia="宋体" w:hint="default"/>
          <w:b/>
          <w:bCs/>
          <w:sz w:val="42"/>
          <w:szCs w:val="42"/>
        </w:rPr>
      </w:pPr>
    </w:p>
    <w:p>
      <w:pPr>
        <w:pStyle w:val="BodyText"/>
        <w:spacing w:line="360" w:lineRule="auto"/>
        <w:ind w:right="2114"/>
        <w:jc w:val="left"/>
      </w:pPr>
      <w:r>
        <w:rPr/>
        <w:t>公司是否存在公开发行并在证券交易所上市，且在年度报告批准报出日未到期或到期未能全额兑付的公司债券 否</w:t>
      </w:r>
    </w:p>
    <w:p>
      <w:pPr>
        <w:spacing w:after="0" w:line="36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right="3782"/>
        <w:jc w:val="center"/>
        <w:rPr>
          <w:b w:val="0"/>
          <w:bCs w:val="0"/>
        </w:rPr>
      </w:pPr>
      <w:bookmarkStart w:name="第十二节财务报告" w:id="158"/>
      <w:bookmarkEnd w:id="158"/>
      <w:r>
        <w:rPr>
          <w:b w:val="0"/>
          <w:bCs w:val="0"/>
        </w:rPr>
      </w:r>
      <w:bookmarkStart w:name="_bookmark10" w:id="159"/>
      <w:bookmarkEnd w:id="159"/>
      <w:r>
        <w:rPr>
          <w:b w:val="0"/>
          <w:bCs w:val="0"/>
        </w:rPr>
      </w:r>
      <w:r>
        <w:rPr/>
        <w:t>第十二节财务报告</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882"/>
        <w:jc w:val="left"/>
        <w:rPr>
          <w:b w:val="0"/>
          <w:bCs w:val="0"/>
        </w:rPr>
      </w:pPr>
      <w:bookmarkStart w:name="一、审计报告" w:id="160"/>
      <w:bookmarkEnd w:id="160"/>
      <w:r>
        <w:rPr>
          <w:b w:val="0"/>
          <w:bCs w:val="0"/>
        </w:rPr>
      </w:r>
      <w:r>
        <w:rPr/>
        <w:t>一、审计报告</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3"/>
        <w:gridCol w:w="4785"/>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天健会计师事务所（特殊普通合伙）</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天健审〔</w:t>
            </w:r>
            <w:r>
              <w:rPr>
                <w:rFonts w:ascii="Times New Roman" w:hAnsi="Times New Roman" w:cs="Times New Roman" w:eastAsia="Times New Roman" w:hint="default"/>
                <w:sz w:val="18"/>
                <w:szCs w:val="18"/>
              </w:rPr>
              <w:t>2020</w:t>
            </w:r>
            <w:r>
              <w:rPr>
                <w:rFonts w:ascii="宋体" w:hAnsi="宋体" w:cs="宋体" w:eastAsia="宋体" w:hint="default"/>
                <w:sz w:val="18"/>
                <w:szCs w:val="18"/>
              </w:rPr>
              <w:t>〕</w:t>
            </w:r>
            <w:r>
              <w:rPr>
                <w:rFonts w:ascii="Times New Roman" w:hAnsi="Times New Roman" w:cs="Times New Roman" w:eastAsia="Times New Roman" w:hint="default"/>
                <w:sz w:val="18"/>
                <w:szCs w:val="18"/>
              </w:rPr>
              <w:t>808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余建耀、李鸿霞</w:t>
            </w:r>
          </w:p>
        </w:tc>
      </w:tr>
    </w:tbl>
    <w:p>
      <w:pPr>
        <w:pStyle w:val="BodyText"/>
        <w:spacing w:line="240" w:lineRule="auto" w:before="50"/>
        <w:ind w:left="2761" w:right="3782"/>
        <w:jc w:val="center"/>
      </w:pPr>
      <w:r>
        <w:rPr/>
        <w:t>审计报告正文</w:t>
      </w:r>
    </w:p>
    <w:p>
      <w:pPr>
        <w:pStyle w:val="Heading5"/>
        <w:spacing w:line="240" w:lineRule="auto" w:before="115"/>
        <w:ind w:right="882"/>
        <w:jc w:val="left"/>
        <w:rPr>
          <w:rFonts w:ascii="黑体" w:hAnsi="黑体" w:cs="黑体" w:eastAsia="黑体" w:hint="default"/>
          <w:b w:val="0"/>
          <w:bCs w:val="0"/>
        </w:rPr>
      </w:pPr>
      <w:bookmarkStart w:name="一、审计意见" w:id="161"/>
      <w:bookmarkEnd w:id="161"/>
      <w:r>
        <w:rPr>
          <w:b w:val="0"/>
          <w:bCs w:val="0"/>
        </w:rPr>
      </w:r>
      <w:r>
        <w:rPr>
          <w:rFonts w:ascii="黑体" w:hAnsi="黑体" w:cs="黑体" w:eastAsia="黑体" w:hint="default"/>
        </w:rPr>
        <w:t>一、审计意见</w:t>
      </w:r>
      <w:r>
        <w:rPr>
          <w:rFonts w:ascii="黑体" w:hAnsi="黑体" w:cs="黑体" w:eastAsia="黑体" w:hint="default"/>
          <w:b w:val="0"/>
          <w:bCs w:val="0"/>
        </w:rPr>
      </w:r>
    </w:p>
    <w:p>
      <w:pPr>
        <w:pStyle w:val="BodyText"/>
        <w:spacing w:line="300" w:lineRule="auto" w:before="76"/>
        <w:ind w:right="1132" w:firstLine="360"/>
        <w:jc w:val="both"/>
      </w:pPr>
      <w:r>
        <w:rPr/>
        <w:t>我们审计了创业慧康科技股份有限公司（以下简称创业慧康公司）财务报表，包括</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日的合并及母公司 资产负债表，</w:t>
      </w:r>
      <w:r>
        <w:rPr>
          <w:rFonts w:ascii="Times New Roman" w:hAnsi="Times New Roman" w:cs="Times New Roman" w:eastAsia="Times New Roman" w:hint="default"/>
        </w:rPr>
        <w:t>2019</w:t>
      </w:r>
      <w:r>
        <w:rPr>
          <w:rFonts w:ascii="Times New Roman" w:hAnsi="Times New Roman" w:cs="Times New Roman" w:eastAsia="Times New Roman" w:hint="default"/>
          <w:spacing w:val="30"/>
        </w:rPr>
        <w:t> </w:t>
      </w:r>
      <w:r>
        <w:rPr/>
        <w:t>年度的合并及母公司利润表、合并及母公司现金流量表、合并及母公司所有者权益变动表，以及相关财</w:t>
      </w:r>
      <w:r>
        <w:rPr>
          <w:spacing w:val="-78"/>
        </w:rPr>
        <w:t> </w:t>
      </w:r>
      <w:r>
        <w:rPr>
          <w:spacing w:val="-78"/>
        </w:rPr>
      </w:r>
      <w:r>
        <w:rPr/>
        <w:t>务报表附注。</w:t>
      </w:r>
    </w:p>
    <w:p>
      <w:pPr>
        <w:pStyle w:val="BodyText"/>
        <w:spacing w:line="240" w:lineRule="auto" w:before="31"/>
        <w:ind w:left="472" w:right="882"/>
        <w:jc w:val="left"/>
        <w:rPr>
          <w:rFonts w:ascii="Times New Roman" w:hAnsi="Times New Roman" w:cs="Times New Roman" w:eastAsia="Times New Roman" w:hint="default"/>
        </w:rPr>
      </w:pPr>
      <w:r>
        <w:rPr/>
        <w:t>我们认为，后附的财务报表在所有重大方面按照企业会计准则的规定编制，公允反映了创业慧康公司</w:t>
      </w:r>
      <w:r>
        <w:rPr>
          <w:spacing w:val="-37"/>
        </w:rPr>
        <w:t> </w:t>
      </w: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t>年</w:t>
      </w:r>
      <w:r>
        <w:rPr>
          <w:spacing w:val="-34"/>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37"/>
        </w:rPr>
        <w:t> </w:t>
      </w:r>
      <w:r>
        <w:rPr>
          <w:rFonts w:ascii="Times New Roman" w:hAnsi="Times New Roman" w:cs="Times New Roman" w:eastAsia="Times New Roman" w:hint="default"/>
        </w:rPr>
        <w:t>31</w:t>
      </w:r>
    </w:p>
    <w:p>
      <w:pPr>
        <w:pStyle w:val="BodyText"/>
        <w:spacing w:line="240" w:lineRule="auto" w:before="63"/>
        <w:ind w:right="882"/>
        <w:jc w:val="left"/>
      </w:pPr>
      <w:r>
        <w:rPr/>
        <w:t>日的合并及母公司财务状况，以及</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年度的合并及母公司经营成果和现金流量。</w:t>
      </w:r>
    </w:p>
    <w:p>
      <w:pPr>
        <w:pStyle w:val="Heading5"/>
        <w:spacing w:line="240" w:lineRule="auto" w:before="63"/>
        <w:ind w:right="882"/>
        <w:jc w:val="left"/>
        <w:rPr>
          <w:rFonts w:ascii="黑体" w:hAnsi="黑体" w:cs="黑体" w:eastAsia="黑体" w:hint="default"/>
          <w:b w:val="0"/>
          <w:bCs w:val="0"/>
        </w:rPr>
      </w:pPr>
      <w:bookmarkStart w:name="二、形成审计意见的基础" w:id="162"/>
      <w:bookmarkEnd w:id="162"/>
      <w:r>
        <w:rPr>
          <w:b w:val="0"/>
          <w:bCs w:val="0"/>
        </w:rPr>
      </w:r>
      <w:r>
        <w:rPr>
          <w:rFonts w:ascii="黑体" w:hAnsi="黑体" w:cs="黑体" w:eastAsia="黑体" w:hint="default"/>
        </w:rPr>
        <w:t>二、形成审计意见的基础</w:t>
      </w:r>
      <w:r>
        <w:rPr>
          <w:rFonts w:ascii="黑体" w:hAnsi="黑体" w:cs="黑体" w:eastAsia="黑体" w:hint="default"/>
          <w:b w:val="0"/>
          <w:bCs w:val="0"/>
        </w:rPr>
      </w:r>
    </w:p>
    <w:p>
      <w:pPr>
        <w:pStyle w:val="BodyText"/>
        <w:spacing w:line="309" w:lineRule="auto" w:before="76"/>
        <w:ind w:right="1130" w:firstLine="360"/>
        <w:jc w:val="both"/>
      </w:pPr>
      <w:r>
        <w:rPr>
          <w:spacing w:val="-2"/>
        </w:rPr>
        <w:t>我们按照中国注册会计师审计准则的规定执行了审计工作。审计报告的</w:t>
      </w:r>
      <w:r>
        <w:rPr>
          <w:rFonts w:ascii="Times New Roman" w:hAnsi="Times New Roman" w:cs="Times New Roman" w:eastAsia="Times New Roman" w:hint="default"/>
          <w:spacing w:val="-2"/>
        </w:rPr>
        <w:t>“</w:t>
      </w:r>
      <w:r>
        <w:rPr>
          <w:spacing w:val="-2"/>
        </w:rPr>
        <w:t>注册会计师对财务报表审计的责任</w:t>
      </w:r>
      <w:r>
        <w:rPr>
          <w:rFonts w:ascii="Times New Roman" w:hAnsi="Times New Roman" w:cs="Times New Roman" w:eastAsia="Times New Roman" w:hint="default"/>
          <w:spacing w:val="-2"/>
        </w:rPr>
        <w:t>”</w:t>
      </w:r>
      <w:r>
        <w:rPr>
          <w:spacing w:val="-2"/>
        </w:rPr>
        <w:t>部分进一步</w:t>
      </w:r>
      <w:r>
        <w:rPr/>
        <w:t> </w:t>
      </w:r>
      <w:r>
        <w:rPr>
          <w:spacing w:val="-2"/>
        </w:rPr>
        <w:t>阐述了我们在这些准则下的责任。按照中国注册会计师职业道德守则，我们独立于创业慧康公司，并履行了职业道德方面的</w:t>
      </w:r>
      <w:r>
        <w:rPr>
          <w:spacing w:val="-63"/>
        </w:rPr>
        <w:t> </w:t>
      </w:r>
      <w:r>
        <w:rPr>
          <w:spacing w:val="-63"/>
        </w:rPr>
      </w:r>
      <w:r>
        <w:rPr/>
        <w:t>其他责任。我们相信，我们获取的审计证据是充分、适当的，为发表审计意见提供了基础。</w:t>
      </w:r>
    </w:p>
    <w:p>
      <w:pPr>
        <w:pStyle w:val="Heading5"/>
        <w:spacing w:line="240" w:lineRule="auto" w:before="24"/>
        <w:ind w:right="882"/>
        <w:jc w:val="left"/>
        <w:rPr>
          <w:rFonts w:ascii="黑体" w:hAnsi="黑体" w:cs="黑体" w:eastAsia="黑体" w:hint="default"/>
          <w:b w:val="0"/>
          <w:bCs w:val="0"/>
        </w:rPr>
      </w:pPr>
      <w:bookmarkStart w:name="三、关键审计事项" w:id="163"/>
      <w:bookmarkEnd w:id="163"/>
      <w:r>
        <w:rPr>
          <w:b w:val="0"/>
          <w:bCs w:val="0"/>
        </w:rPr>
      </w:r>
      <w:r>
        <w:rPr>
          <w:rFonts w:ascii="黑体" w:hAnsi="黑体" w:cs="黑体" w:eastAsia="黑体" w:hint="default"/>
        </w:rPr>
        <w:t>三、关键审计事项</w:t>
      </w:r>
      <w:r>
        <w:rPr>
          <w:rFonts w:ascii="黑体" w:hAnsi="黑体" w:cs="黑体" w:eastAsia="黑体" w:hint="default"/>
          <w:b w:val="0"/>
          <w:bCs w:val="0"/>
        </w:rPr>
      </w:r>
    </w:p>
    <w:p>
      <w:pPr>
        <w:pStyle w:val="BodyText"/>
        <w:spacing w:line="316" w:lineRule="auto" w:before="76"/>
        <w:ind w:right="1132" w:firstLine="360"/>
        <w:jc w:val="both"/>
      </w:pPr>
      <w:r>
        <w:rPr>
          <w:spacing w:val="-2"/>
        </w:rPr>
        <w:t>关键审计事项是我们根据职业判断，认为对本期财务报表审计最为重要的事项。这些事项的应对以对财务报表整体进行</w:t>
      </w:r>
      <w:r>
        <w:rPr/>
        <w:t> 审计并形成审计意见为背景，我们不对这些事项单独发表意见。</w:t>
      </w:r>
    </w:p>
    <w:p>
      <w:pPr>
        <w:pStyle w:val="BodyText"/>
        <w:spacing w:line="240" w:lineRule="auto" w:before="19"/>
        <w:ind w:left="472" w:right="882"/>
        <w:jc w:val="left"/>
      </w:pPr>
      <w:r>
        <w:rPr/>
        <w:t>（一）收入确认</w:t>
      </w:r>
    </w:p>
    <w:p>
      <w:pPr>
        <w:pStyle w:val="BodyText"/>
        <w:spacing w:line="300" w:lineRule="auto" w:before="76"/>
        <w:ind w:left="472" w:right="5624"/>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4"/>
        </w:rPr>
        <w:t> </w:t>
      </w:r>
      <w:r>
        <w:rPr/>
        <w:t>事项描述 相关信息披露详见财务报表附注三（二十一）及五（二）</w:t>
      </w:r>
      <w:r>
        <w:rPr>
          <w:rFonts w:ascii="Times New Roman" w:hAnsi="Times New Roman" w:cs="Times New Roman" w:eastAsia="Times New Roman" w:hint="default"/>
        </w:rPr>
        <w:t>1</w:t>
      </w:r>
      <w:r>
        <w:rPr/>
        <w:t>。</w:t>
      </w:r>
    </w:p>
    <w:p>
      <w:pPr>
        <w:pStyle w:val="BodyText"/>
        <w:spacing w:line="300" w:lineRule="auto" w:before="13"/>
        <w:ind w:right="1132" w:firstLine="360"/>
        <w:jc w:val="both"/>
      </w:pPr>
      <w:r>
        <w:rPr/>
        <w:t>创业慧康公司的营业收入主要来自于软件销售、系统集成和技术服务等。</w:t>
      </w:r>
      <w:r>
        <w:rPr>
          <w:rFonts w:ascii="Times New Roman" w:hAnsi="Times New Roman" w:cs="Times New Roman" w:eastAsia="Times New Roman" w:hint="default"/>
        </w:rPr>
        <w:t>2019</w:t>
      </w:r>
      <w:r>
        <w:rPr>
          <w:rFonts w:ascii="Times New Roman" w:hAnsi="Times New Roman" w:cs="Times New Roman" w:eastAsia="Times New Roman" w:hint="default"/>
          <w:spacing w:val="30"/>
        </w:rPr>
        <w:t> </w:t>
      </w:r>
      <w:r>
        <w:rPr/>
        <w:t>年度，创业慧康公司财务报表所示营业 收入项目金额为人民币</w:t>
      </w:r>
      <w:r>
        <w:rPr>
          <w:spacing w:val="-48"/>
        </w:rPr>
        <w:t> </w:t>
      </w:r>
      <w:r>
        <w:rPr>
          <w:rFonts w:ascii="Times New Roman" w:hAnsi="Times New Roman" w:cs="Times New Roman" w:eastAsia="Times New Roman" w:hint="default"/>
        </w:rPr>
        <w:t>147,982.47</w:t>
      </w:r>
      <w:r>
        <w:rPr>
          <w:rFonts w:ascii="Times New Roman" w:hAnsi="Times New Roman" w:cs="Times New Roman" w:eastAsia="Times New Roman" w:hint="default"/>
          <w:spacing w:val="-4"/>
        </w:rPr>
        <w:t> </w:t>
      </w:r>
      <w:r>
        <w:rPr/>
        <w:t>万元。</w:t>
      </w:r>
    </w:p>
    <w:p>
      <w:pPr>
        <w:pStyle w:val="BodyText"/>
        <w:spacing w:line="316" w:lineRule="auto" w:before="13"/>
        <w:ind w:right="1130" w:firstLine="360"/>
        <w:jc w:val="both"/>
      </w:pPr>
      <w:r>
        <w:rPr>
          <w:spacing w:val="-2"/>
        </w:rPr>
        <w:t>软件销售在同时满足收入的金额能够可靠计量、相关经济利益很可能流入、交易的完工进度能够可靠确定、交易中已发</w:t>
      </w:r>
      <w:r>
        <w:rPr/>
        <w:t> </w:t>
      </w:r>
      <w:r>
        <w:rPr>
          <w:spacing w:val="-2"/>
        </w:rPr>
        <w:t>生和将发生的成本能够可靠计量的前提下，采用完工百分比法确认收入。技术服务在同时满足相关劳务已经提供、收入的金</w:t>
      </w:r>
      <w:r>
        <w:rPr>
          <w:spacing w:val="-63"/>
        </w:rPr>
        <w:t> </w:t>
      </w:r>
      <w:r>
        <w:rPr>
          <w:spacing w:val="-63"/>
        </w:rPr>
      </w:r>
      <w:r>
        <w:rPr>
          <w:spacing w:val="-2"/>
        </w:rPr>
        <w:t>额能够可靠计量、相关经济利益很可能流入、交易的完工进度能够可靠确定、交易中已发生和将发生的成本能够可靠计量的</w:t>
      </w:r>
      <w:r>
        <w:rPr>
          <w:spacing w:val="-63"/>
        </w:rPr>
        <w:t> </w:t>
      </w:r>
      <w:r>
        <w:rPr>
          <w:spacing w:val="-63"/>
        </w:rPr>
      </w:r>
      <w:r>
        <w:rPr>
          <w:spacing w:val="-2"/>
        </w:rPr>
        <w:t>前提下，采用完工百分比法确认收入；如合同约定明确服务期限的，在服务期限内平均摊销确认收入。系统集成包括计算机</w:t>
      </w:r>
      <w:r>
        <w:rPr>
          <w:spacing w:val="-64"/>
        </w:rPr>
        <w:t> </w:t>
      </w:r>
      <w:r>
        <w:rPr>
          <w:spacing w:val="-64"/>
        </w:rPr>
      </w:r>
      <w:r>
        <w:rPr>
          <w:spacing w:val="-2"/>
        </w:rPr>
        <w:t>信息设备系统集成业务和智能化网络布线工程集成业务。计算机信息设备系统集成业务在同时满足商品所有权上的主要风险</w:t>
      </w:r>
      <w:r>
        <w:rPr>
          <w:spacing w:val="-64"/>
        </w:rPr>
        <w:t> </w:t>
      </w:r>
      <w:r>
        <w:rPr>
          <w:spacing w:val="-64"/>
        </w:rPr>
      </w:r>
      <w:r>
        <w:rPr>
          <w:spacing w:val="-2"/>
        </w:rPr>
        <w:t>和报酬转移给购货方、公司不再保留通常与所有权相联系的继续管理权，也不再对已售出的商品实施有效控制、收入的金额</w:t>
      </w:r>
      <w:r>
        <w:rPr>
          <w:spacing w:val="-63"/>
        </w:rPr>
        <w:t> </w:t>
      </w:r>
      <w:r>
        <w:rPr>
          <w:spacing w:val="-63"/>
        </w:rPr>
      </w:r>
      <w:r>
        <w:rPr>
          <w:spacing w:val="-2"/>
        </w:rPr>
        <w:t>能够可靠地计量、相关的经济利益很可能流入、相关的已发生或将发生的成本能够可靠地计量时，于整个项目验收完成时确</w:t>
      </w:r>
      <w:r>
        <w:rPr>
          <w:spacing w:val="-63"/>
        </w:rPr>
        <w:t> </w:t>
      </w:r>
      <w:r>
        <w:rPr>
          <w:spacing w:val="-63"/>
        </w:rPr>
      </w:r>
      <w:r>
        <w:rPr>
          <w:spacing w:val="-2"/>
        </w:rPr>
        <w:t>认收入；智能化网络布线工程集成业务在同时满足收入金额能够可靠计量、相关经济利益很可能流入、交易的完工进度能够</w:t>
      </w:r>
      <w:r>
        <w:rPr>
          <w:spacing w:val="-63"/>
        </w:rPr>
        <w:t> </w:t>
      </w:r>
      <w:r>
        <w:rPr>
          <w:spacing w:val="-63"/>
        </w:rPr>
      </w:r>
      <w:r>
        <w:rPr/>
        <w:t>可靠确定、交易中已发生和将发生的成本能够可靠计量的前提下，采用完工百分比法确认收入。</w:t>
      </w:r>
    </w:p>
    <w:p>
      <w:pPr>
        <w:pStyle w:val="BodyText"/>
        <w:spacing w:line="316" w:lineRule="auto" w:before="19"/>
        <w:ind w:right="1130" w:firstLine="360"/>
        <w:jc w:val="both"/>
      </w:pPr>
      <w:r>
        <w:rPr>
          <w:spacing w:val="-2"/>
        </w:rPr>
        <w:t>由于营业收入是创业慧康公司关键业绩指标之一，可能存在创业慧康公司管理层（以下简称管理层）通过不恰当的收入</w:t>
      </w:r>
      <w:r>
        <w:rPr/>
        <w:t> 确认以达到特定目标或预期的固有风险，因此，我们将收入确认确定为关键审计事项。</w:t>
      </w:r>
    </w:p>
    <w:p>
      <w:pPr>
        <w:pStyle w:val="BodyText"/>
        <w:spacing w:line="240" w:lineRule="auto" w:before="19"/>
        <w:ind w:left="472" w:right="882"/>
        <w:jc w:val="left"/>
      </w:pPr>
      <w:r>
        <w:rPr>
          <w:rFonts w:ascii="Times New Roman" w:hAnsi="Times New Roman" w:cs="Times New Roman" w:eastAsia="Times New Roman" w:hint="default"/>
        </w:rPr>
        <w:t>2.  </w:t>
      </w:r>
      <w:r>
        <w:rPr/>
        <w:t>审计应对</w:t>
      </w:r>
    </w:p>
    <w:p>
      <w:pPr>
        <w:spacing w:after="0" w:line="240" w:lineRule="auto"/>
        <w:jc w:val="left"/>
        <w:sectPr>
          <w:footerReference w:type="default" r:id="rId39"/>
          <w:pgSz w:w="11910" w:h="16840"/>
          <w:pgMar w:footer="1016" w:header="907" w:top="1100" w:bottom="1200" w:left="1020" w:right="0"/>
          <w:pgNumType w:start="90"/>
        </w:sectPr>
      </w:pPr>
    </w:p>
    <w:p>
      <w:pPr>
        <w:spacing w:line="240" w:lineRule="auto" w:before="13"/>
        <w:rPr>
          <w:rFonts w:ascii="宋体" w:hAnsi="宋体" w:cs="宋体" w:eastAsia="宋体" w:hint="default"/>
          <w:sz w:val="22"/>
          <w:szCs w:val="22"/>
        </w:rPr>
      </w:pPr>
    </w:p>
    <w:p>
      <w:pPr>
        <w:pStyle w:val="BodyText"/>
        <w:spacing w:line="240" w:lineRule="auto" w:before="44"/>
        <w:ind w:left="472" w:right="882"/>
        <w:jc w:val="left"/>
      </w:pPr>
      <w:r>
        <w:rPr/>
        <w:t>针对收入确认，我们实施的审计程序主要包括：</w:t>
      </w:r>
    </w:p>
    <w:p>
      <w:pPr>
        <w:pStyle w:val="BodyText"/>
        <w:spacing w:line="300" w:lineRule="auto" w:before="76"/>
        <w:ind w:right="1124" w:firstLine="360"/>
        <w:jc w:val="left"/>
      </w:pPr>
      <w:r>
        <w:rPr/>
        <w:t>（</w:t>
      </w:r>
      <w:r>
        <w:rPr>
          <w:rFonts w:ascii="Times New Roman" w:hAnsi="Times New Roman" w:cs="Times New Roman" w:eastAsia="Times New Roman" w:hint="default"/>
        </w:rPr>
        <w:t>1</w:t>
      </w:r>
      <w:r>
        <w:rPr/>
        <w:t>）了解与收入确认相关的关键内部控制，评价这些控制的设计，确定其是否得到执行，并测试相关内部控制的运行 有效性；</w:t>
      </w:r>
    </w:p>
    <w:p>
      <w:pPr>
        <w:pStyle w:val="BodyText"/>
        <w:spacing w:line="240" w:lineRule="auto" w:before="31"/>
        <w:ind w:left="472" w:right="882"/>
        <w:jc w:val="left"/>
      </w:pPr>
      <w:r>
        <w:rPr/>
        <w:t>（</w:t>
      </w:r>
      <w:r>
        <w:rPr>
          <w:rFonts w:ascii="Times New Roman" w:hAnsi="Times New Roman" w:cs="Times New Roman" w:eastAsia="Times New Roman" w:hint="default"/>
        </w:rPr>
        <w:t>2</w:t>
      </w:r>
      <w:r>
        <w:rPr/>
        <w:t>）检查主要的销售合同，评价收入确认政策是否符合企业会计准则的规定；</w:t>
      </w:r>
    </w:p>
    <w:p>
      <w:pPr>
        <w:pStyle w:val="BodyText"/>
        <w:spacing w:line="240" w:lineRule="auto" w:before="63"/>
        <w:ind w:left="472" w:right="882"/>
        <w:jc w:val="left"/>
      </w:pPr>
      <w:r>
        <w:rPr/>
        <w:t>（</w:t>
      </w:r>
      <w:r>
        <w:rPr>
          <w:rFonts w:ascii="Times New Roman" w:hAnsi="Times New Roman" w:cs="Times New Roman" w:eastAsia="Times New Roman" w:hint="default"/>
        </w:rPr>
        <w:t>3</w:t>
      </w:r>
      <w:r>
        <w:rPr/>
        <w:t>）对营业收入及毛利率按月度、项目等实施实质性分析程序，识别是否存在重大或异常波动，并查明波动原因；</w:t>
      </w:r>
    </w:p>
    <w:p>
      <w:pPr>
        <w:pStyle w:val="BodyText"/>
        <w:spacing w:line="300" w:lineRule="auto" w:before="63"/>
        <w:ind w:right="1124" w:firstLine="360"/>
        <w:jc w:val="left"/>
      </w:pPr>
      <w:r>
        <w:rPr/>
        <w:t>（</w:t>
      </w:r>
      <w:r>
        <w:rPr>
          <w:rFonts w:ascii="Times New Roman" w:hAnsi="Times New Roman" w:cs="Times New Roman" w:eastAsia="Times New Roman" w:hint="default"/>
        </w:rPr>
        <w:t>4</w:t>
      </w:r>
      <w:r>
        <w:rPr/>
        <w:t>）以抽样方式检查与收入确认相关的支持性文件，包括销售合同、完工进度表、客户验收单等；同时，以抽样方式 向主要客户函证项目收入及完工进度；</w:t>
      </w:r>
    </w:p>
    <w:p>
      <w:pPr>
        <w:pStyle w:val="BodyText"/>
        <w:spacing w:line="300" w:lineRule="auto" w:before="31"/>
        <w:ind w:right="1124" w:firstLine="360"/>
        <w:jc w:val="left"/>
      </w:pPr>
      <w:r>
        <w:rPr/>
        <w:t>（</w:t>
      </w:r>
      <w:r>
        <w:rPr>
          <w:rFonts w:ascii="Times New Roman" w:hAnsi="Times New Roman" w:cs="Times New Roman" w:eastAsia="Times New Roman" w:hint="default"/>
        </w:rPr>
        <w:t>5</w:t>
      </w:r>
      <w:r>
        <w:rPr/>
        <w:t>）以抽样方式对资产负债表日前后确认的营业收入核对至客户验收单等支持性文件，评价营业收入是否在恰当期间 确认；</w:t>
      </w:r>
    </w:p>
    <w:p>
      <w:pPr>
        <w:pStyle w:val="BodyText"/>
        <w:spacing w:line="240" w:lineRule="auto" w:before="31"/>
        <w:ind w:left="472" w:right="882"/>
        <w:jc w:val="left"/>
      </w:pPr>
      <w:r>
        <w:rPr/>
        <w:t>（</w:t>
      </w:r>
      <w:r>
        <w:rPr>
          <w:rFonts w:ascii="Times New Roman" w:hAnsi="Times New Roman" w:cs="Times New Roman" w:eastAsia="Times New Roman" w:hint="default"/>
        </w:rPr>
        <w:t>6</w:t>
      </w:r>
      <w:r>
        <w:rPr/>
        <w:t>）检查与营业收入相关的信息是否已在财务报表中作出恰当列报和披露。</w:t>
      </w:r>
    </w:p>
    <w:p>
      <w:pPr>
        <w:pStyle w:val="BodyText"/>
        <w:spacing w:line="240" w:lineRule="auto" w:before="63"/>
        <w:ind w:left="472" w:right="882"/>
        <w:jc w:val="left"/>
      </w:pPr>
      <w:r>
        <w:rPr/>
        <w:t>（二）商誉减值</w:t>
      </w:r>
    </w:p>
    <w:p>
      <w:pPr>
        <w:pStyle w:val="BodyText"/>
        <w:spacing w:line="300" w:lineRule="auto" w:before="76"/>
        <w:ind w:left="472" w:right="5714"/>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4"/>
        </w:rPr>
        <w:t> </w:t>
      </w:r>
      <w:r>
        <w:rPr/>
        <w:t>事项描述 相关信息披露详见财务报表附注三（十七）及五（一）</w:t>
      </w:r>
      <w:r>
        <w:rPr>
          <w:rFonts w:ascii="Times New Roman" w:hAnsi="Times New Roman" w:cs="Times New Roman" w:eastAsia="Times New Roman" w:hint="default"/>
        </w:rPr>
        <w:t>18</w:t>
      </w:r>
      <w:r>
        <w:rPr/>
        <w:t>。</w:t>
      </w:r>
    </w:p>
    <w:p>
      <w:pPr>
        <w:pStyle w:val="BodyText"/>
        <w:spacing w:line="300" w:lineRule="auto" w:before="13"/>
        <w:ind w:left="472" w:right="882"/>
        <w:jc w:val="left"/>
      </w:pPr>
      <w:r>
        <w:rPr/>
        <w:t>截至</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日，创业慧康公司财务报表所示商誉项目账面价值为人民币</w:t>
      </w:r>
      <w:r>
        <w:rPr>
          <w:spacing w:val="-46"/>
        </w:rPr>
        <w:t> </w:t>
      </w:r>
      <w:r>
        <w:rPr>
          <w:rFonts w:ascii="Times New Roman" w:hAnsi="Times New Roman" w:cs="Times New Roman" w:eastAsia="Times New Roman" w:hint="default"/>
        </w:rPr>
        <w:t>110,265.17</w:t>
      </w:r>
      <w:r>
        <w:rPr>
          <w:rFonts w:ascii="Times New Roman" w:hAnsi="Times New Roman" w:cs="Times New Roman" w:eastAsia="Times New Roman" w:hint="default"/>
          <w:spacing w:val="-2"/>
        </w:rPr>
        <w:t> </w:t>
      </w:r>
      <w:r>
        <w:rPr/>
        <w:t>万元。 </w:t>
      </w:r>
      <w:r>
        <w:rPr>
          <w:spacing w:val="-2"/>
        </w:rPr>
        <w:t>管理层于每年年度终了对企业合并所形成的商誉进行减值测试。管理层将商誉结合与其相关的资产组或者资产组组合进</w:t>
      </w:r>
    </w:p>
    <w:p>
      <w:pPr>
        <w:pStyle w:val="BodyText"/>
        <w:spacing w:line="316" w:lineRule="auto" w:before="31"/>
        <w:ind w:right="882"/>
        <w:jc w:val="left"/>
      </w:pPr>
      <w:r>
        <w:rPr>
          <w:spacing w:val="-2"/>
        </w:rPr>
        <w:t>行减值测试，相关资产组或资产组组合的可收回金额按照预计未来现金流量现值计算确定。减值测试中采用的关键假设包括</w:t>
      </w:r>
      <w:r>
        <w:rPr>
          <w:spacing w:val="-64"/>
        </w:rPr>
        <w:t> </w:t>
      </w:r>
      <w:r>
        <w:rPr>
          <w:spacing w:val="-64"/>
        </w:rPr>
      </w:r>
      <w:r>
        <w:rPr/>
        <w:t>预测期收入增长率、永续预测期增长率、毛利率、折现率等。</w:t>
      </w:r>
    </w:p>
    <w:p>
      <w:pPr>
        <w:pStyle w:val="BodyText"/>
        <w:spacing w:line="240" w:lineRule="auto" w:before="19"/>
        <w:ind w:left="472" w:right="882"/>
        <w:jc w:val="left"/>
      </w:pPr>
      <w:r>
        <w:rPr/>
        <w:t>由于商誉金额重大，且商誉减值测试涉及重大管理层判断，因此，我们将商誉减值确定为关键审计事项。</w:t>
      </w:r>
    </w:p>
    <w:p>
      <w:pPr>
        <w:pStyle w:val="BodyText"/>
        <w:spacing w:line="300" w:lineRule="auto" w:before="76"/>
        <w:ind w:left="472" w:right="6614"/>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44"/>
        </w:rPr>
        <w:t> </w:t>
      </w:r>
      <w:r>
        <w:rPr/>
        <w:t>审计应对 针对商誉减值，我们实施的审计程序主要包括：</w:t>
      </w:r>
    </w:p>
    <w:p>
      <w:pPr>
        <w:pStyle w:val="BodyText"/>
        <w:spacing w:line="300" w:lineRule="auto" w:before="31"/>
        <w:ind w:right="1124" w:firstLine="360"/>
        <w:jc w:val="left"/>
      </w:pPr>
      <w:r>
        <w:rPr/>
        <w:t>（</w:t>
      </w:r>
      <w:r>
        <w:rPr>
          <w:rFonts w:ascii="Times New Roman" w:hAnsi="Times New Roman" w:cs="Times New Roman" w:eastAsia="Times New Roman" w:hint="default"/>
        </w:rPr>
        <w:t>1</w:t>
      </w:r>
      <w:r>
        <w:rPr/>
        <w:t>）了解与商誉减值相关的关键内部控制，评价这些控制的设计，确定其是否得到执行，并测试相关内部控制的运行 有效性；</w:t>
      </w:r>
    </w:p>
    <w:p>
      <w:pPr>
        <w:pStyle w:val="BodyText"/>
        <w:spacing w:line="240" w:lineRule="auto" w:before="31"/>
        <w:ind w:left="472" w:right="882"/>
        <w:jc w:val="left"/>
      </w:pPr>
      <w:r>
        <w:rPr/>
        <w:t>（</w:t>
      </w:r>
      <w:r>
        <w:rPr>
          <w:rFonts w:ascii="Times New Roman" w:hAnsi="Times New Roman" w:cs="Times New Roman" w:eastAsia="Times New Roman" w:hint="default"/>
        </w:rPr>
        <w:t>2</w:t>
      </w:r>
      <w:r>
        <w:rPr/>
        <w:t>）复核管理层以前年度对未来现金流量现值的预测和实际经营结果，评价管理层过往预测的准确性；</w:t>
      </w:r>
    </w:p>
    <w:p>
      <w:pPr>
        <w:pStyle w:val="BodyText"/>
        <w:spacing w:line="240" w:lineRule="auto" w:before="63"/>
        <w:ind w:left="472" w:right="882"/>
        <w:jc w:val="left"/>
      </w:pPr>
      <w:r>
        <w:rPr/>
        <w:t>（</w:t>
      </w:r>
      <w:r>
        <w:rPr>
          <w:rFonts w:ascii="Times New Roman" w:hAnsi="Times New Roman" w:cs="Times New Roman" w:eastAsia="Times New Roman" w:hint="default"/>
        </w:rPr>
        <w:t>3</w:t>
      </w:r>
      <w:r>
        <w:rPr/>
        <w:t>）了解并评价管理层聘用的外部估值专家的胜任能力、专业素质和客观性；</w:t>
      </w:r>
    </w:p>
    <w:p>
      <w:pPr>
        <w:pStyle w:val="BodyText"/>
        <w:spacing w:line="240" w:lineRule="auto" w:before="63"/>
        <w:ind w:left="472" w:right="882"/>
        <w:jc w:val="left"/>
      </w:pPr>
      <w:r>
        <w:rPr/>
        <w:t>（</w:t>
      </w:r>
      <w:r>
        <w:rPr>
          <w:rFonts w:ascii="Times New Roman" w:hAnsi="Times New Roman" w:cs="Times New Roman" w:eastAsia="Times New Roman" w:hint="default"/>
        </w:rPr>
        <w:t>4</w:t>
      </w:r>
      <w:r>
        <w:rPr/>
        <w:t>）评价管理层在减值测试中使用方法的合理性和一致性；</w:t>
      </w:r>
    </w:p>
    <w:p>
      <w:pPr>
        <w:pStyle w:val="BodyText"/>
        <w:spacing w:line="300" w:lineRule="auto" w:before="63"/>
        <w:ind w:right="1124" w:firstLine="360"/>
        <w:jc w:val="left"/>
      </w:pPr>
      <w:r>
        <w:rPr/>
        <w:t>（</w:t>
      </w:r>
      <w:r>
        <w:rPr>
          <w:rFonts w:ascii="Times New Roman" w:hAnsi="Times New Roman" w:cs="Times New Roman" w:eastAsia="Times New Roman" w:hint="default"/>
        </w:rPr>
        <w:t>5</w:t>
      </w:r>
      <w:r>
        <w:rPr/>
        <w:t>）评价管理层在减值测试中采用的关键假设的合理性，复核相关假设是否与总体经济环境、行业状况、经营情况、 历史经验、管理层使用的与财务报表相关的其他假设等相符；</w:t>
      </w:r>
    </w:p>
    <w:p>
      <w:pPr>
        <w:pStyle w:val="BodyText"/>
        <w:spacing w:line="300" w:lineRule="auto" w:before="31"/>
        <w:ind w:right="1124" w:firstLine="360"/>
        <w:jc w:val="left"/>
      </w:pPr>
      <w:r>
        <w:rPr/>
        <w:t>（</w:t>
      </w:r>
      <w:r>
        <w:rPr>
          <w:rFonts w:ascii="Times New Roman" w:hAnsi="Times New Roman" w:cs="Times New Roman" w:eastAsia="Times New Roman" w:hint="default"/>
        </w:rPr>
        <w:t>6</w:t>
      </w:r>
      <w:r>
        <w:rPr/>
        <w:t>）复核管理层对关键假设执行的敏感性分析，评价关键假设的变化对减值测试结果的影响，识别在选择关键假设时 可能存在的管理层偏向的迹象；</w:t>
      </w:r>
    </w:p>
    <w:p>
      <w:pPr>
        <w:pStyle w:val="BodyText"/>
        <w:spacing w:line="240" w:lineRule="auto" w:before="31"/>
        <w:ind w:left="472" w:right="882"/>
        <w:jc w:val="left"/>
      </w:pPr>
      <w:r>
        <w:rPr/>
        <w:t>（</w:t>
      </w:r>
      <w:r>
        <w:rPr>
          <w:rFonts w:ascii="Times New Roman" w:hAnsi="Times New Roman" w:cs="Times New Roman" w:eastAsia="Times New Roman" w:hint="default"/>
        </w:rPr>
        <w:t>7</w:t>
      </w:r>
      <w:r>
        <w:rPr/>
        <w:t>）测试管理层在减值测试中使用数据的准确性、完整性和相关性，并复核减值测试中有关信息的内在一致性；</w:t>
      </w:r>
    </w:p>
    <w:p>
      <w:pPr>
        <w:pStyle w:val="BodyText"/>
        <w:spacing w:line="240" w:lineRule="auto" w:before="63"/>
        <w:ind w:left="472" w:right="882"/>
        <w:jc w:val="left"/>
      </w:pPr>
      <w:r>
        <w:rPr/>
        <w:t>（</w:t>
      </w:r>
      <w:r>
        <w:rPr>
          <w:rFonts w:ascii="Times New Roman" w:hAnsi="Times New Roman" w:cs="Times New Roman" w:eastAsia="Times New Roman" w:hint="default"/>
        </w:rPr>
        <w:t>8</w:t>
      </w:r>
      <w:r>
        <w:rPr/>
        <w:t>）测试管理层对预计未来现金流量现值的计算是否准确；</w:t>
      </w:r>
    </w:p>
    <w:p>
      <w:pPr>
        <w:pStyle w:val="BodyText"/>
        <w:spacing w:line="240" w:lineRule="auto" w:before="63"/>
        <w:ind w:left="472" w:right="882"/>
        <w:jc w:val="left"/>
      </w:pPr>
      <w:r>
        <w:rPr/>
        <w:t>（</w:t>
      </w:r>
      <w:r>
        <w:rPr>
          <w:rFonts w:ascii="Times New Roman" w:hAnsi="Times New Roman" w:cs="Times New Roman" w:eastAsia="Times New Roman" w:hint="default"/>
        </w:rPr>
        <w:t>9</w:t>
      </w:r>
      <w:r>
        <w:rPr/>
        <w:t>）检查与商誉减值相关的信息是否已在财务报表中作出恰当列报和披露。</w:t>
      </w:r>
    </w:p>
    <w:p>
      <w:pPr>
        <w:pStyle w:val="BodyText"/>
        <w:spacing w:line="316" w:lineRule="auto" w:before="63"/>
        <w:ind w:left="472" w:right="2294"/>
        <w:jc w:val="left"/>
      </w:pPr>
      <w:bookmarkStart w:name="四、其他信息" w:id="164"/>
      <w:bookmarkEnd w:id="164"/>
      <w:r>
        <w:rPr/>
      </w:r>
      <w:r>
        <w:rPr>
          <w:rFonts w:ascii="黑体" w:hAnsi="黑体" w:cs="黑体" w:eastAsia="黑体" w:hint="default"/>
          <w:b/>
          <w:bCs/>
        </w:rPr>
        <w:t>四、其他信息</w:t>
      </w:r>
      <w:r>
        <w:rPr>
          <w:rFonts w:ascii="黑体" w:hAnsi="黑体" w:cs="黑体" w:eastAsia="黑体" w:hint="default"/>
          <w:b/>
          <w:bCs/>
          <w:w w:val="99"/>
        </w:rPr>
        <w:t> </w:t>
      </w:r>
      <w:r>
        <w:rPr/>
        <w:t>管理层对其他信息负责。其他信息包括年度报告中涵盖的信息，但不包括财务报表和我们的审计报告。 我们对财务报表发表的审计意见不涵盖其他信息，我们也不对其他信息发表任何形式的鉴证结论。</w:t>
      </w:r>
    </w:p>
    <w:p>
      <w:pPr>
        <w:pStyle w:val="BodyText"/>
        <w:spacing w:line="316" w:lineRule="auto" w:before="19"/>
        <w:ind w:right="882" w:firstLine="360"/>
        <w:jc w:val="left"/>
      </w:pPr>
      <w:r>
        <w:rPr>
          <w:spacing w:val="-2"/>
        </w:rPr>
        <w:t>结合我们对财务报表的审计，我们的责任是阅读其他信息，在此过程中，考虑其他信息是否与财务报表或我们在审计过</w:t>
      </w:r>
      <w:r>
        <w:rPr/>
        <w:t> 程中了解到的情况存在重大不一致或者似乎存在重大错报。</w:t>
      </w:r>
    </w:p>
    <w:p>
      <w:pPr>
        <w:pStyle w:val="BodyText"/>
        <w:spacing w:line="316" w:lineRule="auto" w:before="19"/>
        <w:ind w:right="882" w:firstLine="360"/>
        <w:jc w:val="left"/>
      </w:pPr>
      <w:r>
        <w:rPr>
          <w:spacing w:val="-2"/>
        </w:rPr>
        <w:t>基于我们已执行的工作，如果我们确定其他信息存在重大错报，我们应当报告该事实。在这方面，我们无任何事项需要</w:t>
      </w:r>
      <w:r>
        <w:rPr/>
        <w:t> 报告。</w:t>
      </w:r>
    </w:p>
    <w:p>
      <w:pPr>
        <w:pStyle w:val="Heading5"/>
        <w:spacing w:line="240" w:lineRule="auto"/>
        <w:ind w:right="882"/>
        <w:jc w:val="left"/>
        <w:rPr>
          <w:rFonts w:ascii="黑体" w:hAnsi="黑体" w:cs="黑体" w:eastAsia="黑体" w:hint="default"/>
          <w:b w:val="0"/>
          <w:bCs w:val="0"/>
        </w:rPr>
      </w:pPr>
      <w:bookmarkStart w:name="五、管理层和治理层对财务报表的责任" w:id="165"/>
      <w:bookmarkEnd w:id="165"/>
      <w:r>
        <w:rPr>
          <w:b w:val="0"/>
          <w:bCs w:val="0"/>
        </w:rPr>
      </w:r>
      <w:r>
        <w:rPr>
          <w:rFonts w:ascii="黑体" w:hAnsi="黑体" w:cs="黑体" w:eastAsia="黑体" w:hint="default"/>
        </w:rPr>
        <w:t>五、管理层和治理层对财务报表的责任</w:t>
      </w:r>
      <w:r>
        <w:rPr>
          <w:rFonts w:ascii="黑体" w:hAnsi="黑体" w:cs="黑体" w:eastAsia="黑体" w:hint="default"/>
          <w:b w:val="0"/>
          <w:bCs w:val="0"/>
        </w:rPr>
      </w:r>
    </w:p>
    <w:p>
      <w:pPr>
        <w:pStyle w:val="BodyText"/>
        <w:spacing w:line="316" w:lineRule="auto" w:before="76"/>
        <w:ind w:right="882" w:firstLine="360"/>
        <w:jc w:val="left"/>
      </w:pPr>
      <w:r>
        <w:rPr>
          <w:spacing w:val="-2"/>
        </w:rPr>
        <w:t>管理层负责按照企业会计准则的规定编制财务报表，使其实现公允反映，并设计、执行和维护必要的内部控制，以使财</w:t>
      </w:r>
      <w:r>
        <w:rPr/>
        <w:t> 务报表不存在由于舞弊或错误导致的重大错报。</w:t>
      </w:r>
    </w:p>
    <w:p>
      <w:pPr>
        <w:pStyle w:val="BodyText"/>
        <w:spacing w:line="316" w:lineRule="auto" w:before="19"/>
        <w:ind w:right="882" w:firstLine="360"/>
        <w:jc w:val="left"/>
      </w:pPr>
      <w:r>
        <w:rPr>
          <w:spacing w:val="-2"/>
        </w:rPr>
        <w:t>在编制财务报表时，管理层负责评估创业慧康公司的持续经营能力，披露与持续经营相关的事项（如适用），并运用持</w:t>
      </w:r>
      <w:r>
        <w:rPr/>
        <w:t> 续经营假设，除非计划进行清算、终止运营或别无其他现实的选择。</w:t>
      </w:r>
    </w:p>
    <w:p>
      <w:pPr>
        <w:spacing w:after="0" w:line="316"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left="472" w:right="882"/>
        <w:jc w:val="left"/>
      </w:pPr>
      <w:r>
        <w:rPr/>
        <w:t>创业慧康公司治理层（以下简称治理层）负责监督创业慧康公司的财务报告过程。 </w:t>
      </w:r>
      <w:bookmarkStart w:name="六、注册会计师对财务报表审计的责任" w:id="166"/>
      <w:bookmarkEnd w:id="166"/>
      <w:r>
        <w:rPr/>
      </w:r>
      <w:r>
        <w:rPr>
          <w:rFonts w:ascii="黑体" w:hAnsi="黑体" w:cs="黑体" w:eastAsia="黑体" w:hint="default"/>
          <w:b/>
          <w:bCs/>
        </w:rPr>
        <w:t>六、注册会计师对财务报表审计的责任</w:t>
      </w:r>
      <w:r>
        <w:rPr>
          <w:rFonts w:ascii="黑体" w:hAnsi="黑体" w:cs="黑体" w:eastAsia="黑体" w:hint="default"/>
          <w:b/>
          <w:bCs/>
          <w:w w:val="99"/>
        </w:rPr>
        <w:t> </w:t>
      </w:r>
      <w:r>
        <w:rPr>
          <w:spacing w:val="-2"/>
        </w:rPr>
        <w:t>我们的目标是对财务报表整体是否不存在由于舞弊或错误导致的重大错报获取合理保证，并出具包含审计意见的审计报</w:t>
      </w:r>
    </w:p>
    <w:p>
      <w:pPr>
        <w:pStyle w:val="BodyText"/>
        <w:spacing w:line="316" w:lineRule="auto" w:before="19"/>
        <w:ind w:right="1130"/>
        <w:jc w:val="both"/>
      </w:pPr>
      <w:r>
        <w:rPr>
          <w:spacing w:val="-2"/>
        </w:rPr>
        <w:t>告。合理保证是高水平的保证，但并不能保证按照审计准则执行的审计在某一重大错报存在时总能发现。错报可能由于舞弊</w:t>
      </w:r>
      <w:r>
        <w:rPr>
          <w:spacing w:val="-63"/>
        </w:rPr>
        <w:t> </w:t>
      </w:r>
      <w:r>
        <w:rPr>
          <w:spacing w:val="-63"/>
        </w:rPr>
      </w:r>
      <w:r>
        <w:rPr>
          <w:spacing w:val="-2"/>
        </w:rPr>
        <w:t>或错误导致，如果合理预期错报单独或汇总起来可能影响财务报表使用者依据财务报表作出的经济决策，则通常认为错报是</w:t>
      </w:r>
      <w:r>
        <w:rPr>
          <w:spacing w:val="-64"/>
        </w:rPr>
        <w:t> </w:t>
      </w:r>
      <w:r>
        <w:rPr>
          <w:spacing w:val="-64"/>
        </w:rPr>
      </w:r>
      <w:r>
        <w:rPr/>
        <w:t>重大的。</w:t>
      </w:r>
    </w:p>
    <w:p>
      <w:pPr>
        <w:pStyle w:val="BodyText"/>
        <w:spacing w:line="240" w:lineRule="auto" w:before="19"/>
        <w:ind w:left="472" w:right="882"/>
        <w:jc w:val="left"/>
      </w:pPr>
      <w:r>
        <w:rPr/>
        <w:t>在按照审计准则执行审计工作的过程中，我们运用职业判断，并保持职业怀疑。同时，我们也执行以下工作：</w:t>
      </w:r>
    </w:p>
    <w:p>
      <w:pPr>
        <w:pStyle w:val="BodyText"/>
        <w:spacing w:line="316" w:lineRule="auto" w:before="76"/>
        <w:ind w:right="1051" w:firstLine="360"/>
        <w:jc w:val="both"/>
      </w:pPr>
      <w:r>
        <w:rPr/>
        <w:t>（一）识别和评估由于舞弊或错误导致的财务报表重大错报风险，设计和实施审计程序以应对这些风险，并获取充分、 适当的审计证据，作为发表审计意见的基础。由于舞弊可能涉及串通、伪造、故意遗漏、虚假陈述或凌驾于内部控制之上， 未能发现由于舞弊导致的重大错报的风险高于未能发现由于错误导致的重大错报的风险。</w:t>
      </w:r>
    </w:p>
    <w:p>
      <w:pPr>
        <w:pStyle w:val="BodyText"/>
        <w:spacing w:line="240" w:lineRule="auto" w:before="7"/>
        <w:ind w:left="472" w:right="882"/>
        <w:jc w:val="left"/>
      </w:pPr>
      <w:r>
        <w:rPr/>
        <w:t>（二）了解与审计相关的内部控制，以设计恰当的审计程序</w:t>
      </w:r>
      <w:r>
        <w:rPr>
          <w:rFonts w:ascii="宋体" w:hAnsi="宋体" w:cs="宋体" w:eastAsia="宋体" w:hint="default"/>
          <w:i/>
          <w:sz w:val="19"/>
          <w:szCs w:val="19"/>
        </w:rPr>
        <w:t>，</w:t>
      </w:r>
      <w:r>
        <w:rPr/>
        <w:t>但目的并非对内部控制的有效性发表意见。</w:t>
      </w:r>
    </w:p>
    <w:p>
      <w:pPr>
        <w:pStyle w:val="BodyText"/>
        <w:spacing w:line="240" w:lineRule="auto" w:before="75"/>
        <w:ind w:left="472" w:right="882"/>
        <w:jc w:val="left"/>
      </w:pPr>
      <w:r>
        <w:rPr/>
        <w:t>（三）评价管理层选用会计政策的恰当性和作出会计估计及相关披露的合理性。</w:t>
      </w:r>
    </w:p>
    <w:p>
      <w:pPr>
        <w:pStyle w:val="BodyText"/>
        <w:spacing w:line="316" w:lineRule="auto" w:before="76"/>
        <w:ind w:right="1130" w:firstLine="360"/>
        <w:jc w:val="both"/>
      </w:pPr>
      <w:r>
        <w:rPr>
          <w:spacing w:val="-2"/>
        </w:rPr>
        <w:t>（四）对管理层使用持续经营假设的恰当性得出结论。同时，根据获取的审计证据，就可能导致对创业慧康公司持续经</w:t>
      </w:r>
      <w:r>
        <w:rPr/>
        <w:t> </w:t>
      </w:r>
      <w:r>
        <w:rPr>
          <w:spacing w:val="-2"/>
        </w:rPr>
        <w:t>营能力产生重大疑虑的事项或情况是否存在重大不确定性得出结论。如果我们得出结论认为存在重大不确定性，审计准则要</w:t>
      </w:r>
      <w:r>
        <w:rPr>
          <w:spacing w:val="-64"/>
        </w:rPr>
        <w:t> </w:t>
      </w:r>
      <w:r>
        <w:rPr>
          <w:spacing w:val="-64"/>
        </w:rPr>
      </w:r>
      <w:r>
        <w:rPr>
          <w:spacing w:val="-2"/>
        </w:rPr>
        <w:t>求我们在审计报告中提请报表使用者注意财务报表中的相关披露；如果披露不充分，我们应当发表非无保留意见。我们的结</w:t>
      </w:r>
      <w:r>
        <w:rPr>
          <w:spacing w:val="-63"/>
        </w:rPr>
        <w:t> </w:t>
      </w:r>
      <w:r>
        <w:rPr>
          <w:spacing w:val="-63"/>
        </w:rPr>
      </w:r>
      <w:r>
        <w:rPr/>
        <w:t>论基于截至审计报告日可获得的信息。然而，未来的事项或情况可能导致创业慧康公司不能持续经营。</w:t>
      </w:r>
    </w:p>
    <w:p>
      <w:pPr>
        <w:pStyle w:val="BodyText"/>
        <w:spacing w:line="240" w:lineRule="auto" w:before="19"/>
        <w:ind w:left="472" w:right="882"/>
        <w:jc w:val="left"/>
      </w:pPr>
      <w:r>
        <w:rPr/>
        <w:t>（五）评价财务报表的总体列报、结构和内容，并评价财务报表是否公允反映相关交易和事项。</w:t>
      </w:r>
    </w:p>
    <w:p>
      <w:pPr>
        <w:pStyle w:val="BodyText"/>
        <w:spacing w:line="316" w:lineRule="auto" w:before="76"/>
        <w:ind w:right="1130" w:firstLine="360"/>
        <w:jc w:val="both"/>
      </w:pPr>
      <w:r>
        <w:rPr>
          <w:spacing w:val="-2"/>
        </w:rPr>
        <w:t>（六）就创业慧康公司中实体或业务活动的财务信息获取充分、适当的审计证据，以对财务报表发表审计意见。我们负</w:t>
      </w:r>
      <w:r>
        <w:rPr/>
        <w:t> 责指导、监督和执行集团审计，并对审计意见承担全部责任。</w:t>
      </w:r>
    </w:p>
    <w:p>
      <w:pPr>
        <w:pStyle w:val="BodyText"/>
        <w:spacing w:line="316" w:lineRule="auto" w:before="19"/>
        <w:ind w:right="1132" w:firstLine="360"/>
        <w:jc w:val="both"/>
      </w:pPr>
      <w:r>
        <w:rPr>
          <w:spacing w:val="-2"/>
        </w:rPr>
        <w:t>我们与治理层就计划的审计范围、时间安排和重大审计发现等事项进行沟通，包括沟通我们在审计中识别出的值得关注</w:t>
      </w:r>
      <w:r>
        <w:rPr/>
        <w:t> 的内部控制缺陷。</w:t>
      </w:r>
    </w:p>
    <w:p>
      <w:pPr>
        <w:pStyle w:val="BodyText"/>
        <w:spacing w:line="316" w:lineRule="auto" w:before="19"/>
        <w:ind w:right="1132" w:firstLine="360"/>
        <w:jc w:val="both"/>
      </w:pPr>
      <w:r>
        <w:rPr>
          <w:spacing w:val="-2"/>
        </w:rPr>
        <w:t>我们还就已遵守与独立性相关的职业道德要求向治理层提供声明，并与治理层沟通可能被合理认为影响我们独立性的所</w:t>
      </w:r>
      <w:r>
        <w:rPr/>
        <w:t> 有关系和其他事项，以及相关的防范措施（如适用）。</w:t>
      </w:r>
    </w:p>
    <w:p>
      <w:pPr>
        <w:pStyle w:val="BodyText"/>
        <w:spacing w:line="316" w:lineRule="auto" w:before="19"/>
        <w:ind w:right="1130" w:firstLine="360"/>
        <w:jc w:val="both"/>
      </w:pPr>
      <w:r>
        <w:rPr>
          <w:spacing w:val="-2"/>
        </w:rPr>
        <w:t>从与治理层沟通过的事项中，我们确定哪些事项对本期财务报表审计最为重要，因而构成关键审计事项。我们在审计报</w:t>
      </w:r>
      <w:r>
        <w:rPr/>
        <w:t> </w:t>
      </w:r>
      <w:r>
        <w:rPr>
          <w:spacing w:val="-2"/>
        </w:rPr>
        <w:t>告中描述这些事项，除非法律法规禁止公开披露这些事项，或在极少数情形下，如果合理预期在审计报告中沟通某事项造成</w:t>
      </w:r>
      <w:r>
        <w:rPr>
          <w:spacing w:val="-63"/>
        </w:rPr>
        <w:t> </w:t>
      </w:r>
      <w:r>
        <w:rPr>
          <w:spacing w:val="-63"/>
        </w:rPr>
      </w:r>
      <w:r>
        <w:rPr/>
        <w:t>的负面后果超过在公众利益方面产生的益处，我们确定不应在审计报告中沟通该事项。</w:t>
      </w:r>
    </w:p>
    <w:p>
      <w:pPr>
        <w:spacing w:line="240" w:lineRule="auto" w:before="9"/>
        <w:rPr>
          <w:rFonts w:ascii="宋体" w:hAnsi="宋体" w:cs="宋体" w:eastAsia="宋体" w:hint="default"/>
          <w:sz w:val="20"/>
          <w:szCs w:val="20"/>
        </w:rPr>
      </w:pPr>
    </w:p>
    <w:p>
      <w:pPr>
        <w:pStyle w:val="Heading2"/>
        <w:spacing w:line="240" w:lineRule="auto"/>
        <w:ind w:right="0"/>
        <w:jc w:val="both"/>
        <w:rPr>
          <w:b w:val="0"/>
          <w:bCs w:val="0"/>
        </w:rPr>
      </w:pPr>
      <w:bookmarkStart w:name="二、财务报表" w:id="167"/>
      <w:bookmarkEnd w:id="167"/>
      <w:r>
        <w:rPr>
          <w:b w:val="0"/>
          <w:bCs w:val="0"/>
        </w:rPr>
      </w:r>
      <w:r>
        <w:rPr/>
        <w:t>二、财务报表</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财务附注中报表的单位为：元</w:t>
      </w:r>
    </w:p>
    <w:p>
      <w:pPr>
        <w:spacing w:line="240" w:lineRule="auto" w:before="0"/>
        <w:rPr>
          <w:rFonts w:ascii="宋体" w:hAnsi="宋体" w:cs="宋体" w:eastAsia="宋体" w:hint="default"/>
          <w:sz w:val="18"/>
          <w:szCs w:val="18"/>
        </w:rPr>
      </w:pPr>
    </w:p>
    <w:p>
      <w:pPr>
        <w:pStyle w:val="Heading3"/>
        <w:spacing w:line="240" w:lineRule="auto" w:before="118"/>
        <w:ind w:right="0"/>
        <w:jc w:val="both"/>
        <w:rPr>
          <w:b w:val="0"/>
          <w:bCs w:val="0"/>
        </w:rPr>
      </w:pPr>
      <w:bookmarkStart w:name="1、合并资产负债表" w:id="168"/>
      <w:bookmarkEnd w:id="168"/>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882"/>
        <w:jc w:val="left"/>
      </w:pPr>
      <w:r>
        <w:rPr/>
        <w:t>编制单位：创业慧康科技股份有限公司</w:t>
      </w:r>
    </w:p>
    <w:p>
      <w:pPr>
        <w:pStyle w:val="BodyText"/>
        <w:spacing w:line="240" w:lineRule="auto" w:before="117"/>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062" w:right="0"/>
              <w:jc w:val="left"/>
              <w:rPr>
                <w:rFonts w:ascii="Times New Roman" w:hAnsi="Times New Roman" w:cs="Times New Roman" w:eastAsia="Times New Roman" w:hint="default"/>
                <w:sz w:val="18"/>
                <w:szCs w:val="18"/>
              </w:rPr>
            </w:pPr>
            <w:r>
              <w:rPr>
                <w:rFonts w:ascii="Times New Roman"/>
                <w:sz w:val="18"/>
              </w:rPr>
              <w:t>533,880,774.78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062" w:right="0"/>
              <w:jc w:val="left"/>
              <w:rPr>
                <w:rFonts w:ascii="Times New Roman" w:hAnsi="Times New Roman" w:cs="Times New Roman" w:eastAsia="Times New Roman" w:hint="default"/>
                <w:sz w:val="18"/>
                <w:szCs w:val="18"/>
              </w:rPr>
            </w:pPr>
            <w:r>
              <w:rPr>
                <w:rFonts w:ascii="Times New Roman"/>
                <w:sz w:val="18"/>
              </w:rPr>
              <w:t>468,367,664.95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 当期损益的金融资产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419,140.00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870,613,174.07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579,520,829.00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1,981,455.00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36,311,417.91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23,800,116.13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50,468,946.77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46,845,184.54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6" w:right="0"/>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143,627,846.38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87,484,101.22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3,603,861.44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4,632,718.53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1,640,906,616.35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1,211,805,063.10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118,600,000.00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178,706,046.35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174,191,056.66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8,500,000.00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110,000,000.00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3,247,984.16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3,469,909.40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290,194,928.57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300,209,659.68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2,891,000.00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59,837,374.74</w:t>
            </w:r>
          </w:p>
        </w:tc>
      </w:tr>
      <w:tr>
        <w:trPr>
          <w:trHeight w:val="40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169,265,048.15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53,662,512.60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22,868,695.50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4,795,473.91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1,102,651,704.23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1,108,004,441.03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30,171,289.62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19,119,574.04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15,258,610.18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9,853,267.74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1,948,755,306.76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1,866,743,269.80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pacing w:val="-1"/>
                <w:sz w:val="18"/>
              </w:rPr>
              <w:t>3,589,661,923.11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3,078,548,332.90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203,165,094.81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177,500,000.00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 当期损益的金融负债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14,967,649.90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7,249,126.60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266,228,809.69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224,340,891.35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158,237,094.77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151,174,479.72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73"/>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873"/>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48,903,358.81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45,089,388.06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80,353,343.21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45,649,502.65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185,679,377.21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59,760,398.83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263,113.28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6" w:right="0"/>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380,001.60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957,534,728.40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710,763,787.21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6,751,050.92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9,786,967.28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6,751,050.92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9,786,967.28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964,285,779.32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720,550,754.49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739,751,425.00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485,456,398.00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990,347,545.13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1,200,827,298.56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89,937,635.00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30,481,062.21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87,677,441.12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65,681,002.18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861,894,675.51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599,584,088.72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2,589,733,451.76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2,321,067,725.25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35,642,692.03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36,929,853.16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2,625,376,143.79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2,357,997,578.41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pacing w:val="-1"/>
                <w:sz w:val="18"/>
              </w:rPr>
              <w:t>3,589,661,923.11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3,078,548,332.90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2"/>
        <w:rPr>
          <w:rFonts w:ascii="Times New Roman" w:hAnsi="Times New Roman" w:cs="Times New Roman" w:eastAsia="Times New Roman" w:hint="default"/>
          <w:sz w:val="26"/>
          <w:szCs w:val="26"/>
        </w:rPr>
      </w:pPr>
    </w:p>
    <w:p>
      <w:pPr>
        <w:pStyle w:val="BodyText"/>
        <w:tabs>
          <w:tab w:pos="3331" w:val="left" w:leader="none"/>
          <w:tab w:pos="7559" w:val="left" w:leader="none"/>
        </w:tabs>
        <w:spacing w:line="240" w:lineRule="auto" w:before="44"/>
        <w:ind w:left="0" w:right="1231"/>
        <w:jc w:val="right"/>
      </w:pPr>
      <w:r>
        <w:rPr/>
        <w:t>法定代表人：葛航</w:t>
        <w:tab/>
        <w:t>主管会计工作负责人：郁燕萍</w:t>
        <w:tab/>
        <w:t>会计机构负责人：陈锦剑</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2、母公司资产负债表" w:id="169"/>
      <w:bookmarkEnd w:id="169"/>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157,684,240.48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114,034,048.46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153"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 当期损益的金融资产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419,140.00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627,596,062.12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449,196,171.05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1,981,455.00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25,714,764.91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18,350,593.64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70,976,951.69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51,452,558.84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6" w:right="0"/>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112,848,819.52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71,841,220.35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997,221,433.72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706,029,041.07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118,600,000.00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1,836,901,930.28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1,713,891,111.02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8,500,000.00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110,000,000.00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208,226,661.02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214,581,651.51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60,573,272.67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149,146,483.49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37,423,074.16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16,074,317.37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4,795,473.91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1,366,231.83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1,274,163.43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11,666,543.13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8,034,726.97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2,356,882,167.12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2,174,173,473.67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3,354,103,600.84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2,880,202,514.74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200,159,127.69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177,500,000.00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 当期损益的金融负债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14,967,649.90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7,249,126.60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202,800,810.95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177,151,017.11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114,773,369.04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108,841,969.43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28,903,414.36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27,692,509.44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57,103,995.30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32,816,736.91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206,810,835.81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57,417,799.26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263,113.28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6" w:right="0"/>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380,001.60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825,519,203.05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588,669,158.75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5,852,250.92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8,888,167.28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5,852,250.92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8,888,167.28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831,371,453.97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597,557,326.03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739,751,425.00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485,456,398.00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1,089,675,196.35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1,240,114,143.15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89,937,635.00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30,481,062.21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87,677,441.12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65,681,002.18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695,565,719.40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521,874,707.59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2,522,732,146.87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2,282,645,188.71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3,354,103,600.84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2,880,202,514.74</w:t>
            </w:r>
          </w:p>
        </w:tc>
      </w:tr>
    </w:tbl>
    <w:p>
      <w:pPr>
        <w:spacing w:line="240" w:lineRule="auto" w:before="11"/>
        <w:rPr>
          <w:rFonts w:ascii="Times New Roman" w:hAnsi="Times New Roman" w:cs="Times New Roman" w:eastAsia="Times New Roman" w:hint="default"/>
          <w:sz w:val="21"/>
          <w:szCs w:val="21"/>
        </w:rPr>
      </w:pPr>
    </w:p>
    <w:p>
      <w:pPr>
        <w:pStyle w:val="Heading3"/>
        <w:spacing w:line="240" w:lineRule="auto" w:before="34"/>
        <w:ind w:right="882"/>
        <w:jc w:val="left"/>
        <w:rPr>
          <w:b w:val="0"/>
          <w:bCs w:val="0"/>
        </w:rPr>
      </w:pPr>
      <w:bookmarkStart w:name="3、合并利润表" w:id="170"/>
      <w:bookmarkEnd w:id="170"/>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080"/>
        <w:gridCol w:w="3210"/>
        <w:gridCol w:w="3277"/>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1,479,824,747.66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1,290,288,361.43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1,479,824,747.66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1,290,288,361.43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3080"/>
        <w:gridCol w:w="3210"/>
        <w:gridCol w:w="3277"/>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1,168,692,361.68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1,071,045,933.77</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688,930,460.20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648,313,702.28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26"/>
              <w:jc w:val="righ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提取保险责任合同准备</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15,208,878.83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14,151,380.49</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150,423,920.49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119,474,828.74</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170,293,606.14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151,137,119.49</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138,083,855.06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130,424,387.09</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5,751,640.96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7,544,515.68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626"/>
              <w:jc w:val="right"/>
              <w:rPr>
                <w:rFonts w:ascii="宋体" w:hAnsi="宋体" w:cs="宋体" w:eastAsia="宋体" w:hint="default"/>
                <w:sz w:val="18"/>
                <w:szCs w:val="18"/>
              </w:rPr>
            </w:pPr>
            <w:r>
              <w:rPr>
                <w:rFonts w:ascii="宋体" w:hAnsi="宋体" w:cs="宋体" w:eastAsia="宋体" w:hint="default"/>
                <w:sz w:val="18"/>
                <w:szCs w:val="18"/>
              </w:rPr>
              <w:t>其中：利息费用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8,187,608.26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10,841,985.69</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26"/>
              <w:jc w:val="right"/>
              <w:rPr>
                <w:rFonts w:ascii="宋体" w:hAnsi="宋体" w:cs="宋体" w:eastAsia="宋体" w:hint="default"/>
                <w:sz w:val="18"/>
                <w:szCs w:val="18"/>
              </w:rPr>
            </w:pPr>
            <w:r>
              <w:rPr>
                <w:rFonts w:ascii="宋体" w:hAnsi="宋体" w:cs="宋体" w:eastAsia="宋体" w:hint="default"/>
                <w:sz w:val="18"/>
                <w:szCs w:val="18"/>
              </w:rPr>
              <w:t>利息收入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2,585,058.74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3,840,898.82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51,342,613.68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48,154,522.33</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投资收益（损失以“－”号</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46,495,462.77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8,729,415.78</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0" w:firstLine="720"/>
              <w:jc w:val="left"/>
              <w:rPr>
                <w:rFonts w:ascii="宋体" w:hAnsi="宋体" w:cs="宋体" w:eastAsia="宋体" w:hint="default"/>
                <w:sz w:val="18"/>
                <w:szCs w:val="18"/>
              </w:rPr>
            </w:pPr>
            <w:r>
              <w:rPr>
                <w:rFonts w:ascii="宋体" w:hAnsi="宋体" w:cs="宋体" w:eastAsia="宋体" w:hint="default"/>
                <w:spacing w:val="-2"/>
                <w:sz w:val="18"/>
                <w:szCs w:val="18"/>
              </w:rPr>
              <w:t>其中：对联营企业和合营企</w:t>
            </w:r>
            <w:r>
              <w:rPr>
                <w:rFonts w:ascii="宋体" w:hAnsi="宋体" w:cs="宋体" w:eastAsia="宋体" w:hint="default"/>
                <w:sz w:val="18"/>
                <w:szCs w:val="18"/>
              </w:rPr>
              <w:t> 业的投资收益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1,606,197.45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6,022,054.97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66" w:firstLine="1080"/>
              <w:jc w:val="left"/>
              <w:rPr>
                <w:rFonts w:ascii="宋体" w:hAnsi="宋体" w:cs="宋体" w:eastAsia="宋体" w:hint="default"/>
                <w:sz w:val="18"/>
                <w:szCs w:val="18"/>
              </w:rPr>
            </w:pPr>
            <w:r>
              <w:rPr>
                <w:rFonts w:ascii="宋体" w:hAnsi="宋体" w:cs="宋体" w:eastAsia="宋体" w:hint="default"/>
                <w:sz w:val="18"/>
                <w:szCs w:val="18"/>
              </w:rPr>
              <w:t>以摊余成本计量的金 融资产终止确认收益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pacing w:val="-6"/>
                <w:sz w:val="18"/>
                <w:szCs w:val="18"/>
              </w:rPr>
              <w:t>汇兑收益（损失以“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”号填</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66" w:firstLine="720"/>
              <w:jc w:val="left"/>
              <w:rPr>
                <w:rFonts w:ascii="宋体" w:hAnsi="宋体" w:cs="宋体" w:eastAsia="宋体" w:hint="default"/>
                <w:sz w:val="18"/>
                <w:szCs w:val="18"/>
              </w:rPr>
            </w:pPr>
            <w:r>
              <w:rPr>
                <w:rFonts w:ascii="宋体" w:hAnsi="宋体" w:cs="宋体" w:eastAsia="宋体" w:hint="default"/>
                <w:sz w:val="18"/>
                <w:szCs w:val="18"/>
              </w:rPr>
              <w:t>净敞口套期收益（损失以 “－”号填列）</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0" w:firstLine="720"/>
              <w:jc w:val="left"/>
              <w:rPr>
                <w:rFonts w:ascii="宋体" w:hAnsi="宋体" w:cs="宋体" w:eastAsia="宋体" w:hint="default"/>
                <w:sz w:val="18"/>
                <w:szCs w:val="18"/>
              </w:rPr>
            </w:pPr>
            <w:r>
              <w:rPr>
                <w:rFonts w:ascii="宋体" w:hAnsi="宋体" w:cs="宋体" w:eastAsia="宋体" w:hint="default"/>
                <w:spacing w:val="-2"/>
                <w:sz w:val="18"/>
                <w:szCs w:val="18"/>
              </w:rPr>
              <w:t>公允价值变动收益（损失以</w:t>
            </w:r>
            <w:r>
              <w:rPr>
                <w:rFonts w:ascii="宋体" w:hAnsi="宋体" w:cs="宋体" w:eastAsia="宋体" w:hint="default"/>
                <w:sz w:val="18"/>
                <w:szCs w:val="18"/>
              </w:rPr>
              <w:t> “－”号填列）</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 w:firstLine="720"/>
              <w:jc w:val="left"/>
              <w:rPr>
                <w:rFonts w:ascii="宋体" w:hAnsi="宋体" w:cs="宋体" w:eastAsia="宋体" w:hint="default"/>
                <w:sz w:val="18"/>
                <w:szCs w:val="18"/>
              </w:rPr>
            </w:pPr>
            <w:r>
              <w:rPr>
                <w:rFonts w:ascii="宋体" w:hAnsi="宋体" w:cs="宋体" w:eastAsia="宋体" w:hint="default"/>
                <w:sz w:val="18"/>
                <w:szCs w:val="18"/>
              </w:rPr>
              <w:t>信用减值损失（损失以“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 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-46,208,190.66</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 w:firstLine="720"/>
              <w:jc w:val="left"/>
              <w:rPr>
                <w:rFonts w:ascii="宋体" w:hAnsi="宋体" w:cs="宋体" w:eastAsia="宋体" w:hint="default"/>
                <w:sz w:val="18"/>
                <w:szCs w:val="18"/>
              </w:rPr>
            </w:pPr>
            <w:r>
              <w:rPr>
                <w:rFonts w:ascii="宋体" w:hAnsi="宋体" w:cs="宋体" w:eastAsia="宋体" w:hint="default"/>
                <w:sz w:val="18"/>
                <w:szCs w:val="18"/>
              </w:rPr>
              <w:t>资产减值损失（损失以“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 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-6,096,822.81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-30,723,582.66</w:t>
            </w:r>
          </w:p>
        </w:tc>
      </w:tr>
      <w:tr>
        <w:trPr>
          <w:trHeight w:val="71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 w:firstLine="72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 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8,209.13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1,466,690.47</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3080"/>
        <w:gridCol w:w="3210"/>
        <w:gridCol w:w="3277"/>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2"/>
              <w:jc w:val="right"/>
              <w:rPr>
                <w:rFonts w:ascii="宋体" w:hAnsi="宋体" w:cs="宋体" w:eastAsia="宋体" w:hint="default"/>
                <w:sz w:val="18"/>
                <w:szCs w:val="18"/>
              </w:rPr>
            </w:pPr>
            <w:r>
              <w:rPr>
                <w:rFonts w:ascii="宋体" w:hAnsi="宋体" w:cs="宋体" w:eastAsia="宋体" w:hint="default"/>
                <w:spacing w:val="-7"/>
                <w:sz w:val="18"/>
                <w:szCs w:val="18"/>
              </w:rPr>
              <w:t>三、营业利润（亏损以“－”号填列）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356,673,658.09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246,869,473.58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2,417,868.43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1,399.47</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605,002.55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880,823.74</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00"/>
              <w:jc w:val="left"/>
              <w:rPr>
                <w:rFonts w:ascii="宋体" w:hAnsi="宋体" w:cs="宋体" w:eastAsia="宋体" w:hint="default"/>
                <w:sz w:val="18"/>
                <w:szCs w:val="18"/>
              </w:rPr>
            </w:pPr>
            <w:r>
              <w:rPr>
                <w:rFonts w:ascii="宋体" w:hAnsi="宋体" w:cs="宋体" w:eastAsia="宋体" w:hint="default"/>
                <w:spacing w:val="-1"/>
                <w:sz w:val="18"/>
                <w:szCs w:val="18"/>
              </w:rPr>
              <w:t>四、利润总额（亏损总额以“－”号</w:t>
            </w:r>
            <w:r>
              <w:rPr>
                <w:rFonts w:ascii="宋体" w:hAnsi="宋体" w:cs="宋体" w:eastAsia="宋体" w:hint="default"/>
                <w:sz w:val="18"/>
                <w:szCs w:val="18"/>
              </w:rPr>
              <w:t> 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358,486,523.97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245,990,049.31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39,774,542.64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25,901,499.16</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
              <w:jc w:val="right"/>
              <w:rPr>
                <w:rFonts w:ascii="宋体" w:hAnsi="宋体" w:cs="宋体" w:eastAsia="宋体" w:hint="default"/>
                <w:sz w:val="18"/>
                <w:szCs w:val="18"/>
              </w:rPr>
            </w:pPr>
            <w:r>
              <w:rPr>
                <w:rFonts w:ascii="宋体" w:hAnsi="宋体" w:cs="宋体" w:eastAsia="宋体" w:hint="default"/>
                <w:spacing w:val="-7"/>
                <w:sz w:val="18"/>
                <w:szCs w:val="18"/>
              </w:rPr>
              <w:t>五、净利润（净亏损以“－”号填列）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318,711,981.33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220,088,550.15</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（一）按经营持续性分类</w:t>
            </w:r>
          </w:p>
        </w:tc>
        <w:tc>
          <w:tcPr>
            <w:tcW w:w="321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309"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 “－”号填列）</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318,711,981.33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220,088,550.15</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309"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 “－”号填列）</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宋体" w:hAnsi="宋体" w:cs="宋体" w:eastAsia="宋体" w:hint="default"/>
                <w:sz w:val="18"/>
                <w:szCs w:val="18"/>
              </w:rPr>
              <w:t>（二）按所有权归属分类</w:t>
            </w:r>
          </w:p>
        </w:tc>
        <w:tc>
          <w:tcPr>
            <w:tcW w:w="321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2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归属于母公司所有者的净利润</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314,070,351.32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212,681,116.27</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少数股东损益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4,641,630.01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7,407,433.88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66"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 益的税后净额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0" w:firstLine="352"/>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2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价值变动</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0" w:firstLine="352"/>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2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 他综合收益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变动</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2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 价值变动损益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0"/>
          <w:pgSz w:w="11910" w:h="16840"/>
          <w:pgMar w:footer="1016" w:header="907" w:top="1100" w:bottom="1200" w:left="1020" w:right="0"/>
          <w:pgNumType w:start="10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3080"/>
        <w:gridCol w:w="3210"/>
        <w:gridCol w:w="3277"/>
      </w:tblGrid>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2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 他综合收益的金额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2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 为可供出售金融资产损益</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66"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 的税后净额</w:t>
            </w:r>
          </w:p>
        </w:tc>
        <w:tc>
          <w:tcPr>
            <w:tcW w:w="3210"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318,711,981.33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220,088,550.15</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66"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 益总额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314,070,351.32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212,681,116.27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4,641,630.01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7,407,433.88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1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0.43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0.30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0.43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0.29</w:t>
            </w:r>
          </w:p>
        </w:tc>
      </w:tr>
    </w:tbl>
    <w:p>
      <w:pPr>
        <w:pStyle w:val="BodyText"/>
        <w:tabs>
          <w:tab w:pos="3443" w:val="left" w:leader="none"/>
          <w:tab w:pos="7672" w:val="left" w:leader="none"/>
        </w:tabs>
        <w:spacing w:line="624" w:lineRule="auto" w:before="51"/>
        <w:ind w:right="1231"/>
        <w:jc w:val="left"/>
      </w:pPr>
      <w:r>
        <w:rPr/>
        <w:t>本期发生同一控制下企业合并的，被合并方在合并前实现的净利润为：元，上期被合并方实现的净利润为：元。 法定代表人：葛航</w:t>
        <w:tab/>
        <w:t>主管会计工作负责人：郁燕萍</w:t>
        <w:tab/>
        <w:t>会计机构负责人：陈锦剑</w:t>
      </w:r>
    </w:p>
    <w:p>
      <w:pPr>
        <w:pStyle w:val="Heading3"/>
        <w:spacing w:line="240" w:lineRule="auto" w:before="65"/>
        <w:ind w:right="882"/>
        <w:jc w:val="left"/>
        <w:rPr>
          <w:b w:val="0"/>
          <w:bCs w:val="0"/>
        </w:rPr>
      </w:pPr>
      <w:bookmarkStart w:name="4、母公司利润表" w:id="171"/>
      <w:bookmarkEnd w:id="171"/>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1,040,792,763.07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799,728,116.05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510,557,284.76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402,115,110.77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10,659,325.69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10,249,157.10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101,562,419.15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78,614,579.19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119,817,623.41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112,136,128.81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102,248,939.98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99,955,800.27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7,714,558.54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10,239,950.07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93"/>
              <w:jc w:val="right"/>
              <w:rPr>
                <w:rFonts w:ascii="宋体" w:hAnsi="宋体" w:cs="宋体" w:eastAsia="宋体" w:hint="default"/>
                <w:sz w:val="18"/>
                <w:szCs w:val="18"/>
              </w:rPr>
            </w:pPr>
            <w:r>
              <w:rPr>
                <w:rFonts w:ascii="宋体" w:hAnsi="宋体" w:cs="宋体" w:eastAsia="宋体" w:hint="default"/>
                <w:sz w:val="18"/>
                <w:szCs w:val="18"/>
              </w:rPr>
              <w:t>其中：利息费用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8,483,461.23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11,040,822.60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693"/>
              <w:jc w:val="right"/>
              <w:rPr>
                <w:rFonts w:ascii="宋体" w:hAnsi="宋体" w:cs="宋体" w:eastAsia="宋体" w:hint="default"/>
                <w:sz w:val="18"/>
                <w:szCs w:val="18"/>
              </w:rPr>
            </w:pPr>
            <w:r>
              <w:rPr>
                <w:rFonts w:ascii="宋体" w:hAnsi="宋体" w:cs="宋体" w:eastAsia="宋体" w:hint="default"/>
                <w:sz w:val="18"/>
                <w:szCs w:val="18"/>
              </w:rPr>
              <w:t>利息收入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857,374.05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1,263,509.76</w:t>
            </w:r>
          </w:p>
        </w:tc>
      </w:tr>
      <w:tr>
        <w:trPr>
          <w:trHeight w:val="40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44,806,420.74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44,923,088.66</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firstLine="720"/>
              <w:jc w:val="left"/>
              <w:rPr>
                <w:rFonts w:ascii="宋体" w:hAnsi="宋体" w:cs="宋体" w:eastAsia="宋体" w:hint="default"/>
                <w:sz w:val="18"/>
                <w:szCs w:val="18"/>
              </w:rPr>
            </w:pPr>
            <w:r>
              <w:rPr>
                <w:rFonts w:ascii="宋体" w:hAnsi="宋体" w:cs="宋体" w:eastAsia="宋体" w:hint="default"/>
                <w:sz w:val="18"/>
                <w:szCs w:val="18"/>
              </w:rPr>
              <w:t>投资收益（损失以“－” 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46,058,822.00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147,470,356.34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 企业的投资收益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1,606,197.45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6,022,054.97</w:t>
            </w:r>
          </w:p>
        </w:tc>
      </w:tr>
      <w:tr>
        <w:trPr>
          <w:trHeight w:val="102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93" w:firstLine="1080"/>
              <w:jc w:val="both"/>
              <w:rPr>
                <w:rFonts w:ascii="宋体" w:hAnsi="宋体" w:cs="宋体" w:eastAsia="宋体" w:hint="default"/>
                <w:sz w:val="18"/>
                <w:szCs w:val="18"/>
              </w:rPr>
            </w:pPr>
            <w:r>
              <w:rPr>
                <w:rFonts w:ascii="宋体" w:hAnsi="宋体" w:cs="宋体" w:eastAsia="宋体" w:hint="default"/>
                <w:sz w:val="18"/>
                <w:szCs w:val="18"/>
              </w:rPr>
              <w:t>以摊余成本计量的金 融资产终止确认收益（损失以“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 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720"/>
              <w:jc w:val="left"/>
              <w:rPr>
                <w:rFonts w:ascii="宋体" w:hAnsi="宋体" w:cs="宋体" w:eastAsia="宋体" w:hint="default"/>
                <w:sz w:val="18"/>
                <w:szCs w:val="18"/>
              </w:rPr>
            </w:pPr>
            <w:r>
              <w:rPr>
                <w:rFonts w:ascii="宋体" w:hAnsi="宋体" w:cs="宋体" w:eastAsia="宋体" w:hint="default"/>
                <w:sz w:val="18"/>
                <w:szCs w:val="18"/>
              </w:rPr>
              <w:t>净敞口套期收益（损失以 “－”号填列）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 以“－”号填列）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1" w:firstLine="720"/>
              <w:jc w:val="left"/>
              <w:rPr>
                <w:rFonts w:ascii="宋体" w:hAnsi="宋体" w:cs="宋体" w:eastAsia="宋体" w:hint="default"/>
                <w:sz w:val="18"/>
                <w:szCs w:val="18"/>
              </w:rPr>
            </w:pPr>
            <w:r>
              <w:rPr>
                <w:rFonts w:ascii="宋体" w:hAnsi="宋体" w:cs="宋体" w:eastAsia="宋体" w:hint="default"/>
                <w:spacing w:val="-8"/>
                <w:sz w:val="18"/>
                <w:szCs w:val="18"/>
              </w:rPr>
              <w:t>信用减值损失（损失以“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 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-35,658,522.88</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1" w:firstLine="720"/>
              <w:jc w:val="left"/>
              <w:rPr>
                <w:rFonts w:ascii="宋体" w:hAnsi="宋体" w:cs="宋体" w:eastAsia="宋体" w:hint="default"/>
                <w:sz w:val="18"/>
                <w:szCs w:val="18"/>
              </w:rPr>
            </w:pPr>
            <w:r>
              <w:rPr>
                <w:rFonts w:ascii="宋体" w:hAnsi="宋体" w:cs="宋体" w:eastAsia="宋体" w:hint="default"/>
                <w:spacing w:val="-8"/>
                <w:sz w:val="18"/>
                <w:szCs w:val="18"/>
              </w:rPr>
              <w:t>资产减值损失（损失以“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 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-744,086.01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-29,538,288.08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1" w:firstLine="720"/>
              <w:jc w:val="left"/>
              <w:rPr>
                <w:rFonts w:ascii="宋体" w:hAnsi="宋体" w:cs="宋体" w:eastAsia="宋体" w:hint="default"/>
                <w:sz w:val="18"/>
                <w:szCs w:val="18"/>
              </w:rPr>
            </w:pPr>
            <w:r>
              <w:rPr>
                <w:rFonts w:ascii="宋体" w:hAnsi="宋体" w:cs="宋体" w:eastAsia="宋体" w:hint="default"/>
                <w:spacing w:val="-8"/>
                <w:sz w:val="18"/>
                <w:szCs w:val="18"/>
              </w:rPr>
              <w:t>资产处置收益（损失以“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 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-640.43</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jc w:val="left"/>
              <w:rPr>
                <w:rFonts w:ascii="宋体" w:hAnsi="宋体" w:cs="宋体" w:eastAsia="宋体" w:hint="default"/>
                <w:sz w:val="18"/>
                <w:szCs w:val="18"/>
              </w:rPr>
            </w:pPr>
            <w:r>
              <w:rPr>
                <w:rFonts w:ascii="宋体" w:hAnsi="宋体" w:cs="宋体" w:eastAsia="宋体" w:hint="default"/>
                <w:sz w:val="18"/>
                <w:szCs w:val="18"/>
              </w:rPr>
              <w:t>二、营业利润（亏损以“－”号填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242,694,604.96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249,272,546.76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35,000.81</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409,881.01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635,853.26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jc w:val="left"/>
              <w:rPr>
                <w:rFonts w:ascii="宋体" w:hAnsi="宋体" w:cs="宋体" w:eastAsia="宋体" w:hint="default"/>
                <w:sz w:val="18"/>
                <w:szCs w:val="18"/>
              </w:rPr>
            </w:pPr>
            <w:r>
              <w:rPr>
                <w:rFonts w:ascii="宋体" w:hAnsi="宋体" w:cs="宋体" w:eastAsia="宋体" w:hint="default"/>
                <w:sz w:val="18"/>
                <w:szCs w:val="18"/>
              </w:rPr>
              <w:t>三、利润总额（亏损总额以“－” 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242,319,724.76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248,636,693.50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18,103,128.55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6,995,468.95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jc w:val="left"/>
              <w:rPr>
                <w:rFonts w:ascii="宋体" w:hAnsi="宋体" w:cs="宋体" w:eastAsia="宋体" w:hint="default"/>
                <w:sz w:val="18"/>
                <w:szCs w:val="18"/>
              </w:rPr>
            </w:pPr>
            <w:r>
              <w:rPr>
                <w:rFonts w:ascii="宋体" w:hAnsi="宋体" w:cs="宋体" w:eastAsia="宋体" w:hint="default"/>
                <w:sz w:val="18"/>
                <w:szCs w:val="18"/>
              </w:rPr>
              <w:t>四、净利润（净亏损以“－”号填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224,216,596.21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241,641,224.55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 损以“－”号填列）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224,216,596.21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241,641,224.55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 损以“－”号填列）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 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9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 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其他权益工具投资公允价值变动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企业自身信用风险公允价值变动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454"/>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 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9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 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9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可供出售金融资产公允价值变动 损益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9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金融资产重分类计入其他综合收 益的金额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96"/>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持有至到期投资重分类为可供出 售金融资产损益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现金流量套期储备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062" w:right="0"/>
              <w:jc w:val="left"/>
              <w:rPr>
                <w:rFonts w:ascii="Times New Roman" w:hAnsi="Times New Roman" w:cs="Times New Roman" w:eastAsia="Times New Roman" w:hint="default"/>
                <w:sz w:val="18"/>
                <w:szCs w:val="18"/>
              </w:rPr>
            </w:pPr>
            <w:r>
              <w:rPr>
                <w:rFonts w:ascii="Times New Roman"/>
                <w:sz w:val="18"/>
              </w:rPr>
              <w:t>224,216,596.21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062" w:right="0"/>
              <w:jc w:val="left"/>
              <w:rPr>
                <w:rFonts w:ascii="Times New Roman" w:hAnsi="Times New Roman" w:cs="Times New Roman" w:eastAsia="Times New Roman" w:hint="default"/>
                <w:sz w:val="18"/>
                <w:szCs w:val="18"/>
              </w:rPr>
            </w:pPr>
            <w:r>
              <w:rPr>
                <w:rFonts w:ascii="Times New Roman"/>
                <w:sz w:val="18"/>
              </w:rPr>
              <w:t>241,641,224.55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21"/>
          <w:szCs w:val="21"/>
        </w:rPr>
      </w:pPr>
    </w:p>
    <w:p>
      <w:pPr>
        <w:pStyle w:val="Heading3"/>
        <w:spacing w:line="240" w:lineRule="auto" w:before="34"/>
        <w:ind w:right="882"/>
        <w:jc w:val="left"/>
        <w:rPr>
          <w:b w:val="0"/>
          <w:bCs w:val="0"/>
        </w:rPr>
      </w:pPr>
      <w:bookmarkStart w:name="5、合并现金流量表" w:id="172"/>
      <w:bookmarkEnd w:id="172"/>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28" w:right="0"/>
              <w:jc w:val="left"/>
              <w:rPr>
                <w:rFonts w:ascii="Times New Roman" w:hAnsi="Times New Roman" w:cs="Times New Roman" w:eastAsia="Times New Roman" w:hint="default"/>
                <w:sz w:val="18"/>
                <w:szCs w:val="18"/>
              </w:rPr>
            </w:pPr>
            <w:r>
              <w:rPr>
                <w:rFonts w:ascii="Times New Roman"/>
                <w:sz w:val="18"/>
              </w:rPr>
              <w:t>1,293,235,468.78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27" w:right="0"/>
              <w:jc w:val="left"/>
              <w:rPr>
                <w:rFonts w:ascii="Times New Roman" w:hAnsi="Times New Roman" w:cs="Times New Roman" w:eastAsia="Times New Roman" w:hint="default"/>
                <w:sz w:val="18"/>
                <w:szCs w:val="18"/>
              </w:rPr>
            </w:pPr>
            <w:r>
              <w:rPr>
                <w:rFonts w:ascii="Times New Roman"/>
                <w:sz w:val="18"/>
              </w:rPr>
              <w:t>1,244,333,573.42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收到再保业务现金净额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代理买卖证券收到的现金净额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34,809,289.73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34,861,809.31</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26,665,379.04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23,298,254.33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1,354,710,137.55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1,302,493,637.06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554,018,466.46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440,820,991.83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拆出资金净增加额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453,123,769.92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427,556,194.87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112,528,827.29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125,236,374.35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154,880,384.51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139,182,457.93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1,274,551,448.18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1,132,796,018.98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80,158,689.37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169,697,618.08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53,100,000.00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48,629,248.41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2,707,360.81</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 期资产收回的现金净额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29,346.71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5,570,196.17</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 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761,881,577.91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25,002,011.62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863,640,173.03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33,279,568.60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 期资产支付的现金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120,119,628.44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111,712,914.62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56,623,200.00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78,600,000.00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 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760,000,000.00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936,742,828.44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190,312,914.62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-73,102,655.41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-157,033,346.02</w:t>
            </w:r>
          </w:p>
        </w:tc>
      </w:tr>
      <w:tr>
        <w:trPr>
          <w:trHeight w:val="400"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10,930,000.00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 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10,930,000.00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279,900,000.00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352,500,000.00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97,041,383.32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95,532,402.24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376,941,383.32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458,962,402.24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254,500,000.00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275,000,000.00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 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32,782,567.03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34,644,645.86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 利、利润</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30,263,673.75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56,596,070.93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317,546,240.78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366,240,716.79</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59,395,142.54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92,721,685.45</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66,451,176.50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105,385,957.51</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465,674,243.29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360,288,285.78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532,125,419.79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465,674,243.29</w:t>
            </w:r>
          </w:p>
        </w:tc>
      </w:tr>
    </w:tbl>
    <w:p>
      <w:pPr>
        <w:spacing w:line="240" w:lineRule="auto" w:before="11"/>
        <w:rPr>
          <w:rFonts w:ascii="Times New Roman" w:hAnsi="Times New Roman" w:cs="Times New Roman" w:eastAsia="Times New Roman" w:hint="default"/>
          <w:sz w:val="21"/>
          <w:szCs w:val="21"/>
        </w:rPr>
      </w:pPr>
    </w:p>
    <w:p>
      <w:pPr>
        <w:pStyle w:val="Heading3"/>
        <w:spacing w:line="240" w:lineRule="auto" w:before="34"/>
        <w:ind w:right="882"/>
        <w:jc w:val="left"/>
        <w:rPr>
          <w:b w:val="0"/>
          <w:bCs w:val="0"/>
        </w:rPr>
      </w:pPr>
      <w:bookmarkStart w:name="6、母公司现金流量表" w:id="173"/>
      <w:bookmarkEnd w:id="173"/>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915,780,663.50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722,746,595.99</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32,130,192.96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32,339,470.51</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27,353,243.46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7,688,243.34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975,264,099.92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762,774,309.84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423,387,731.79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258,420,329.80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310,392,329.90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284,319,442.64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71,608,196.22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75,688,677.25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121,671,786.49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108,236,577.35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927,060,044.40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726,665,027.04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48,204,055.52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36,109,282.80</w:t>
            </w:r>
          </w:p>
        </w:tc>
      </w:tr>
      <w:tr>
        <w:trPr>
          <w:trHeight w:val="400"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53,100,000.00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48,175,565.67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141,448,301.37</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 期资产收回的现金净额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20,497.15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41,779.10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 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121,560,893.85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3,229,264.07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222,856,956.67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144,719,344.54</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 期资产支付的现金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77,788,149.99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92,681,490.52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141,079,029.57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176,254,170.43</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 现金净额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1,040,000.00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137,796,214.62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9,214,880.15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357,703,394.18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278,150,541.10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-134,846,437.51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-133,431,196.56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276,900,000.00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352,500,000.00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157,588,755.97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95,532,402.24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434,488,755.97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448,032,402.24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254,500,000.00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275,000,000.00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 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32,755,433.90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34,632,715.65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16,002,681.39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141,456,838.05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303,258,115.29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451,089,553.70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131,230,640.68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-3,057,151.46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44,588,258.69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-100,379,065.22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2"/>
                <w:sz w:val="18"/>
              </w:rPr>
              <w:t>111,340,626.80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211,719,692.02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155,928,885.49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111,340,626.80</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7、合并所有者权益变动表" w:id="174"/>
      <w:bookmarkEnd w:id="174"/>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本期金额</w:t>
      </w:r>
    </w:p>
    <w:p>
      <w:pPr>
        <w:pStyle w:val="BodyText"/>
        <w:spacing w:line="240" w:lineRule="auto" w:before="117"/>
        <w:ind w:left="0" w:right="1132"/>
        <w:jc w:val="right"/>
      </w:pPr>
      <w:r>
        <w:rPr/>
        <w:t>单位：元</w:t>
      </w:r>
    </w:p>
    <w:p>
      <w:pPr>
        <w:spacing w:after="0" w:line="240" w:lineRule="auto"/>
        <w:jc w:val="right"/>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402" w:hRule="exact"/>
        </w:trPr>
        <w:tc>
          <w:tcPr>
            <w:tcW w:w="125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10"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1253" w:type="dxa"/>
            <w:vMerge/>
            <w:tcBorders>
              <w:left w:val="single" w:sz="4" w:space="0" w:color="000000"/>
              <w:right w:val="single" w:sz="4" w:space="0" w:color="000000"/>
            </w:tcBorders>
            <w:shd w:val="clear" w:color="auto" w:fill="D2D2D2"/>
          </w:tcPr>
          <w:p>
            <w:pPr/>
          </w:p>
        </w:tc>
        <w:tc>
          <w:tcPr>
            <w:tcW w:w="7148"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316" w:lineRule="auto"/>
              <w:ind w:left="108" w:right="104"/>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5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316" w:lineRule="auto"/>
              <w:ind w:left="105" w:right="101"/>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402" w:hRule="exact"/>
        </w:trPr>
        <w:tc>
          <w:tcPr>
            <w:tcW w:w="1253" w:type="dxa"/>
            <w:vMerge/>
            <w:tcBorders>
              <w:left w:val="single" w:sz="4" w:space="0" w:color="000000"/>
              <w:right w:val="single" w:sz="4" w:space="0" w:color="000000"/>
            </w:tcBorders>
            <w:shd w:val="clear" w:color="auto" w:fill="D2D2D2"/>
          </w:tcPr>
          <w:p>
            <w:pPr/>
          </w:p>
        </w:tc>
        <w:tc>
          <w:tcPr>
            <w:tcW w:w="4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316" w:lineRule="auto"/>
              <w:ind w:left="152" w:right="149"/>
              <w:jc w:val="left"/>
              <w:rPr>
                <w:rFonts w:ascii="宋体" w:hAnsi="宋体" w:cs="宋体" w:eastAsia="宋体" w:hint="default"/>
                <w:sz w:val="18"/>
                <w:szCs w:val="18"/>
              </w:rPr>
            </w:pPr>
            <w:r>
              <w:rPr>
                <w:rFonts w:ascii="宋体" w:hAnsi="宋体" w:cs="宋体" w:eastAsia="宋体" w:hint="default"/>
                <w:sz w:val="18"/>
                <w:szCs w:val="18"/>
              </w:rPr>
              <w:t>股 本</w:t>
            </w:r>
          </w:p>
        </w:tc>
        <w:tc>
          <w:tcPr>
            <w:tcW w:w="14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5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316" w:lineRule="auto"/>
              <w:ind w:left="106" w:right="105"/>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316" w:lineRule="auto"/>
              <w:ind w:left="106" w:right="106"/>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316" w:lineRule="auto"/>
              <w:ind w:left="108" w:right="104"/>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316" w:lineRule="auto"/>
              <w:ind w:left="107" w:right="10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316" w:lineRule="auto"/>
              <w:ind w:left="106" w:right="105"/>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316" w:lineRule="auto"/>
              <w:ind w:left="106" w:right="105"/>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316" w:lineRule="auto"/>
              <w:ind w:left="108" w:right="104"/>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9"/>
              <w:ind w:left="10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9"/>
              <w:ind w:left="10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584" w:type="dxa"/>
            <w:vMerge/>
            <w:tcBorders>
              <w:left w:val="single" w:sz="4" w:space="0" w:color="000000"/>
              <w:right w:val="single" w:sz="4" w:space="0" w:color="000000"/>
            </w:tcBorders>
            <w:shd w:val="clear" w:color="auto" w:fill="D2D2D2"/>
          </w:tcPr>
          <w:p>
            <w:pPr/>
          </w:p>
        </w:tc>
        <w:tc>
          <w:tcPr>
            <w:tcW w:w="578" w:type="dxa"/>
            <w:vMerge/>
            <w:tcBorders>
              <w:left w:val="single" w:sz="4" w:space="0" w:color="000000"/>
              <w:right w:val="single" w:sz="4" w:space="0" w:color="000000"/>
            </w:tcBorders>
            <w:shd w:val="clear" w:color="auto" w:fill="D2D2D2"/>
          </w:tcPr>
          <w:p>
            <w:pPr/>
          </w:p>
        </w:tc>
      </w:tr>
      <w:tr>
        <w:trPr>
          <w:trHeight w:val="1026" w:hRule="exact"/>
        </w:trPr>
        <w:tc>
          <w:tcPr>
            <w:tcW w:w="1253" w:type="dxa"/>
            <w:vMerge/>
            <w:tcBorders>
              <w:left w:val="single" w:sz="4" w:space="0" w:color="000000"/>
              <w:bottom w:val="single" w:sz="4" w:space="0" w:color="000000"/>
              <w:right w:val="single" w:sz="4" w:space="0" w:color="000000"/>
            </w:tcBorders>
            <w:shd w:val="clear" w:color="auto" w:fill="D2D2D2"/>
          </w:tcPr>
          <w:p>
            <w:pPr/>
          </w:p>
        </w:tc>
        <w:tc>
          <w:tcPr>
            <w:tcW w:w="493" w:type="dxa"/>
            <w:vMerge/>
            <w:tcBorders>
              <w:left w:val="single" w:sz="4" w:space="0" w:color="000000"/>
              <w:bottom w:val="single" w:sz="4" w:space="0" w:color="000000"/>
              <w:right w:val="single" w:sz="4" w:space="0" w:color="000000"/>
            </w:tcBorders>
            <w:shd w:val="clear" w:color="auto" w:fill="D2D2D2"/>
          </w:tcPr>
          <w:p>
            <w:pPr/>
          </w:p>
        </w:tc>
        <w:tc>
          <w:tcPr>
            <w:tcW w:w="4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39" w:right="135"/>
              <w:jc w:val="both"/>
              <w:rPr>
                <w:rFonts w:ascii="宋体" w:hAnsi="宋体" w:cs="宋体" w:eastAsia="宋体" w:hint="default"/>
                <w:sz w:val="18"/>
                <w:szCs w:val="18"/>
              </w:rPr>
            </w:pPr>
            <w:r>
              <w:rPr>
                <w:rFonts w:ascii="宋体" w:hAnsi="宋体" w:cs="宋体" w:eastAsia="宋体" w:hint="default"/>
                <w:sz w:val="18"/>
                <w:szCs w:val="18"/>
              </w:rPr>
              <w:t>优 先 股</w:t>
            </w:r>
          </w:p>
        </w:tc>
        <w:tc>
          <w:tcPr>
            <w:tcW w:w="4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38" w:right="136"/>
              <w:jc w:val="both"/>
              <w:rPr>
                <w:rFonts w:ascii="宋体" w:hAnsi="宋体" w:cs="宋体" w:eastAsia="宋体" w:hint="default"/>
                <w:sz w:val="18"/>
                <w:szCs w:val="18"/>
              </w:rPr>
            </w:pPr>
            <w:r>
              <w:rPr>
                <w:rFonts w:ascii="宋体" w:hAnsi="宋体" w:cs="宋体" w:eastAsia="宋体" w:hint="default"/>
                <w:sz w:val="18"/>
                <w:szCs w:val="18"/>
              </w:rPr>
              <w:t>永 续 债</w:t>
            </w:r>
          </w:p>
        </w:tc>
        <w:tc>
          <w:tcPr>
            <w:tcW w:w="4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ind w:left="139" w:right="136"/>
              <w:jc w:val="left"/>
              <w:rPr>
                <w:rFonts w:ascii="宋体" w:hAnsi="宋体" w:cs="宋体" w:eastAsia="宋体" w:hint="default"/>
                <w:sz w:val="18"/>
                <w:szCs w:val="18"/>
              </w:rPr>
            </w:pPr>
            <w:r>
              <w:rPr>
                <w:rFonts w:ascii="宋体" w:hAnsi="宋体" w:cs="宋体" w:eastAsia="宋体" w:hint="default"/>
                <w:sz w:val="18"/>
                <w:szCs w:val="18"/>
              </w:rPr>
              <w:t>其 他</w:t>
            </w:r>
          </w:p>
        </w:tc>
        <w:tc>
          <w:tcPr>
            <w:tcW w:w="583"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3"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84" w:type="dxa"/>
            <w:vMerge/>
            <w:tcBorders>
              <w:left w:val="single" w:sz="4" w:space="0" w:color="000000"/>
              <w:bottom w:val="single" w:sz="4" w:space="0" w:color="000000"/>
              <w:right w:val="single" w:sz="4" w:space="0" w:color="000000"/>
            </w:tcBorders>
            <w:shd w:val="clear" w:color="auto" w:fill="D2D2D2"/>
          </w:tcPr>
          <w:p>
            <w:pPr/>
          </w:p>
        </w:tc>
        <w:tc>
          <w:tcPr>
            <w:tcW w:w="578" w:type="dxa"/>
            <w:vMerge/>
            <w:tcBorders>
              <w:left w:val="single" w:sz="4" w:space="0" w:color="000000"/>
              <w:bottom w:val="single" w:sz="4" w:space="0" w:color="000000"/>
              <w:right w:val="single" w:sz="4" w:space="0" w:color="000000"/>
            </w:tcBorders>
            <w:shd w:val="clear" w:color="auto" w:fill="D2D2D2"/>
          </w:tcPr>
          <w:p>
            <w:pPr/>
          </w:p>
        </w:tc>
      </w:tr>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4"/>
              <w:ind w:left="101" w:right="100"/>
              <w:jc w:val="left"/>
              <w:rPr>
                <w:rFonts w:ascii="宋体" w:hAnsi="宋体" w:cs="宋体" w:eastAsia="宋体" w:hint="default"/>
                <w:sz w:val="18"/>
                <w:szCs w:val="18"/>
              </w:rPr>
            </w:pPr>
            <w:r>
              <w:rPr>
                <w:rFonts w:ascii="宋体" w:hAnsi="宋体" w:cs="宋体" w:eastAsia="宋体" w:hint="default"/>
                <w:spacing w:val="-7"/>
                <w:sz w:val="18"/>
                <w:szCs w:val="18"/>
              </w:rPr>
              <w:t>一、上年期末</w:t>
            </w:r>
            <w:r>
              <w:rPr>
                <w:rFonts w:ascii="宋体" w:hAnsi="宋体" w:cs="宋体" w:eastAsia="宋体" w:hint="default"/>
                <w:sz w:val="18"/>
                <w:szCs w:val="18"/>
              </w:rPr>
              <w:t> 余额</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9" w:right="0"/>
              <w:jc w:val="left"/>
              <w:rPr>
                <w:rFonts w:ascii="Times New Roman" w:hAnsi="Times New Roman" w:cs="Times New Roman" w:eastAsia="Times New Roman" w:hint="default"/>
                <w:sz w:val="18"/>
                <w:szCs w:val="18"/>
              </w:rPr>
            </w:pPr>
            <w:r>
              <w:rPr>
                <w:rFonts w:ascii="Times New Roman"/>
                <w:sz w:val="18"/>
              </w:rPr>
              <w:t>485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,45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6,3</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98.</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1,20</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0,82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7,29</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8.56</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30,4</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81,0</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62.2</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1</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65,6</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81,0</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02.1</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8</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599,</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584,</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088.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72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2,32</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1,06</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7,72</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5.25</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36,9</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29,8</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53.1</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6</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2,35</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7,99</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7,57</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8.41</w:t>
            </w:r>
          </w:p>
        </w:tc>
      </w:tr>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1" w:right="100" w:firstLine="360"/>
              <w:jc w:val="left"/>
              <w:rPr>
                <w:rFonts w:ascii="宋体" w:hAnsi="宋体" w:cs="宋体" w:eastAsia="宋体" w:hint="default"/>
                <w:sz w:val="18"/>
                <w:szCs w:val="18"/>
              </w:rPr>
            </w:pPr>
            <w:r>
              <w:rPr>
                <w:rFonts w:ascii="宋体" w:hAnsi="宋体" w:cs="宋体" w:eastAsia="宋体" w:hint="default"/>
                <w:spacing w:val="-11"/>
                <w:sz w:val="18"/>
                <w:szCs w:val="18"/>
              </w:rPr>
              <w:t>加：会计</w:t>
            </w:r>
            <w:r>
              <w:rPr>
                <w:rFonts w:ascii="宋体" w:hAnsi="宋体" w:cs="宋体" w:eastAsia="宋体" w:hint="default"/>
                <w:sz w:val="18"/>
                <w:szCs w:val="18"/>
              </w:rPr>
              <w:t> 政策变更</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-425</w:t>
            </w:r>
          </w:p>
          <w:p>
            <w:pPr>
              <w:pStyle w:val="TableParagraph"/>
              <w:spacing w:line="240" w:lineRule="auto" w:before="105"/>
              <w:ind w:left="8" w:right="0"/>
              <w:jc w:val="center"/>
              <w:rPr>
                <w:rFonts w:ascii="Times New Roman" w:hAnsi="Times New Roman" w:cs="Times New Roman" w:eastAsia="Times New Roman" w:hint="default"/>
                <w:sz w:val="18"/>
                <w:szCs w:val="18"/>
              </w:rPr>
            </w:pPr>
            <w:r>
              <w:rPr>
                <w:rFonts w:ascii="Times New Roman"/>
                <w:sz w:val="18"/>
              </w:rPr>
              <w:t>,220.</w:t>
            </w:r>
          </w:p>
          <w:p>
            <w:pPr>
              <w:pStyle w:val="TableParagraph"/>
              <w:spacing w:line="240" w:lineRule="auto" w:before="105"/>
              <w:ind w:left="190" w:right="0"/>
              <w:jc w:val="center"/>
              <w:rPr>
                <w:rFonts w:ascii="Times New Roman" w:hAnsi="Times New Roman" w:cs="Times New Roman" w:eastAsia="Times New Roman" w:hint="default"/>
                <w:sz w:val="18"/>
                <w:szCs w:val="18"/>
              </w:rPr>
            </w:pPr>
            <w:r>
              <w:rPr>
                <w:rFonts w:ascii="Times New Roman"/>
                <w:sz w:val="18"/>
              </w:rPr>
              <w:t>68</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7" w:right="0"/>
              <w:jc w:val="center"/>
              <w:rPr>
                <w:rFonts w:ascii="Times New Roman" w:hAnsi="Times New Roman" w:cs="Times New Roman" w:eastAsia="Times New Roman" w:hint="default"/>
                <w:sz w:val="18"/>
                <w:szCs w:val="18"/>
              </w:rPr>
            </w:pPr>
            <w:r>
              <w:rPr>
                <w:rFonts w:ascii="Times New Roman"/>
                <w:sz w:val="18"/>
              </w:rPr>
              <w:t>-5,0</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61,1</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66.2</w:t>
            </w:r>
          </w:p>
          <w:p>
            <w:pPr>
              <w:pStyle w:val="TableParagraph"/>
              <w:spacing w:line="240" w:lineRule="auto" w:before="105"/>
              <w:ind w:left="279" w:right="0"/>
              <w:jc w:val="center"/>
              <w:rPr>
                <w:rFonts w:ascii="Times New Roman" w:hAnsi="Times New Roman" w:cs="Times New Roman" w:eastAsia="Times New Roman" w:hint="default"/>
                <w:sz w:val="18"/>
                <w:szCs w:val="18"/>
              </w:rPr>
            </w:pPr>
            <w:r>
              <w:rPr>
                <w:rFonts w:ascii="Times New Roman"/>
                <w:sz w:val="18"/>
              </w:rPr>
              <w:t>1</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6" w:right="0"/>
              <w:jc w:val="center"/>
              <w:rPr>
                <w:rFonts w:ascii="Times New Roman" w:hAnsi="Times New Roman" w:cs="Times New Roman" w:eastAsia="Times New Roman" w:hint="default"/>
                <w:sz w:val="18"/>
                <w:szCs w:val="18"/>
              </w:rPr>
            </w:pPr>
            <w:r>
              <w:rPr>
                <w:rFonts w:ascii="Times New Roman"/>
                <w:sz w:val="18"/>
              </w:rPr>
              <w:t>-5,4</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86,3</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86.8</w:t>
            </w:r>
          </w:p>
          <w:p>
            <w:pPr>
              <w:pStyle w:val="TableParagraph"/>
              <w:spacing w:line="240" w:lineRule="auto" w:before="105"/>
              <w:ind w:left="276" w:right="0"/>
              <w:jc w:val="center"/>
              <w:rPr>
                <w:rFonts w:ascii="Times New Roman" w:hAnsi="Times New Roman" w:cs="Times New Roman" w:eastAsia="Times New Roman" w:hint="default"/>
                <w:sz w:val="18"/>
                <w:szCs w:val="18"/>
              </w:rPr>
            </w:pPr>
            <w:r>
              <w:rPr>
                <w:rFonts w:ascii="Times New Roman"/>
                <w:sz w:val="18"/>
              </w:rPr>
              <w:t>9</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7" w:right="0"/>
              <w:jc w:val="center"/>
              <w:rPr>
                <w:rFonts w:ascii="Times New Roman" w:hAnsi="Times New Roman" w:cs="Times New Roman" w:eastAsia="Times New Roman" w:hint="default"/>
                <w:sz w:val="18"/>
                <w:szCs w:val="18"/>
              </w:rPr>
            </w:pPr>
            <w:r>
              <w:rPr>
                <w:rFonts w:ascii="Times New Roman"/>
                <w:sz w:val="18"/>
              </w:rPr>
              <w:t>-1,7</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71.4</w:t>
            </w:r>
          </w:p>
          <w:p>
            <w:pPr>
              <w:pStyle w:val="TableParagraph"/>
              <w:spacing w:line="240" w:lineRule="auto" w:before="105"/>
              <w:ind w:left="279" w:right="0"/>
              <w:jc w:val="center"/>
              <w:rPr>
                <w:rFonts w:ascii="Times New Roman" w:hAnsi="Times New Roman" w:cs="Times New Roman" w:eastAsia="Times New Roman" w:hint="default"/>
                <w:sz w:val="18"/>
                <w:szCs w:val="18"/>
              </w:rPr>
            </w:pPr>
            <w:r>
              <w:rPr>
                <w:rFonts w:ascii="Times New Roman"/>
                <w:sz w:val="18"/>
              </w:rPr>
              <w:t>1</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9" w:right="0"/>
              <w:jc w:val="center"/>
              <w:rPr>
                <w:rFonts w:ascii="Times New Roman" w:hAnsi="Times New Roman" w:cs="Times New Roman" w:eastAsia="Times New Roman" w:hint="default"/>
                <w:sz w:val="18"/>
                <w:szCs w:val="18"/>
              </w:rPr>
            </w:pPr>
            <w:r>
              <w:rPr>
                <w:rFonts w:ascii="Times New Roman"/>
                <w:sz w:val="18"/>
              </w:rPr>
              <w:t>-5,4</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88,1</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58.3</w:t>
            </w:r>
          </w:p>
          <w:p>
            <w:pPr>
              <w:pStyle w:val="TableParagraph"/>
              <w:spacing w:line="240" w:lineRule="auto" w:before="105"/>
              <w:ind w:left="274" w:right="0"/>
              <w:jc w:val="center"/>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39" w:firstLine="720"/>
              <w:jc w:val="left"/>
              <w:rPr>
                <w:rFonts w:ascii="宋体" w:hAnsi="宋体" w:cs="宋体" w:eastAsia="宋体" w:hint="default"/>
                <w:sz w:val="18"/>
                <w:szCs w:val="18"/>
              </w:rPr>
            </w:pPr>
            <w:r>
              <w:rPr>
                <w:rFonts w:ascii="宋体" w:hAnsi="宋体" w:cs="宋体" w:eastAsia="宋体" w:hint="default"/>
                <w:sz w:val="18"/>
                <w:szCs w:val="18"/>
              </w:rPr>
              <w:t>前 期差错更正</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39" w:firstLine="720"/>
              <w:jc w:val="both"/>
              <w:rPr>
                <w:rFonts w:ascii="宋体" w:hAnsi="宋体" w:cs="宋体" w:eastAsia="宋体" w:hint="default"/>
                <w:sz w:val="18"/>
                <w:szCs w:val="18"/>
              </w:rPr>
            </w:pPr>
            <w:r>
              <w:rPr>
                <w:rFonts w:ascii="宋体" w:hAnsi="宋体" w:cs="宋体" w:eastAsia="宋体" w:hint="default"/>
                <w:sz w:val="18"/>
                <w:szCs w:val="18"/>
              </w:rPr>
              <w:t>同 一控制下企 业合并</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1" w:right="100"/>
              <w:jc w:val="left"/>
              <w:rPr>
                <w:rFonts w:ascii="宋体" w:hAnsi="宋体" w:cs="宋体" w:eastAsia="宋体" w:hint="default"/>
                <w:sz w:val="18"/>
                <w:szCs w:val="18"/>
              </w:rPr>
            </w:pPr>
            <w:r>
              <w:rPr>
                <w:rFonts w:ascii="宋体" w:hAnsi="宋体" w:cs="宋体" w:eastAsia="宋体" w:hint="default"/>
                <w:spacing w:val="-7"/>
                <w:sz w:val="18"/>
                <w:szCs w:val="18"/>
              </w:rPr>
              <w:t>二、本年期初</w:t>
            </w:r>
            <w:r>
              <w:rPr>
                <w:rFonts w:ascii="宋体" w:hAnsi="宋体" w:cs="宋体" w:eastAsia="宋体" w:hint="default"/>
                <w:sz w:val="18"/>
                <w:szCs w:val="18"/>
              </w:rPr>
              <w:t> 余额</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9" w:right="0"/>
              <w:jc w:val="left"/>
              <w:rPr>
                <w:rFonts w:ascii="Times New Roman" w:hAnsi="Times New Roman" w:cs="Times New Roman" w:eastAsia="Times New Roman" w:hint="default"/>
                <w:sz w:val="18"/>
                <w:szCs w:val="18"/>
              </w:rPr>
            </w:pPr>
            <w:r>
              <w:rPr>
                <w:rFonts w:ascii="Times New Roman"/>
                <w:sz w:val="18"/>
              </w:rPr>
              <w:t>485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,45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6,3</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98.</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1,20</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0,82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7,29</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8.56</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30,4</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81,0</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62.2</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1</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65,2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55,7</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81.5</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594,</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522,</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922.</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51</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2,31</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5,58</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1,33</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8.36</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36,9</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28,0</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81.7</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5</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2,35</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2,50</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9,42</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0.11</w:t>
            </w:r>
          </w:p>
        </w:tc>
      </w:tr>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1" w:right="100"/>
              <w:jc w:val="both"/>
              <w:rPr>
                <w:rFonts w:ascii="宋体" w:hAnsi="宋体" w:cs="宋体" w:eastAsia="宋体" w:hint="default"/>
                <w:sz w:val="18"/>
                <w:szCs w:val="18"/>
              </w:rPr>
            </w:pPr>
            <w:r>
              <w:rPr>
                <w:rFonts w:ascii="宋体" w:hAnsi="宋体" w:cs="宋体" w:eastAsia="宋体" w:hint="default"/>
                <w:spacing w:val="-7"/>
                <w:sz w:val="18"/>
                <w:szCs w:val="18"/>
              </w:rPr>
              <w:t>三、本期增减</w:t>
            </w:r>
            <w:r>
              <w:rPr>
                <w:rFonts w:ascii="宋体" w:hAnsi="宋体" w:cs="宋体" w:eastAsia="宋体" w:hint="default"/>
                <w:sz w:val="18"/>
                <w:szCs w:val="18"/>
              </w:rPr>
              <w:t> </w:t>
            </w:r>
            <w:r>
              <w:rPr>
                <w:rFonts w:ascii="宋体" w:hAnsi="宋体" w:cs="宋体" w:eastAsia="宋体" w:hint="default"/>
                <w:spacing w:val="-7"/>
                <w:sz w:val="18"/>
                <w:szCs w:val="18"/>
              </w:rPr>
              <w:t>变动金额（减</w:t>
            </w:r>
            <w:r>
              <w:rPr>
                <w:rFonts w:ascii="宋体" w:hAnsi="宋体" w:cs="宋体" w:eastAsia="宋体" w:hint="default"/>
                <w:sz w:val="18"/>
                <w:szCs w:val="18"/>
              </w:rPr>
              <w:t> </w:t>
            </w:r>
            <w:r>
              <w:rPr>
                <w:rFonts w:ascii="宋体" w:hAnsi="宋体" w:cs="宋体" w:eastAsia="宋体" w:hint="default"/>
                <w:spacing w:val="-8"/>
                <w:sz w:val="18"/>
                <w:szCs w:val="18"/>
              </w:rPr>
              <w:t>少以“－”号</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填列）</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9" w:right="0"/>
              <w:jc w:val="left"/>
              <w:rPr>
                <w:rFonts w:ascii="Times New Roman" w:hAnsi="Times New Roman" w:cs="Times New Roman" w:eastAsia="Times New Roman" w:hint="default"/>
                <w:sz w:val="18"/>
                <w:szCs w:val="18"/>
              </w:rPr>
            </w:pPr>
            <w:r>
              <w:rPr>
                <w:rFonts w:ascii="Times New Roman"/>
                <w:sz w:val="18"/>
              </w:rPr>
              <w:t>254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,29</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5,0</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27.</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-210</w:t>
            </w:r>
          </w:p>
          <w:p>
            <w:pPr>
              <w:pStyle w:val="TableParagraph"/>
              <w:spacing w:line="240" w:lineRule="auto" w:before="105"/>
              <w:ind w:left="7" w:right="0"/>
              <w:jc w:val="center"/>
              <w:rPr>
                <w:rFonts w:ascii="Times New Roman" w:hAnsi="Times New Roman" w:cs="Times New Roman" w:eastAsia="Times New Roman" w:hint="default"/>
                <w:sz w:val="18"/>
                <w:szCs w:val="18"/>
              </w:rPr>
            </w:pPr>
            <w:r>
              <w:rPr>
                <w:rFonts w:ascii="Times New Roman"/>
                <w:sz w:val="18"/>
              </w:rPr>
              <w:t>,479,</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753.</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43</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59,4</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56,5</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72.7</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9</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21,6</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59.6</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267,</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371,</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753.</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5" w:right="0"/>
              <w:jc w:val="center"/>
              <w:rPr>
                <w:rFonts w:ascii="Times New Roman" w:hAnsi="Times New Roman" w:cs="Times New Roman" w:eastAsia="Times New Roman" w:hint="default"/>
                <w:sz w:val="18"/>
                <w:szCs w:val="18"/>
              </w:rPr>
            </w:pPr>
            <w:r>
              <w:rPr>
                <w:rFonts w:ascii="Times New Roman"/>
                <w:sz w:val="18"/>
              </w:rPr>
              <w:t>274,</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152,</w:t>
            </w:r>
          </w:p>
          <w:p>
            <w:pPr>
              <w:pStyle w:val="TableParagraph"/>
              <w:spacing w:line="240" w:lineRule="auto" w:before="105"/>
              <w:ind w:left="62" w:right="0"/>
              <w:jc w:val="center"/>
              <w:rPr>
                <w:rFonts w:ascii="Times New Roman" w:hAnsi="Times New Roman" w:cs="Times New Roman" w:eastAsia="Times New Roman" w:hint="default"/>
                <w:sz w:val="18"/>
                <w:szCs w:val="18"/>
              </w:rPr>
            </w:pPr>
            <w:r>
              <w:rPr>
                <w:rFonts w:ascii="Times New Roman"/>
                <w:sz w:val="18"/>
              </w:rPr>
              <w:t>113.</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40</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87" w:right="0"/>
              <w:jc w:val="center"/>
              <w:rPr>
                <w:rFonts w:ascii="Times New Roman" w:hAnsi="Times New Roman" w:cs="Times New Roman" w:eastAsia="Times New Roman" w:hint="default"/>
                <w:sz w:val="18"/>
                <w:szCs w:val="18"/>
              </w:rPr>
            </w:pPr>
            <w:r>
              <w:rPr>
                <w:rFonts w:ascii="Times New Roman"/>
                <w:sz w:val="18"/>
              </w:rPr>
              <w:t>-1,2</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85,3</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89.7</w:t>
            </w:r>
          </w:p>
          <w:p>
            <w:pPr>
              <w:pStyle w:val="TableParagraph"/>
              <w:spacing w:line="240" w:lineRule="auto" w:before="105"/>
              <w:ind w:left="279" w:right="0"/>
              <w:jc w:val="center"/>
              <w:rPr>
                <w:rFonts w:ascii="Times New Roman" w:hAnsi="Times New Roman" w:cs="Times New Roman" w:eastAsia="Times New Roman" w:hint="default"/>
                <w:sz w:val="18"/>
                <w:szCs w:val="18"/>
              </w:rPr>
            </w:pPr>
            <w:r>
              <w:rPr>
                <w:rFonts w:ascii="Times New Roman"/>
                <w:sz w:val="18"/>
              </w:rPr>
              <w:t>2</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272,</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866,</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723.</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68</w:t>
            </w:r>
          </w:p>
        </w:tc>
      </w:tr>
      <w:tr>
        <w:trPr>
          <w:trHeight w:val="1336"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1" w:right="100"/>
              <w:jc w:val="left"/>
              <w:rPr>
                <w:rFonts w:ascii="宋体" w:hAnsi="宋体" w:cs="宋体" w:eastAsia="宋体" w:hint="default"/>
                <w:sz w:val="18"/>
                <w:szCs w:val="18"/>
              </w:rPr>
            </w:pPr>
            <w:r>
              <w:rPr>
                <w:rFonts w:ascii="宋体" w:hAnsi="宋体" w:cs="宋体" w:eastAsia="宋体" w:hint="default"/>
                <w:spacing w:val="-7"/>
                <w:sz w:val="18"/>
                <w:szCs w:val="18"/>
              </w:rPr>
              <w:t>（一）综合收</w:t>
            </w:r>
            <w:r>
              <w:rPr>
                <w:rFonts w:ascii="宋体" w:hAnsi="宋体" w:cs="宋体" w:eastAsia="宋体" w:hint="default"/>
                <w:sz w:val="18"/>
                <w:szCs w:val="18"/>
              </w:rPr>
              <w:t> 益总额</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4" w:right="0"/>
              <w:jc w:val="center"/>
              <w:rPr>
                <w:rFonts w:ascii="Times New Roman" w:hAnsi="Times New Roman" w:cs="Times New Roman" w:eastAsia="Times New Roman" w:hint="default"/>
                <w:sz w:val="18"/>
                <w:szCs w:val="18"/>
              </w:rPr>
            </w:pPr>
            <w:r>
              <w:rPr>
                <w:rFonts w:ascii="Times New Roman"/>
                <w:sz w:val="18"/>
              </w:rPr>
              <w:t>314,</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070,</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351.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32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5" w:right="0"/>
              <w:jc w:val="center"/>
              <w:rPr>
                <w:rFonts w:ascii="Times New Roman" w:hAnsi="Times New Roman" w:cs="Times New Roman" w:eastAsia="Times New Roman" w:hint="default"/>
                <w:sz w:val="18"/>
                <w:szCs w:val="18"/>
              </w:rPr>
            </w:pPr>
            <w:r>
              <w:rPr>
                <w:rFonts w:ascii="Times New Roman"/>
                <w:sz w:val="18"/>
              </w:rPr>
              <w:t>314,</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070,</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351.</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32</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4,64</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1,63</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0.01</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8" w:right="0"/>
              <w:jc w:val="center"/>
              <w:rPr>
                <w:rFonts w:ascii="Times New Roman" w:hAnsi="Times New Roman" w:cs="Times New Roman" w:eastAsia="Times New Roman" w:hint="default"/>
                <w:sz w:val="18"/>
                <w:szCs w:val="18"/>
              </w:rPr>
            </w:pPr>
            <w:r>
              <w:rPr>
                <w:rFonts w:ascii="Times New Roman"/>
                <w:sz w:val="18"/>
              </w:rPr>
              <w:t>318,</w:t>
            </w:r>
          </w:p>
          <w:p>
            <w:pPr>
              <w:pStyle w:val="TableParagraph"/>
              <w:spacing w:line="240" w:lineRule="auto" w:before="105"/>
              <w:ind w:left="56" w:right="0"/>
              <w:jc w:val="center"/>
              <w:rPr>
                <w:rFonts w:ascii="Times New Roman" w:hAnsi="Times New Roman" w:cs="Times New Roman" w:eastAsia="Times New Roman" w:hint="default"/>
                <w:sz w:val="18"/>
                <w:szCs w:val="18"/>
              </w:rPr>
            </w:pPr>
            <w:r>
              <w:rPr>
                <w:rFonts w:ascii="Times New Roman"/>
                <w:sz w:val="18"/>
              </w:rPr>
              <w:t>711,</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981.</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33</w:t>
            </w:r>
          </w:p>
        </w:tc>
      </w:tr>
    </w:tbl>
    <w:p>
      <w:pPr>
        <w:spacing w:after="0" w:line="240" w:lineRule="auto"/>
        <w:jc w:val="center"/>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1" w:right="100"/>
              <w:jc w:val="left"/>
              <w:rPr>
                <w:rFonts w:ascii="宋体" w:hAnsi="宋体" w:cs="宋体" w:eastAsia="宋体" w:hint="default"/>
                <w:sz w:val="18"/>
                <w:szCs w:val="18"/>
              </w:rPr>
            </w:pPr>
            <w:r>
              <w:rPr>
                <w:rFonts w:ascii="宋体" w:hAnsi="宋体" w:cs="宋体" w:eastAsia="宋体" w:hint="default"/>
                <w:spacing w:val="-7"/>
                <w:sz w:val="18"/>
                <w:szCs w:val="18"/>
              </w:rPr>
              <w:t>（二）所有者</w:t>
            </w:r>
            <w:r>
              <w:rPr>
                <w:rFonts w:ascii="宋体" w:hAnsi="宋体" w:cs="宋体" w:eastAsia="宋体" w:hint="default"/>
                <w:sz w:val="18"/>
                <w:szCs w:val="18"/>
              </w:rPr>
              <w:t> 投入和减少 资本</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0" w:right="0"/>
              <w:jc w:val="center"/>
              <w:rPr>
                <w:rFonts w:ascii="Times New Roman" w:hAnsi="Times New Roman" w:cs="Times New Roman" w:eastAsia="Times New Roman" w:hint="default"/>
                <w:sz w:val="18"/>
                <w:szCs w:val="18"/>
              </w:rPr>
            </w:pPr>
            <w:r>
              <w:rPr>
                <w:rFonts w:ascii="Times New Roman"/>
                <w:spacing w:val="-2"/>
                <w:sz w:val="18"/>
              </w:rPr>
              <w:t>11,</w:t>
            </w:r>
          </w:p>
          <w:p>
            <w:pPr>
              <w:pStyle w:val="TableParagraph"/>
              <w:spacing w:line="240" w:lineRule="auto" w:before="105"/>
              <w:ind w:left="4" w:right="0"/>
              <w:jc w:val="center"/>
              <w:rPr>
                <w:rFonts w:ascii="Times New Roman" w:hAnsi="Times New Roman" w:cs="Times New Roman" w:eastAsia="Times New Roman" w:hint="default"/>
                <w:sz w:val="18"/>
                <w:szCs w:val="18"/>
              </w:rPr>
            </w:pPr>
            <w:r>
              <w:rPr>
                <w:rFonts w:ascii="Times New Roman"/>
                <w:sz w:val="18"/>
              </w:rPr>
              <w:t>525</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,67</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3.0</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32,2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89,6</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00.5</w:t>
            </w:r>
          </w:p>
          <w:p>
            <w:pPr>
              <w:pStyle w:val="TableParagraph"/>
              <w:spacing w:line="240" w:lineRule="auto" w:before="105"/>
              <w:ind w:left="379" w:right="0"/>
              <w:jc w:val="left"/>
              <w:rPr>
                <w:rFonts w:ascii="Times New Roman" w:hAnsi="Times New Roman" w:cs="Times New Roman" w:eastAsia="Times New Roman" w:hint="default"/>
                <w:sz w:val="18"/>
                <w:szCs w:val="18"/>
              </w:rPr>
            </w:pPr>
            <w:r>
              <w:rPr>
                <w:rFonts w:ascii="Times New Roman"/>
                <w:sz w:val="18"/>
              </w:rPr>
              <w:t>7</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59,4</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56,5</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72.7</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9</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-15,</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641,</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299.</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22</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87" w:right="0"/>
              <w:jc w:val="center"/>
              <w:rPr>
                <w:rFonts w:ascii="Times New Roman" w:hAnsi="Times New Roman" w:cs="Times New Roman" w:eastAsia="Times New Roman" w:hint="default"/>
                <w:sz w:val="18"/>
                <w:szCs w:val="18"/>
              </w:rPr>
            </w:pPr>
            <w:r>
              <w:rPr>
                <w:rFonts w:ascii="Times New Roman"/>
                <w:sz w:val="18"/>
              </w:rPr>
              <w:t>-9,9</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59,1</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93.3</w:t>
            </w:r>
          </w:p>
          <w:p>
            <w:pPr>
              <w:pStyle w:val="TableParagraph"/>
              <w:spacing w:line="240" w:lineRule="auto" w:before="105"/>
              <w:ind w:left="279" w:right="0"/>
              <w:jc w:val="center"/>
              <w:rPr>
                <w:rFonts w:ascii="Times New Roman" w:hAnsi="Times New Roman" w:cs="Times New Roman" w:eastAsia="Times New Roman" w:hint="default"/>
                <w:sz w:val="18"/>
                <w:szCs w:val="18"/>
              </w:rPr>
            </w:pPr>
            <w:r>
              <w:rPr>
                <w:rFonts w:ascii="Times New Roman"/>
                <w:sz w:val="18"/>
              </w:rPr>
              <w:t>7</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-25,</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600,</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492.</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59</w:t>
            </w:r>
          </w:p>
        </w:tc>
      </w:tr>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05"/>
              <w:ind w:left="101"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0" w:right="0"/>
              <w:jc w:val="center"/>
              <w:rPr>
                <w:rFonts w:ascii="Times New Roman" w:hAnsi="Times New Roman" w:cs="Times New Roman" w:eastAsia="Times New Roman" w:hint="default"/>
                <w:sz w:val="18"/>
                <w:szCs w:val="18"/>
              </w:rPr>
            </w:pPr>
            <w:r>
              <w:rPr>
                <w:rFonts w:ascii="Times New Roman"/>
                <w:spacing w:val="-2"/>
                <w:sz w:val="18"/>
              </w:rPr>
              <w:t>11,</w:t>
            </w:r>
          </w:p>
          <w:p>
            <w:pPr>
              <w:pStyle w:val="TableParagraph"/>
              <w:spacing w:line="240" w:lineRule="auto" w:before="105"/>
              <w:ind w:left="4" w:right="0"/>
              <w:jc w:val="center"/>
              <w:rPr>
                <w:rFonts w:ascii="Times New Roman" w:hAnsi="Times New Roman" w:cs="Times New Roman" w:eastAsia="Times New Roman" w:hint="default"/>
                <w:sz w:val="18"/>
                <w:szCs w:val="18"/>
              </w:rPr>
            </w:pPr>
            <w:r>
              <w:rPr>
                <w:rFonts w:ascii="Times New Roman"/>
                <w:sz w:val="18"/>
              </w:rPr>
              <w:t>525</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,67</w:t>
            </w:r>
          </w:p>
          <w:p>
            <w:pPr>
              <w:pStyle w:val="TableParagraph"/>
              <w:spacing w:line="240" w:lineRule="auto" w:before="105"/>
              <w:ind w:left="52" w:right="0"/>
              <w:jc w:val="center"/>
              <w:rPr>
                <w:rFonts w:ascii="Times New Roman" w:hAnsi="Times New Roman" w:cs="Times New Roman" w:eastAsia="Times New Roman" w:hint="default"/>
                <w:sz w:val="18"/>
                <w:szCs w:val="18"/>
              </w:rPr>
            </w:pPr>
            <w:r>
              <w:rPr>
                <w:rFonts w:ascii="Times New Roman"/>
                <w:sz w:val="18"/>
              </w:rPr>
              <w:t>3.0</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83,8</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26,6</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35.3</w:t>
            </w:r>
          </w:p>
          <w:p>
            <w:pPr>
              <w:pStyle w:val="TableParagraph"/>
              <w:spacing w:line="240" w:lineRule="auto" w:before="105"/>
              <w:ind w:left="379" w:right="0"/>
              <w:jc w:val="left"/>
              <w:rPr>
                <w:rFonts w:ascii="Times New Roman" w:hAnsi="Times New Roman" w:cs="Times New Roman" w:eastAsia="Times New Roman" w:hint="default"/>
                <w:sz w:val="18"/>
                <w:szCs w:val="18"/>
              </w:rPr>
            </w:pPr>
            <w:r>
              <w:rPr>
                <w:rFonts w:ascii="Times New Roman"/>
                <w:sz w:val="18"/>
              </w:rPr>
              <w:t>2</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59,4</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56,5</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72.7</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9</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35,8</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95,7</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35.5</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3</w:t>
            </w: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35,8</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95,7</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35.5</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3</w:t>
            </w: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 工具持有者 投入资本</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4" w:right="0"/>
              <w:jc w:val="left"/>
              <w:rPr>
                <w:rFonts w:ascii="Times New Roman" w:hAnsi="Times New Roman" w:cs="Times New Roman" w:eastAsia="Times New Roman" w:hint="default"/>
                <w:sz w:val="18"/>
                <w:szCs w:val="18"/>
              </w:rPr>
            </w:pPr>
            <w:r>
              <w:rPr>
                <w:rFonts w:ascii="Times New Roman"/>
                <w:sz w:val="18"/>
              </w:rPr>
              <w:t>8,50</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3,77</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1.88</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6" w:right="0"/>
              <w:jc w:val="left"/>
              <w:rPr>
                <w:rFonts w:ascii="Times New Roman" w:hAnsi="Times New Roman" w:cs="Times New Roman" w:eastAsia="Times New Roman" w:hint="default"/>
                <w:sz w:val="18"/>
                <w:szCs w:val="18"/>
              </w:rPr>
            </w:pPr>
            <w:r>
              <w:rPr>
                <w:rFonts w:ascii="Times New Roman"/>
                <w:sz w:val="18"/>
              </w:rPr>
              <w:t>8,50</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3,77</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1.88</w:t>
            </w: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0" w:right="0"/>
              <w:jc w:val="left"/>
              <w:rPr>
                <w:rFonts w:ascii="Times New Roman" w:hAnsi="Times New Roman" w:cs="Times New Roman" w:eastAsia="Times New Roman" w:hint="default"/>
                <w:sz w:val="18"/>
                <w:szCs w:val="18"/>
              </w:rPr>
            </w:pPr>
            <w:r>
              <w:rPr>
                <w:rFonts w:ascii="Times New Roman"/>
                <w:sz w:val="18"/>
              </w:rPr>
              <w:t>8,50</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3,77</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1.88</w:t>
            </w:r>
          </w:p>
        </w:tc>
      </w:tr>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2" w:right="0"/>
              <w:jc w:val="center"/>
              <w:rPr>
                <w:rFonts w:ascii="Times New Roman" w:hAnsi="Times New Roman" w:cs="Times New Roman" w:eastAsia="Times New Roman" w:hint="default"/>
                <w:sz w:val="18"/>
                <w:szCs w:val="18"/>
              </w:rPr>
            </w:pPr>
            <w:r>
              <w:rPr>
                <w:rFonts w:ascii="Times New Roman"/>
                <w:sz w:val="18"/>
              </w:rPr>
              <w:t>-60,</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040,</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806.</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63</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6" w:right="0"/>
              <w:jc w:val="center"/>
              <w:rPr>
                <w:rFonts w:ascii="Times New Roman" w:hAnsi="Times New Roman" w:cs="Times New Roman" w:eastAsia="Times New Roman" w:hint="default"/>
                <w:sz w:val="18"/>
                <w:szCs w:val="18"/>
              </w:rPr>
            </w:pPr>
            <w:r>
              <w:rPr>
                <w:rFonts w:ascii="Times New Roman"/>
                <w:sz w:val="18"/>
              </w:rPr>
              <w:t>-60,</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040,</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806.</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63</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7" w:right="0"/>
              <w:jc w:val="center"/>
              <w:rPr>
                <w:rFonts w:ascii="Times New Roman" w:hAnsi="Times New Roman" w:cs="Times New Roman" w:eastAsia="Times New Roman" w:hint="default"/>
                <w:sz w:val="18"/>
                <w:szCs w:val="18"/>
              </w:rPr>
            </w:pPr>
            <w:r>
              <w:rPr>
                <w:rFonts w:ascii="Times New Roman"/>
                <w:sz w:val="18"/>
              </w:rPr>
              <w:t>-9,9</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59,1</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93.3</w:t>
            </w:r>
          </w:p>
          <w:p>
            <w:pPr>
              <w:pStyle w:val="TableParagraph"/>
              <w:spacing w:line="240" w:lineRule="auto" w:before="105"/>
              <w:ind w:left="279" w:right="0"/>
              <w:jc w:val="center"/>
              <w:rPr>
                <w:rFonts w:ascii="Times New Roman" w:hAnsi="Times New Roman" w:cs="Times New Roman" w:eastAsia="Times New Roman" w:hint="default"/>
                <w:sz w:val="18"/>
                <w:szCs w:val="18"/>
              </w:rPr>
            </w:pPr>
            <w:r>
              <w:rPr>
                <w:rFonts w:ascii="Times New Roman"/>
                <w:sz w:val="18"/>
              </w:rPr>
              <w:t>7</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0" w:right="0"/>
              <w:jc w:val="center"/>
              <w:rPr>
                <w:rFonts w:ascii="Times New Roman" w:hAnsi="Times New Roman" w:cs="Times New Roman" w:eastAsia="Times New Roman" w:hint="default"/>
                <w:sz w:val="18"/>
                <w:szCs w:val="18"/>
              </w:rPr>
            </w:pPr>
            <w:r>
              <w:rPr>
                <w:rFonts w:ascii="Times New Roman"/>
                <w:sz w:val="18"/>
              </w:rPr>
              <w:t>-70,</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00</w:t>
            </w:r>
          </w:p>
        </w:tc>
      </w:tr>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1" w:right="100"/>
              <w:jc w:val="left"/>
              <w:rPr>
                <w:rFonts w:ascii="宋体" w:hAnsi="宋体" w:cs="宋体" w:eastAsia="宋体" w:hint="default"/>
                <w:sz w:val="18"/>
                <w:szCs w:val="18"/>
              </w:rPr>
            </w:pPr>
            <w:r>
              <w:rPr>
                <w:rFonts w:ascii="宋体" w:hAnsi="宋体" w:cs="宋体" w:eastAsia="宋体" w:hint="default"/>
                <w:spacing w:val="-7"/>
                <w:sz w:val="18"/>
                <w:szCs w:val="18"/>
              </w:rPr>
              <w:t>（三）利润分</w:t>
            </w:r>
            <w:r>
              <w:rPr>
                <w:rFonts w:ascii="宋体" w:hAnsi="宋体" w:cs="宋体" w:eastAsia="宋体" w:hint="default"/>
                <w:sz w:val="18"/>
                <w:szCs w:val="18"/>
              </w:rPr>
              <w:t> 配</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4" w:right="0"/>
              <w:jc w:val="left"/>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21,6</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59.6</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5" w:right="0"/>
              <w:jc w:val="center"/>
              <w:rPr>
                <w:rFonts w:ascii="Times New Roman" w:hAnsi="Times New Roman" w:cs="Times New Roman" w:eastAsia="Times New Roman" w:hint="default"/>
                <w:sz w:val="18"/>
                <w:szCs w:val="18"/>
              </w:rPr>
            </w:pPr>
            <w:r>
              <w:rPr>
                <w:rFonts w:ascii="Times New Roman"/>
                <w:sz w:val="18"/>
              </w:rPr>
              <w:t>-46,</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698,</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598.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32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6" w:right="0"/>
              <w:jc w:val="center"/>
              <w:rPr>
                <w:rFonts w:ascii="Times New Roman" w:hAnsi="Times New Roman" w:cs="Times New Roman" w:eastAsia="Times New Roman" w:hint="default"/>
                <w:sz w:val="18"/>
                <w:szCs w:val="18"/>
              </w:rPr>
            </w:pPr>
            <w:r>
              <w:rPr>
                <w:rFonts w:ascii="Times New Roman"/>
                <w:sz w:val="18"/>
              </w:rPr>
              <w:t>-24,</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276,</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938.</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70</w:t>
            </w: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0" w:right="0"/>
              <w:jc w:val="center"/>
              <w:rPr>
                <w:rFonts w:ascii="Times New Roman" w:hAnsi="Times New Roman" w:cs="Times New Roman" w:eastAsia="Times New Roman" w:hint="default"/>
                <w:sz w:val="18"/>
                <w:szCs w:val="18"/>
              </w:rPr>
            </w:pPr>
            <w:r>
              <w:rPr>
                <w:rFonts w:ascii="Times New Roman"/>
                <w:sz w:val="18"/>
              </w:rPr>
              <w:t>-24,</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276,</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938.</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70</w:t>
            </w:r>
          </w:p>
        </w:tc>
      </w:tr>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5"/>
              <w:ind w:left="101"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 公积</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4" w:right="0"/>
              <w:jc w:val="left"/>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21,6</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59.6</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5" w:right="0"/>
              <w:jc w:val="center"/>
              <w:rPr>
                <w:rFonts w:ascii="Times New Roman" w:hAnsi="Times New Roman" w:cs="Times New Roman" w:eastAsia="Times New Roman" w:hint="default"/>
                <w:sz w:val="18"/>
                <w:szCs w:val="18"/>
              </w:rPr>
            </w:pPr>
            <w:r>
              <w:rPr>
                <w:rFonts w:ascii="Times New Roman"/>
                <w:sz w:val="18"/>
              </w:rPr>
              <w:t>-22,</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421,</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659.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62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 风险准备</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6" w:lineRule="auto" w:before="63"/>
              <w:ind w:left="101" w:right="100"/>
              <w:jc w:val="left"/>
              <w:rPr>
                <w:rFonts w:ascii="宋体" w:hAnsi="宋体" w:cs="宋体" w:eastAsia="宋体" w:hint="default"/>
                <w:sz w:val="18"/>
                <w:szCs w:val="18"/>
              </w:rPr>
            </w:pPr>
            <w:r>
              <w:rPr>
                <w:rFonts w:ascii="宋体" w:hAnsi="宋体" w:cs="宋体" w:eastAsia="宋体" w:hint="default"/>
                <w:spacing w:val="-7"/>
                <w:sz w:val="18"/>
                <w:szCs w:val="18"/>
              </w:rPr>
              <w:t>（或股东）的</w:t>
            </w:r>
            <w:r>
              <w:rPr>
                <w:rFonts w:ascii="宋体" w:hAnsi="宋体" w:cs="宋体" w:eastAsia="宋体" w:hint="default"/>
                <w:sz w:val="18"/>
                <w:szCs w:val="18"/>
              </w:rPr>
              <w:t> 分配</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5" w:right="0"/>
              <w:jc w:val="center"/>
              <w:rPr>
                <w:rFonts w:ascii="Times New Roman" w:hAnsi="Times New Roman" w:cs="Times New Roman" w:eastAsia="Times New Roman" w:hint="default"/>
                <w:sz w:val="18"/>
                <w:szCs w:val="18"/>
              </w:rPr>
            </w:pPr>
            <w:r>
              <w:rPr>
                <w:rFonts w:ascii="Times New Roman"/>
                <w:sz w:val="18"/>
              </w:rPr>
              <w:t>-24,</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276,</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938.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70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6" w:right="0"/>
              <w:jc w:val="center"/>
              <w:rPr>
                <w:rFonts w:ascii="Times New Roman" w:hAnsi="Times New Roman" w:cs="Times New Roman" w:eastAsia="Times New Roman" w:hint="default"/>
                <w:sz w:val="18"/>
                <w:szCs w:val="18"/>
              </w:rPr>
            </w:pPr>
            <w:r>
              <w:rPr>
                <w:rFonts w:ascii="Times New Roman"/>
                <w:sz w:val="18"/>
              </w:rPr>
              <w:t>-24,</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276,</w:t>
            </w:r>
          </w:p>
          <w:p>
            <w:pPr>
              <w:pStyle w:val="TableParagraph"/>
              <w:spacing w:line="240" w:lineRule="auto" w:before="105"/>
              <w:ind w:left="55" w:right="0"/>
              <w:jc w:val="center"/>
              <w:rPr>
                <w:rFonts w:ascii="Times New Roman" w:hAnsi="Times New Roman" w:cs="Times New Roman" w:eastAsia="Times New Roman" w:hint="default"/>
                <w:sz w:val="18"/>
                <w:szCs w:val="18"/>
              </w:rPr>
            </w:pPr>
            <w:r>
              <w:rPr>
                <w:rFonts w:ascii="Times New Roman"/>
                <w:sz w:val="18"/>
              </w:rPr>
              <w:t>938.</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70</w:t>
            </w: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0" w:right="0"/>
              <w:jc w:val="center"/>
              <w:rPr>
                <w:rFonts w:ascii="Times New Roman" w:hAnsi="Times New Roman" w:cs="Times New Roman" w:eastAsia="Times New Roman" w:hint="default"/>
                <w:sz w:val="18"/>
                <w:szCs w:val="18"/>
              </w:rPr>
            </w:pPr>
            <w:r>
              <w:rPr>
                <w:rFonts w:ascii="Times New Roman"/>
                <w:sz w:val="18"/>
              </w:rPr>
              <w:t>-24,</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276,</w:t>
            </w:r>
          </w:p>
          <w:p>
            <w:pPr>
              <w:pStyle w:val="TableParagraph"/>
              <w:spacing w:line="240" w:lineRule="auto" w:before="105"/>
              <w:ind w:left="48" w:right="0"/>
              <w:jc w:val="center"/>
              <w:rPr>
                <w:rFonts w:ascii="Times New Roman" w:hAnsi="Times New Roman" w:cs="Times New Roman" w:eastAsia="Times New Roman" w:hint="default"/>
                <w:sz w:val="18"/>
                <w:szCs w:val="18"/>
              </w:rPr>
            </w:pPr>
            <w:r>
              <w:rPr>
                <w:rFonts w:ascii="Times New Roman"/>
                <w:sz w:val="18"/>
              </w:rPr>
              <w:t>938.</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70</w:t>
            </w: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64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1" w:right="100"/>
              <w:jc w:val="left"/>
              <w:rPr>
                <w:rFonts w:ascii="宋体" w:hAnsi="宋体" w:cs="宋体" w:eastAsia="宋体" w:hint="default"/>
                <w:sz w:val="18"/>
                <w:szCs w:val="18"/>
              </w:rPr>
            </w:pPr>
            <w:r>
              <w:rPr>
                <w:rFonts w:ascii="宋体" w:hAnsi="宋体" w:cs="宋体" w:eastAsia="宋体" w:hint="default"/>
                <w:spacing w:val="-7"/>
                <w:sz w:val="18"/>
                <w:szCs w:val="18"/>
              </w:rPr>
              <w:t>（四）所有者</w:t>
            </w:r>
            <w:r>
              <w:rPr>
                <w:rFonts w:ascii="宋体" w:hAnsi="宋体" w:cs="宋体" w:eastAsia="宋体" w:hint="default"/>
                <w:sz w:val="18"/>
                <w:szCs w:val="18"/>
              </w:rPr>
              <w:t> 权益内部结 转</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9"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,76</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9,3</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54.</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7" w:right="0"/>
              <w:jc w:val="center"/>
              <w:rPr>
                <w:rFonts w:ascii="Times New Roman" w:hAnsi="Times New Roman" w:cs="Times New Roman" w:eastAsia="Times New Roman" w:hint="default"/>
                <w:sz w:val="18"/>
                <w:szCs w:val="18"/>
              </w:rPr>
            </w:pPr>
            <w:r>
              <w:rPr>
                <w:rFonts w:ascii="Times New Roman"/>
                <w:sz w:val="18"/>
              </w:rPr>
              <w:t>,769,</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354.</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00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53"/>
        <w:gridCol w:w="493"/>
        <w:gridCol w:w="466"/>
        <w:gridCol w:w="467"/>
        <w:gridCol w:w="468"/>
        <w:gridCol w:w="583"/>
        <w:gridCol w:w="584"/>
        <w:gridCol w:w="584"/>
        <w:gridCol w:w="584"/>
        <w:gridCol w:w="583"/>
        <w:gridCol w:w="584"/>
        <w:gridCol w:w="584"/>
        <w:gridCol w:w="584"/>
        <w:gridCol w:w="584"/>
        <w:gridCol w:w="584"/>
        <w:gridCol w:w="578"/>
      </w:tblGrid>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5"/>
              <w:ind w:left="101" w:right="10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 </w:t>
            </w:r>
            <w:r>
              <w:rPr>
                <w:rFonts w:ascii="宋体" w:hAnsi="宋体" w:cs="宋体" w:eastAsia="宋体" w:hint="default"/>
                <w:spacing w:val="-7"/>
                <w:sz w:val="18"/>
                <w:szCs w:val="18"/>
              </w:rPr>
              <w:t>转增资本（或</w:t>
            </w:r>
            <w:r>
              <w:rPr>
                <w:rFonts w:ascii="宋体" w:hAnsi="宋体" w:cs="宋体" w:eastAsia="宋体" w:hint="default"/>
                <w:sz w:val="18"/>
                <w:szCs w:val="18"/>
              </w:rPr>
              <w:t> 股本）</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9"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,76</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9,3</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54.</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7" w:right="0"/>
              <w:jc w:val="center"/>
              <w:rPr>
                <w:rFonts w:ascii="Times New Roman" w:hAnsi="Times New Roman" w:cs="Times New Roman" w:eastAsia="Times New Roman" w:hint="default"/>
                <w:sz w:val="18"/>
                <w:szCs w:val="18"/>
              </w:rPr>
            </w:pPr>
            <w:r>
              <w:rPr>
                <w:rFonts w:ascii="Times New Roman"/>
                <w:sz w:val="18"/>
              </w:rPr>
              <w:t>,769,</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354.</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00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0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 </w:t>
            </w:r>
            <w:r>
              <w:rPr>
                <w:rFonts w:ascii="宋体" w:hAnsi="宋体" w:cs="宋体" w:eastAsia="宋体" w:hint="default"/>
                <w:spacing w:val="-7"/>
                <w:sz w:val="18"/>
                <w:szCs w:val="18"/>
              </w:rPr>
              <w:t>转增资本（或</w:t>
            </w:r>
            <w:r>
              <w:rPr>
                <w:rFonts w:ascii="宋体" w:hAnsi="宋体" w:cs="宋体" w:eastAsia="宋体" w:hint="default"/>
                <w:sz w:val="18"/>
                <w:szCs w:val="18"/>
              </w:rPr>
              <w:t> 股本）</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1"/>
              <w:ind w:left="101"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 计划变动额 结转留存收 益</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48"/>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 收益结转留 存收益</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0"/>
              <w:jc w:val="left"/>
              <w:rPr>
                <w:rFonts w:ascii="宋体" w:hAnsi="宋体" w:cs="宋体" w:eastAsia="宋体" w:hint="default"/>
                <w:sz w:val="18"/>
                <w:szCs w:val="18"/>
              </w:rPr>
            </w:pPr>
            <w:r>
              <w:rPr>
                <w:rFonts w:ascii="宋体" w:hAnsi="宋体" w:cs="宋体" w:eastAsia="宋体" w:hint="default"/>
                <w:spacing w:val="-7"/>
                <w:sz w:val="18"/>
                <w:szCs w:val="18"/>
              </w:rPr>
              <w:t>（五）专项储</w:t>
            </w:r>
            <w:r>
              <w:rPr>
                <w:rFonts w:ascii="宋体" w:hAnsi="宋体" w:cs="宋体" w:eastAsia="宋体" w:hint="default"/>
                <w:sz w:val="18"/>
                <w:szCs w:val="18"/>
              </w:rPr>
              <w:t> 备</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3" w:type="dxa"/>
            <w:tcBorders>
              <w:top w:val="single" w:sz="4" w:space="0" w:color="000000"/>
              <w:left w:val="single" w:sz="4" w:space="0" w:color="000000"/>
              <w:bottom w:val="single" w:sz="4" w:space="0" w:color="000000"/>
              <w:right w:val="single" w:sz="4" w:space="0" w:color="000000"/>
            </w:tcBorders>
          </w:tcPr>
          <w:p>
            <w:pP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6" w:right="0"/>
              <w:jc w:val="left"/>
              <w:rPr>
                <w:rFonts w:ascii="Times New Roman" w:hAnsi="Times New Roman" w:cs="Times New Roman" w:eastAsia="Times New Roman" w:hint="default"/>
                <w:sz w:val="18"/>
                <w:szCs w:val="18"/>
              </w:rPr>
            </w:pPr>
            <w:r>
              <w:rPr>
                <w:rFonts w:ascii="Times New Roman"/>
                <w:sz w:val="18"/>
              </w:rPr>
              <w:t>4,03</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2,17</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3.64</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0" w:right="0"/>
              <w:jc w:val="left"/>
              <w:rPr>
                <w:rFonts w:ascii="Times New Roman" w:hAnsi="Times New Roman" w:cs="Times New Roman" w:eastAsia="Times New Roman" w:hint="default"/>
                <w:sz w:val="18"/>
                <w:szCs w:val="18"/>
              </w:rPr>
            </w:pPr>
            <w:r>
              <w:rPr>
                <w:rFonts w:ascii="Times New Roman"/>
                <w:sz w:val="18"/>
              </w:rPr>
              <w:t>4,03</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2,17</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3.64</w:t>
            </w:r>
          </w:p>
        </w:tc>
      </w:tr>
      <w:tr>
        <w:trPr>
          <w:trHeight w:val="1650" w:hRule="exact"/>
        </w:trPr>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4"/>
              <w:ind w:left="101" w:right="100"/>
              <w:jc w:val="left"/>
              <w:rPr>
                <w:rFonts w:ascii="宋体" w:hAnsi="宋体" w:cs="宋体" w:eastAsia="宋体" w:hint="default"/>
                <w:sz w:val="18"/>
                <w:szCs w:val="18"/>
              </w:rPr>
            </w:pPr>
            <w:r>
              <w:rPr>
                <w:rFonts w:ascii="宋体" w:hAnsi="宋体" w:cs="宋体" w:eastAsia="宋体" w:hint="default"/>
                <w:spacing w:val="-7"/>
                <w:sz w:val="18"/>
                <w:szCs w:val="18"/>
              </w:rPr>
              <w:t>四、本期期末</w:t>
            </w:r>
            <w:r>
              <w:rPr>
                <w:rFonts w:ascii="宋体" w:hAnsi="宋体" w:cs="宋体" w:eastAsia="宋体" w:hint="default"/>
                <w:sz w:val="18"/>
                <w:szCs w:val="18"/>
              </w:rPr>
              <w:t> 余额</w:t>
            </w:r>
          </w:p>
        </w:tc>
        <w:tc>
          <w:tcPr>
            <w:tcW w:w="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9" w:right="0"/>
              <w:jc w:val="left"/>
              <w:rPr>
                <w:rFonts w:ascii="Times New Roman" w:hAnsi="Times New Roman" w:cs="Times New Roman" w:eastAsia="Times New Roman" w:hint="default"/>
                <w:sz w:val="18"/>
                <w:szCs w:val="18"/>
              </w:rPr>
            </w:pPr>
            <w:r>
              <w:rPr>
                <w:rFonts w:ascii="Times New Roman"/>
                <w:sz w:val="18"/>
              </w:rPr>
              <w:t>739</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,75</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1,4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25.</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00</w:t>
            </w:r>
          </w:p>
        </w:tc>
        <w:tc>
          <w:tcPr>
            <w:tcW w:w="466" w:type="dxa"/>
            <w:tcBorders>
              <w:top w:val="single" w:sz="4" w:space="0" w:color="000000"/>
              <w:left w:val="single" w:sz="4" w:space="0" w:color="000000"/>
              <w:bottom w:val="single" w:sz="4" w:space="0" w:color="000000"/>
              <w:right w:val="single" w:sz="4" w:space="0" w:color="000000"/>
            </w:tcBorders>
          </w:tcPr>
          <w:p>
            <w:pPr/>
          </w:p>
        </w:tc>
        <w:tc>
          <w:tcPr>
            <w:tcW w:w="46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990,</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347,</w:t>
            </w:r>
          </w:p>
          <w:p>
            <w:pPr>
              <w:pStyle w:val="TableParagraph"/>
              <w:spacing w:line="240" w:lineRule="auto" w:before="105"/>
              <w:ind w:left="51" w:right="0"/>
              <w:jc w:val="center"/>
              <w:rPr>
                <w:rFonts w:ascii="Times New Roman" w:hAnsi="Times New Roman" w:cs="Times New Roman" w:eastAsia="Times New Roman" w:hint="default"/>
                <w:sz w:val="18"/>
                <w:szCs w:val="18"/>
              </w:rPr>
            </w:pPr>
            <w:r>
              <w:rPr>
                <w:rFonts w:ascii="Times New Roman"/>
                <w:sz w:val="18"/>
              </w:rPr>
              <w:t>545.</w:t>
            </w:r>
          </w:p>
          <w:p>
            <w:pPr>
              <w:pStyle w:val="TableParagraph"/>
              <w:spacing w:line="240" w:lineRule="auto" w:before="105"/>
              <w:ind w:left="189" w:right="0"/>
              <w:jc w:val="center"/>
              <w:rPr>
                <w:rFonts w:ascii="Times New Roman" w:hAnsi="Times New Roman" w:cs="Times New Roman" w:eastAsia="Times New Roman" w:hint="default"/>
                <w:sz w:val="18"/>
                <w:szCs w:val="18"/>
              </w:rPr>
            </w:pPr>
            <w:r>
              <w:rPr>
                <w:rFonts w:ascii="Times New Roman"/>
                <w:sz w:val="18"/>
              </w:rPr>
              <w:t>13</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89,9</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37,6</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35.0</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0</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87,6</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77,4</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41.1</w:t>
            </w:r>
          </w:p>
          <w:p>
            <w:pPr>
              <w:pStyle w:val="TableParagraph"/>
              <w:spacing w:line="240" w:lineRule="auto" w:before="105"/>
              <w:ind w:left="380" w:right="0"/>
              <w:jc w:val="left"/>
              <w:rPr>
                <w:rFonts w:ascii="Times New Roman" w:hAnsi="Times New Roman" w:cs="Times New Roman" w:eastAsia="Times New Roman" w:hint="default"/>
                <w:sz w:val="18"/>
                <w:szCs w:val="18"/>
              </w:rPr>
            </w:pPr>
            <w:r>
              <w:rPr>
                <w:rFonts w:ascii="Times New Roman"/>
                <w:sz w:val="18"/>
              </w:rPr>
              <w:t>2</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861,</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894,</w:t>
            </w:r>
          </w:p>
          <w:p>
            <w:pPr>
              <w:pStyle w:val="TableParagraph"/>
              <w:spacing w:line="240" w:lineRule="auto" w:before="105"/>
              <w:ind w:left="54" w:right="0"/>
              <w:jc w:val="center"/>
              <w:rPr>
                <w:rFonts w:ascii="Times New Roman" w:hAnsi="Times New Roman" w:cs="Times New Roman" w:eastAsia="Times New Roman" w:hint="default"/>
                <w:sz w:val="18"/>
                <w:szCs w:val="18"/>
              </w:rPr>
            </w:pPr>
            <w:r>
              <w:rPr>
                <w:rFonts w:ascii="Times New Roman"/>
                <w:sz w:val="18"/>
              </w:rPr>
              <w:t>675.</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51</w:t>
            </w:r>
          </w:p>
        </w:tc>
        <w:tc>
          <w:tcPr>
            <w:tcW w:w="58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2,58</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9,73</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3,45</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1.76</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35,6</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42,6</w:t>
            </w:r>
          </w:p>
          <w:p>
            <w:pPr>
              <w:pStyle w:val="TableParagraph"/>
              <w:spacing w:line="240" w:lineRule="auto" w:before="105"/>
              <w:ind w:left="156" w:right="0"/>
              <w:jc w:val="left"/>
              <w:rPr>
                <w:rFonts w:ascii="Times New Roman" w:hAnsi="Times New Roman" w:cs="Times New Roman" w:eastAsia="Times New Roman" w:hint="default"/>
                <w:sz w:val="18"/>
                <w:szCs w:val="18"/>
              </w:rPr>
            </w:pPr>
            <w:r>
              <w:rPr>
                <w:rFonts w:ascii="Times New Roman"/>
                <w:sz w:val="18"/>
              </w:rPr>
              <w:t>92.0</w:t>
            </w:r>
          </w:p>
          <w:p>
            <w:pPr>
              <w:pStyle w:val="TableParagraph"/>
              <w:spacing w:line="240" w:lineRule="auto" w:before="105"/>
              <w:ind w:left="381" w:right="0"/>
              <w:jc w:val="left"/>
              <w:rPr>
                <w:rFonts w:ascii="Times New Roman" w:hAnsi="Times New Roman" w:cs="Times New Roman" w:eastAsia="Times New Roman" w:hint="default"/>
                <w:sz w:val="18"/>
                <w:szCs w:val="18"/>
              </w:rPr>
            </w:pPr>
            <w:r>
              <w:rPr>
                <w:rFonts w:ascii="Times New Roman"/>
                <w:sz w:val="18"/>
              </w:rPr>
              <w:t>3</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2,62</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5,37</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6,14</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3.79</w:t>
            </w:r>
          </w:p>
        </w:tc>
      </w:tr>
    </w:tbl>
    <w:p>
      <w:pPr>
        <w:pStyle w:val="BodyText"/>
        <w:spacing w:line="240" w:lineRule="auto" w:before="51"/>
        <w:ind w:right="882"/>
        <w:jc w:val="left"/>
      </w:pPr>
      <w:r>
        <w:rPr/>
        <w:t>上期金额</w:t>
      </w:r>
    </w:p>
    <w:p>
      <w:pPr>
        <w:pStyle w:val="BodyText"/>
        <w:spacing w:line="240" w:lineRule="auto" w:before="117"/>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12"/>
        <w:gridCol w:w="490"/>
        <w:gridCol w:w="449"/>
        <w:gridCol w:w="449"/>
        <w:gridCol w:w="491"/>
        <w:gridCol w:w="576"/>
        <w:gridCol w:w="577"/>
        <w:gridCol w:w="577"/>
        <w:gridCol w:w="577"/>
        <w:gridCol w:w="576"/>
        <w:gridCol w:w="577"/>
        <w:gridCol w:w="589"/>
        <w:gridCol w:w="567"/>
        <w:gridCol w:w="567"/>
        <w:gridCol w:w="643"/>
        <w:gridCol w:w="651"/>
      </w:tblGrid>
      <w:tr>
        <w:trPr>
          <w:trHeight w:val="402" w:hRule="exact"/>
        </w:trPr>
        <w:tc>
          <w:tcPr>
            <w:tcW w:w="12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56"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w:t>
            </w:r>
          </w:p>
        </w:tc>
      </w:tr>
      <w:tr>
        <w:trPr>
          <w:trHeight w:val="402" w:hRule="exact"/>
        </w:trPr>
        <w:tc>
          <w:tcPr>
            <w:tcW w:w="1212" w:type="dxa"/>
            <w:vMerge/>
            <w:tcBorders>
              <w:left w:val="single" w:sz="4" w:space="0" w:color="000000"/>
              <w:right w:val="single" w:sz="4" w:space="0" w:color="000000"/>
            </w:tcBorders>
            <w:shd w:val="clear" w:color="auto" w:fill="D2D2D2"/>
          </w:tcPr>
          <w:p>
            <w:pPr/>
          </w:p>
        </w:tc>
        <w:tc>
          <w:tcPr>
            <w:tcW w:w="706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4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316" w:lineRule="auto"/>
              <w:ind w:left="136" w:right="134"/>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65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2"/>
                <w:szCs w:val="22"/>
              </w:rPr>
            </w:pPr>
          </w:p>
          <w:p>
            <w:pPr>
              <w:pStyle w:val="TableParagraph"/>
              <w:spacing w:line="316" w:lineRule="auto"/>
              <w:ind w:left="139" w:right="140"/>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402" w:hRule="exact"/>
        </w:trPr>
        <w:tc>
          <w:tcPr>
            <w:tcW w:w="1212" w:type="dxa"/>
            <w:vMerge/>
            <w:tcBorders>
              <w:left w:val="single" w:sz="4" w:space="0" w:color="000000"/>
              <w:right w:val="single" w:sz="4" w:space="0" w:color="000000"/>
            </w:tcBorders>
            <w:shd w:val="clear" w:color="auto" w:fill="D2D2D2"/>
          </w:tcPr>
          <w:p>
            <w:pPr/>
          </w:p>
        </w:tc>
        <w:tc>
          <w:tcPr>
            <w:tcW w:w="4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50" w:right="148"/>
              <w:jc w:val="left"/>
              <w:rPr>
                <w:rFonts w:ascii="宋体" w:hAnsi="宋体" w:cs="宋体" w:eastAsia="宋体" w:hint="default"/>
                <w:sz w:val="18"/>
                <w:szCs w:val="18"/>
              </w:rPr>
            </w:pPr>
            <w:r>
              <w:rPr>
                <w:rFonts w:ascii="宋体" w:hAnsi="宋体" w:cs="宋体" w:eastAsia="宋体" w:hint="default"/>
                <w:sz w:val="18"/>
                <w:szCs w:val="18"/>
              </w:rPr>
              <w:t>股 本</w:t>
            </w:r>
          </w:p>
        </w:tc>
        <w:tc>
          <w:tcPr>
            <w:tcW w:w="13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4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5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02" w:right="102"/>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5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02" w:right="103"/>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5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03" w:right="101"/>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5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02" w:right="102"/>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5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03" w:right="100"/>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5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03" w:right="101"/>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5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10" w:right="107"/>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5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88" w:right="187"/>
              <w:jc w:val="center"/>
              <w:rPr>
                <w:rFonts w:ascii="宋体" w:hAnsi="宋体" w:cs="宋体" w:eastAsia="宋体" w:hint="default"/>
                <w:sz w:val="18"/>
                <w:szCs w:val="18"/>
              </w:rPr>
            </w:pPr>
            <w:r>
              <w:rPr>
                <w:rFonts w:ascii="宋体" w:hAnsi="宋体" w:cs="宋体" w:eastAsia="宋体" w:hint="default"/>
                <w:sz w:val="18"/>
                <w:szCs w:val="18"/>
              </w:rPr>
              <w:t>其 他</w:t>
            </w:r>
          </w:p>
        </w:tc>
        <w:tc>
          <w:tcPr>
            <w:tcW w:w="5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87" w:right="187"/>
              <w:jc w:val="center"/>
              <w:rPr>
                <w:rFonts w:ascii="宋体" w:hAnsi="宋体" w:cs="宋体" w:eastAsia="宋体" w:hint="default"/>
                <w:sz w:val="18"/>
                <w:szCs w:val="18"/>
              </w:rPr>
            </w:pPr>
            <w:r>
              <w:rPr>
                <w:rFonts w:ascii="宋体" w:hAnsi="宋体" w:cs="宋体" w:eastAsia="宋体" w:hint="default"/>
                <w:sz w:val="18"/>
                <w:szCs w:val="18"/>
              </w:rPr>
              <w:t>小 计</w:t>
            </w:r>
          </w:p>
        </w:tc>
        <w:tc>
          <w:tcPr>
            <w:tcW w:w="643" w:type="dxa"/>
            <w:vMerge/>
            <w:tcBorders>
              <w:left w:val="single" w:sz="4" w:space="0" w:color="000000"/>
              <w:right w:val="single" w:sz="4" w:space="0" w:color="000000"/>
            </w:tcBorders>
            <w:shd w:val="clear" w:color="auto" w:fill="D2D2D2"/>
          </w:tcPr>
          <w:p>
            <w:pPr/>
          </w:p>
        </w:tc>
        <w:tc>
          <w:tcPr>
            <w:tcW w:w="651" w:type="dxa"/>
            <w:vMerge/>
            <w:tcBorders>
              <w:left w:val="single" w:sz="4" w:space="0" w:color="000000"/>
              <w:right w:val="single" w:sz="4" w:space="0" w:color="000000"/>
            </w:tcBorders>
            <w:shd w:val="clear" w:color="auto" w:fill="D2D2D2"/>
          </w:tcPr>
          <w:p>
            <w:pPr/>
          </w:p>
        </w:tc>
      </w:tr>
      <w:tr>
        <w:trPr>
          <w:trHeight w:val="1024" w:hRule="exact"/>
        </w:trPr>
        <w:tc>
          <w:tcPr>
            <w:tcW w:w="1212" w:type="dxa"/>
            <w:vMerge/>
            <w:tcBorders>
              <w:left w:val="single" w:sz="4" w:space="0" w:color="000000"/>
              <w:bottom w:val="single" w:sz="4" w:space="0" w:color="000000"/>
              <w:right w:val="single" w:sz="4" w:space="0" w:color="000000"/>
            </w:tcBorders>
            <w:shd w:val="clear" w:color="auto" w:fill="D2D2D2"/>
          </w:tcPr>
          <w:p>
            <w:pPr/>
          </w:p>
        </w:tc>
        <w:tc>
          <w:tcPr>
            <w:tcW w:w="490" w:type="dxa"/>
            <w:vMerge/>
            <w:tcBorders>
              <w:left w:val="single" w:sz="4" w:space="0" w:color="000000"/>
              <w:bottom w:val="single" w:sz="4" w:space="0" w:color="000000"/>
              <w:right w:val="single" w:sz="4" w:space="0" w:color="000000"/>
            </w:tcBorders>
            <w:shd w:val="clear" w:color="auto" w:fill="D2D2D2"/>
          </w:tcPr>
          <w:p>
            <w:pPr/>
          </w:p>
        </w:tc>
        <w:tc>
          <w:tcPr>
            <w:tcW w:w="4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7" w:right="129"/>
              <w:jc w:val="both"/>
              <w:rPr>
                <w:rFonts w:ascii="宋体" w:hAnsi="宋体" w:cs="宋体" w:eastAsia="宋体" w:hint="default"/>
                <w:sz w:val="18"/>
                <w:szCs w:val="18"/>
              </w:rPr>
            </w:pPr>
            <w:r>
              <w:rPr>
                <w:rFonts w:ascii="宋体" w:hAnsi="宋体" w:cs="宋体" w:eastAsia="宋体" w:hint="default"/>
                <w:sz w:val="18"/>
                <w:szCs w:val="18"/>
              </w:rPr>
              <w:t>优 先 股</w:t>
            </w:r>
          </w:p>
        </w:tc>
        <w:tc>
          <w:tcPr>
            <w:tcW w:w="4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0" w:right="127"/>
              <w:jc w:val="both"/>
              <w:rPr>
                <w:rFonts w:ascii="宋体" w:hAnsi="宋体" w:cs="宋体" w:eastAsia="宋体" w:hint="default"/>
                <w:sz w:val="18"/>
                <w:szCs w:val="18"/>
              </w:rPr>
            </w:pPr>
            <w:r>
              <w:rPr>
                <w:rFonts w:ascii="宋体" w:hAnsi="宋体" w:cs="宋体" w:eastAsia="宋体" w:hint="default"/>
                <w:sz w:val="18"/>
                <w:szCs w:val="18"/>
              </w:rPr>
              <w:t>永 续 债</w:t>
            </w:r>
          </w:p>
        </w:tc>
        <w:tc>
          <w:tcPr>
            <w:tcW w:w="4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49" w:right="150"/>
              <w:jc w:val="left"/>
              <w:rPr>
                <w:rFonts w:ascii="宋体" w:hAnsi="宋体" w:cs="宋体" w:eastAsia="宋体" w:hint="default"/>
                <w:sz w:val="18"/>
                <w:szCs w:val="18"/>
              </w:rPr>
            </w:pPr>
            <w:r>
              <w:rPr>
                <w:rFonts w:ascii="宋体" w:hAnsi="宋体" w:cs="宋体" w:eastAsia="宋体" w:hint="default"/>
                <w:sz w:val="18"/>
                <w:szCs w:val="18"/>
              </w:rPr>
              <w:t>其 他</w:t>
            </w:r>
          </w:p>
        </w:tc>
        <w:tc>
          <w:tcPr>
            <w:tcW w:w="576" w:type="dxa"/>
            <w:vMerge/>
            <w:tcBorders>
              <w:left w:val="single" w:sz="4" w:space="0" w:color="000000"/>
              <w:bottom w:val="single" w:sz="4" w:space="0" w:color="000000"/>
              <w:right w:val="single" w:sz="4" w:space="0" w:color="000000"/>
            </w:tcBorders>
            <w:shd w:val="clear" w:color="auto" w:fill="D2D2D2"/>
          </w:tcPr>
          <w:p>
            <w:pPr/>
          </w:p>
        </w:tc>
        <w:tc>
          <w:tcPr>
            <w:tcW w:w="577" w:type="dxa"/>
            <w:vMerge/>
            <w:tcBorders>
              <w:left w:val="single" w:sz="4" w:space="0" w:color="000000"/>
              <w:bottom w:val="single" w:sz="4" w:space="0" w:color="000000"/>
              <w:right w:val="single" w:sz="4" w:space="0" w:color="000000"/>
            </w:tcBorders>
            <w:shd w:val="clear" w:color="auto" w:fill="D2D2D2"/>
          </w:tcPr>
          <w:p>
            <w:pPr/>
          </w:p>
        </w:tc>
        <w:tc>
          <w:tcPr>
            <w:tcW w:w="577" w:type="dxa"/>
            <w:vMerge/>
            <w:tcBorders>
              <w:left w:val="single" w:sz="4" w:space="0" w:color="000000"/>
              <w:bottom w:val="single" w:sz="4" w:space="0" w:color="000000"/>
              <w:right w:val="single" w:sz="4" w:space="0" w:color="000000"/>
            </w:tcBorders>
            <w:shd w:val="clear" w:color="auto" w:fill="D2D2D2"/>
          </w:tcPr>
          <w:p>
            <w:pPr/>
          </w:p>
        </w:tc>
        <w:tc>
          <w:tcPr>
            <w:tcW w:w="577" w:type="dxa"/>
            <w:vMerge/>
            <w:tcBorders>
              <w:left w:val="single" w:sz="4" w:space="0" w:color="000000"/>
              <w:bottom w:val="single" w:sz="4" w:space="0" w:color="000000"/>
              <w:right w:val="single" w:sz="4" w:space="0" w:color="000000"/>
            </w:tcBorders>
            <w:shd w:val="clear" w:color="auto" w:fill="D2D2D2"/>
          </w:tcPr>
          <w:p>
            <w:pPr/>
          </w:p>
        </w:tc>
        <w:tc>
          <w:tcPr>
            <w:tcW w:w="576" w:type="dxa"/>
            <w:vMerge/>
            <w:tcBorders>
              <w:left w:val="single" w:sz="4" w:space="0" w:color="000000"/>
              <w:bottom w:val="single" w:sz="4" w:space="0" w:color="000000"/>
              <w:right w:val="single" w:sz="4" w:space="0" w:color="000000"/>
            </w:tcBorders>
            <w:shd w:val="clear" w:color="auto" w:fill="D2D2D2"/>
          </w:tcPr>
          <w:p>
            <w:pPr/>
          </w:p>
        </w:tc>
        <w:tc>
          <w:tcPr>
            <w:tcW w:w="577" w:type="dxa"/>
            <w:vMerge/>
            <w:tcBorders>
              <w:left w:val="single" w:sz="4" w:space="0" w:color="000000"/>
              <w:bottom w:val="single" w:sz="4" w:space="0" w:color="000000"/>
              <w:right w:val="single" w:sz="4" w:space="0" w:color="000000"/>
            </w:tcBorders>
            <w:shd w:val="clear" w:color="auto" w:fill="D2D2D2"/>
          </w:tcPr>
          <w:p>
            <w:pPr/>
          </w:p>
        </w:tc>
        <w:tc>
          <w:tcPr>
            <w:tcW w:w="589" w:type="dxa"/>
            <w:vMerge/>
            <w:tcBorders>
              <w:left w:val="single" w:sz="4" w:space="0" w:color="000000"/>
              <w:bottom w:val="single" w:sz="4" w:space="0" w:color="000000"/>
              <w:right w:val="single" w:sz="4" w:space="0" w:color="000000"/>
            </w:tcBorders>
            <w:shd w:val="clear" w:color="auto" w:fill="D2D2D2"/>
          </w:tcPr>
          <w:p>
            <w:pPr/>
          </w:p>
        </w:tc>
        <w:tc>
          <w:tcPr>
            <w:tcW w:w="567" w:type="dxa"/>
            <w:vMerge/>
            <w:tcBorders>
              <w:left w:val="single" w:sz="4" w:space="0" w:color="000000"/>
              <w:bottom w:val="single" w:sz="4" w:space="0" w:color="000000"/>
              <w:right w:val="single" w:sz="4" w:space="0" w:color="000000"/>
            </w:tcBorders>
            <w:shd w:val="clear" w:color="auto" w:fill="D2D2D2"/>
          </w:tcPr>
          <w:p>
            <w:pPr/>
          </w:p>
        </w:tc>
        <w:tc>
          <w:tcPr>
            <w:tcW w:w="567" w:type="dxa"/>
            <w:vMerge/>
            <w:tcBorders>
              <w:left w:val="single" w:sz="4" w:space="0" w:color="000000"/>
              <w:bottom w:val="single" w:sz="4" w:space="0" w:color="000000"/>
              <w:right w:val="single" w:sz="4" w:space="0" w:color="000000"/>
            </w:tcBorders>
            <w:shd w:val="clear" w:color="auto" w:fill="D2D2D2"/>
          </w:tcPr>
          <w:p>
            <w:pPr/>
          </w:p>
        </w:tc>
        <w:tc>
          <w:tcPr>
            <w:tcW w:w="643" w:type="dxa"/>
            <w:vMerge/>
            <w:tcBorders>
              <w:left w:val="single" w:sz="4" w:space="0" w:color="000000"/>
              <w:bottom w:val="single" w:sz="4" w:space="0" w:color="000000"/>
              <w:right w:val="single" w:sz="4" w:space="0" w:color="000000"/>
            </w:tcBorders>
            <w:shd w:val="clear" w:color="auto" w:fill="D2D2D2"/>
          </w:tcPr>
          <w:p>
            <w:pPr/>
          </w:p>
        </w:tc>
        <w:tc>
          <w:tcPr>
            <w:tcW w:w="651"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12"/>
        <w:gridCol w:w="490"/>
        <w:gridCol w:w="449"/>
        <w:gridCol w:w="449"/>
        <w:gridCol w:w="491"/>
        <w:gridCol w:w="576"/>
        <w:gridCol w:w="577"/>
        <w:gridCol w:w="577"/>
        <w:gridCol w:w="577"/>
        <w:gridCol w:w="576"/>
        <w:gridCol w:w="577"/>
        <w:gridCol w:w="589"/>
        <w:gridCol w:w="567"/>
        <w:gridCol w:w="567"/>
        <w:gridCol w:w="643"/>
        <w:gridCol w:w="651"/>
      </w:tblGrid>
      <w:tr>
        <w:trPr>
          <w:trHeight w:val="1650"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4"/>
              <w:ind w:left="101" w:right="102"/>
              <w:jc w:val="left"/>
              <w:rPr>
                <w:rFonts w:ascii="宋体" w:hAnsi="宋体" w:cs="宋体" w:eastAsia="宋体" w:hint="default"/>
                <w:sz w:val="18"/>
                <w:szCs w:val="18"/>
              </w:rPr>
            </w:pPr>
            <w:r>
              <w:rPr>
                <w:rFonts w:ascii="宋体" w:hAnsi="宋体" w:cs="宋体" w:eastAsia="宋体" w:hint="default"/>
                <w:spacing w:val="-14"/>
                <w:sz w:val="18"/>
                <w:szCs w:val="18"/>
              </w:rPr>
              <w:t>一、上年期末</w:t>
            </w:r>
            <w:r>
              <w:rPr>
                <w:rFonts w:ascii="宋体" w:hAnsi="宋体" w:cs="宋体" w:eastAsia="宋体" w:hint="default"/>
                <w:sz w:val="18"/>
                <w:szCs w:val="18"/>
              </w:rPr>
              <w:t> 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6"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,80</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1,8</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87.</w:t>
            </w:r>
          </w:p>
          <w:p>
            <w:pPr>
              <w:pStyle w:val="TableParagraph"/>
              <w:spacing w:line="240" w:lineRule="auto" w:before="105"/>
              <w:ind w:left="198"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1,49</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9,62</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8,42</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5.90</w:t>
            </w: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181,</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364,</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667.</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79</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41,5</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16,8</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79.7</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2</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435,</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329,</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536.</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63</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39" w:right="0"/>
              <w:jc w:val="left"/>
              <w:rPr>
                <w:rFonts w:ascii="Times New Roman" w:hAnsi="Times New Roman" w:cs="Times New Roman" w:eastAsia="Times New Roman" w:hint="default"/>
                <w:sz w:val="18"/>
                <w:szCs w:val="18"/>
              </w:rPr>
            </w:pPr>
            <w:r>
              <w:rPr>
                <w:rFonts w:ascii="Times New Roman"/>
                <w:sz w:val="18"/>
              </w:rPr>
              <w:t>2,03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7,91</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2,06</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1.46</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2" w:right="0"/>
              <w:jc w:val="center"/>
              <w:rPr>
                <w:rFonts w:ascii="Times New Roman" w:hAnsi="Times New Roman" w:cs="Times New Roman" w:eastAsia="Times New Roman" w:hint="default"/>
                <w:sz w:val="18"/>
                <w:szCs w:val="18"/>
              </w:rPr>
            </w:pPr>
            <w:r>
              <w:rPr>
                <w:rFonts w:ascii="Times New Roman"/>
                <w:sz w:val="18"/>
              </w:rPr>
              <w:t>33,90</w:t>
            </w:r>
          </w:p>
          <w:p>
            <w:pPr>
              <w:pStyle w:val="TableParagraph"/>
              <w:spacing w:line="240" w:lineRule="auto" w:before="105"/>
              <w:ind w:left="22" w:right="0"/>
              <w:jc w:val="center"/>
              <w:rPr>
                <w:rFonts w:ascii="Times New Roman" w:hAnsi="Times New Roman" w:cs="Times New Roman" w:eastAsia="Times New Roman" w:hint="default"/>
                <w:sz w:val="18"/>
                <w:szCs w:val="18"/>
              </w:rPr>
            </w:pPr>
            <w:r>
              <w:rPr>
                <w:rFonts w:ascii="Times New Roman"/>
                <w:sz w:val="18"/>
              </w:rPr>
              <w:t>5,574</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.69</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2,071</w:t>
            </w:r>
          </w:p>
          <w:p>
            <w:pPr>
              <w:pStyle w:val="TableParagraph"/>
              <w:spacing w:line="240" w:lineRule="auto" w:before="105"/>
              <w:ind w:left="177" w:right="0"/>
              <w:jc w:val="left"/>
              <w:rPr>
                <w:rFonts w:ascii="Times New Roman" w:hAnsi="Times New Roman" w:cs="Times New Roman" w:eastAsia="Times New Roman" w:hint="default"/>
                <w:sz w:val="18"/>
                <w:szCs w:val="18"/>
              </w:rPr>
            </w:pPr>
            <w:r>
              <w:rPr>
                <w:rFonts w:ascii="Times New Roman"/>
                <w:sz w:val="18"/>
              </w:rPr>
              <w:t>,817,</w:t>
            </w:r>
          </w:p>
          <w:p>
            <w:pPr>
              <w:pStyle w:val="TableParagraph"/>
              <w:spacing w:line="240" w:lineRule="auto" w:before="105"/>
              <w:ind w:left="132" w:right="0"/>
              <w:jc w:val="left"/>
              <w:rPr>
                <w:rFonts w:ascii="Times New Roman" w:hAnsi="Times New Roman" w:cs="Times New Roman" w:eastAsia="Times New Roman" w:hint="default"/>
                <w:sz w:val="18"/>
                <w:szCs w:val="18"/>
              </w:rPr>
            </w:pPr>
            <w:r>
              <w:rPr>
                <w:rFonts w:ascii="Times New Roman"/>
                <w:sz w:val="18"/>
              </w:rPr>
              <w:t>636.1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02"/>
              <w:jc w:val="left"/>
              <w:rPr>
                <w:rFonts w:ascii="宋体" w:hAnsi="宋体" w:cs="宋体" w:eastAsia="宋体" w:hint="default"/>
                <w:sz w:val="18"/>
                <w:szCs w:val="18"/>
              </w:rPr>
            </w:pPr>
            <w:r>
              <w:rPr>
                <w:rFonts w:ascii="宋体" w:hAnsi="宋体" w:cs="宋体" w:eastAsia="宋体" w:hint="default"/>
                <w:spacing w:val="-14"/>
                <w:sz w:val="18"/>
                <w:szCs w:val="18"/>
              </w:rPr>
              <w:t>加：会计政策</w:t>
            </w:r>
            <w:r>
              <w:rPr>
                <w:rFonts w:ascii="宋体" w:hAnsi="宋体" w:cs="宋体" w:eastAsia="宋体" w:hint="default"/>
                <w:sz w:val="18"/>
                <w:szCs w:val="18"/>
              </w:rPr>
              <w:t> 变更</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98"/>
              <w:jc w:val="left"/>
              <w:rPr>
                <w:rFonts w:ascii="宋体" w:hAnsi="宋体" w:cs="宋体" w:eastAsia="宋体" w:hint="default"/>
                <w:sz w:val="18"/>
                <w:szCs w:val="18"/>
              </w:rPr>
            </w:pPr>
            <w:r>
              <w:rPr>
                <w:rFonts w:ascii="宋体" w:hAnsi="宋体" w:cs="宋体" w:eastAsia="宋体" w:hint="default"/>
                <w:sz w:val="18"/>
                <w:szCs w:val="18"/>
              </w:rPr>
              <w:t>前期差错更 正</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98"/>
              <w:jc w:val="left"/>
              <w:rPr>
                <w:rFonts w:ascii="宋体" w:hAnsi="宋体" w:cs="宋体" w:eastAsia="宋体" w:hint="default"/>
                <w:sz w:val="18"/>
                <w:szCs w:val="18"/>
              </w:rPr>
            </w:pPr>
            <w:r>
              <w:rPr>
                <w:rFonts w:ascii="宋体" w:hAnsi="宋体" w:cs="宋体" w:eastAsia="宋体" w:hint="default"/>
                <w:sz w:val="18"/>
                <w:szCs w:val="18"/>
              </w:rPr>
              <w:t>同一控制下 企业合并</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1" w:right="102"/>
              <w:jc w:val="left"/>
              <w:rPr>
                <w:rFonts w:ascii="宋体" w:hAnsi="宋体" w:cs="宋体" w:eastAsia="宋体" w:hint="default"/>
                <w:sz w:val="18"/>
                <w:szCs w:val="18"/>
              </w:rPr>
            </w:pPr>
            <w:r>
              <w:rPr>
                <w:rFonts w:ascii="宋体" w:hAnsi="宋体" w:cs="宋体" w:eastAsia="宋体" w:hint="default"/>
                <w:spacing w:val="-14"/>
                <w:sz w:val="18"/>
                <w:szCs w:val="18"/>
              </w:rPr>
              <w:t>二、本年期初</w:t>
            </w:r>
            <w:r>
              <w:rPr>
                <w:rFonts w:ascii="宋体" w:hAnsi="宋体" w:cs="宋体" w:eastAsia="宋体" w:hint="default"/>
                <w:sz w:val="18"/>
                <w:szCs w:val="18"/>
              </w:rPr>
              <w:t> 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6"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,80</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1,8</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87.</w:t>
            </w:r>
          </w:p>
          <w:p>
            <w:pPr>
              <w:pStyle w:val="TableParagraph"/>
              <w:spacing w:line="240" w:lineRule="auto" w:before="105"/>
              <w:ind w:left="198"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1,49</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9,62</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8,42</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5.90</w:t>
            </w: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181,</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364,</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667.</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79</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41,5</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16,8</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79.7</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2</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435,</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329,</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536.</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63</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9" w:right="0"/>
              <w:jc w:val="left"/>
              <w:rPr>
                <w:rFonts w:ascii="Times New Roman" w:hAnsi="Times New Roman" w:cs="Times New Roman" w:eastAsia="Times New Roman" w:hint="default"/>
                <w:sz w:val="18"/>
                <w:szCs w:val="18"/>
              </w:rPr>
            </w:pPr>
            <w:r>
              <w:rPr>
                <w:rFonts w:ascii="Times New Roman"/>
                <w:sz w:val="18"/>
              </w:rPr>
              <w:t>2,03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7,91</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2,06</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1.46</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22" w:right="0"/>
              <w:jc w:val="center"/>
              <w:rPr>
                <w:rFonts w:ascii="Times New Roman" w:hAnsi="Times New Roman" w:cs="Times New Roman" w:eastAsia="Times New Roman" w:hint="default"/>
                <w:sz w:val="18"/>
                <w:szCs w:val="18"/>
              </w:rPr>
            </w:pPr>
            <w:r>
              <w:rPr>
                <w:rFonts w:ascii="Times New Roman"/>
                <w:sz w:val="18"/>
              </w:rPr>
              <w:t>33,90</w:t>
            </w:r>
          </w:p>
          <w:p>
            <w:pPr>
              <w:pStyle w:val="TableParagraph"/>
              <w:spacing w:line="240" w:lineRule="auto" w:before="105"/>
              <w:ind w:left="22" w:right="0"/>
              <w:jc w:val="center"/>
              <w:rPr>
                <w:rFonts w:ascii="Times New Roman" w:hAnsi="Times New Roman" w:cs="Times New Roman" w:eastAsia="Times New Roman" w:hint="default"/>
                <w:sz w:val="18"/>
                <w:szCs w:val="18"/>
              </w:rPr>
            </w:pPr>
            <w:r>
              <w:rPr>
                <w:rFonts w:ascii="Times New Roman"/>
                <w:sz w:val="18"/>
              </w:rPr>
              <w:t>5,574</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.69</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2,071</w:t>
            </w:r>
          </w:p>
          <w:p>
            <w:pPr>
              <w:pStyle w:val="TableParagraph"/>
              <w:spacing w:line="240" w:lineRule="auto" w:before="105"/>
              <w:ind w:left="177" w:right="0"/>
              <w:jc w:val="left"/>
              <w:rPr>
                <w:rFonts w:ascii="Times New Roman" w:hAnsi="Times New Roman" w:cs="Times New Roman" w:eastAsia="Times New Roman" w:hint="default"/>
                <w:sz w:val="18"/>
                <w:szCs w:val="18"/>
              </w:rPr>
            </w:pPr>
            <w:r>
              <w:rPr>
                <w:rFonts w:ascii="Times New Roman"/>
                <w:sz w:val="18"/>
              </w:rPr>
              <w:t>,817,</w:t>
            </w:r>
          </w:p>
          <w:p>
            <w:pPr>
              <w:pStyle w:val="TableParagraph"/>
              <w:spacing w:line="240" w:lineRule="auto" w:before="105"/>
              <w:ind w:left="132" w:right="0"/>
              <w:jc w:val="left"/>
              <w:rPr>
                <w:rFonts w:ascii="Times New Roman" w:hAnsi="Times New Roman" w:cs="Times New Roman" w:eastAsia="Times New Roman" w:hint="default"/>
                <w:sz w:val="18"/>
                <w:szCs w:val="18"/>
              </w:rPr>
            </w:pPr>
            <w:r>
              <w:rPr>
                <w:rFonts w:ascii="Times New Roman"/>
                <w:sz w:val="18"/>
              </w:rPr>
              <w:t>636.1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r>
      <w:tr>
        <w:trPr>
          <w:trHeight w:val="1650"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1" w:right="102"/>
              <w:jc w:val="both"/>
              <w:rPr>
                <w:rFonts w:ascii="宋体" w:hAnsi="宋体" w:cs="宋体" w:eastAsia="宋体" w:hint="default"/>
                <w:sz w:val="18"/>
                <w:szCs w:val="18"/>
              </w:rPr>
            </w:pPr>
            <w:r>
              <w:rPr>
                <w:rFonts w:ascii="宋体" w:hAnsi="宋体" w:cs="宋体" w:eastAsia="宋体" w:hint="default"/>
                <w:spacing w:val="-14"/>
                <w:sz w:val="18"/>
                <w:szCs w:val="18"/>
              </w:rPr>
              <w:t>三、本期增减</w:t>
            </w:r>
            <w:r>
              <w:rPr>
                <w:rFonts w:ascii="宋体" w:hAnsi="宋体" w:cs="宋体" w:eastAsia="宋体" w:hint="default"/>
                <w:sz w:val="18"/>
                <w:szCs w:val="18"/>
              </w:rPr>
              <w:t> </w:t>
            </w:r>
            <w:r>
              <w:rPr>
                <w:rFonts w:ascii="宋体" w:hAnsi="宋体" w:cs="宋体" w:eastAsia="宋体" w:hint="default"/>
                <w:spacing w:val="-14"/>
                <w:sz w:val="18"/>
                <w:szCs w:val="18"/>
              </w:rPr>
              <w:t>变动金额（减</w:t>
            </w:r>
            <w:r>
              <w:rPr>
                <w:rFonts w:ascii="宋体" w:hAnsi="宋体" w:cs="宋体" w:eastAsia="宋体" w:hint="default"/>
                <w:sz w:val="18"/>
                <w:szCs w:val="18"/>
              </w:rPr>
              <w:t> </w:t>
            </w:r>
            <w:r>
              <w:rPr>
                <w:rFonts w:ascii="宋体" w:hAnsi="宋体" w:cs="宋体" w:eastAsia="宋体" w:hint="default"/>
                <w:spacing w:val="-15"/>
                <w:sz w:val="18"/>
                <w:szCs w:val="18"/>
              </w:rPr>
              <w:t>少以“－”号</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填列）</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6"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,65</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4,5</w:t>
            </w:r>
          </w:p>
          <w:p>
            <w:pPr>
              <w:pStyle w:val="TableParagraph"/>
              <w:spacing w:line="240" w:lineRule="auto" w:before="105"/>
              <w:ind w:left="159" w:right="0"/>
              <w:jc w:val="left"/>
              <w:rPr>
                <w:rFonts w:ascii="Times New Roman" w:hAnsi="Times New Roman" w:cs="Times New Roman" w:eastAsia="Times New Roman" w:hint="default"/>
                <w:sz w:val="18"/>
                <w:szCs w:val="18"/>
              </w:rPr>
            </w:pPr>
            <w:r>
              <w:rPr>
                <w:rFonts w:ascii="Times New Roman"/>
                <w:spacing w:val="-2"/>
                <w:sz w:val="18"/>
              </w:rPr>
              <w:t>11.</w:t>
            </w:r>
          </w:p>
          <w:p>
            <w:pPr>
              <w:pStyle w:val="TableParagraph"/>
              <w:spacing w:line="240" w:lineRule="auto" w:before="105"/>
              <w:ind w:left="198"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30" w:right="0"/>
              <w:jc w:val="center"/>
              <w:rPr>
                <w:rFonts w:ascii="Times New Roman" w:hAnsi="Times New Roman" w:cs="Times New Roman" w:eastAsia="Times New Roman" w:hint="default"/>
                <w:sz w:val="18"/>
                <w:szCs w:val="18"/>
              </w:rPr>
            </w:pPr>
            <w:r>
              <w:rPr>
                <w:rFonts w:ascii="Times New Roman"/>
                <w:sz w:val="18"/>
              </w:rPr>
              <w:t>-298</w:t>
            </w:r>
          </w:p>
          <w:p>
            <w:pPr>
              <w:pStyle w:val="TableParagraph"/>
              <w:spacing w:line="240" w:lineRule="auto" w:before="105"/>
              <w:ind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127.</w:t>
            </w:r>
          </w:p>
          <w:p>
            <w:pPr>
              <w:pStyle w:val="TableParagraph"/>
              <w:spacing w:line="240" w:lineRule="auto" w:before="105"/>
              <w:ind w:left="179" w:right="0"/>
              <w:jc w:val="center"/>
              <w:rPr>
                <w:rFonts w:ascii="Times New Roman" w:hAnsi="Times New Roman" w:cs="Times New Roman" w:eastAsia="Times New Roman" w:hint="default"/>
                <w:sz w:val="18"/>
                <w:szCs w:val="18"/>
              </w:rPr>
            </w:pPr>
            <w:r>
              <w:rPr>
                <w:rFonts w:ascii="Times New Roman"/>
                <w:sz w:val="18"/>
              </w:rPr>
              <w:t>34</w:t>
            </w: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-150</w:t>
            </w:r>
          </w:p>
          <w:p>
            <w:pPr>
              <w:pStyle w:val="TableParagraph"/>
              <w:spacing w:line="240" w:lineRule="auto" w:before="105"/>
              <w:ind w:left="3" w:right="0"/>
              <w:jc w:val="center"/>
              <w:rPr>
                <w:rFonts w:ascii="Times New Roman" w:hAnsi="Times New Roman" w:cs="Times New Roman" w:eastAsia="Times New Roman" w:hint="default"/>
                <w:sz w:val="18"/>
                <w:szCs w:val="18"/>
              </w:rPr>
            </w:pPr>
            <w:r>
              <w:rPr>
                <w:rFonts w:ascii="Times New Roman"/>
                <w:sz w:val="18"/>
              </w:rPr>
              <w:t>,883,</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605.</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58</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24,1</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64,1</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6</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164,</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254,</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552.</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09</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38" w:right="0"/>
              <w:jc w:val="center"/>
              <w:rPr>
                <w:rFonts w:ascii="Times New Roman" w:hAnsi="Times New Roman" w:cs="Times New Roman" w:eastAsia="Times New Roman" w:hint="default"/>
                <w:sz w:val="18"/>
                <w:szCs w:val="18"/>
              </w:rPr>
            </w:pPr>
            <w:r>
              <w:rPr>
                <w:rFonts w:ascii="Times New Roman"/>
                <w:sz w:val="18"/>
              </w:rPr>
              <w:t>283,</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155,</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663.</w:t>
            </w:r>
          </w:p>
          <w:p>
            <w:pPr>
              <w:pStyle w:val="TableParagraph"/>
              <w:spacing w:line="240" w:lineRule="auto" w:before="105"/>
              <w:ind w:left="172" w:right="0"/>
              <w:jc w:val="center"/>
              <w:rPr>
                <w:rFonts w:ascii="Times New Roman" w:hAnsi="Times New Roman" w:cs="Times New Roman" w:eastAsia="Times New Roman" w:hint="default"/>
                <w:sz w:val="18"/>
                <w:szCs w:val="18"/>
              </w:rPr>
            </w:pPr>
            <w:r>
              <w:rPr>
                <w:rFonts w:ascii="Times New Roman"/>
                <w:sz w:val="18"/>
              </w:rPr>
              <w:t>79</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3,024</w:t>
            </w:r>
          </w:p>
          <w:p>
            <w:pPr>
              <w:pStyle w:val="TableParagraph"/>
              <w:spacing w:line="240" w:lineRule="auto" w:before="105"/>
              <w:ind w:left="69" w:right="0"/>
              <w:jc w:val="center"/>
              <w:rPr>
                <w:rFonts w:ascii="Times New Roman" w:hAnsi="Times New Roman" w:cs="Times New Roman" w:eastAsia="Times New Roman" w:hint="default"/>
                <w:sz w:val="18"/>
                <w:szCs w:val="18"/>
              </w:rPr>
            </w:pPr>
            <w:r>
              <w:rPr>
                <w:rFonts w:ascii="Times New Roman"/>
                <w:sz w:val="18"/>
              </w:rPr>
              <w:t>,278.</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47</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286,1</w:t>
            </w:r>
          </w:p>
          <w:p>
            <w:pPr>
              <w:pStyle w:val="TableParagraph"/>
              <w:spacing w:line="240" w:lineRule="auto" w:before="105"/>
              <w:ind w:left="132" w:right="0"/>
              <w:jc w:val="left"/>
              <w:rPr>
                <w:rFonts w:ascii="Times New Roman" w:hAnsi="Times New Roman" w:cs="Times New Roman" w:eastAsia="Times New Roman" w:hint="default"/>
                <w:sz w:val="18"/>
                <w:szCs w:val="18"/>
              </w:rPr>
            </w:pPr>
            <w:r>
              <w:rPr>
                <w:rFonts w:ascii="Times New Roman"/>
                <w:sz w:val="18"/>
              </w:rPr>
              <w:t>79,94</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2.26</w:t>
            </w: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1" w:right="102"/>
              <w:jc w:val="left"/>
              <w:rPr>
                <w:rFonts w:ascii="宋体" w:hAnsi="宋体" w:cs="宋体" w:eastAsia="宋体" w:hint="default"/>
                <w:sz w:val="18"/>
                <w:szCs w:val="18"/>
              </w:rPr>
            </w:pPr>
            <w:r>
              <w:rPr>
                <w:rFonts w:ascii="宋体" w:hAnsi="宋体" w:cs="宋体" w:eastAsia="宋体" w:hint="default"/>
                <w:spacing w:val="-14"/>
                <w:sz w:val="18"/>
                <w:szCs w:val="18"/>
              </w:rPr>
              <w:t>（一）综合收</w:t>
            </w:r>
            <w:r>
              <w:rPr>
                <w:rFonts w:ascii="宋体" w:hAnsi="宋体" w:cs="宋体" w:eastAsia="宋体" w:hint="default"/>
                <w:sz w:val="18"/>
                <w:szCs w:val="18"/>
              </w:rPr>
              <w:t> 益总额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7" w:right="0"/>
              <w:jc w:val="center"/>
              <w:rPr>
                <w:rFonts w:ascii="Times New Roman" w:hAnsi="Times New Roman" w:cs="Times New Roman" w:eastAsia="Times New Roman" w:hint="default"/>
                <w:sz w:val="18"/>
                <w:szCs w:val="18"/>
              </w:rPr>
            </w:pPr>
            <w:r>
              <w:rPr>
                <w:rFonts w:ascii="Times New Roman"/>
                <w:sz w:val="18"/>
              </w:rPr>
              <w:t>212,</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681,</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116.</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27</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8" w:right="0"/>
              <w:jc w:val="center"/>
              <w:rPr>
                <w:rFonts w:ascii="Times New Roman" w:hAnsi="Times New Roman" w:cs="Times New Roman" w:eastAsia="Times New Roman" w:hint="default"/>
                <w:sz w:val="18"/>
                <w:szCs w:val="18"/>
              </w:rPr>
            </w:pPr>
            <w:r>
              <w:rPr>
                <w:rFonts w:ascii="Times New Roman"/>
                <w:sz w:val="18"/>
              </w:rPr>
              <w:t>212,</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681,</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116.</w:t>
            </w:r>
          </w:p>
          <w:p>
            <w:pPr>
              <w:pStyle w:val="TableParagraph"/>
              <w:spacing w:line="240" w:lineRule="auto" w:before="105"/>
              <w:ind w:left="172" w:right="0"/>
              <w:jc w:val="center"/>
              <w:rPr>
                <w:rFonts w:ascii="Times New Roman" w:hAnsi="Times New Roman" w:cs="Times New Roman" w:eastAsia="Times New Roman" w:hint="default"/>
                <w:sz w:val="18"/>
                <w:szCs w:val="18"/>
              </w:rPr>
            </w:pPr>
            <w:r>
              <w:rPr>
                <w:rFonts w:ascii="Times New Roman"/>
                <w:sz w:val="18"/>
              </w:rPr>
              <w:t>27</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7,407</w:t>
            </w:r>
          </w:p>
          <w:p>
            <w:pPr>
              <w:pStyle w:val="TableParagraph"/>
              <w:spacing w:line="240" w:lineRule="auto" w:before="105"/>
              <w:ind w:left="69" w:right="0"/>
              <w:jc w:val="center"/>
              <w:rPr>
                <w:rFonts w:ascii="Times New Roman" w:hAnsi="Times New Roman" w:cs="Times New Roman" w:eastAsia="Times New Roman" w:hint="default"/>
                <w:sz w:val="18"/>
                <w:szCs w:val="18"/>
              </w:rPr>
            </w:pPr>
            <w:r>
              <w:rPr>
                <w:rFonts w:ascii="Times New Roman"/>
                <w:sz w:val="18"/>
              </w:rPr>
              <w:t>,433.</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88</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220,0</w:t>
            </w:r>
          </w:p>
          <w:p>
            <w:pPr>
              <w:pStyle w:val="TableParagraph"/>
              <w:spacing w:line="240" w:lineRule="auto" w:before="105"/>
              <w:ind w:left="132" w:right="0"/>
              <w:jc w:val="left"/>
              <w:rPr>
                <w:rFonts w:ascii="Times New Roman" w:hAnsi="Times New Roman" w:cs="Times New Roman" w:eastAsia="Times New Roman" w:hint="default"/>
                <w:sz w:val="18"/>
                <w:szCs w:val="18"/>
              </w:rPr>
            </w:pPr>
            <w:r>
              <w:rPr>
                <w:rFonts w:ascii="Times New Roman"/>
                <w:sz w:val="18"/>
              </w:rPr>
              <w:t>88,55</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0.15</w:t>
            </w: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1" w:right="102"/>
              <w:jc w:val="left"/>
              <w:rPr>
                <w:rFonts w:ascii="宋体" w:hAnsi="宋体" w:cs="宋体" w:eastAsia="宋体" w:hint="default"/>
                <w:sz w:val="18"/>
                <w:szCs w:val="18"/>
              </w:rPr>
            </w:pPr>
            <w:r>
              <w:rPr>
                <w:rFonts w:ascii="宋体" w:hAnsi="宋体" w:cs="宋体" w:eastAsia="宋体" w:hint="default"/>
                <w:spacing w:val="-14"/>
                <w:sz w:val="18"/>
                <w:szCs w:val="18"/>
              </w:rPr>
              <w:t>（二）所有者</w:t>
            </w:r>
            <w:r>
              <w:rPr>
                <w:rFonts w:ascii="宋体" w:hAnsi="宋体" w:cs="宋体" w:eastAsia="宋体" w:hint="default"/>
                <w:sz w:val="18"/>
                <w:szCs w:val="18"/>
              </w:rPr>
              <w:t> 投入和减少 资本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8" w:right="0"/>
              <w:jc w:val="left"/>
              <w:rPr>
                <w:rFonts w:ascii="Times New Roman" w:hAnsi="Times New Roman" w:cs="Times New Roman" w:eastAsia="Times New Roman" w:hint="default"/>
                <w:sz w:val="18"/>
                <w:szCs w:val="18"/>
              </w:rPr>
            </w:pPr>
            <w:r>
              <w:rPr>
                <w:rFonts w:ascii="Times New Roman"/>
                <w:sz w:val="18"/>
              </w:rPr>
              <w:t>-14</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7,3</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76.</w:t>
            </w:r>
          </w:p>
          <w:p>
            <w:pPr>
              <w:pStyle w:val="TableParagraph"/>
              <w:spacing w:line="240" w:lineRule="auto" w:before="105"/>
              <w:ind w:left="198"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6" w:right="0"/>
              <w:jc w:val="center"/>
              <w:rPr>
                <w:rFonts w:ascii="Times New Roman" w:hAnsi="Times New Roman" w:cs="Times New Roman" w:eastAsia="Times New Roman" w:hint="default"/>
                <w:sz w:val="18"/>
                <w:szCs w:val="18"/>
              </w:rPr>
            </w:pPr>
            <w:r>
              <w:rPr>
                <w:rFonts w:ascii="Times New Roman"/>
                <w:sz w:val="18"/>
              </w:rPr>
              <w:t>-55,</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999,</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240.</w:t>
            </w:r>
          </w:p>
          <w:p>
            <w:pPr>
              <w:pStyle w:val="TableParagraph"/>
              <w:spacing w:line="240" w:lineRule="auto" w:before="105"/>
              <w:ind w:left="179" w:right="0"/>
              <w:jc w:val="center"/>
              <w:rPr>
                <w:rFonts w:ascii="Times New Roman" w:hAnsi="Times New Roman" w:cs="Times New Roman" w:eastAsia="Times New Roman" w:hint="default"/>
                <w:sz w:val="18"/>
                <w:szCs w:val="18"/>
              </w:rPr>
            </w:pPr>
            <w:r>
              <w:rPr>
                <w:rFonts w:ascii="Times New Roman"/>
                <w:sz w:val="18"/>
              </w:rPr>
              <w:t>34</w:t>
            </w: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4" w:right="0"/>
              <w:jc w:val="center"/>
              <w:rPr>
                <w:rFonts w:ascii="Times New Roman" w:hAnsi="Times New Roman" w:cs="Times New Roman" w:eastAsia="Times New Roman" w:hint="default"/>
                <w:sz w:val="18"/>
                <w:szCs w:val="18"/>
              </w:rPr>
            </w:pPr>
            <w:r>
              <w:rPr>
                <w:rFonts w:ascii="Times New Roman"/>
                <w:sz w:val="18"/>
              </w:rPr>
              <w:t>-150</w:t>
            </w:r>
          </w:p>
          <w:p>
            <w:pPr>
              <w:pStyle w:val="TableParagraph"/>
              <w:spacing w:line="240" w:lineRule="auto" w:before="105"/>
              <w:ind w:left="3" w:right="0"/>
              <w:jc w:val="center"/>
              <w:rPr>
                <w:rFonts w:ascii="Times New Roman" w:hAnsi="Times New Roman" w:cs="Times New Roman" w:eastAsia="Times New Roman" w:hint="default"/>
                <w:sz w:val="18"/>
                <w:szCs w:val="18"/>
              </w:rPr>
            </w:pPr>
            <w:r>
              <w:rPr>
                <w:rFonts w:ascii="Times New Roman"/>
                <w:sz w:val="18"/>
              </w:rPr>
              <w:t>,883,</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605.</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58</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9" w:right="0"/>
              <w:jc w:val="left"/>
              <w:rPr>
                <w:rFonts w:ascii="Times New Roman" w:hAnsi="Times New Roman" w:cs="Times New Roman" w:eastAsia="Times New Roman" w:hint="default"/>
                <w:sz w:val="18"/>
                <w:szCs w:val="18"/>
              </w:rPr>
            </w:pPr>
            <w:r>
              <w:rPr>
                <w:rFonts w:ascii="Times New Roman"/>
                <w:sz w:val="18"/>
              </w:rPr>
              <w:t>94,7</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36,9</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89.2</w:t>
            </w:r>
          </w:p>
          <w:p>
            <w:pPr>
              <w:pStyle w:val="TableParagraph"/>
              <w:spacing w:line="240" w:lineRule="auto" w:before="105"/>
              <w:ind w:left="362" w:right="0"/>
              <w:jc w:val="left"/>
              <w:rPr>
                <w:rFonts w:ascii="Times New Roman" w:hAnsi="Times New Roman" w:cs="Times New Roman" w:eastAsia="Times New Roman" w:hint="default"/>
                <w:sz w:val="18"/>
                <w:szCs w:val="18"/>
              </w:rPr>
            </w:pPr>
            <w:r>
              <w:rPr>
                <w:rFonts w:ascii="Times New Roman"/>
                <w:sz w:val="18"/>
              </w:rPr>
              <w:t>4</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-4,38</w:t>
            </w:r>
          </w:p>
          <w:p>
            <w:pPr>
              <w:pStyle w:val="TableParagraph"/>
              <w:spacing w:line="240" w:lineRule="auto" w:before="105"/>
              <w:ind w:left="22" w:right="0"/>
              <w:jc w:val="center"/>
              <w:rPr>
                <w:rFonts w:ascii="Times New Roman" w:hAnsi="Times New Roman" w:cs="Times New Roman" w:eastAsia="Times New Roman" w:hint="default"/>
                <w:sz w:val="18"/>
                <w:szCs w:val="18"/>
              </w:rPr>
            </w:pPr>
            <w:r>
              <w:rPr>
                <w:rFonts w:ascii="Times New Roman"/>
                <w:sz w:val="18"/>
              </w:rPr>
              <w:t>3,155</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.41</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9" w:right="0"/>
              <w:jc w:val="center"/>
              <w:rPr>
                <w:rFonts w:ascii="Times New Roman" w:hAnsi="Times New Roman" w:cs="Times New Roman" w:eastAsia="Times New Roman" w:hint="default"/>
                <w:sz w:val="18"/>
                <w:szCs w:val="18"/>
              </w:rPr>
            </w:pPr>
            <w:r>
              <w:rPr>
                <w:rFonts w:ascii="Times New Roman"/>
                <w:sz w:val="18"/>
              </w:rPr>
              <w:t>90,35</w:t>
            </w:r>
          </w:p>
          <w:p>
            <w:pPr>
              <w:pStyle w:val="TableParagraph"/>
              <w:spacing w:line="240" w:lineRule="auto" w:before="105"/>
              <w:ind w:left="29" w:right="0"/>
              <w:jc w:val="center"/>
              <w:rPr>
                <w:rFonts w:ascii="Times New Roman" w:hAnsi="Times New Roman" w:cs="Times New Roman" w:eastAsia="Times New Roman" w:hint="default"/>
                <w:sz w:val="18"/>
                <w:szCs w:val="18"/>
              </w:rPr>
            </w:pPr>
            <w:r>
              <w:rPr>
                <w:rFonts w:ascii="Times New Roman"/>
                <w:sz w:val="18"/>
              </w:rPr>
              <w:t>3,833</w:t>
            </w:r>
          </w:p>
          <w:p>
            <w:pPr>
              <w:pStyle w:val="TableParagraph"/>
              <w:spacing w:line="240" w:lineRule="auto" w:before="105"/>
              <w:ind w:left="209" w:right="0"/>
              <w:jc w:val="center"/>
              <w:rPr>
                <w:rFonts w:ascii="Times New Roman" w:hAnsi="Times New Roman" w:cs="Times New Roman" w:eastAsia="Times New Roman" w:hint="default"/>
                <w:sz w:val="18"/>
                <w:szCs w:val="18"/>
              </w:rPr>
            </w:pPr>
            <w:r>
              <w:rPr>
                <w:rFonts w:ascii="Times New Roman"/>
                <w:sz w:val="18"/>
              </w:rPr>
              <w:t>.83</w:t>
            </w: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6"/>
              <w:ind w:left="101"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8" w:right="0"/>
              <w:jc w:val="left"/>
              <w:rPr>
                <w:rFonts w:ascii="Times New Roman" w:hAnsi="Times New Roman" w:cs="Times New Roman" w:eastAsia="Times New Roman" w:hint="default"/>
                <w:sz w:val="18"/>
                <w:szCs w:val="18"/>
              </w:rPr>
            </w:pPr>
            <w:r>
              <w:rPr>
                <w:rFonts w:ascii="Times New Roman"/>
                <w:sz w:val="18"/>
              </w:rPr>
              <w:t>-14</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7,3</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76.</w:t>
            </w:r>
          </w:p>
          <w:p>
            <w:pPr>
              <w:pStyle w:val="TableParagraph"/>
              <w:spacing w:line="240" w:lineRule="auto" w:before="105"/>
              <w:ind w:left="198"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8" w:right="0"/>
              <w:jc w:val="center"/>
              <w:rPr>
                <w:rFonts w:ascii="Times New Roman" w:hAnsi="Times New Roman" w:cs="Times New Roman" w:eastAsia="Times New Roman" w:hint="default"/>
                <w:sz w:val="18"/>
                <w:szCs w:val="18"/>
              </w:rPr>
            </w:pPr>
            <w:r>
              <w:rPr>
                <w:rFonts w:ascii="Times New Roman"/>
                <w:sz w:val="18"/>
              </w:rPr>
              <w:t>-1,1</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95,4</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79.2</w:t>
            </w:r>
          </w:p>
          <w:p>
            <w:pPr>
              <w:pStyle w:val="TableParagraph"/>
              <w:spacing w:line="240" w:lineRule="auto" w:before="105"/>
              <w:ind w:left="270" w:right="0"/>
              <w:jc w:val="center"/>
              <w:rPr>
                <w:rFonts w:ascii="Times New Roman" w:hAnsi="Times New Roman" w:cs="Times New Roman" w:eastAsia="Times New Roman" w:hint="default"/>
                <w:sz w:val="18"/>
                <w:szCs w:val="18"/>
              </w:rPr>
            </w:pPr>
            <w:r>
              <w:rPr>
                <w:rFonts w:ascii="Times New Roman"/>
                <w:sz w:val="18"/>
              </w:rPr>
              <w:t>2</w:t>
            </w: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4" w:right="0"/>
              <w:jc w:val="center"/>
              <w:rPr>
                <w:rFonts w:ascii="Times New Roman" w:hAnsi="Times New Roman" w:cs="Times New Roman" w:eastAsia="Times New Roman" w:hint="default"/>
                <w:sz w:val="18"/>
                <w:szCs w:val="18"/>
              </w:rPr>
            </w:pPr>
            <w:r>
              <w:rPr>
                <w:rFonts w:ascii="Times New Roman"/>
                <w:sz w:val="18"/>
              </w:rPr>
              <w:t>-150</w:t>
            </w:r>
          </w:p>
          <w:p>
            <w:pPr>
              <w:pStyle w:val="TableParagraph"/>
              <w:spacing w:line="240" w:lineRule="auto" w:before="105"/>
              <w:ind w:left="3" w:right="0"/>
              <w:jc w:val="center"/>
              <w:rPr>
                <w:rFonts w:ascii="Times New Roman" w:hAnsi="Times New Roman" w:cs="Times New Roman" w:eastAsia="Times New Roman" w:hint="default"/>
                <w:sz w:val="18"/>
                <w:szCs w:val="18"/>
              </w:rPr>
            </w:pPr>
            <w:r>
              <w:rPr>
                <w:rFonts w:ascii="Times New Roman"/>
                <w:sz w:val="18"/>
              </w:rPr>
              <w:t>,883,</w:t>
            </w:r>
          </w:p>
          <w:p>
            <w:pPr>
              <w:pStyle w:val="TableParagraph"/>
              <w:spacing w:line="240" w:lineRule="auto" w:before="105"/>
              <w:ind w:left="49" w:right="0"/>
              <w:jc w:val="center"/>
              <w:rPr>
                <w:rFonts w:ascii="Times New Roman" w:hAnsi="Times New Roman" w:cs="Times New Roman" w:eastAsia="Times New Roman" w:hint="default"/>
                <w:sz w:val="18"/>
                <w:szCs w:val="18"/>
              </w:rPr>
            </w:pPr>
            <w:r>
              <w:rPr>
                <w:rFonts w:ascii="Times New Roman"/>
                <w:sz w:val="18"/>
              </w:rPr>
              <w:t>605.</w:t>
            </w:r>
          </w:p>
          <w:p>
            <w:pPr>
              <w:pStyle w:val="TableParagraph"/>
              <w:spacing w:line="240" w:lineRule="auto" w:before="105"/>
              <w:ind w:left="182" w:right="0"/>
              <w:jc w:val="center"/>
              <w:rPr>
                <w:rFonts w:ascii="Times New Roman" w:hAnsi="Times New Roman" w:cs="Times New Roman" w:eastAsia="Times New Roman" w:hint="default"/>
                <w:sz w:val="18"/>
                <w:szCs w:val="18"/>
              </w:rPr>
            </w:pPr>
            <w:r>
              <w:rPr>
                <w:rFonts w:ascii="Times New Roman"/>
                <w:sz w:val="18"/>
              </w:rPr>
              <w:t>58</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8" w:right="0"/>
              <w:jc w:val="center"/>
              <w:rPr>
                <w:rFonts w:ascii="Times New Roman" w:hAnsi="Times New Roman" w:cs="Times New Roman" w:eastAsia="Times New Roman" w:hint="default"/>
                <w:sz w:val="18"/>
                <w:szCs w:val="18"/>
              </w:rPr>
            </w:pPr>
            <w:r>
              <w:rPr>
                <w:rFonts w:ascii="Times New Roman"/>
                <w:sz w:val="18"/>
              </w:rPr>
              <w:t>149,</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540,</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750.</w:t>
            </w:r>
          </w:p>
          <w:p>
            <w:pPr>
              <w:pStyle w:val="TableParagraph"/>
              <w:spacing w:line="240" w:lineRule="auto" w:before="105"/>
              <w:ind w:left="172" w:right="0"/>
              <w:jc w:val="center"/>
              <w:rPr>
                <w:rFonts w:ascii="Times New Roman" w:hAnsi="Times New Roman" w:cs="Times New Roman" w:eastAsia="Times New Roman" w:hint="default"/>
                <w:sz w:val="18"/>
                <w:szCs w:val="18"/>
              </w:rPr>
            </w:pPr>
            <w:r>
              <w:rPr>
                <w:rFonts w:ascii="Times New Roman"/>
                <w:sz w:val="18"/>
              </w:rPr>
              <w:t>36</w:t>
            </w: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149,5</w:t>
            </w:r>
          </w:p>
          <w:p>
            <w:pPr>
              <w:pStyle w:val="TableParagraph"/>
              <w:spacing w:line="240" w:lineRule="auto" w:before="105"/>
              <w:ind w:left="132" w:right="0"/>
              <w:jc w:val="left"/>
              <w:rPr>
                <w:rFonts w:ascii="Times New Roman" w:hAnsi="Times New Roman" w:cs="Times New Roman" w:eastAsia="Times New Roman" w:hint="default"/>
                <w:sz w:val="18"/>
                <w:szCs w:val="18"/>
              </w:rPr>
            </w:pPr>
            <w:r>
              <w:rPr>
                <w:rFonts w:ascii="Times New Roman"/>
                <w:sz w:val="18"/>
              </w:rPr>
              <w:t>40,75</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0.36</w:t>
            </w: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 工具持有者 投入资本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47" w:right="0"/>
              <w:jc w:val="left"/>
              <w:rPr>
                <w:rFonts w:ascii="Times New Roman" w:hAnsi="Times New Roman" w:cs="Times New Roman" w:eastAsia="Times New Roman" w:hint="default"/>
                <w:sz w:val="18"/>
                <w:szCs w:val="18"/>
              </w:rPr>
            </w:pPr>
            <w:r>
              <w:rPr>
                <w:rFonts w:ascii="Times New Roman"/>
                <w:sz w:val="18"/>
              </w:rPr>
              <w:t>8,35</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0,80</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0.00</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9" w:right="0"/>
              <w:jc w:val="left"/>
              <w:rPr>
                <w:rFonts w:ascii="Times New Roman" w:hAnsi="Times New Roman" w:cs="Times New Roman" w:eastAsia="Times New Roman" w:hint="default"/>
                <w:sz w:val="18"/>
                <w:szCs w:val="18"/>
              </w:rPr>
            </w:pPr>
            <w:r>
              <w:rPr>
                <w:rFonts w:ascii="Times New Roman"/>
                <w:sz w:val="18"/>
              </w:rPr>
              <w:t>8,35</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0,80</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0.00</w:t>
            </w: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2" w:right="0"/>
              <w:jc w:val="left"/>
              <w:rPr>
                <w:rFonts w:ascii="Times New Roman" w:hAnsi="Times New Roman" w:cs="Times New Roman" w:eastAsia="Times New Roman" w:hint="default"/>
                <w:sz w:val="18"/>
                <w:szCs w:val="18"/>
              </w:rPr>
            </w:pPr>
            <w:r>
              <w:rPr>
                <w:rFonts w:ascii="Times New Roman"/>
                <w:sz w:val="18"/>
              </w:rPr>
              <w:t>8,350</w:t>
            </w:r>
          </w:p>
          <w:p>
            <w:pPr>
              <w:pStyle w:val="TableParagraph"/>
              <w:spacing w:line="240" w:lineRule="auto" w:before="105"/>
              <w:ind w:left="75" w:right="0"/>
              <w:jc w:val="center"/>
              <w:rPr>
                <w:rFonts w:ascii="Times New Roman" w:hAnsi="Times New Roman" w:cs="Times New Roman" w:eastAsia="Times New Roman" w:hint="default"/>
                <w:sz w:val="18"/>
                <w:szCs w:val="18"/>
              </w:rPr>
            </w:pPr>
            <w:r>
              <w:rPr>
                <w:rFonts w:ascii="Times New Roman"/>
                <w:sz w:val="18"/>
              </w:rPr>
              <w:t>,800.</w:t>
            </w:r>
          </w:p>
          <w:p>
            <w:pPr>
              <w:pStyle w:val="TableParagraph"/>
              <w:spacing w:line="240" w:lineRule="auto" w:before="105"/>
              <w:ind w:left="255" w:right="0"/>
              <w:jc w:val="center"/>
              <w:rPr>
                <w:rFonts w:ascii="Times New Roman" w:hAnsi="Times New Roman" w:cs="Times New Roman" w:eastAsia="Times New Roman" w:hint="default"/>
                <w:sz w:val="18"/>
                <w:szCs w:val="18"/>
              </w:rPr>
            </w:pPr>
            <w:r>
              <w:rPr>
                <w:rFonts w:ascii="Times New Roman"/>
                <w:sz w:val="18"/>
              </w:rPr>
              <w:t>00</w:t>
            </w:r>
          </w:p>
        </w:tc>
      </w:tr>
    </w:tbl>
    <w:p>
      <w:pPr>
        <w:spacing w:after="0" w:line="240" w:lineRule="auto"/>
        <w:jc w:val="center"/>
        <w:rPr>
          <w:rFonts w:ascii="Times New Roman" w:hAnsi="Times New Roman" w:cs="Times New Roman" w:eastAsia="Times New Roman" w:hint="default"/>
          <w:sz w:val="18"/>
          <w:szCs w:val="18"/>
        </w:rPr>
        <w:sectPr>
          <w:footerReference w:type="default" r:id="rId41"/>
          <w:pgSz w:w="11910" w:h="16840"/>
          <w:pgMar w:footer="1016" w:header="907" w:top="1100" w:bottom="1200" w:left="1020" w:right="0"/>
          <w:pgNumType w:start="11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12"/>
        <w:gridCol w:w="490"/>
        <w:gridCol w:w="449"/>
        <w:gridCol w:w="449"/>
        <w:gridCol w:w="491"/>
        <w:gridCol w:w="576"/>
        <w:gridCol w:w="577"/>
        <w:gridCol w:w="577"/>
        <w:gridCol w:w="577"/>
        <w:gridCol w:w="576"/>
        <w:gridCol w:w="577"/>
        <w:gridCol w:w="589"/>
        <w:gridCol w:w="567"/>
        <w:gridCol w:w="567"/>
        <w:gridCol w:w="643"/>
        <w:gridCol w:w="651"/>
      </w:tblGrid>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6" w:right="0"/>
              <w:jc w:val="center"/>
              <w:rPr>
                <w:rFonts w:ascii="Times New Roman" w:hAnsi="Times New Roman" w:cs="Times New Roman" w:eastAsia="Times New Roman" w:hint="default"/>
                <w:sz w:val="18"/>
                <w:szCs w:val="18"/>
              </w:rPr>
            </w:pPr>
            <w:r>
              <w:rPr>
                <w:rFonts w:ascii="Times New Roman"/>
                <w:sz w:val="18"/>
              </w:rPr>
              <w:t>-63,</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154,</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561.</w:t>
            </w:r>
          </w:p>
          <w:p>
            <w:pPr>
              <w:pStyle w:val="TableParagraph"/>
              <w:spacing w:line="240" w:lineRule="auto" w:before="105"/>
              <w:ind w:left="179" w:right="0"/>
              <w:jc w:val="center"/>
              <w:rPr>
                <w:rFonts w:ascii="Times New Roman" w:hAnsi="Times New Roman" w:cs="Times New Roman" w:eastAsia="Times New Roman" w:hint="default"/>
                <w:sz w:val="18"/>
                <w:szCs w:val="18"/>
              </w:rPr>
            </w:pPr>
            <w:r>
              <w:rPr>
                <w:rFonts w:ascii="Times New Roman"/>
                <w:sz w:val="18"/>
              </w:rPr>
              <w:t>12</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9" w:right="0"/>
              <w:jc w:val="center"/>
              <w:rPr>
                <w:rFonts w:ascii="Times New Roman" w:hAnsi="Times New Roman" w:cs="Times New Roman" w:eastAsia="Times New Roman" w:hint="default"/>
                <w:sz w:val="18"/>
                <w:szCs w:val="18"/>
              </w:rPr>
            </w:pPr>
            <w:r>
              <w:rPr>
                <w:rFonts w:ascii="Times New Roman"/>
                <w:sz w:val="18"/>
              </w:rPr>
              <w:t>-63,</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154,</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561.</w:t>
            </w:r>
          </w:p>
          <w:p>
            <w:pPr>
              <w:pStyle w:val="TableParagraph"/>
              <w:spacing w:line="240" w:lineRule="auto" w:before="105"/>
              <w:ind w:left="172" w:right="0"/>
              <w:jc w:val="center"/>
              <w:rPr>
                <w:rFonts w:ascii="Times New Roman" w:hAnsi="Times New Roman" w:cs="Times New Roman" w:eastAsia="Times New Roman" w:hint="default"/>
                <w:sz w:val="18"/>
                <w:szCs w:val="18"/>
              </w:rPr>
            </w:pPr>
            <w:r>
              <w:rPr>
                <w:rFonts w:ascii="Times New Roman"/>
                <w:sz w:val="18"/>
              </w:rPr>
              <w:t>12</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-4,38</w:t>
            </w:r>
          </w:p>
          <w:p>
            <w:pPr>
              <w:pStyle w:val="TableParagraph"/>
              <w:spacing w:line="240" w:lineRule="auto" w:before="105"/>
              <w:ind w:left="22" w:right="0"/>
              <w:jc w:val="center"/>
              <w:rPr>
                <w:rFonts w:ascii="Times New Roman" w:hAnsi="Times New Roman" w:cs="Times New Roman" w:eastAsia="Times New Roman" w:hint="default"/>
                <w:sz w:val="18"/>
                <w:szCs w:val="18"/>
              </w:rPr>
            </w:pPr>
            <w:r>
              <w:rPr>
                <w:rFonts w:ascii="Times New Roman"/>
                <w:sz w:val="18"/>
              </w:rPr>
              <w:t>3,155</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.41</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-67,5</w:t>
            </w:r>
          </w:p>
          <w:p>
            <w:pPr>
              <w:pStyle w:val="TableParagraph"/>
              <w:spacing w:line="240" w:lineRule="auto" w:before="105"/>
              <w:ind w:left="132" w:right="0"/>
              <w:jc w:val="left"/>
              <w:rPr>
                <w:rFonts w:ascii="Times New Roman" w:hAnsi="Times New Roman" w:cs="Times New Roman" w:eastAsia="Times New Roman" w:hint="default"/>
                <w:sz w:val="18"/>
                <w:szCs w:val="18"/>
              </w:rPr>
            </w:pPr>
            <w:r>
              <w:rPr>
                <w:rFonts w:ascii="Times New Roman"/>
                <w:sz w:val="18"/>
              </w:rPr>
              <w:t>37,71</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6.53</w:t>
            </w: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1" w:right="102"/>
              <w:jc w:val="left"/>
              <w:rPr>
                <w:rFonts w:ascii="宋体" w:hAnsi="宋体" w:cs="宋体" w:eastAsia="宋体" w:hint="default"/>
                <w:sz w:val="18"/>
                <w:szCs w:val="18"/>
              </w:rPr>
            </w:pPr>
            <w:r>
              <w:rPr>
                <w:rFonts w:ascii="宋体" w:hAnsi="宋体" w:cs="宋体" w:eastAsia="宋体" w:hint="default"/>
                <w:spacing w:val="-14"/>
                <w:sz w:val="18"/>
                <w:szCs w:val="18"/>
              </w:rPr>
              <w:t>（三）利润分</w:t>
            </w:r>
            <w:r>
              <w:rPr>
                <w:rFonts w:ascii="宋体" w:hAnsi="宋体" w:cs="宋体" w:eastAsia="宋体" w:hint="default"/>
                <w:sz w:val="18"/>
                <w:szCs w:val="18"/>
              </w:rPr>
              <w:t> 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47" w:right="0"/>
              <w:jc w:val="left"/>
              <w:rPr>
                <w:rFonts w:ascii="Times New Roman" w:hAnsi="Times New Roman" w:cs="Times New Roman" w:eastAsia="Times New Roman" w:hint="default"/>
                <w:sz w:val="18"/>
                <w:szCs w:val="18"/>
              </w:rPr>
            </w:pPr>
            <w:r>
              <w:rPr>
                <w:rFonts w:ascii="Times New Roman"/>
                <w:sz w:val="18"/>
              </w:rPr>
              <w:t>24,1</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64,1</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6</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9" w:right="0"/>
              <w:jc w:val="center"/>
              <w:rPr>
                <w:rFonts w:ascii="Times New Roman" w:hAnsi="Times New Roman" w:cs="Times New Roman" w:eastAsia="Times New Roman" w:hint="default"/>
                <w:sz w:val="18"/>
                <w:szCs w:val="18"/>
              </w:rPr>
            </w:pPr>
            <w:r>
              <w:rPr>
                <w:rFonts w:ascii="Times New Roman"/>
                <w:sz w:val="18"/>
              </w:rPr>
              <w:t>-48,</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426,</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564.</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18</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9" w:right="0"/>
              <w:jc w:val="center"/>
              <w:rPr>
                <w:rFonts w:ascii="Times New Roman" w:hAnsi="Times New Roman" w:cs="Times New Roman" w:eastAsia="Times New Roman" w:hint="default"/>
                <w:sz w:val="18"/>
                <w:szCs w:val="18"/>
              </w:rPr>
            </w:pPr>
            <w:r>
              <w:rPr>
                <w:rFonts w:ascii="Times New Roman"/>
                <w:sz w:val="18"/>
              </w:rPr>
              <w:t>-24,</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262,</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441.</w:t>
            </w:r>
          </w:p>
          <w:p>
            <w:pPr>
              <w:pStyle w:val="TableParagraph"/>
              <w:spacing w:line="240" w:lineRule="auto" w:before="105"/>
              <w:ind w:left="172" w:right="0"/>
              <w:jc w:val="center"/>
              <w:rPr>
                <w:rFonts w:ascii="Times New Roman" w:hAnsi="Times New Roman" w:cs="Times New Roman" w:eastAsia="Times New Roman" w:hint="default"/>
                <w:sz w:val="18"/>
                <w:szCs w:val="18"/>
              </w:rPr>
            </w:pPr>
            <w:r>
              <w:rPr>
                <w:rFonts w:ascii="Times New Roman"/>
                <w:sz w:val="18"/>
              </w:rPr>
              <w:t>72</w:t>
            </w: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32" w:right="0"/>
              <w:jc w:val="left"/>
              <w:rPr>
                <w:rFonts w:ascii="Times New Roman" w:hAnsi="Times New Roman" w:cs="Times New Roman" w:eastAsia="Times New Roman" w:hint="default"/>
                <w:sz w:val="18"/>
                <w:szCs w:val="18"/>
              </w:rPr>
            </w:pPr>
            <w:r>
              <w:rPr>
                <w:rFonts w:ascii="Times New Roman"/>
                <w:sz w:val="18"/>
              </w:rPr>
              <w:t>62,44</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1.72</w:t>
            </w: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5"/>
              <w:ind w:left="101"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 公积</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7" w:right="0"/>
              <w:jc w:val="left"/>
              <w:rPr>
                <w:rFonts w:ascii="Times New Roman" w:hAnsi="Times New Roman" w:cs="Times New Roman" w:eastAsia="Times New Roman" w:hint="default"/>
                <w:sz w:val="18"/>
                <w:szCs w:val="18"/>
              </w:rPr>
            </w:pPr>
            <w:r>
              <w:rPr>
                <w:rFonts w:ascii="Times New Roman"/>
                <w:sz w:val="18"/>
              </w:rPr>
              <w:t>24,1</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64,1</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6</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9" w:right="0"/>
              <w:jc w:val="center"/>
              <w:rPr>
                <w:rFonts w:ascii="Times New Roman" w:hAnsi="Times New Roman" w:cs="Times New Roman" w:eastAsia="Times New Roman" w:hint="default"/>
                <w:sz w:val="18"/>
                <w:szCs w:val="18"/>
              </w:rPr>
            </w:pPr>
            <w:r>
              <w:rPr>
                <w:rFonts w:ascii="Times New Roman"/>
                <w:sz w:val="18"/>
              </w:rPr>
              <w:t>-24,</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164,</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122.</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46</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 风险准备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6" w:lineRule="auto" w:before="63"/>
              <w:ind w:left="101" w:right="102"/>
              <w:jc w:val="left"/>
              <w:rPr>
                <w:rFonts w:ascii="宋体" w:hAnsi="宋体" w:cs="宋体" w:eastAsia="宋体" w:hint="default"/>
                <w:sz w:val="18"/>
                <w:szCs w:val="18"/>
              </w:rPr>
            </w:pPr>
            <w:r>
              <w:rPr>
                <w:rFonts w:ascii="宋体" w:hAnsi="宋体" w:cs="宋体" w:eastAsia="宋体" w:hint="default"/>
                <w:spacing w:val="-14"/>
                <w:sz w:val="18"/>
                <w:szCs w:val="18"/>
              </w:rPr>
              <w:t>（或股东）的</w:t>
            </w:r>
            <w:r>
              <w:rPr>
                <w:rFonts w:ascii="宋体" w:hAnsi="宋体" w:cs="宋体" w:eastAsia="宋体" w:hint="default"/>
                <w:sz w:val="18"/>
                <w:szCs w:val="18"/>
              </w:rPr>
              <w:t> 分配</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9" w:right="0"/>
              <w:jc w:val="center"/>
              <w:rPr>
                <w:rFonts w:ascii="Times New Roman" w:hAnsi="Times New Roman" w:cs="Times New Roman" w:eastAsia="Times New Roman" w:hint="default"/>
                <w:sz w:val="18"/>
                <w:szCs w:val="18"/>
              </w:rPr>
            </w:pPr>
            <w:r>
              <w:rPr>
                <w:rFonts w:ascii="Times New Roman"/>
                <w:sz w:val="18"/>
              </w:rPr>
              <w:t>-24,</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262,</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441.</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72</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9" w:right="0"/>
              <w:jc w:val="center"/>
              <w:rPr>
                <w:rFonts w:ascii="Times New Roman" w:hAnsi="Times New Roman" w:cs="Times New Roman" w:eastAsia="Times New Roman" w:hint="default"/>
                <w:sz w:val="18"/>
                <w:szCs w:val="18"/>
              </w:rPr>
            </w:pPr>
            <w:r>
              <w:rPr>
                <w:rFonts w:ascii="Times New Roman"/>
                <w:sz w:val="18"/>
              </w:rPr>
              <w:t>-24,</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262,</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441.</w:t>
            </w:r>
          </w:p>
          <w:p>
            <w:pPr>
              <w:pStyle w:val="TableParagraph"/>
              <w:spacing w:line="240" w:lineRule="auto" w:before="105"/>
              <w:ind w:left="172" w:right="0"/>
              <w:jc w:val="center"/>
              <w:rPr>
                <w:rFonts w:ascii="Times New Roman" w:hAnsi="Times New Roman" w:cs="Times New Roman" w:eastAsia="Times New Roman" w:hint="default"/>
                <w:sz w:val="18"/>
                <w:szCs w:val="18"/>
              </w:rPr>
            </w:pPr>
            <w:r>
              <w:rPr>
                <w:rFonts w:ascii="Times New Roman"/>
                <w:sz w:val="18"/>
              </w:rPr>
              <w:t>72</w:t>
            </w: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32" w:right="0"/>
              <w:jc w:val="left"/>
              <w:rPr>
                <w:rFonts w:ascii="Times New Roman" w:hAnsi="Times New Roman" w:cs="Times New Roman" w:eastAsia="Times New Roman" w:hint="default"/>
                <w:sz w:val="18"/>
                <w:szCs w:val="18"/>
              </w:rPr>
            </w:pPr>
            <w:r>
              <w:rPr>
                <w:rFonts w:ascii="Times New Roman"/>
                <w:sz w:val="18"/>
              </w:rPr>
              <w:t>62,44</w:t>
            </w:r>
          </w:p>
          <w:p>
            <w:pPr>
              <w:pStyle w:val="TableParagraph"/>
              <w:spacing w:line="240" w:lineRule="auto" w:before="105"/>
              <w:ind w:left="223" w:right="0"/>
              <w:jc w:val="left"/>
              <w:rPr>
                <w:rFonts w:ascii="Times New Roman" w:hAnsi="Times New Roman" w:cs="Times New Roman" w:eastAsia="Times New Roman" w:hint="default"/>
                <w:sz w:val="18"/>
                <w:szCs w:val="18"/>
              </w:rPr>
            </w:pPr>
            <w:r>
              <w:rPr>
                <w:rFonts w:ascii="Times New Roman"/>
                <w:sz w:val="18"/>
              </w:rPr>
              <w:t>1.72</w:t>
            </w: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1" w:right="102"/>
              <w:jc w:val="left"/>
              <w:rPr>
                <w:rFonts w:ascii="宋体" w:hAnsi="宋体" w:cs="宋体" w:eastAsia="宋体" w:hint="default"/>
                <w:sz w:val="18"/>
                <w:szCs w:val="18"/>
              </w:rPr>
            </w:pPr>
            <w:r>
              <w:rPr>
                <w:rFonts w:ascii="宋体" w:hAnsi="宋体" w:cs="宋体" w:eastAsia="宋体" w:hint="default"/>
                <w:spacing w:val="-14"/>
                <w:sz w:val="18"/>
                <w:szCs w:val="18"/>
              </w:rPr>
              <w:t>（四）所有者</w:t>
            </w:r>
            <w:r>
              <w:rPr>
                <w:rFonts w:ascii="宋体" w:hAnsi="宋体" w:cs="宋体" w:eastAsia="宋体" w:hint="default"/>
                <w:sz w:val="18"/>
                <w:szCs w:val="18"/>
              </w:rPr>
              <w:t> 权益内部结 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6"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,80</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1,8</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87.</w:t>
            </w:r>
          </w:p>
          <w:p>
            <w:pPr>
              <w:pStyle w:val="TableParagraph"/>
              <w:spacing w:line="240" w:lineRule="auto" w:before="105"/>
              <w:ind w:left="198"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30"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79" w:right="0"/>
              <w:jc w:val="center"/>
              <w:rPr>
                <w:rFonts w:ascii="Times New Roman" w:hAnsi="Times New Roman" w:cs="Times New Roman" w:eastAsia="Times New Roman" w:hint="default"/>
                <w:sz w:val="18"/>
                <w:szCs w:val="18"/>
              </w:rPr>
            </w:pPr>
            <w:r>
              <w:rPr>
                <w:rFonts w:ascii="Times New Roman"/>
                <w:sz w:val="18"/>
              </w:rPr>
              <w:t>00</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6"/>
              <w:ind w:left="101" w:right="102"/>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 </w:t>
            </w:r>
            <w:r>
              <w:rPr>
                <w:rFonts w:ascii="宋体" w:hAnsi="宋体" w:cs="宋体" w:eastAsia="宋体" w:hint="default"/>
                <w:spacing w:val="-14"/>
                <w:sz w:val="18"/>
                <w:szCs w:val="18"/>
              </w:rPr>
              <w:t>转增资本（或</w:t>
            </w:r>
            <w:r>
              <w:rPr>
                <w:rFonts w:ascii="宋体" w:hAnsi="宋体" w:cs="宋体" w:eastAsia="宋体" w:hint="default"/>
                <w:sz w:val="18"/>
                <w:szCs w:val="18"/>
              </w:rPr>
              <w:t> 股本）</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6"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,80</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1,8</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87.</w:t>
            </w:r>
          </w:p>
          <w:p>
            <w:pPr>
              <w:pStyle w:val="TableParagraph"/>
              <w:spacing w:line="240" w:lineRule="auto" w:before="105"/>
              <w:ind w:left="198"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30"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79" w:right="0"/>
              <w:jc w:val="center"/>
              <w:rPr>
                <w:rFonts w:ascii="Times New Roman" w:hAnsi="Times New Roman" w:cs="Times New Roman" w:eastAsia="Times New Roman" w:hint="default"/>
                <w:sz w:val="18"/>
                <w:szCs w:val="18"/>
              </w:rPr>
            </w:pPr>
            <w:r>
              <w:rPr>
                <w:rFonts w:ascii="Times New Roman"/>
                <w:sz w:val="18"/>
              </w:rPr>
              <w:t>00</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02"/>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 </w:t>
            </w:r>
            <w:r>
              <w:rPr>
                <w:rFonts w:ascii="宋体" w:hAnsi="宋体" w:cs="宋体" w:eastAsia="宋体" w:hint="default"/>
                <w:spacing w:val="-14"/>
                <w:sz w:val="18"/>
                <w:szCs w:val="18"/>
              </w:rPr>
              <w:t>转增资本（或</w:t>
            </w:r>
            <w:r>
              <w:rPr>
                <w:rFonts w:ascii="宋体" w:hAnsi="宋体" w:cs="宋体" w:eastAsia="宋体" w:hint="default"/>
                <w:sz w:val="18"/>
                <w:szCs w:val="18"/>
              </w:rPr>
              <w:t> 股本）</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0"/>
              <w:ind w:left="101"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 计划变动额 结转留存收 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02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 收益结转留 存收益</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12"/>
        <w:gridCol w:w="490"/>
        <w:gridCol w:w="449"/>
        <w:gridCol w:w="449"/>
        <w:gridCol w:w="491"/>
        <w:gridCol w:w="576"/>
        <w:gridCol w:w="577"/>
        <w:gridCol w:w="577"/>
        <w:gridCol w:w="577"/>
        <w:gridCol w:w="576"/>
        <w:gridCol w:w="577"/>
        <w:gridCol w:w="589"/>
        <w:gridCol w:w="567"/>
        <w:gridCol w:w="567"/>
        <w:gridCol w:w="643"/>
        <w:gridCol w:w="651"/>
      </w:tblGrid>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02"/>
              <w:jc w:val="left"/>
              <w:rPr>
                <w:rFonts w:ascii="宋体" w:hAnsi="宋体" w:cs="宋体" w:eastAsia="宋体" w:hint="default"/>
                <w:sz w:val="18"/>
                <w:szCs w:val="18"/>
              </w:rPr>
            </w:pPr>
            <w:r>
              <w:rPr>
                <w:rFonts w:ascii="宋体" w:hAnsi="宋体" w:cs="宋体" w:eastAsia="宋体" w:hint="default"/>
                <w:spacing w:val="-14"/>
                <w:sz w:val="18"/>
                <w:szCs w:val="18"/>
              </w:rPr>
              <w:t>（五）专项储</w:t>
            </w:r>
            <w:r>
              <w:rPr>
                <w:rFonts w:ascii="宋体" w:hAnsi="宋体" w:cs="宋体" w:eastAsia="宋体" w:hint="default"/>
                <w:sz w:val="18"/>
                <w:szCs w:val="18"/>
              </w:rPr>
              <w:t> 备</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49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651"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1" w:right="102"/>
              <w:jc w:val="left"/>
              <w:rPr>
                <w:rFonts w:ascii="宋体" w:hAnsi="宋体" w:cs="宋体" w:eastAsia="宋体" w:hint="default"/>
                <w:sz w:val="18"/>
                <w:szCs w:val="18"/>
              </w:rPr>
            </w:pPr>
            <w:r>
              <w:rPr>
                <w:rFonts w:ascii="宋体" w:hAnsi="宋体" w:cs="宋体" w:eastAsia="宋体" w:hint="default"/>
                <w:spacing w:val="-14"/>
                <w:sz w:val="18"/>
                <w:szCs w:val="18"/>
              </w:rPr>
              <w:t>四、本期期末</w:t>
            </w:r>
            <w:r>
              <w:rPr>
                <w:rFonts w:ascii="宋体" w:hAnsi="宋体" w:cs="宋体" w:eastAsia="宋体" w:hint="default"/>
                <w:sz w:val="18"/>
                <w:szCs w:val="18"/>
              </w:rPr>
              <w:t> 余额</w:t>
            </w:r>
          </w:p>
        </w:tc>
        <w:tc>
          <w:tcPr>
            <w:tcW w:w="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6" w:right="0"/>
              <w:jc w:val="left"/>
              <w:rPr>
                <w:rFonts w:ascii="Times New Roman" w:hAnsi="Times New Roman" w:cs="Times New Roman" w:eastAsia="Times New Roman" w:hint="default"/>
                <w:sz w:val="18"/>
                <w:szCs w:val="18"/>
              </w:rPr>
            </w:pPr>
            <w:r>
              <w:rPr>
                <w:rFonts w:ascii="Times New Roman"/>
                <w:sz w:val="18"/>
              </w:rPr>
              <w:t>485</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,45</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6,3</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98.</w:t>
            </w:r>
          </w:p>
          <w:p>
            <w:pPr>
              <w:pStyle w:val="TableParagraph"/>
              <w:spacing w:line="240" w:lineRule="auto" w:before="105"/>
              <w:ind w:left="198" w:right="0"/>
              <w:jc w:val="left"/>
              <w:rPr>
                <w:rFonts w:ascii="Times New Roman" w:hAnsi="Times New Roman" w:cs="Times New Roman" w:eastAsia="Times New Roman" w:hint="default"/>
                <w:sz w:val="18"/>
                <w:szCs w:val="18"/>
              </w:rPr>
            </w:pPr>
            <w:r>
              <w:rPr>
                <w:rFonts w:ascii="Times New Roman"/>
                <w:sz w:val="18"/>
              </w:rPr>
              <w:t>00</w:t>
            </w:r>
          </w:p>
        </w:tc>
        <w:tc>
          <w:tcPr>
            <w:tcW w:w="449"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91"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1,20</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0,82</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7,29</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8.56</w:t>
            </w:r>
          </w:p>
        </w:tc>
        <w:tc>
          <w:tcPr>
            <w:tcW w:w="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30,4</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81,0</w:t>
            </w:r>
          </w:p>
          <w:p>
            <w:pPr>
              <w:pStyle w:val="TableParagraph"/>
              <w:spacing w:line="240" w:lineRule="auto" w:before="105"/>
              <w:ind w:left="150" w:right="0"/>
              <w:jc w:val="left"/>
              <w:rPr>
                <w:rFonts w:ascii="Times New Roman" w:hAnsi="Times New Roman" w:cs="Times New Roman" w:eastAsia="Times New Roman" w:hint="default"/>
                <w:sz w:val="18"/>
                <w:szCs w:val="18"/>
              </w:rPr>
            </w:pPr>
            <w:r>
              <w:rPr>
                <w:rFonts w:ascii="Times New Roman"/>
                <w:sz w:val="18"/>
              </w:rPr>
              <w:t>62.2</w:t>
            </w:r>
          </w:p>
          <w:p>
            <w:pPr>
              <w:pStyle w:val="TableParagraph"/>
              <w:spacing w:line="240" w:lineRule="auto" w:before="105"/>
              <w:ind w:left="373" w:right="0"/>
              <w:jc w:val="left"/>
              <w:rPr>
                <w:rFonts w:ascii="Times New Roman" w:hAnsi="Times New Roman" w:cs="Times New Roman" w:eastAsia="Times New Roman" w:hint="default"/>
                <w:sz w:val="18"/>
                <w:szCs w:val="18"/>
              </w:rPr>
            </w:pPr>
            <w:r>
              <w:rPr>
                <w:rFonts w:ascii="Times New Roman"/>
                <w:sz w:val="18"/>
              </w:rPr>
              <w:t>1</w:t>
            </w:r>
          </w:p>
        </w:tc>
        <w:tc>
          <w:tcPr>
            <w:tcW w:w="577" w:type="dxa"/>
            <w:tcBorders>
              <w:top w:val="single" w:sz="4" w:space="0" w:color="000000"/>
              <w:left w:val="single" w:sz="4" w:space="0" w:color="000000"/>
              <w:bottom w:val="single" w:sz="4" w:space="0" w:color="000000"/>
              <w:right w:val="single" w:sz="4" w:space="0" w:color="000000"/>
            </w:tcBorders>
          </w:tcPr>
          <w:p>
            <w:pPr/>
          </w:p>
        </w:tc>
        <w:tc>
          <w:tcPr>
            <w:tcW w:w="57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65,6</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81,0</w:t>
            </w:r>
          </w:p>
          <w:p>
            <w:pPr>
              <w:pStyle w:val="TableParagraph"/>
              <w:spacing w:line="240" w:lineRule="auto" w:before="105"/>
              <w:ind w:left="147" w:right="0"/>
              <w:jc w:val="left"/>
              <w:rPr>
                <w:rFonts w:ascii="Times New Roman" w:hAnsi="Times New Roman" w:cs="Times New Roman" w:eastAsia="Times New Roman" w:hint="default"/>
                <w:sz w:val="18"/>
                <w:szCs w:val="18"/>
              </w:rPr>
            </w:pPr>
            <w:r>
              <w:rPr>
                <w:rFonts w:ascii="Times New Roman"/>
                <w:sz w:val="18"/>
              </w:rPr>
              <w:t>02.1</w:t>
            </w:r>
          </w:p>
          <w:p>
            <w:pPr>
              <w:pStyle w:val="TableParagraph"/>
              <w:spacing w:line="240" w:lineRule="auto" w:before="105"/>
              <w:ind w:left="372" w:right="0"/>
              <w:jc w:val="left"/>
              <w:rPr>
                <w:rFonts w:ascii="Times New Roman" w:hAnsi="Times New Roman" w:cs="Times New Roman" w:eastAsia="Times New Roman" w:hint="default"/>
                <w:sz w:val="18"/>
                <w:szCs w:val="18"/>
              </w:rPr>
            </w:pPr>
            <w:r>
              <w:rPr>
                <w:rFonts w:ascii="Times New Roman"/>
                <w:sz w:val="18"/>
              </w:rPr>
              <w:t>8</w:t>
            </w:r>
          </w:p>
        </w:tc>
        <w:tc>
          <w:tcPr>
            <w:tcW w:w="577"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599,</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584,</w:t>
            </w:r>
          </w:p>
          <w:p>
            <w:pPr>
              <w:pStyle w:val="TableParagraph"/>
              <w:spacing w:line="240" w:lineRule="auto" w:before="105"/>
              <w:ind w:left="57" w:right="0"/>
              <w:jc w:val="center"/>
              <w:rPr>
                <w:rFonts w:ascii="Times New Roman" w:hAnsi="Times New Roman" w:cs="Times New Roman" w:eastAsia="Times New Roman" w:hint="default"/>
                <w:sz w:val="18"/>
                <w:szCs w:val="18"/>
              </w:rPr>
            </w:pPr>
            <w:r>
              <w:rPr>
                <w:rFonts w:ascii="Times New Roman"/>
                <w:sz w:val="18"/>
              </w:rPr>
              <w:t>088.</w:t>
            </w:r>
          </w:p>
          <w:p>
            <w:pPr>
              <w:pStyle w:val="TableParagraph"/>
              <w:spacing w:line="240" w:lineRule="auto" w:before="105"/>
              <w:ind w:left="191" w:right="0"/>
              <w:jc w:val="center"/>
              <w:rPr>
                <w:rFonts w:ascii="Times New Roman" w:hAnsi="Times New Roman" w:cs="Times New Roman" w:eastAsia="Times New Roman" w:hint="default"/>
                <w:sz w:val="18"/>
                <w:szCs w:val="18"/>
              </w:rPr>
            </w:pPr>
            <w:r>
              <w:rPr>
                <w:rFonts w:ascii="Times New Roman"/>
                <w:sz w:val="18"/>
              </w:rPr>
              <w:t>72</w:t>
            </w:r>
          </w:p>
        </w:tc>
        <w:tc>
          <w:tcPr>
            <w:tcW w:w="567"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9" w:right="0"/>
              <w:jc w:val="left"/>
              <w:rPr>
                <w:rFonts w:ascii="Times New Roman" w:hAnsi="Times New Roman" w:cs="Times New Roman" w:eastAsia="Times New Roman" w:hint="default"/>
                <w:sz w:val="18"/>
                <w:szCs w:val="18"/>
              </w:rPr>
            </w:pPr>
            <w:r>
              <w:rPr>
                <w:rFonts w:ascii="Times New Roman"/>
                <w:sz w:val="18"/>
              </w:rPr>
              <w:t>2,32</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1,06</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7,72</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5.25</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22" w:right="0"/>
              <w:jc w:val="center"/>
              <w:rPr>
                <w:rFonts w:ascii="Times New Roman" w:hAnsi="Times New Roman" w:cs="Times New Roman" w:eastAsia="Times New Roman" w:hint="default"/>
                <w:sz w:val="18"/>
                <w:szCs w:val="18"/>
              </w:rPr>
            </w:pPr>
            <w:r>
              <w:rPr>
                <w:rFonts w:ascii="Times New Roman"/>
                <w:sz w:val="18"/>
              </w:rPr>
              <w:t>36,92</w:t>
            </w:r>
          </w:p>
          <w:p>
            <w:pPr>
              <w:pStyle w:val="TableParagraph"/>
              <w:spacing w:line="240" w:lineRule="auto" w:before="105"/>
              <w:ind w:left="22" w:right="0"/>
              <w:jc w:val="center"/>
              <w:rPr>
                <w:rFonts w:ascii="Times New Roman" w:hAnsi="Times New Roman" w:cs="Times New Roman" w:eastAsia="Times New Roman" w:hint="default"/>
                <w:sz w:val="18"/>
                <w:szCs w:val="18"/>
              </w:rPr>
            </w:pPr>
            <w:r>
              <w:rPr>
                <w:rFonts w:ascii="Times New Roman"/>
                <w:sz w:val="18"/>
              </w:rPr>
              <w:t>9,853</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.16</w:t>
            </w:r>
          </w:p>
        </w:tc>
        <w:tc>
          <w:tcPr>
            <w:tcW w:w="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2,357</w:t>
            </w:r>
          </w:p>
          <w:p>
            <w:pPr>
              <w:pStyle w:val="TableParagraph"/>
              <w:spacing w:line="240" w:lineRule="auto" w:before="105"/>
              <w:ind w:left="177" w:right="0"/>
              <w:jc w:val="left"/>
              <w:rPr>
                <w:rFonts w:ascii="Times New Roman" w:hAnsi="Times New Roman" w:cs="Times New Roman" w:eastAsia="Times New Roman" w:hint="default"/>
                <w:sz w:val="18"/>
                <w:szCs w:val="18"/>
              </w:rPr>
            </w:pPr>
            <w:r>
              <w:rPr>
                <w:rFonts w:ascii="Times New Roman"/>
                <w:sz w:val="18"/>
              </w:rPr>
              <w:t>,997,</w:t>
            </w:r>
          </w:p>
          <w:p>
            <w:pPr>
              <w:pStyle w:val="TableParagraph"/>
              <w:spacing w:line="240" w:lineRule="auto" w:before="105"/>
              <w:ind w:left="132" w:right="0"/>
              <w:jc w:val="left"/>
              <w:rPr>
                <w:rFonts w:ascii="Times New Roman" w:hAnsi="Times New Roman" w:cs="Times New Roman" w:eastAsia="Times New Roman" w:hint="default"/>
                <w:sz w:val="18"/>
                <w:szCs w:val="18"/>
              </w:rPr>
            </w:pPr>
            <w:r>
              <w:rPr>
                <w:rFonts w:ascii="Times New Roman"/>
                <w:sz w:val="18"/>
              </w:rPr>
              <w:t>578.4</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4"/>
        <w:ind w:right="882"/>
        <w:jc w:val="left"/>
        <w:rPr>
          <w:b w:val="0"/>
          <w:bCs w:val="0"/>
        </w:rPr>
      </w:pPr>
      <w:bookmarkStart w:name="8、母公司所有者权益变动表" w:id="175"/>
      <w:bookmarkEnd w:id="175"/>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本期金额</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06"/>
        <w:gridCol w:w="628"/>
        <w:gridCol w:w="604"/>
        <w:gridCol w:w="604"/>
        <w:gridCol w:w="605"/>
        <w:gridCol w:w="726"/>
        <w:gridCol w:w="727"/>
        <w:gridCol w:w="726"/>
        <w:gridCol w:w="727"/>
        <w:gridCol w:w="726"/>
        <w:gridCol w:w="615"/>
        <w:gridCol w:w="710"/>
        <w:gridCol w:w="863"/>
      </w:tblGrid>
      <w:tr>
        <w:trPr>
          <w:trHeight w:val="402" w:hRule="exact"/>
        </w:trPr>
        <w:tc>
          <w:tcPr>
            <w:tcW w:w="13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26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2" w:hRule="exact"/>
        </w:trPr>
        <w:tc>
          <w:tcPr>
            <w:tcW w:w="1306" w:type="dxa"/>
            <w:vMerge/>
            <w:tcBorders>
              <w:left w:val="single" w:sz="4" w:space="0" w:color="000000"/>
              <w:right w:val="single" w:sz="4" w:space="0" w:color="000000"/>
            </w:tcBorders>
            <w:shd w:val="clear" w:color="auto" w:fill="D2D2D2"/>
          </w:tcPr>
          <w:p>
            <w:pPr/>
          </w:p>
        </w:tc>
        <w:tc>
          <w:tcPr>
            <w:tcW w:w="6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81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78" w:right="176"/>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76" w:right="101" w:hanging="75"/>
              <w:jc w:val="left"/>
              <w:rPr>
                <w:rFonts w:ascii="宋体" w:hAnsi="宋体" w:cs="宋体" w:eastAsia="宋体" w:hint="default"/>
                <w:sz w:val="18"/>
                <w:szCs w:val="18"/>
              </w:rPr>
            </w:pPr>
            <w:r>
              <w:rPr>
                <w:rFonts w:ascii="宋体" w:hAnsi="宋体" w:cs="宋体" w:eastAsia="宋体" w:hint="default"/>
                <w:spacing w:val="-10"/>
                <w:sz w:val="18"/>
                <w:szCs w:val="18"/>
              </w:rPr>
              <w:t>减：库</w:t>
            </w:r>
            <w:r>
              <w:rPr>
                <w:rFonts w:ascii="宋体" w:hAnsi="宋体" w:cs="宋体" w:eastAsia="宋体" w:hint="default"/>
                <w:sz w:val="18"/>
                <w:szCs w:val="18"/>
              </w:rPr>
              <w:t> 存股</w:t>
            </w:r>
          </w:p>
        </w:tc>
        <w:tc>
          <w:tcPr>
            <w:tcW w:w="72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77" w:right="177"/>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7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78" w:right="177"/>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7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78" w:right="175"/>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61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22" w:right="121"/>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7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55" w:right="155"/>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714" w:hRule="exact"/>
        </w:trPr>
        <w:tc>
          <w:tcPr>
            <w:tcW w:w="1306" w:type="dxa"/>
            <w:vMerge/>
            <w:tcBorders>
              <w:left w:val="single" w:sz="4" w:space="0" w:color="000000"/>
              <w:bottom w:val="single" w:sz="4" w:space="0" w:color="000000"/>
              <w:right w:val="single" w:sz="4" w:space="0" w:color="000000"/>
            </w:tcBorders>
            <w:shd w:val="clear" w:color="auto" w:fill="D2D2D2"/>
          </w:tcPr>
          <w:p>
            <w:pPr/>
          </w:p>
        </w:tc>
        <w:tc>
          <w:tcPr>
            <w:tcW w:w="628" w:type="dxa"/>
            <w:vMerge/>
            <w:tcBorders>
              <w:left w:val="single" w:sz="4" w:space="0" w:color="000000"/>
              <w:bottom w:val="single" w:sz="4" w:space="0" w:color="000000"/>
              <w:right w:val="single" w:sz="4" w:space="0" w:color="000000"/>
            </w:tcBorders>
            <w:shd w:val="clear" w:color="auto" w:fill="D2D2D2"/>
          </w:tcPr>
          <w:p>
            <w:pPr/>
          </w:p>
        </w:tc>
        <w:tc>
          <w:tcPr>
            <w:tcW w:w="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07" w:right="115"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06" w:right="114"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6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26"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6" w:type="dxa"/>
            <w:vMerge/>
            <w:tcBorders>
              <w:left w:val="single" w:sz="4" w:space="0" w:color="000000"/>
              <w:bottom w:val="single" w:sz="4" w:space="0" w:color="000000"/>
              <w:right w:val="single" w:sz="4" w:space="0" w:color="000000"/>
            </w:tcBorders>
            <w:shd w:val="clear" w:color="auto" w:fill="D2D2D2"/>
          </w:tcPr>
          <w:p>
            <w:pPr/>
          </w:p>
        </w:tc>
        <w:tc>
          <w:tcPr>
            <w:tcW w:w="727" w:type="dxa"/>
            <w:vMerge/>
            <w:tcBorders>
              <w:left w:val="single" w:sz="4" w:space="0" w:color="000000"/>
              <w:bottom w:val="single" w:sz="4" w:space="0" w:color="000000"/>
              <w:right w:val="single" w:sz="4" w:space="0" w:color="000000"/>
            </w:tcBorders>
            <w:shd w:val="clear" w:color="auto" w:fill="D2D2D2"/>
          </w:tcPr>
          <w:p>
            <w:pPr/>
          </w:p>
        </w:tc>
        <w:tc>
          <w:tcPr>
            <w:tcW w:w="726" w:type="dxa"/>
            <w:vMerge/>
            <w:tcBorders>
              <w:left w:val="single" w:sz="4" w:space="0" w:color="000000"/>
              <w:bottom w:val="single" w:sz="4" w:space="0" w:color="000000"/>
              <w:right w:val="single" w:sz="4" w:space="0" w:color="000000"/>
            </w:tcBorders>
            <w:shd w:val="clear" w:color="auto" w:fill="D2D2D2"/>
          </w:tcPr>
          <w:p>
            <w:pPr/>
          </w:p>
        </w:tc>
        <w:tc>
          <w:tcPr>
            <w:tcW w:w="615" w:type="dxa"/>
            <w:vMerge/>
            <w:tcBorders>
              <w:left w:val="single" w:sz="4" w:space="0" w:color="000000"/>
              <w:bottom w:val="single" w:sz="4" w:space="0" w:color="000000"/>
              <w:right w:val="single" w:sz="4" w:space="0" w:color="000000"/>
            </w:tcBorders>
            <w:shd w:val="clear" w:color="auto" w:fill="D2D2D2"/>
          </w:tcPr>
          <w:p>
            <w:pPr/>
          </w:p>
        </w:tc>
        <w:tc>
          <w:tcPr>
            <w:tcW w:w="710" w:type="dxa"/>
            <w:vMerge/>
            <w:tcBorders>
              <w:left w:val="single" w:sz="4" w:space="0" w:color="000000"/>
              <w:bottom w:val="single" w:sz="4" w:space="0" w:color="000000"/>
              <w:right w:val="single" w:sz="4" w:space="0" w:color="000000"/>
            </w:tcBorders>
            <w:shd w:val="clear" w:color="auto" w:fill="D2D2D2"/>
          </w:tcPr>
          <w:p>
            <w:pPr/>
          </w:p>
        </w:tc>
        <w:tc>
          <w:tcPr>
            <w:tcW w:w="863" w:type="dxa"/>
            <w:vMerge/>
            <w:tcBorders>
              <w:left w:val="single" w:sz="4" w:space="0" w:color="000000"/>
              <w:bottom w:val="single" w:sz="4" w:space="0" w:color="000000"/>
              <w:right w:val="single" w:sz="4" w:space="0" w:color="000000"/>
            </w:tcBorders>
            <w:shd w:val="clear" w:color="auto" w:fill="D2D2D2"/>
          </w:tcPr>
          <w:p>
            <w:pPr/>
          </w:p>
        </w:tc>
      </w:tr>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01" w:right="112"/>
              <w:jc w:val="left"/>
              <w:rPr>
                <w:rFonts w:ascii="宋体" w:hAnsi="宋体" w:cs="宋体" w:eastAsia="宋体" w:hint="default"/>
                <w:sz w:val="18"/>
                <w:szCs w:val="18"/>
              </w:rPr>
            </w:pPr>
            <w:r>
              <w:rPr>
                <w:rFonts w:ascii="宋体" w:hAnsi="宋体" w:cs="宋体" w:eastAsia="宋体" w:hint="default"/>
                <w:sz w:val="18"/>
                <w:szCs w:val="18"/>
              </w:rPr>
              <w:t>一、上年期末 余额</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1" w:right="0"/>
              <w:jc w:val="left"/>
              <w:rPr>
                <w:rFonts w:ascii="Times New Roman" w:hAnsi="Times New Roman" w:cs="Times New Roman" w:eastAsia="Times New Roman" w:hint="default"/>
                <w:sz w:val="18"/>
                <w:szCs w:val="18"/>
              </w:rPr>
            </w:pPr>
            <w:r>
              <w:rPr>
                <w:rFonts w:ascii="Times New Roman"/>
                <w:sz w:val="18"/>
              </w:rPr>
              <w:t>485,4</w:t>
            </w:r>
          </w:p>
          <w:p>
            <w:pPr>
              <w:pStyle w:val="TableParagraph"/>
              <w:spacing w:line="240" w:lineRule="auto" w:before="105"/>
              <w:ind w:left="111" w:right="0"/>
              <w:jc w:val="left"/>
              <w:rPr>
                <w:rFonts w:ascii="Times New Roman" w:hAnsi="Times New Roman" w:cs="Times New Roman" w:eastAsia="Times New Roman" w:hint="default"/>
                <w:sz w:val="18"/>
                <w:szCs w:val="18"/>
              </w:rPr>
            </w:pPr>
            <w:r>
              <w:rPr>
                <w:rFonts w:ascii="Times New Roman"/>
                <w:sz w:val="18"/>
              </w:rPr>
              <w:t>56,39</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8.00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1,240,</w:t>
            </w:r>
          </w:p>
          <w:p>
            <w:pPr>
              <w:pStyle w:val="TableParagraph"/>
              <w:spacing w:line="240" w:lineRule="auto" w:before="105"/>
              <w:ind w:left="22" w:right="0"/>
              <w:jc w:val="center"/>
              <w:rPr>
                <w:rFonts w:ascii="Times New Roman" w:hAnsi="Times New Roman" w:cs="Times New Roman" w:eastAsia="Times New Roman" w:hint="default"/>
                <w:sz w:val="18"/>
                <w:szCs w:val="18"/>
              </w:rPr>
            </w:pPr>
            <w:r>
              <w:rPr>
                <w:rFonts w:ascii="Times New Roman"/>
                <w:sz w:val="18"/>
              </w:rPr>
              <w:t>114,14</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3.15</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30,481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,062.2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65,681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,002.1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8</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521,</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874,</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707.</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59</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2,282,64</w:t>
            </w:r>
          </w:p>
          <w:p>
            <w:pPr>
              <w:pStyle w:val="TableParagraph"/>
              <w:spacing w:line="240" w:lineRule="auto" w:before="105"/>
              <w:ind w:left="119" w:right="0"/>
              <w:jc w:val="left"/>
              <w:rPr>
                <w:rFonts w:ascii="Times New Roman" w:hAnsi="Times New Roman" w:cs="Times New Roman" w:eastAsia="Times New Roman" w:hint="default"/>
                <w:sz w:val="18"/>
                <w:szCs w:val="18"/>
              </w:rPr>
            </w:pPr>
            <w:r>
              <w:rPr>
                <w:rFonts w:ascii="Times New Roman"/>
                <w:sz w:val="18"/>
              </w:rPr>
              <w:t>5,188.71</w:t>
            </w: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1" w:right="112" w:firstLine="360"/>
              <w:jc w:val="left"/>
              <w:rPr>
                <w:rFonts w:ascii="宋体" w:hAnsi="宋体" w:cs="宋体" w:eastAsia="宋体" w:hint="default"/>
                <w:sz w:val="18"/>
                <w:szCs w:val="18"/>
              </w:rPr>
            </w:pPr>
            <w:r>
              <w:rPr>
                <w:rFonts w:ascii="宋体" w:hAnsi="宋体" w:cs="宋体" w:eastAsia="宋体" w:hint="default"/>
                <w:sz w:val="18"/>
                <w:szCs w:val="18"/>
              </w:rPr>
              <w:t>加：会计 政策变更</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-425,2</w:t>
            </w:r>
          </w:p>
          <w:p>
            <w:pPr>
              <w:pStyle w:val="TableParagraph"/>
              <w:spacing w:line="240" w:lineRule="auto" w:before="105"/>
              <w:ind w:left="207" w:right="0"/>
              <w:jc w:val="left"/>
              <w:rPr>
                <w:rFonts w:ascii="Times New Roman" w:hAnsi="Times New Roman" w:cs="Times New Roman" w:eastAsia="Times New Roman" w:hint="default"/>
                <w:sz w:val="18"/>
                <w:szCs w:val="18"/>
              </w:rPr>
            </w:pPr>
            <w:r>
              <w:rPr>
                <w:rFonts w:ascii="Times New Roman"/>
                <w:sz w:val="18"/>
              </w:rPr>
              <w:t>20.68</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7" w:right="0"/>
              <w:jc w:val="left"/>
              <w:rPr>
                <w:rFonts w:ascii="Times New Roman" w:hAnsi="Times New Roman" w:cs="Times New Roman" w:eastAsia="Times New Roman" w:hint="default"/>
                <w:sz w:val="18"/>
                <w:szCs w:val="18"/>
              </w:rPr>
            </w:pPr>
            <w:r>
              <w:rPr>
                <w:rFonts w:ascii="Times New Roman"/>
                <w:sz w:val="18"/>
              </w:rPr>
              <w:t>-3,82</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6,98</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6.08</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-4,252,2</w:t>
            </w:r>
          </w:p>
          <w:p>
            <w:pPr>
              <w:pStyle w:val="TableParagraph"/>
              <w:spacing w:line="240" w:lineRule="auto" w:before="105"/>
              <w:ind w:left="243" w:right="0"/>
              <w:jc w:val="center"/>
              <w:rPr>
                <w:rFonts w:ascii="Times New Roman" w:hAnsi="Times New Roman" w:cs="Times New Roman" w:eastAsia="Times New Roman" w:hint="default"/>
                <w:sz w:val="18"/>
                <w:szCs w:val="18"/>
              </w:rPr>
            </w:pPr>
            <w:r>
              <w:rPr>
                <w:rFonts w:ascii="Times New Roman"/>
                <w:sz w:val="18"/>
              </w:rPr>
              <w:t>06.76</w:t>
            </w: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2"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01" w:right="112"/>
              <w:jc w:val="left"/>
              <w:rPr>
                <w:rFonts w:ascii="宋体" w:hAnsi="宋体" w:cs="宋体" w:eastAsia="宋体" w:hint="default"/>
                <w:sz w:val="18"/>
                <w:szCs w:val="18"/>
              </w:rPr>
            </w:pPr>
            <w:r>
              <w:rPr>
                <w:rFonts w:ascii="宋体" w:hAnsi="宋体" w:cs="宋体" w:eastAsia="宋体" w:hint="default"/>
                <w:sz w:val="18"/>
                <w:szCs w:val="18"/>
              </w:rPr>
              <w:t>二、本年期初 余额</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1" w:right="0"/>
              <w:jc w:val="left"/>
              <w:rPr>
                <w:rFonts w:ascii="Times New Roman" w:hAnsi="Times New Roman" w:cs="Times New Roman" w:eastAsia="Times New Roman" w:hint="default"/>
                <w:sz w:val="18"/>
                <w:szCs w:val="18"/>
              </w:rPr>
            </w:pPr>
            <w:r>
              <w:rPr>
                <w:rFonts w:ascii="Times New Roman"/>
                <w:sz w:val="18"/>
              </w:rPr>
              <w:t>485,4</w:t>
            </w:r>
          </w:p>
          <w:p>
            <w:pPr>
              <w:pStyle w:val="TableParagraph"/>
              <w:spacing w:line="240" w:lineRule="auto" w:before="105"/>
              <w:ind w:left="111" w:right="0"/>
              <w:jc w:val="left"/>
              <w:rPr>
                <w:rFonts w:ascii="Times New Roman" w:hAnsi="Times New Roman" w:cs="Times New Roman" w:eastAsia="Times New Roman" w:hint="default"/>
                <w:sz w:val="18"/>
                <w:szCs w:val="18"/>
              </w:rPr>
            </w:pPr>
            <w:r>
              <w:rPr>
                <w:rFonts w:ascii="Times New Roman"/>
                <w:sz w:val="18"/>
              </w:rPr>
              <w:t>56,39</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8.00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1,240,</w:t>
            </w:r>
          </w:p>
          <w:p>
            <w:pPr>
              <w:pStyle w:val="TableParagraph"/>
              <w:spacing w:line="240" w:lineRule="auto" w:before="105"/>
              <w:ind w:left="22" w:right="0"/>
              <w:jc w:val="center"/>
              <w:rPr>
                <w:rFonts w:ascii="Times New Roman" w:hAnsi="Times New Roman" w:cs="Times New Roman" w:eastAsia="Times New Roman" w:hint="default"/>
                <w:sz w:val="18"/>
                <w:szCs w:val="18"/>
              </w:rPr>
            </w:pPr>
            <w:r>
              <w:rPr>
                <w:rFonts w:ascii="Times New Roman"/>
                <w:sz w:val="18"/>
              </w:rPr>
              <w:t>114,14</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3.15</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30,481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,062.2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65,255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,781.5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518,</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047,</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721.</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51</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2,278,39</w:t>
            </w:r>
          </w:p>
          <w:p>
            <w:pPr>
              <w:pStyle w:val="TableParagraph"/>
              <w:spacing w:line="240" w:lineRule="auto" w:before="105"/>
              <w:ind w:left="119" w:right="0"/>
              <w:jc w:val="left"/>
              <w:rPr>
                <w:rFonts w:ascii="Times New Roman" w:hAnsi="Times New Roman" w:cs="Times New Roman" w:eastAsia="Times New Roman" w:hint="default"/>
                <w:sz w:val="18"/>
                <w:szCs w:val="18"/>
              </w:rPr>
            </w:pPr>
            <w:r>
              <w:rPr>
                <w:rFonts w:ascii="Times New Roman"/>
                <w:sz w:val="18"/>
              </w:rPr>
              <w:t>2,981.95</w:t>
            </w:r>
          </w:p>
        </w:tc>
      </w:tr>
      <w:tr>
        <w:trPr>
          <w:trHeight w:val="133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12"/>
              <w:jc w:val="both"/>
              <w:rPr>
                <w:rFonts w:ascii="宋体" w:hAnsi="宋体" w:cs="宋体" w:eastAsia="宋体" w:hint="default"/>
                <w:sz w:val="18"/>
                <w:szCs w:val="18"/>
              </w:rPr>
            </w:pPr>
            <w:r>
              <w:rPr>
                <w:rFonts w:ascii="宋体" w:hAnsi="宋体" w:cs="宋体" w:eastAsia="宋体" w:hint="default"/>
                <w:sz w:val="18"/>
                <w:szCs w:val="18"/>
              </w:rPr>
              <w:t>三、本期增减 变动金额（减 少以“－”号 填列）</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1" w:right="0"/>
              <w:jc w:val="left"/>
              <w:rPr>
                <w:rFonts w:ascii="Times New Roman" w:hAnsi="Times New Roman" w:cs="Times New Roman" w:eastAsia="Times New Roman" w:hint="default"/>
                <w:sz w:val="18"/>
                <w:szCs w:val="18"/>
              </w:rPr>
            </w:pPr>
            <w:r>
              <w:rPr>
                <w:rFonts w:ascii="Times New Roman"/>
                <w:sz w:val="18"/>
              </w:rPr>
              <w:t>254,2</w:t>
            </w:r>
          </w:p>
          <w:p>
            <w:pPr>
              <w:pStyle w:val="TableParagraph"/>
              <w:spacing w:line="240" w:lineRule="auto" w:before="105"/>
              <w:ind w:left="111" w:right="0"/>
              <w:jc w:val="left"/>
              <w:rPr>
                <w:rFonts w:ascii="Times New Roman" w:hAnsi="Times New Roman" w:cs="Times New Roman" w:eastAsia="Times New Roman" w:hint="default"/>
                <w:sz w:val="18"/>
                <w:szCs w:val="18"/>
              </w:rPr>
            </w:pPr>
            <w:r>
              <w:rPr>
                <w:rFonts w:ascii="Times New Roman"/>
                <w:sz w:val="18"/>
              </w:rPr>
              <w:t>95,02</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7.00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9" w:right="0"/>
              <w:jc w:val="left"/>
              <w:rPr>
                <w:rFonts w:ascii="Times New Roman" w:hAnsi="Times New Roman" w:cs="Times New Roman" w:eastAsia="Times New Roman" w:hint="default"/>
                <w:sz w:val="18"/>
                <w:szCs w:val="18"/>
              </w:rPr>
            </w:pPr>
            <w:r>
              <w:rPr>
                <w:rFonts w:ascii="Times New Roman"/>
                <w:sz w:val="18"/>
              </w:rPr>
              <w:t>-150,4</w:t>
            </w:r>
          </w:p>
          <w:p>
            <w:pPr>
              <w:pStyle w:val="TableParagraph"/>
              <w:spacing w:line="240" w:lineRule="auto" w:before="105"/>
              <w:ind w:left="118" w:right="0"/>
              <w:jc w:val="left"/>
              <w:rPr>
                <w:rFonts w:ascii="Times New Roman" w:hAnsi="Times New Roman" w:cs="Times New Roman" w:eastAsia="Times New Roman" w:hint="default"/>
                <w:sz w:val="18"/>
                <w:szCs w:val="18"/>
              </w:rPr>
            </w:pPr>
            <w:r>
              <w:rPr>
                <w:rFonts w:ascii="Times New Roman"/>
                <w:sz w:val="18"/>
              </w:rPr>
              <w:t>38,946</w:t>
            </w:r>
          </w:p>
          <w:p>
            <w:pPr>
              <w:pStyle w:val="TableParagraph"/>
              <w:spacing w:line="240" w:lineRule="auto" w:before="105"/>
              <w:ind w:left="386" w:right="0"/>
              <w:jc w:val="left"/>
              <w:rPr>
                <w:rFonts w:ascii="Times New Roman" w:hAnsi="Times New Roman" w:cs="Times New Roman" w:eastAsia="Times New Roman" w:hint="default"/>
                <w:sz w:val="18"/>
                <w:szCs w:val="18"/>
              </w:rPr>
            </w:pPr>
            <w:r>
              <w:rPr>
                <w:rFonts w:ascii="Times New Roman"/>
                <w:sz w:val="18"/>
              </w:rPr>
              <w:t>.80</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59,456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,572.7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22,421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,659.6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4" w:right="0"/>
              <w:jc w:val="center"/>
              <w:rPr>
                <w:rFonts w:ascii="Times New Roman" w:hAnsi="Times New Roman" w:cs="Times New Roman" w:eastAsia="Times New Roman" w:hint="default"/>
                <w:sz w:val="18"/>
                <w:szCs w:val="18"/>
              </w:rPr>
            </w:pPr>
            <w:r>
              <w:rPr>
                <w:rFonts w:ascii="Times New Roman"/>
                <w:sz w:val="18"/>
              </w:rPr>
              <w:t>177,</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517,</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997.</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89</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6" w:right="0"/>
              <w:jc w:val="center"/>
              <w:rPr>
                <w:rFonts w:ascii="Times New Roman" w:hAnsi="Times New Roman" w:cs="Times New Roman" w:eastAsia="Times New Roman" w:hint="default"/>
                <w:sz w:val="18"/>
                <w:szCs w:val="18"/>
              </w:rPr>
            </w:pPr>
            <w:r>
              <w:rPr>
                <w:rFonts w:ascii="Times New Roman"/>
                <w:sz w:val="18"/>
              </w:rPr>
              <w:t>244,339,</w:t>
            </w:r>
          </w:p>
          <w:p>
            <w:pPr>
              <w:pStyle w:val="TableParagraph"/>
              <w:spacing w:line="240" w:lineRule="auto" w:before="105"/>
              <w:ind w:left="150" w:right="0"/>
              <w:jc w:val="center"/>
              <w:rPr>
                <w:rFonts w:ascii="Times New Roman" w:hAnsi="Times New Roman" w:cs="Times New Roman" w:eastAsia="Times New Roman" w:hint="default"/>
                <w:sz w:val="18"/>
                <w:szCs w:val="18"/>
              </w:rPr>
            </w:pPr>
            <w:r>
              <w:rPr>
                <w:rFonts w:ascii="Times New Roman"/>
                <w:sz w:val="18"/>
              </w:rPr>
              <w:t>164.92</w:t>
            </w:r>
          </w:p>
        </w:tc>
      </w:tr>
    </w:tbl>
    <w:p>
      <w:pPr>
        <w:spacing w:after="0" w:line="240" w:lineRule="auto"/>
        <w:jc w:val="center"/>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306"/>
        <w:gridCol w:w="628"/>
        <w:gridCol w:w="604"/>
        <w:gridCol w:w="604"/>
        <w:gridCol w:w="605"/>
        <w:gridCol w:w="726"/>
        <w:gridCol w:w="727"/>
        <w:gridCol w:w="726"/>
        <w:gridCol w:w="727"/>
        <w:gridCol w:w="726"/>
        <w:gridCol w:w="615"/>
        <w:gridCol w:w="710"/>
        <w:gridCol w:w="863"/>
      </w:tblGrid>
      <w:tr>
        <w:trPr>
          <w:trHeight w:val="361" w:hRule="exact"/>
        </w:trPr>
        <w:tc>
          <w:tcPr>
            <w:tcW w:w="1306" w:type="dxa"/>
            <w:tcBorders>
              <w:top w:val="single" w:sz="4" w:space="0" w:color="000000"/>
              <w:left w:val="single" w:sz="4" w:space="0" w:color="000000"/>
              <w:bottom w:val="nil" w:sz="6" w:space="0" w:color="auto"/>
              <w:right w:val="single" w:sz="4" w:space="0" w:color="000000"/>
            </w:tcBorders>
            <w:shd w:val="clear" w:color="auto" w:fill="D2D2D2"/>
          </w:tcPr>
          <w:p>
            <w:pPr/>
          </w:p>
        </w:tc>
        <w:tc>
          <w:tcPr>
            <w:tcW w:w="628" w:type="dxa"/>
            <w:vMerge w:val="restart"/>
            <w:tcBorders>
              <w:top w:val="single" w:sz="4" w:space="0" w:color="000000"/>
              <w:left w:val="single" w:sz="4" w:space="0" w:color="000000"/>
              <w:right w:val="single" w:sz="4" w:space="0" w:color="000000"/>
            </w:tcBorders>
          </w:tcPr>
          <w:p>
            <w:pPr/>
          </w:p>
        </w:tc>
        <w:tc>
          <w:tcPr>
            <w:tcW w:w="604" w:type="dxa"/>
            <w:vMerge w:val="restart"/>
            <w:tcBorders>
              <w:top w:val="single" w:sz="4" w:space="0" w:color="000000"/>
              <w:left w:val="single" w:sz="4" w:space="0" w:color="000000"/>
              <w:right w:val="single" w:sz="4" w:space="0" w:color="000000"/>
            </w:tcBorders>
          </w:tcPr>
          <w:p>
            <w:pPr/>
          </w:p>
        </w:tc>
        <w:tc>
          <w:tcPr>
            <w:tcW w:w="604"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61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224,</w:t>
            </w:r>
          </w:p>
        </w:tc>
        <w:tc>
          <w:tcPr>
            <w:tcW w:w="710" w:type="dxa"/>
            <w:vMerge w:val="restart"/>
            <w:tcBorders>
              <w:top w:val="single" w:sz="4" w:space="0" w:color="000000"/>
              <w:left w:val="single" w:sz="4" w:space="0" w:color="000000"/>
              <w:right w:val="single" w:sz="4" w:space="0" w:color="000000"/>
            </w:tcBorders>
          </w:tcPr>
          <w:p>
            <w:pPr/>
          </w:p>
        </w:tc>
        <w:tc>
          <w:tcPr>
            <w:tcW w:w="863"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3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（一）综合收</w:t>
            </w:r>
          </w:p>
        </w:tc>
        <w:tc>
          <w:tcPr>
            <w:tcW w:w="628" w:type="dxa"/>
            <w:vMerge/>
            <w:tcBorders>
              <w:left w:val="single" w:sz="4" w:space="0" w:color="000000"/>
              <w:right w:val="single" w:sz="4" w:space="0" w:color="000000"/>
            </w:tcBorders>
          </w:tcPr>
          <w:p>
            <w:pPr/>
          </w:p>
        </w:tc>
        <w:tc>
          <w:tcPr>
            <w:tcW w:w="604" w:type="dxa"/>
            <w:vMerge/>
            <w:tcBorders>
              <w:left w:val="single" w:sz="4" w:space="0" w:color="000000"/>
              <w:right w:val="single" w:sz="4" w:space="0" w:color="000000"/>
            </w:tcBorders>
          </w:tcPr>
          <w:p>
            <w:pPr/>
          </w:p>
        </w:tc>
        <w:tc>
          <w:tcPr>
            <w:tcW w:w="604"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z w:val="18"/>
              </w:rPr>
              <w:t>216,</w:t>
            </w:r>
          </w:p>
        </w:tc>
        <w:tc>
          <w:tcPr>
            <w:tcW w:w="710" w:type="dxa"/>
            <w:vMerge/>
            <w:tcBorders>
              <w:left w:val="single" w:sz="4" w:space="0" w:color="000000"/>
              <w:right w:val="single" w:sz="4" w:space="0" w:color="000000"/>
            </w:tcBorders>
          </w:tcPr>
          <w:p>
            <w:pPr/>
          </w:p>
        </w:tc>
        <w:tc>
          <w:tcPr>
            <w:tcW w:w="86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pacing w:val="-1"/>
                <w:sz w:val="18"/>
              </w:rPr>
              <w:t>224,216,</w:t>
            </w:r>
          </w:p>
        </w:tc>
      </w:tr>
      <w:tr>
        <w:trPr>
          <w:trHeight w:val="317" w:hRule="exact"/>
        </w:trPr>
        <w:tc>
          <w:tcPr>
            <w:tcW w:w="13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益总额</w:t>
            </w:r>
          </w:p>
        </w:tc>
        <w:tc>
          <w:tcPr>
            <w:tcW w:w="628" w:type="dxa"/>
            <w:vMerge/>
            <w:tcBorders>
              <w:left w:val="single" w:sz="4" w:space="0" w:color="000000"/>
              <w:right w:val="single" w:sz="4" w:space="0" w:color="000000"/>
            </w:tcBorders>
          </w:tcPr>
          <w:p>
            <w:pPr/>
          </w:p>
        </w:tc>
        <w:tc>
          <w:tcPr>
            <w:tcW w:w="604" w:type="dxa"/>
            <w:vMerge/>
            <w:tcBorders>
              <w:left w:val="single" w:sz="4" w:space="0" w:color="000000"/>
              <w:right w:val="single" w:sz="4" w:space="0" w:color="000000"/>
            </w:tcBorders>
          </w:tcPr>
          <w:p>
            <w:pPr/>
          </w:p>
        </w:tc>
        <w:tc>
          <w:tcPr>
            <w:tcW w:w="604"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61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z w:val="18"/>
              </w:rPr>
              <w:t>596.</w:t>
            </w:r>
          </w:p>
        </w:tc>
        <w:tc>
          <w:tcPr>
            <w:tcW w:w="710" w:type="dxa"/>
            <w:vMerge/>
            <w:tcBorders>
              <w:left w:val="single" w:sz="4" w:space="0" w:color="000000"/>
              <w:right w:val="single" w:sz="4" w:space="0" w:color="000000"/>
            </w:tcBorders>
          </w:tcPr>
          <w:p>
            <w:pPr/>
          </w:p>
        </w:tc>
        <w:tc>
          <w:tcPr>
            <w:tcW w:w="86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pacing w:val="-1"/>
                <w:sz w:val="18"/>
              </w:rPr>
              <w:t>596.21</w:t>
            </w:r>
          </w:p>
        </w:tc>
      </w:tr>
      <w:tr>
        <w:trPr>
          <w:trHeight w:val="348" w:hRule="exact"/>
        </w:trPr>
        <w:tc>
          <w:tcPr>
            <w:tcW w:w="1306" w:type="dxa"/>
            <w:tcBorders>
              <w:top w:val="nil" w:sz="6" w:space="0" w:color="auto"/>
              <w:left w:val="single" w:sz="4" w:space="0" w:color="000000"/>
              <w:bottom w:val="single" w:sz="4" w:space="0" w:color="000000"/>
              <w:right w:val="single" w:sz="4" w:space="0" w:color="000000"/>
            </w:tcBorders>
            <w:shd w:val="clear" w:color="auto" w:fill="D2D2D2"/>
          </w:tcPr>
          <w:p>
            <w:pPr/>
          </w:p>
        </w:tc>
        <w:tc>
          <w:tcPr>
            <w:tcW w:w="628" w:type="dxa"/>
            <w:vMerge/>
            <w:tcBorders>
              <w:left w:val="single" w:sz="4" w:space="0" w:color="000000"/>
              <w:bottom w:val="single" w:sz="4" w:space="0" w:color="000000"/>
              <w:right w:val="single" w:sz="4" w:space="0" w:color="000000"/>
            </w:tcBorders>
          </w:tcPr>
          <w:p>
            <w:pPr/>
          </w:p>
        </w:tc>
        <w:tc>
          <w:tcPr>
            <w:tcW w:w="604" w:type="dxa"/>
            <w:vMerge/>
            <w:tcBorders>
              <w:left w:val="single" w:sz="4" w:space="0" w:color="000000"/>
              <w:bottom w:val="single" w:sz="4" w:space="0" w:color="000000"/>
              <w:right w:val="single" w:sz="4" w:space="0" w:color="000000"/>
            </w:tcBorders>
          </w:tcPr>
          <w:p>
            <w:pPr/>
          </w:p>
        </w:tc>
        <w:tc>
          <w:tcPr>
            <w:tcW w:w="604"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6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21</w:t>
            </w:r>
          </w:p>
        </w:tc>
        <w:tc>
          <w:tcPr>
            <w:tcW w:w="710" w:type="dxa"/>
            <w:vMerge/>
            <w:tcBorders>
              <w:left w:val="single" w:sz="4" w:space="0" w:color="000000"/>
              <w:bottom w:val="single" w:sz="4" w:space="0" w:color="000000"/>
              <w:right w:val="single" w:sz="4" w:space="0" w:color="000000"/>
            </w:tcBorders>
          </w:tcPr>
          <w:p>
            <w:pPr/>
          </w:p>
        </w:tc>
        <w:tc>
          <w:tcPr>
            <w:tcW w:w="863" w:type="dxa"/>
            <w:tcBorders>
              <w:top w:val="nil" w:sz="6" w:space="0" w:color="auto"/>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2"/>
              <w:jc w:val="both"/>
              <w:rPr>
                <w:rFonts w:ascii="宋体" w:hAnsi="宋体" w:cs="宋体" w:eastAsia="宋体" w:hint="default"/>
                <w:sz w:val="18"/>
                <w:szCs w:val="18"/>
              </w:rPr>
            </w:pPr>
            <w:r>
              <w:rPr>
                <w:rFonts w:ascii="宋体" w:hAnsi="宋体" w:cs="宋体" w:eastAsia="宋体" w:hint="default"/>
                <w:sz w:val="18"/>
                <w:szCs w:val="18"/>
              </w:rPr>
              <w:t>（二）所有者 投入和减少资 本</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 w:right="0"/>
              <w:jc w:val="center"/>
              <w:rPr>
                <w:rFonts w:ascii="Times New Roman" w:hAnsi="Times New Roman" w:cs="Times New Roman" w:eastAsia="Times New Roman" w:hint="default"/>
                <w:sz w:val="18"/>
                <w:szCs w:val="18"/>
              </w:rPr>
            </w:pPr>
            <w:r>
              <w:rPr>
                <w:rFonts w:ascii="Times New Roman"/>
                <w:sz w:val="18"/>
              </w:rPr>
              <w:t>11,52</w:t>
            </w:r>
          </w:p>
          <w:p>
            <w:pPr>
              <w:pStyle w:val="TableParagraph"/>
              <w:spacing w:line="240" w:lineRule="auto" w:before="105"/>
              <w:ind w:left="8" w:right="0"/>
              <w:jc w:val="center"/>
              <w:rPr>
                <w:rFonts w:ascii="Times New Roman" w:hAnsi="Times New Roman" w:cs="Times New Roman" w:eastAsia="Times New Roman" w:hint="default"/>
                <w:sz w:val="18"/>
                <w:szCs w:val="18"/>
              </w:rPr>
            </w:pPr>
            <w:r>
              <w:rPr>
                <w:rFonts w:ascii="Times New Roman"/>
                <w:sz w:val="18"/>
              </w:rPr>
              <w:t>5,673</w:t>
            </w:r>
          </w:p>
          <w:p>
            <w:pPr>
              <w:pStyle w:val="TableParagraph"/>
              <w:spacing w:line="240" w:lineRule="auto" w:before="105"/>
              <w:ind w:left="188" w:right="0"/>
              <w:jc w:val="center"/>
              <w:rPr>
                <w:rFonts w:ascii="Times New Roman" w:hAnsi="Times New Roman" w:cs="Times New Roman" w:eastAsia="Times New Roman" w:hint="default"/>
                <w:sz w:val="18"/>
                <w:szCs w:val="18"/>
              </w:rPr>
            </w:pPr>
            <w:r>
              <w:rPr>
                <w:rFonts w:ascii="Times New Roman"/>
                <w:sz w:val="18"/>
              </w:rPr>
              <w:t>.00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92,330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,407.2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59,456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,572.7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44,399,5</w:t>
            </w:r>
          </w:p>
          <w:p>
            <w:pPr>
              <w:pStyle w:val="TableParagraph"/>
              <w:spacing w:line="240" w:lineRule="auto" w:before="105"/>
              <w:ind w:left="345" w:right="0"/>
              <w:jc w:val="left"/>
              <w:rPr>
                <w:rFonts w:ascii="Times New Roman" w:hAnsi="Times New Roman" w:cs="Times New Roman" w:eastAsia="Times New Roman" w:hint="default"/>
                <w:sz w:val="18"/>
                <w:szCs w:val="18"/>
              </w:rPr>
            </w:pPr>
            <w:r>
              <w:rPr>
                <w:rFonts w:ascii="Times New Roman"/>
                <w:sz w:val="18"/>
              </w:rPr>
              <w:t>07.41</w:t>
            </w: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0" w:lineRule="auto"/>
              <w:ind w:left="101" w:right="10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的普通股</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 w:right="0"/>
              <w:jc w:val="center"/>
              <w:rPr>
                <w:rFonts w:ascii="Times New Roman" w:hAnsi="Times New Roman" w:cs="Times New Roman" w:eastAsia="Times New Roman" w:hint="default"/>
                <w:sz w:val="18"/>
                <w:szCs w:val="18"/>
              </w:rPr>
            </w:pPr>
            <w:r>
              <w:rPr>
                <w:rFonts w:ascii="Times New Roman"/>
                <w:sz w:val="18"/>
              </w:rPr>
              <w:t>11,52</w:t>
            </w:r>
          </w:p>
          <w:p>
            <w:pPr>
              <w:pStyle w:val="TableParagraph"/>
              <w:spacing w:line="240" w:lineRule="auto" w:before="105"/>
              <w:ind w:left="8" w:right="0"/>
              <w:jc w:val="center"/>
              <w:rPr>
                <w:rFonts w:ascii="Times New Roman" w:hAnsi="Times New Roman" w:cs="Times New Roman" w:eastAsia="Times New Roman" w:hint="default"/>
                <w:sz w:val="18"/>
                <w:szCs w:val="18"/>
              </w:rPr>
            </w:pPr>
            <w:r>
              <w:rPr>
                <w:rFonts w:ascii="Times New Roman"/>
                <w:sz w:val="18"/>
              </w:rPr>
              <w:t>5,673</w:t>
            </w:r>
          </w:p>
          <w:p>
            <w:pPr>
              <w:pStyle w:val="TableParagraph"/>
              <w:spacing w:line="240" w:lineRule="auto" w:before="105"/>
              <w:ind w:left="188" w:right="0"/>
              <w:jc w:val="center"/>
              <w:rPr>
                <w:rFonts w:ascii="Times New Roman" w:hAnsi="Times New Roman" w:cs="Times New Roman" w:eastAsia="Times New Roman" w:hint="default"/>
                <w:sz w:val="18"/>
                <w:szCs w:val="18"/>
              </w:rPr>
            </w:pPr>
            <w:r>
              <w:rPr>
                <w:rFonts w:ascii="Times New Roman"/>
                <w:sz w:val="18"/>
              </w:rPr>
              <w:t>.00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83,826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,635.3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59,456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,572.7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35,895,7</w:t>
            </w:r>
          </w:p>
          <w:p>
            <w:pPr>
              <w:pStyle w:val="TableParagraph"/>
              <w:spacing w:line="240" w:lineRule="auto" w:before="105"/>
              <w:ind w:left="345" w:right="0"/>
              <w:jc w:val="left"/>
              <w:rPr>
                <w:rFonts w:ascii="Times New Roman" w:hAnsi="Times New Roman" w:cs="Times New Roman" w:eastAsia="Times New Roman" w:hint="default"/>
                <w:sz w:val="18"/>
                <w:szCs w:val="18"/>
              </w:rPr>
            </w:pPr>
            <w:r>
              <w:rPr>
                <w:rFonts w:ascii="Times New Roman"/>
                <w:sz w:val="18"/>
              </w:rPr>
              <w:t>35.53</w:t>
            </w:r>
          </w:p>
        </w:tc>
      </w:tr>
      <w:tr>
        <w:trPr>
          <w:trHeight w:val="362" w:hRule="exact"/>
        </w:trPr>
        <w:tc>
          <w:tcPr>
            <w:tcW w:w="130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80"/>
                <w:sz w:val="18"/>
                <w:szCs w:val="18"/>
              </w:rPr>
              <w:t>．</w:t>
            </w:r>
            <w:r>
              <w:rPr>
                <w:rFonts w:ascii="宋体" w:hAnsi="宋体" w:cs="宋体" w:eastAsia="宋体" w:hint="default"/>
                <w:sz w:val="18"/>
                <w:szCs w:val="18"/>
              </w:rPr>
              <w:t>其他权益工</w:t>
            </w:r>
          </w:p>
        </w:tc>
        <w:tc>
          <w:tcPr>
            <w:tcW w:w="628" w:type="dxa"/>
            <w:vMerge w:val="restart"/>
            <w:tcBorders>
              <w:top w:val="single" w:sz="4" w:space="0" w:color="000000"/>
              <w:left w:val="single" w:sz="4" w:space="0" w:color="000000"/>
              <w:right w:val="single" w:sz="4" w:space="0" w:color="000000"/>
            </w:tcBorders>
          </w:tcPr>
          <w:p>
            <w:pPr/>
          </w:p>
        </w:tc>
        <w:tc>
          <w:tcPr>
            <w:tcW w:w="604" w:type="dxa"/>
            <w:vMerge w:val="restart"/>
            <w:tcBorders>
              <w:top w:val="single" w:sz="4" w:space="0" w:color="000000"/>
              <w:left w:val="single" w:sz="4" w:space="0" w:color="000000"/>
              <w:right w:val="single" w:sz="4" w:space="0" w:color="000000"/>
            </w:tcBorders>
          </w:tcPr>
          <w:p>
            <w:pPr/>
          </w:p>
        </w:tc>
        <w:tc>
          <w:tcPr>
            <w:tcW w:w="604"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615" w:type="dxa"/>
            <w:vMerge w:val="restart"/>
            <w:tcBorders>
              <w:top w:val="single" w:sz="4" w:space="0" w:color="000000"/>
              <w:left w:val="single" w:sz="4" w:space="0" w:color="000000"/>
              <w:right w:val="single" w:sz="4" w:space="0" w:color="000000"/>
            </w:tcBorders>
          </w:tcPr>
          <w:p>
            <w:pPr/>
          </w:p>
        </w:tc>
        <w:tc>
          <w:tcPr>
            <w:tcW w:w="710" w:type="dxa"/>
            <w:vMerge w:val="restart"/>
            <w:tcBorders>
              <w:top w:val="single" w:sz="4" w:space="0" w:color="000000"/>
              <w:left w:val="single" w:sz="4" w:space="0" w:color="000000"/>
              <w:right w:val="single" w:sz="4" w:space="0" w:color="000000"/>
            </w:tcBorders>
          </w:tcPr>
          <w:p>
            <w:pPr/>
          </w:p>
        </w:tc>
        <w:tc>
          <w:tcPr>
            <w:tcW w:w="863" w:type="dxa"/>
            <w:vMerge w:val="restart"/>
            <w:tcBorders>
              <w:top w:val="single" w:sz="4" w:space="0" w:color="000000"/>
              <w:left w:val="single" w:sz="4" w:space="0" w:color="000000"/>
              <w:right w:val="single" w:sz="4" w:space="0" w:color="000000"/>
            </w:tcBorders>
          </w:tcPr>
          <w:p>
            <w:pPr/>
          </w:p>
        </w:tc>
      </w:tr>
      <w:tr>
        <w:trPr>
          <w:trHeight w:val="307" w:hRule="exact"/>
        </w:trPr>
        <w:tc>
          <w:tcPr>
            <w:tcW w:w="13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具持有者投入</w:t>
            </w:r>
          </w:p>
        </w:tc>
        <w:tc>
          <w:tcPr>
            <w:tcW w:w="628" w:type="dxa"/>
            <w:vMerge/>
            <w:tcBorders>
              <w:left w:val="single" w:sz="4" w:space="0" w:color="000000"/>
              <w:right w:val="single" w:sz="4" w:space="0" w:color="000000"/>
            </w:tcBorders>
          </w:tcPr>
          <w:p>
            <w:pPr/>
          </w:p>
        </w:tc>
        <w:tc>
          <w:tcPr>
            <w:tcW w:w="604" w:type="dxa"/>
            <w:vMerge/>
            <w:tcBorders>
              <w:left w:val="single" w:sz="4" w:space="0" w:color="000000"/>
              <w:right w:val="single" w:sz="4" w:space="0" w:color="000000"/>
            </w:tcBorders>
          </w:tcPr>
          <w:p>
            <w:pPr/>
          </w:p>
        </w:tc>
        <w:tc>
          <w:tcPr>
            <w:tcW w:w="604"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3" w:type="dxa"/>
            <w:vMerge/>
            <w:tcBorders>
              <w:left w:val="single" w:sz="4" w:space="0" w:color="000000"/>
              <w:right w:val="single" w:sz="4" w:space="0" w:color="000000"/>
            </w:tcBorders>
          </w:tcPr>
          <w:p>
            <w:pPr/>
          </w:p>
        </w:tc>
      </w:tr>
      <w:tr>
        <w:trPr>
          <w:trHeight w:val="356" w:hRule="exact"/>
        </w:trPr>
        <w:tc>
          <w:tcPr>
            <w:tcW w:w="130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628" w:type="dxa"/>
            <w:vMerge/>
            <w:tcBorders>
              <w:left w:val="single" w:sz="4" w:space="0" w:color="000000"/>
              <w:bottom w:val="single" w:sz="4" w:space="0" w:color="000000"/>
              <w:right w:val="single" w:sz="4" w:space="0" w:color="000000"/>
            </w:tcBorders>
          </w:tcPr>
          <w:p>
            <w:pPr/>
          </w:p>
        </w:tc>
        <w:tc>
          <w:tcPr>
            <w:tcW w:w="604" w:type="dxa"/>
            <w:vMerge/>
            <w:tcBorders>
              <w:left w:val="single" w:sz="4" w:space="0" w:color="000000"/>
              <w:bottom w:val="single" w:sz="4" w:space="0" w:color="000000"/>
              <w:right w:val="single" w:sz="4" w:space="0" w:color="000000"/>
            </w:tcBorders>
          </w:tcPr>
          <w:p>
            <w:pPr/>
          </w:p>
        </w:tc>
        <w:tc>
          <w:tcPr>
            <w:tcW w:w="604"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3" w:type="dxa"/>
            <w:vMerge/>
            <w:tcBorders>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00"/>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．股份支付计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入所有者权益 的金额</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63" w:right="0"/>
              <w:jc w:val="left"/>
              <w:rPr>
                <w:rFonts w:ascii="Times New Roman" w:hAnsi="Times New Roman" w:cs="Times New Roman" w:eastAsia="Times New Roman" w:hint="default"/>
                <w:sz w:val="18"/>
                <w:szCs w:val="18"/>
              </w:rPr>
            </w:pPr>
            <w:r>
              <w:rPr>
                <w:rFonts w:ascii="Times New Roman"/>
                <w:sz w:val="18"/>
              </w:rPr>
              <w:t>8,503,</w:t>
            </w:r>
          </w:p>
          <w:p>
            <w:pPr>
              <w:pStyle w:val="TableParagraph"/>
              <w:spacing w:line="240" w:lineRule="auto" w:before="105"/>
              <w:ind w:left="118" w:right="0"/>
              <w:jc w:val="left"/>
              <w:rPr>
                <w:rFonts w:ascii="Times New Roman" w:hAnsi="Times New Roman" w:cs="Times New Roman" w:eastAsia="Times New Roman" w:hint="default"/>
                <w:sz w:val="18"/>
                <w:szCs w:val="18"/>
              </w:rPr>
            </w:pPr>
            <w:r>
              <w:rPr>
                <w:rFonts w:ascii="Times New Roman"/>
                <w:sz w:val="18"/>
              </w:rPr>
              <w:t>771.88</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8,503,77</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1.88</w:t>
            </w: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1" w:right="112"/>
              <w:jc w:val="left"/>
              <w:rPr>
                <w:rFonts w:ascii="宋体" w:hAnsi="宋体" w:cs="宋体" w:eastAsia="宋体" w:hint="default"/>
                <w:sz w:val="18"/>
                <w:szCs w:val="18"/>
              </w:rPr>
            </w:pPr>
            <w:r>
              <w:rPr>
                <w:rFonts w:ascii="宋体" w:hAnsi="宋体" w:cs="宋体" w:eastAsia="宋体" w:hint="default"/>
                <w:sz w:val="18"/>
                <w:szCs w:val="18"/>
              </w:rPr>
              <w:t>（三）利润分 配</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22,421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,659.6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7" w:right="0"/>
              <w:jc w:val="left"/>
              <w:rPr>
                <w:rFonts w:ascii="Times New Roman" w:hAnsi="Times New Roman" w:cs="Times New Roman" w:eastAsia="Times New Roman" w:hint="default"/>
                <w:sz w:val="18"/>
                <w:szCs w:val="18"/>
              </w:rPr>
            </w:pPr>
            <w:r>
              <w:rPr>
                <w:rFonts w:ascii="Times New Roman"/>
                <w:sz w:val="18"/>
              </w:rPr>
              <w:t>-46,6</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98,5</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98.3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-24,276,</w:t>
            </w:r>
          </w:p>
          <w:p>
            <w:pPr>
              <w:pStyle w:val="TableParagraph"/>
              <w:spacing w:line="240" w:lineRule="auto" w:before="105"/>
              <w:ind w:left="150" w:right="0"/>
              <w:jc w:val="center"/>
              <w:rPr>
                <w:rFonts w:ascii="Times New Roman" w:hAnsi="Times New Roman" w:cs="Times New Roman" w:eastAsia="Times New Roman" w:hint="default"/>
                <w:sz w:val="18"/>
                <w:szCs w:val="18"/>
              </w:rPr>
            </w:pPr>
            <w:r>
              <w:rPr>
                <w:rFonts w:ascii="Times New Roman"/>
                <w:sz w:val="18"/>
              </w:rPr>
              <w:t>938.70</w:t>
            </w:r>
          </w:p>
        </w:tc>
      </w:tr>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6"/>
              <w:ind w:left="101" w:right="10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．提取盈余公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积</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22,421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,659.6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7" w:right="0"/>
              <w:jc w:val="left"/>
              <w:rPr>
                <w:rFonts w:ascii="Times New Roman" w:hAnsi="Times New Roman" w:cs="Times New Roman" w:eastAsia="Times New Roman" w:hint="default"/>
                <w:sz w:val="18"/>
                <w:szCs w:val="18"/>
              </w:rPr>
            </w:pPr>
            <w:r>
              <w:rPr>
                <w:rFonts w:ascii="Times New Roman"/>
                <w:sz w:val="18"/>
              </w:rPr>
              <w:t>-22,4</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21,6</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59.6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w:t>
            </w:r>
          </w:p>
          <w:p>
            <w:pPr>
              <w:pStyle w:val="TableParagraph"/>
              <w:spacing w:line="316" w:lineRule="auto" w:before="63"/>
              <w:ind w:left="101" w:right="112"/>
              <w:jc w:val="left"/>
              <w:rPr>
                <w:rFonts w:ascii="宋体" w:hAnsi="宋体" w:cs="宋体" w:eastAsia="宋体" w:hint="default"/>
                <w:sz w:val="18"/>
                <w:szCs w:val="18"/>
              </w:rPr>
            </w:pPr>
            <w:r>
              <w:rPr>
                <w:rFonts w:ascii="宋体" w:hAnsi="宋体" w:cs="宋体" w:eastAsia="宋体" w:hint="default"/>
                <w:sz w:val="18"/>
                <w:szCs w:val="18"/>
              </w:rPr>
              <w:t>（或股东）的 分配</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7"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76,9</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38.7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-24,276,</w:t>
            </w:r>
          </w:p>
          <w:p>
            <w:pPr>
              <w:pStyle w:val="TableParagraph"/>
              <w:spacing w:line="240" w:lineRule="auto" w:before="105"/>
              <w:ind w:left="150" w:right="0"/>
              <w:jc w:val="center"/>
              <w:rPr>
                <w:rFonts w:ascii="Times New Roman" w:hAnsi="Times New Roman" w:cs="Times New Roman" w:eastAsia="Times New Roman" w:hint="default"/>
                <w:sz w:val="18"/>
                <w:szCs w:val="18"/>
              </w:rPr>
            </w:pPr>
            <w:r>
              <w:rPr>
                <w:rFonts w:ascii="Times New Roman"/>
                <w:sz w:val="18"/>
              </w:rPr>
              <w:t>938.70</w:t>
            </w: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1" w:right="112"/>
              <w:jc w:val="left"/>
              <w:rPr>
                <w:rFonts w:ascii="宋体" w:hAnsi="宋体" w:cs="宋体" w:eastAsia="宋体" w:hint="default"/>
                <w:sz w:val="18"/>
                <w:szCs w:val="18"/>
              </w:rPr>
            </w:pPr>
            <w:r>
              <w:rPr>
                <w:rFonts w:ascii="宋体" w:hAnsi="宋体" w:cs="宋体" w:eastAsia="宋体" w:hint="default"/>
                <w:sz w:val="18"/>
                <w:szCs w:val="18"/>
              </w:rPr>
              <w:t>（四）所有者 权益内部结转</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1" w:right="0"/>
              <w:jc w:val="left"/>
              <w:rPr>
                <w:rFonts w:ascii="Times New Roman" w:hAnsi="Times New Roman" w:cs="Times New Roman" w:eastAsia="Times New Roman" w:hint="default"/>
                <w:sz w:val="18"/>
                <w:szCs w:val="18"/>
              </w:rPr>
            </w:pPr>
            <w:r>
              <w:rPr>
                <w:rFonts w:ascii="Times New Roman"/>
                <w:sz w:val="18"/>
              </w:rPr>
              <w:t>242,7</w:t>
            </w:r>
          </w:p>
          <w:p>
            <w:pPr>
              <w:pStyle w:val="TableParagraph"/>
              <w:spacing w:line="240" w:lineRule="auto" w:before="105"/>
              <w:ind w:left="111" w:right="0"/>
              <w:jc w:val="left"/>
              <w:rPr>
                <w:rFonts w:ascii="Times New Roman" w:hAnsi="Times New Roman" w:cs="Times New Roman" w:eastAsia="Times New Roman" w:hint="default"/>
                <w:sz w:val="18"/>
                <w:szCs w:val="18"/>
              </w:rPr>
            </w:pPr>
            <w:r>
              <w:rPr>
                <w:rFonts w:ascii="Times New Roman"/>
                <w:sz w:val="18"/>
              </w:rPr>
              <w:t>69,35</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4.00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9" w:right="0"/>
              <w:jc w:val="left"/>
              <w:rPr>
                <w:rFonts w:ascii="Times New Roman" w:hAnsi="Times New Roman" w:cs="Times New Roman" w:eastAsia="Times New Roman" w:hint="default"/>
                <w:sz w:val="18"/>
                <w:szCs w:val="18"/>
              </w:rPr>
            </w:pPr>
            <w:r>
              <w:rPr>
                <w:rFonts w:ascii="Times New Roman"/>
                <w:sz w:val="18"/>
              </w:rPr>
              <w:t>-242,7</w:t>
            </w:r>
          </w:p>
          <w:p>
            <w:pPr>
              <w:pStyle w:val="TableParagraph"/>
              <w:spacing w:line="240" w:lineRule="auto" w:before="105"/>
              <w:ind w:left="118" w:right="0"/>
              <w:jc w:val="left"/>
              <w:rPr>
                <w:rFonts w:ascii="Times New Roman" w:hAnsi="Times New Roman" w:cs="Times New Roman" w:eastAsia="Times New Roman" w:hint="default"/>
                <w:sz w:val="18"/>
                <w:szCs w:val="18"/>
              </w:rPr>
            </w:pPr>
            <w:r>
              <w:rPr>
                <w:rFonts w:ascii="Times New Roman"/>
                <w:sz w:val="18"/>
              </w:rPr>
              <w:t>69,354</w:t>
            </w:r>
          </w:p>
          <w:p>
            <w:pPr>
              <w:pStyle w:val="TableParagraph"/>
              <w:spacing w:line="240" w:lineRule="auto" w:before="105"/>
              <w:ind w:left="386" w:right="0"/>
              <w:jc w:val="left"/>
              <w:rPr>
                <w:rFonts w:ascii="Times New Roman" w:hAnsi="Times New Roman" w:cs="Times New Roman" w:eastAsia="Times New Roman" w:hint="default"/>
                <w:sz w:val="18"/>
                <w:szCs w:val="18"/>
              </w:rPr>
            </w:pPr>
            <w:r>
              <w:rPr>
                <w:rFonts w:ascii="Times New Roman"/>
                <w:sz w:val="18"/>
              </w:rPr>
              <w:t>.00</w:t>
            </w: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130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80"/>
                <w:sz w:val="18"/>
                <w:szCs w:val="18"/>
              </w:rPr>
              <w:t>．</w:t>
            </w:r>
            <w:r>
              <w:rPr>
                <w:rFonts w:ascii="宋体" w:hAnsi="宋体" w:cs="宋体" w:eastAsia="宋体" w:hint="default"/>
                <w:sz w:val="18"/>
                <w:szCs w:val="18"/>
              </w:rPr>
              <w:t>资本公积转</w:t>
            </w:r>
          </w:p>
        </w:tc>
        <w:tc>
          <w:tcPr>
            <w:tcW w:w="62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242,7</w:t>
            </w:r>
          </w:p>
        </w:tc>
        <w:tc>
          <w:tcPr>
            <w:tcW w:w="604" w:type="dxa"/>
            <w:vMerge w:val="restart"/>
            <w:tcBorders>
              <w:top w:val="single" w:sz="4" w:space="0" w:color="000000"/>
              <w:left w:val="single" w:sz="4" w:space="0" w:color="000000"/>
              <w:right w:val="single" w:sz="4" w:space="0" w:color="000000"/>
            </w:tcBorders>
          </w:tcPr>
          <w:p>
            <w:pPr/>
          </w:p>
        </w:tc>
        <w:tc>
          <w:tcPr>
            <w:tcW w:w="604"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-242,7</w:t>
            </w:r>
          </w:p>
        </w:tc>
        <w:tc>
          <w:tcPr>
            <w:tcW w:w="727"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615" w:type="dxa"/>
            <w:vMerge w:val="restart"/>
            <w:tcBorders>
              <w:top w:val="single" w:sz="4" w:space="0" w:color="000000"/>
              <w:left w:val="single" w:sz="4" w:space="0" w:color="000000"/>
              <w:right w:val="single" w:sz="4" w:space="0" w:color="000000"/>
            </w:tcBorders>
          </w:tcPr>
          <w:p>
            <w:pPr/>
          </w:p>
        </w:tc>
        <w:tc>
          <w:tcPr>
            <w:tcW w:w="710" w:type="dxa"/>
            <w:vMerge w:val="restart"/>
            <w:tcBorders>
              <w:top w:val="single" w:sz="4" w:space="0" w:color="000000"/>
              <w:left w:val="single" w:sz="4" w:space="0" w:color="000000"/>
              <w:right w:val="single" w:sz="4" w:space="0" w:color="000000"/>
            </w:tcBorders>
          </w:tcPr>
          <w:p>
            <w:pPr/>
          </w:p>
        </w:tc>
        <w:tc>
          <w:tcPr>
            <w:tcW w:w="863" w:type="dxa"/>
            <w:vMerge w:val="restart"/>
            <w:tcBorders>
              <w:top w:val="single" w:sz="4" w:space="0" w:color="000000"/>
              <w:left w:val="single" w:sz="4" w:space="0" w:color="000000"/>
              <w:right w:val="single" w:sz="4" w:space="0" w:color="000000"/>
            </w:tcBorders>
          </w:tcPr>
          <w:p>
            <w:pPr/>
          </w:p>
        </w:tc>
      </w:tr>
      <w:tr>
        <w:trPr>
          <w:trHeight w:val="312" w:hRule="exact"/>
        </w:trPr>
        <w:tc>
          <w:tcPr>
            <w:tcW w:w="13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增资本（或股</w:t>
            </w:r>
          </w:p>
        </w:tc>
        <w:tc>
          <w:tcPr>
            <w:tcW w:w="62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69,35</w:t>
            </w:r>
          </w:p>
        </w:tc>
        <w:tc>
          <w:tcPr>
            <w:tcW w:w="604" w:type="dxa"/>
            <w:vMerge/>
            <w:tcBorders>
              <w:left w:val="single" w:sz="4" w:space="0" w:color="000000"/>
              <w:right w:val="single" w:sz="4" w:space="0" w:color="000000"/>
            </w:tcBorders>
          </w:tcPr>
          <w:p>
            <w:pPr/>
          </w:p>
        </w:tc>
        <w:tc>
          <w:tcPr>
            <w:tcW w:w="604"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69,354</w:t>
            </w: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3" w:type="dxa"/>
            <w:vMerge/>
            <w:tcBorders>
              <w:left w:val="single" w:sz="4" w:space="0" w:color="000000"/>
              <w:right w:val="single" w:sz="4" w:space="0" w:color="000000"/>
            </w:tcBorders>
          </w:tcPr>
          <w:p>
            <w:pPr/>
          </w:p>
        </w:tc>
      </w:tr>
      <w:tr>
        <w:trPr>
          <w:trHeight w:val="352" w:hRule="exact"/>
        </w:trPr>
        <w:tc>
          <w:tcPr>
            <w:tcW w:w="130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本）</w:t>
            </w:r>
          </w:p>
        </w:tc>
        <w:tc>
          <w:tcPr>
            <w:tcW w:w="62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4.00</w:t>
            </w:r>
          </w:p>
        </w:tc>
        <w:tc>
          <w:tcPr>
            <w:tcW w:w="604" w:type="dxa"/>
            <w:vMerge/>
            <w:tcBorders>
              <w:left w:val="single" w:sz="4" w:space="0" w:color="000000"/>
              <w:bottom w:val="single" w:sz="4" w:space="0" w:color="000000"/>
              <w:right w:val="single" w:sz="4" w:space="0" w:color="000000"/>
            </w:tcBorders>
          </w:tcPr>
          <w:p>
            <w:pPr/>
          </w:p>
        </w:tc>
        <w:tc>
          <w:tcPr>
            <w:tcW w:w="604"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z w:val="18"/>
              </w:rPr>
              <w:t>.00</w:t>
            </w:r>
          </w:p>
        </w:tc>
        <w:tc>
          <w:tcPr>
            <w:tcW w:w="727"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3" w:type="dxa"/>
            <w:vMerge/>
            <w:tcBorders>
              <w:left w:val="single" w:sz="4" w:space="0" w:color="000000"/>
              <w:bottom w:val="single" w:sz="4" w:space="0" w:color="000000"/>
              <w:right w:val="single" w:sz="4" w:space="0" w:color="000000"/>
            </w:tcBorders>
          </w:tcPr>
          <w:p>
            <w:pPr/>
          </w:p>
        </w:tc>
      </w:tr>
      <w:tr>
        <w:trPr>
          <w:trHeight w:val="361" w:hRule="exact"/>
        </w:trPr>
        <w:tc>
          <w:tcPr>
            <w:tcW w:w="130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80"/>
                <w:sz w:val="18"/>
                <w:szCs w:val="18"/>
              </w:rPr>
              <w:t>．</w:t>
            </w:r>
            <w:r>
              <w:rPr>
                <w:rFonts w:ascii="宋体" w:hAnsi="宋体" w:cs="宋体" w:eastAsia="宋体" w:hint="default"/>
                <w:sz w:val="18"/>
                <w:szCs w:val="18"/>
              </w:rPr>
              <w:t>盈余公积转</w:t>
            </w:r>
          </w:p>
        </w:tc>
        <w:tc>
          <w:tcPr>
            <w:tcW w:w="628" w:type="dxa"/>
            <w:vMerge w:val="restart"/>
            <w:tcBorders>
              <w:top w:val="single" w:sz="4" w:space="0" w:color="000000"/>
              <w:left w:val="single" w:sz="4" w:space="0" w:color="000000"/>
              <w:right w:val="single" w:sz="4" w:space="0" w:color="000000"/>
            </w:tcBorders>
          </w:tcPr>
          <w:p>
            <w:pPr/>
          </w:p>
        </w:tc>
        <w:tc>
          <w:tcPr>
            <w:tcW w:w="604" w:type="dxa"/>
            <w:vMerge w:val="restart"/>
            <w:tcBorders>
              <w:top w:val="single" w:sz="4" w:space="0" w:color="000000"/>
              <w:left w:val="single" w:sz="4" w:space="0" w:color="000000"/>
              <w:right w:val="single" w:sz="4" w:space="0" w:color="000000"/>
            </w:tcBorders>
          </w:tcPr>
          <w:p>
            <w:pPr/>
          </w:p>
        </w:tc>
        <w:tc>
          <w:tcPr>
            <w:tcW w:w="604" w:type="dxa"/>
            <w:vMerge w:val="restart"/>
            <w:tcBorders>
              <w:top w:val="single" w:sz="4" w:space="0" w:color="000000"/>
              <w:left w:val="single" w:sz="4" w:space="0" w:color="000000"/>
              <w:right w:val="single" w:sz="4" w:space="0" w:color="000000"/>
            </w:tcBorders>
          </w:tcPr>
          <w:p>
            <w:pPr/>
          </w:p>
        </w:tc>
        <w:tc>
          <w:tcPr>
            <w:tcW w:w="605"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727" w:type="dxa"/>
            <w:vMerge w:val="restart"/>
            <w:tcBorders>
              <w:top w:val="single" w:sz="4" w:space="0" w:color="000000"/>
              <w:left w:val="single" w:sz="4" w:space="0" w:color="000000"/>
              <w:right w:val="single" w:sz="4" w:space="0" w:color="000000"/>
            </w:tcBorders>
          </w:tcPr>
          <w:p>
            <w:pPr/>
          </w:p>
        </w:tc>
        <w:tc>
          <w:tcPr>
            <w:tcW w:w="726" w:type="dxa"/>
            <w:vMerge w:val="restart"/>
            <w:tcBorders>
              <w:top w:val="single" w:sz="4" w:space="0" w:color="000000"/>
              <w:left w:val="single" w:sz="4" w:space="0" w:color="000000"/>
              <w:right w:val="single" w:sz="4" w:space="0" w:color="000000"/>
            </w:tcBorders>
          </w:tcPr>
          <w:p>
            <w:pPr/>
          </w:p>
        </w:tc>
        <w:tc>
          <w:tcPr>
            <w:tcW w:w="615" w:type="dxa"/>
            <w:vMerge w:val="restart"/>
            <w:tcBorders>
              <w:top w:val="single" w:sz="4" w:space="0" w:color="000000"/>
              <w:left w:val="single" w:sz="4" w:space="0" w:color="000000"/>
              <w:right w:val="single" w:sz="4" w:space="0" w:color="000000"/>
            </w:tcBorders>
          </w:tcPr>
          <w:p>
            <w:pPr/>
          </w:p>
        </w:tc>
        <w:tc>
          <w:tcPr>
            <w:tcW w:w="710" w:type="dxa"/>
            <w:vMerge w:val="restart"/>
            <w:tcBorders>
              <w:top w:val="single" w:sz="4" w:space="0" w:color="000000"/>
              <w:left w:val="single" w:sz="4" w:space="0" w:color="000000"/>
              <w:right w:val="single" w:sz="4" w:space="0" w:color="000000"/>
            </w:tcBorders>
          </w:tcPr>
          <w:p>
            <w:pPr/>
          </w:p>
        </w:tc>
        <w:tc>
          <w:tcPr>
            <w:tcW w:w="863" w:type="dxa"/>
            <w:vMerge w:val="restart"/>
            <w:tcBorders>
              <w:top w:val="single" w:sz="4" w:space="0" w:color="000000"/>
              <w:left w:val="single" w:sz="4" w:space="0" w:color="000000"/>
              <w:right w:val="single" w:sz="4" w:space="0" w:color="000000"/>
            </w:tcBorders>
          </w:tcPr>
          <w:p>
            <w:pPr/>
          </w:p>
        </w:tc>
      </w:tr>
      <w:tr>
        <w:trPr>
          <w:trHeight w:val="307" w:hRule="exact"/>
        </w:trPr>
        <w:tc>
          <w:tcPr>
            <w:tcW w:w="130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增资本（或股</w:t>
            </w:r>
          </w:p>
        </w:tc>
        <w:tc>
          <w:tcPr>
            <w:tcW w:w="628" w:type="dxa"/>
            <w:vMerge/>
            <w:tcBorders>
              <w:left w:val="single" w:sz="4" w:space="0" w:color="000000"/>
              <w:right w:val="single" w:sz="4" w:space="0" w:color="000000"/>
            </w:tcBorders>
          </w:tcPr>
          <w:p>
            <w:pPr/>
          </w:p>
        </w:tc>
        <w:tc>
          <w:tcPr>
            <w:tcW w:w="604" w:type="dxa"/>
            <w:vMerge/>
            <w:tcBorders>
              <w:left w:val="single" w:sz="4" w:space="0" w:color="000000"/>
              <w:right w:val="single" w:sz="4" w:space="0" w:color="000000"/>
            </w:tcBorders>
          </w:tcPr>
          <w:p>
            <w:pPr/>
          </w:p>
        </w:tc>
        <w:tc>
          <w:tcPr>
            <w:tcW w:w="604" w:type="dxa"/>
            <w:vMerge/>
            <w:tcBorders>
              <w:left w:val="single" w:sz="4" w:space="0" w:color="000000"/>
              <w:right w:val="single" w:sz="4" w:space="0" w:color="000000"/>
            </w:tcBorders>
          </w:tcPr>
          <w:p>
            <w:pPr/>
          </w:p>
        </w:tc>
        <w:tc>
          <w:tcPr>
            <w:tcW w:w="605"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26" w:type="dxa"/>
            <w:vMerge/>
            <w:tcBorders>
              <w:left w:val="single" w:sz="4" w:space="0" w:color="000000"/>
              <w:right w:val="single" w:sz="4" w:space="0" w:color="000000"/>
            </w:tcBorders>
          </w:tcPr>
          <w:p>
            <w:pPr/>
          </w:p>
        </w:tc>
        <w:tc>
          <w:tcPr>
            <w:tcW w:w="615" w:type="dxa"/>
            <w:vMerge/>
            <w:tcBorders>
              <w:left w:val="single" w:sz="4" w:space="0" w:color="000000"/>
              <w:right w:val="single" w:sz="4" w:space="0" w:color="000000"/>
            </w:tcBorders>
          </w:tcPr>
          <w:p>
            <w:pPr/>
          </w:p>
        </w:tc>
        <w:tc>
          <w:tcPr>
            <w:tcW w:w="710" w:type="dxa"/>
            <w:vMerge/>
            <w:tcBorders>
              <w:left w:val="single" w:sz="4" w:space="0" w:color="000000"/>
              <w:right w:val="single" w:sz="4" w:space="0" w:color="000000"/>
            </w:tcBorders>
          </w:tcPr>
          <w:p>
            <w:pPr/>
          </w:p>
        </w:tc>
        <w:tc>
          <w:tcPr>
            <w:tcW w:w="863" w:type="dxa"/>
            <w:vMerge/>
            <w:tcBorders>
              <w:left w:val="single" w:sz="4" w:space="0" w:color="000000"/>
              <w:right w:val="single" w:sz="4" w:space="0" w:color="000000"/>
            </w:tcBorders>
          </w:tcPr>
          <w:p>
            <w:pPr/>
          </w:p>
        </w:tc>
      </w:tr>
      <w:tr>
        <w:trPr>
          <w:trHeight w:val="356" w:hRule="exact"/>
        </w:trPr>
        <w:tc>
          <w:tcPr>
            <w:tcW w:w="130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本）</w:t>
            </w:r>
          </w:p>
        </w:tc>
        <w:tc>
          <w:tcPr>
            <w:tcW w:w="628" w:type="dxa"/>
            <w:vMerge/>
            <w:tcBorders>
              <w:left w:val="single" w:sz="4" w:space="0" w:color="000000"/>
              <w:bottom w:val="single" w:sz="4" w:space="0" w:color="000000"/>
              <w:right w:val="single" w:sz="4" w:space="0" w:color="000000"/>
            </w:tcBorders>
          </w:tcPr>
          <w:p>
            <w:pPr/>
          </w:p>
        </w:tc>
        <w:tc>
          <w:tcPr>
            <w:tcW w:w="604" w:type="dxa"/>
            <w:vMerge/>
            <w:tcBorders>
              <w:left w:val="single" w:sz="4" w:space="0" w:color="000000"/>
              <w:bottom w:val="single" w:sz="4" w:space="0" w:color="000000"/>
              <w:right w:val="single" w:sz="4" w:space="0" w:color="000000"/>
            </w:tcBorders>
          </w:tcPr>
          <w:p>
            <w:pPr/>
          </w:p>
        </w:tc>
        <w:tc>
          <w:tcPr>
            <w:tcW w:w="604" w:type="dxa"/>
            <w:vMerge/>
            <w:tcBorders>
              <w:left w:val="single" w:sz="4" w:space="0" w:color="000000"/>
              <w:bottom w:val="single" w:sz="4" w:space="0" w:color="000000"/>
              <w:right w:val="single" w:sz="4" w:space="0" w:color="000000"/>
            </w:tcBorders>
          </w:tcPr>
          <w:p>
            <w:pPr/>
          </w:p>
        </w:tc>
        <w:tc>
          <w:tcPr>
            <w:tcW w:w="605"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26" w:type="dxa"/>
            <w:vMerge/>
            <w:tcBorders>
              <w:left w:val="single" w:sz="4" w:space="0" w:color="000000"/>
              <w:bottom w:val="single" w:sz="4" w:space="0" w:color="000000"/>
              <w:right w:val="single" w:sz="4" w:space="0" w:color="000000"/>
            </w:tcBorders>
          </w:tcPr>
          <w:p>
            <w:pPr/>
          </w:p>
        </w:tc>
        <w:tc>
          <w:tcPr>
            <w:tcW w:w="61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863" w:type="dxa"/>
            <w:vMerge/>
            <w:tcBorders>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306"/>
        <w:gridCol w:w="628"/>
        <w:gridCol w:w="604"/>
        <w:gridCol w:w="604"/>
        <w:gridCol w:w="605"/>
        <w:gridCol w:w="726"/>
        <w:gridCol w:w="727"/>
        <w:gridCol w:w="726"/>
        <w:gridCol w:w="727"/>
        <w:gridCol w:w="726"/>
        <w:gridCol w:w="615"/>
        <w:gridCol w:w="710"/>
        <w:gridCol w:w="863"/>
      </w:tblGrid>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0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3</w:t>
            </w:r>
            <w:r>
              <w:rPr>
                <w:rFonts w:ascii="宋体" w:hAnsi="宋体" w:cs="宋体" w:eastAsia="宋体" w:hint="default"/>
                <w:spacing w:val="-12"/>
                <w:sz w:val="18"/>
                <w:szCs w:val="18"/>
              </w:rPr>
              <w:t>．盈余公积弥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补亏损</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00"/>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4</w:t>
            </w:r>
            <w:r>
              <w:rPr>
                <w:rFonts w:ascii="宋体" w:hAnsi="宋体" w:cs="宋体" w:eastAsia="宋体" w:hint="default"/>
                <w:spacing w:val="-12"/>
                <w:sz w:val="18"/>
                <w:szCs w:val="18"/>
              </w:rPr>
              <w:t>．设定受益计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划变动额结转 留存收益</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00"/>
              <w:jc w:val="both"/>
              <w:rPr>
                <w:rFonts w:ascii="宋体" w:hAnsi="宋体" w:cs="宋体" w:eastAsia="宋体" w:hint="default"/>
                <w:sz w:val="18"/>
                <w:szCs w:val="18"/>
              </w:rPr>
            </w:pPr>
            <w:r>
              <w:rPr>
                <w:rFonts w:ascii="Times New Roman" w:hAnsi="Times New Roman" w:cs="Times New Roman" w:eastAsia="Times New Roman" w:hint="default"/>
                <w:spacing w:val="-12"/>
                <w:sz w:val="18"/>
                <w:szCs w:val="18"/>
              </w:rPr>
              <w:t>5</w:t>
            </w:r>
            <w:r>
              <w:rPr>
                <w:rFonts w:ascii="宋体" w:hAnsi="宋体" w:cs="宋体" w:eastAsia="宋体" w:hint="default"/>
                <w:spacing w:val="-12"/>
                <w:sz w:val="18"/>
                <w:szCs w:val="18"/>
              </w:rPr>
              <w:t>．其他综合收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益结转留存收 益</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12"/>
              <w:jc w:val="left"/>
              <w:rPr>
                <w:rFonts w:ascii="宋体" w:hAnsi="宋体" w:cs="宋体" w:eastAsia="宋体" w:hint="default"/>
                <w:sz w:val="18"/>
                <w:szCs w:val="18"/>
              </w:rPr>
            </w:pPr>
            <w:r>
              <w:rPr>
                <w:rFonts w:ascii="宋体" w:hAnsi="宋体" w:cs="宋体" w:eastAsia="宋体" w:hint="default"/>
                <w:sz w:val="18"/>
                <w:szCs w:val="18"/>
              </w:rPr>
              <w:t>（五）专项储 备</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28"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1" w:right="112"/>
              <w:jc w:val="left"/>
              <w:rPr>
                <w:rFonts w:ascii="宋体" w:hAnsi="宋体" w:cs="宋体" w:eastAsia="宋体" w:hint="default"/>
                <w:sz w:val="18"/>
                <w:szCs w:val="18"/>
              </w:rPr>
            </w:pPr>
            <w:r>
              <w:rPr>
                <w:rFonts w:ascii="宋体" w:hAnsi="宋体" w:cs="宋体" w:eastAsia="宋体" w:hint="default"/>
                <w:sz w:val="18"/>
                <w:szCs w:val="18"/>
              </w:rPr>
              <w:t>四、本期期末 余额</w:t>
            </w:r>
          </w:p>
        </w:tc>
        <w:tc>
          <w:tcPr>
            <w:tcW w:w="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11" w:right="0"/>
              <w:jc w:val="left"/>
              <w:rPr>
                <w:rFonts w:ascii="Times New Roman" w:hAnsi="Times New Roman" w:cs="Times New Roman" w:eastAsia="Times New Roman" w:hint="default"/>
                <w:sz w:val="18"/>
                <w:szCs w:val="18"/>
              </w:rPr>
            </w:pPr>
            <w:r>
              <w:rPr>
                <w:rFonts w:ascii="Times New Roman"/>
                <w:sz w:val="18"/>
              </w:rPr>
              <w:t>739,7</w:t>
            </w:r>
          </w:p>
          <w:p>
            <w:pPr>
              <w:pStyle w:val="TableParagraph"/>
              <w:spacing w:line="240" w:lineRule="auto" w:before="105"/>
              <w:ind w:left="111" w:right="0"/>
              <w:jc w:val="left"/>
              <w:rPr>
                <w:rFonts w:ascii="Times New Roman" w:hAnsi="Times New Roman" w:cs="Times New Roman" w:eastAsia="Times New Roman" w:hint="default"/>
                <w:sz w:val="18"/>
                <w:szCs w:val="18"/>
              </w:rPr>
            </w:pPr>
            <w:r>
              <w:rPr>
                <w:rFonts w:ascii="Times New Roman"/>
                <w:sz w:val="18"/>
              </w:rPr>
              <w:t>51,42</w:t>
            </w:r>
          </w:p>
          <w:p>
            <w:pPr>
              <w:pStyle w:val="TableParagraph"/>
              <w:spacing w:line="240" w:lineRule="auto" w:before="105"/>
              <w:ind w:left="200" w:right="0"/>
              <w:jc w:val="left"/>
              <w:rPr>
                <w:rFonts w:ascii="Times New Roman" w:hAnsi="Times New Roman" w:cs="Times New Roman" w:eastAsia="Times New Roman" w:hint="default"/>
                <w:sz w:val="18"/>
                <w:szCs w:val="18"/>
              </w:rPr>
            </w:pPr>
            <w:r>
              <w:rPr>
                <w:rFonts w:ascii="Times New Roman"/>
                <w:sz w:val="18"/>
              </w:rPr>
              <w:t>5.00</w:t>
            </w:r>
          </w:p>
        </w:tc>
        <w:tc>
          <w:tcPr>
            <w:tcW w:w="604" w:type="dxa"/>
            <w:tcBorders>
              <w:top w:val="single" w:sz="4" w:space="0" w:color="000000"/>
              <w:left w:val="single" w:sz="4" w:space="0" w:color="000000"/>
              <w:bottom w:val="single" w:sz="4" w:space="0" w:color="000000"/>
              <w:right w:val="single" w:sz="4" w:space="0" w:color="000000"/>
            </w:tcBorders>
          </w:tcPr>
          <w:p>
            <w:pPr/>
          </w:p>
        </w:tc>
        <w:tc>
          <w:tcPr>
            <w:tcW w:w="604"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1,089,</w:t>
            </w:r>
          </w:p>
          <w:p>
            <w:pPr>
              <w:pStyle w:val="TableParagraph"/>
              <w:spacing w:line="240" w:lineRule="auto" w:before="105"/>
              <w:ind w:left="15" w:right="0"/>
              <w:jc w:val="center"/>
              <w:rPr>
                <w:rFonts w:ascii="Times New Roman" w:hAnsi="Times New Roman" w:cs="Times New Roman" w:eastAsia="Times New Roman" w:hint="default"/>
                <w:sz w:val="18"/>
                <w:szCs w:val="18"/>
              </w:rPr>
            </w:pPr>
            <w:r>
              <w:rPr>
                <w:rFonts w:ascii="Times New Roman"/>
                <w:sz w:val="18"/>
              </w:rPr>
              <w:t>675,19</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6.35</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89,937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,635.0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26"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87,677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,441.1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4" w:right="0"/>
              <w:jc w:val="center"/>
              <w:rPr>
                <w:rFonts w:ascii="Times New Roman" w:hAnsi="Times New Roman" w:cs="Times New Roman" w:eastAsia="Times New Roman" w:hint="default"/>
                <w:sz w:val="18"/>
                <w:szCs w:val="18"/>
              </w:rPr>
            </w:pPr>
            <w:r>
              <w:rPr>
                <w:rFonts w:ascii="Times New Roman"/>
                <w:sz w:val="18"/>
              </w:rPr>
              <w:t>695,</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565,</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719.</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40</w:t>
            </w:r>
          </w:p>
        </w:tc>
        <w:tc>
          <w:tcPr>
            <w:tcW w:w="710"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2,522,73</w:t>
            </w:r>
          </w:p>
          <w:p>
            <w:pPr>
              <w:pStyle w:val="TableParagraph"/>
              <w:spacing w:line="240" w:lineRule="auto" w:before="105"/>
              <w:ind w:left="119" w:right="0"/>
              <w:jc w:val="left"/>
              <w:rPr>
                <w:rFonts w:ascii="Times New Roman" w:hAnsi="Times New Roman" w:cs="Times New Roman" w:eastAsia="Times New Roman" w:hint="default"/>
                <w:sz w:val="18"/>
                <w:szCs w:val="18"/>
              </w:rPr>
            </w:pPr>
            <w:r>
              <w:rPr>
                <w:rFonts w:ascii="Times New Roman"/>
                <w:sz w:val="18"/>
              </w:rPr>
              <w:t>2,146.87</w:t>
            </w:r>
          </w:p>
        </w:tc>
      </w:tr>
    </w:tbl>
    <w:p>
      <w:pPr>
        <w:pStyle w:val="BodyText"/>
        <w:spacing w:line="240" w:lineRule="auto" w:before="51"/>
        <w:ind w:right="882"/>
        <w:jc w:val="left"/>
      </w:pPr>
      <w:r>
        <w:rPr/>
        <w:t>上期金额</w:t>
      </w:r>
    </w:p>
    <w:p>
      <w:pPr>
        <w:pStyle w:val="BodyText"/>
        <w:spacing w:line="240" w:lineRule="auto" w:before="117"/>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31"/>
        <w:gridCol w:w="594"/>
        <w:gridCol w:w="572"/>
        <w:gridCol w:w="572"/>
        <w:gridCol w:w="572"/>
        <w:gridCol w:w="685"/>
        <w:gridCol w:w="686"/>
        <w:gridCol w:w="685"/>
        <w:gridCol w:w="781"/>
        <w:gridCol w:w="665"/>
        <w:gridCol w:w="798"/>
        <w:gridCol w:w="797"/>
        <w:gridCol w:w="930"/>
      </w:tblGrid>
      <w:tr>
        <w:trPr>
          <w:trHeight w:val="402" w:hRule="exact"/>
        </w:trPr>
        <w:tc>
          <w:tcPr>
            <w:tcW w:w="123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37"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w:t>
            </w:r>
          </w:p>
        </w:tc>
      </w:tr>
      <w:tr>
        <w:trPr>
          <w:trHeight w:val="402" w:hRule="exact"/>
        </w:trPr>
        <w:tc>
          <w:tcPr>
            <w:tcW w:w="1231" w:type="dxa"/>
            <w:vMerge/>
            <w:tcBorders>
              <w:left w:val="single" w:sz="4" w:space="0" w:color="000000"/>
              <w:right w:val="single" w:sz="4" w:space="0" w:color="000000"/>
            </w:tcBorders>
            <w:shd w:val="clear" w:color="auto" w:fill="D2D2D2"/>
          </w:tcPr>
          <w:p>
            <w:pPr/>
          </w:p>
        </w:tc>
        <w:tc>
          <w:tcPr>
            <w:tcW w:w="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11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1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56" w:right="157"/>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6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57" w:right="101" w:hanging="56"/>
              <w:jc w:val="left"/>
              <w:rPr>
                <w:rFonts w:ascii="宋体" w:hAnsi="宋体" w:cs="宋体" w:eastAsia="宋体" w:hint="default"/>
                <w:sz w:val="18"/>
                <w:szCs w:val="18"/>
              </w:rPr>
            </w:pPr>
            <w:r>
              <w:rPr>
                <w:rFonts w:ascii="宋体" w:hAnsi="宋体" w:cs="宋体" w:eastAsia="宋体" w:hint="default"/>
                <w:spacing w:val="-24"/>
                <w:sz w:val="18"/>
                <w:szCs w:val="18"/>
              </w:rPr>
              <w:t>减：库</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存股</w:t>
            </w:r>
          </w:p>
        </w:tc>
        <w:tc>
          <w:tcPr>
            <w:tcW w:w="6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57" w:right="155"/>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296" w:right="113"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46" w:right="147"/>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213" w:right="121" w:hanging="89"/>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90" w:right="188"/>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1026" w:hRule="exact"/>
        </w:trPr>
        <w:tc>
          <w:tcPr>
            <w:tcW w:w="1231" w:type="dxa"/>
            <w:vMerge/>
            <w:tcBorders>
              <w:left w:val="single" w:sz="4" w:space="0" w:color="000000"/>
              <w:bottom w:val="single" w:sz="4" w:space="0" w:color="000000"/>
              <w:right w:val="single" w:sz="4" w:space="0" w:color="000000"/>
            </w:tcBorders>
            <w:shd w:val="clear" w:color="auto" w:fill="D2D2D2"/>
          </w:tcPr>
          <w:p>
            <w:pPr/>
          </w:p>
        </w:tc>
        <w:tc>
          <w:tcPr>
            <w:tcW w:w="594" w:type="dxa"/>
            <w:vMerge/>
            <w:tcBorders>
              <w:left w:val="single" w:sz="4" w:space="0" w:color="000000"/>
              <w:bottom w:val="single" w:sz="4" w:space="0" w:color="000000"/>
              <w:right w:val="single" w:sz="4" w:space="0" w:color="000000"/>
            </w:tcBorders>
            <w:shd w:val="clear" w:color="auto" w:fill="D2D2D2"/>
          </w:tcPr>
          <w:p>
            <w:pP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92" w:right="188"/>
              <w:jc w:val="both"/>
              <w:rPr>
                <w:rFonts w:ascii="宋体" w:hAnsi="宋体" w:cs="宋体" w:eastAsia="宋体" w:hint="default"/>
                <w:sz w:val="18"/>
                <w:szCs w:val="18"/>
              </w:rPr>
            </w:pPr>
            <w:r>
              <w:rPr>
                <w:rFonts w:ascii="宋体" w:hAnsi="宋体" w:cs="宋体" w:eastAsia="宋体" w:hint="default"/>
                <w:sz w:val="18"/>
                <w:szCs w:val="18"/>
              </w:rPr>
              <w:t>优 先 股</w:t>
            </w: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91" w:right="189"/>
              <w:jc w:val="both"/>
              <w:rPr>
                <w:rFonts w:ascii="宋体" w:hAnsi="宋体" w:cs="宋体" w:eastAsia="宋体" w:hint="default"/>
                <w:sz w:val="18"/>
                <w:szCs w:val="18"/>
              </w:rPr>
            </w:pPr>
            <w:r>
              <w:rPr>
                <w:rFonts w:ascii="宋体" w:hAnsi="宋体" w:cs="宋体" w:eastAsia="宋体" w:hint="default"/>
                <w:sz w:val="18"/>
                <w:szCs w:val="18"/>
              </w:rPr>
              <w:t>永 续 债</w:t>
            </w:r>
          </w:p>
        </w:tc>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90" w:right="189"/>
              <w:jc w:val="center"/>
              <w:rPr>
                <w:rFonts w:ascii="宋体" w:hAnsi="宋体" w:cs="宋体" w:eastAsia="宋体" w:hint="default"/>
                <w:sz w:val="18"/>
                <w:szCs w:val="18"/>
              </w:rPr>
            </w:pPr>
            <w:r>
              <w:rPr>
                <w:rFonts w:ascii="宋体" w:hAnsi="宋体" w:cs="宋体" w:eastAsia="宋体" w:hint="default"/>
                <w:sz w:val="18"/>
                <w:szCs w:val="18"/>
              </w:rPr>
              <w:t>其 他</w:t>
            </w:r>
          </w:p>
        </w:tc>
        <w:tc>
          <w:tcPr>
            <w:tcW w:w="685" w:type="dxa"/>
            <w:vMerge/>
            <w:tcBorders>
              <w:left w:val="single" w:sz="4" w:space="0" w:color="000000"/>
              <w:bottom w:val="single" w:sz="4" w:space="0" w:color="000000"/>
              <w:right w:val="single" w:sz="4" w:space="0" w:color="000000"/>
            </w:tcBorders>
            <w:shd w:val="clear" w:color="auto" w:fill="D2D2D2"/>
          </w:tcPr>
          <w:p>
            <w:pPr/>
          </w:p>
        </w:tc>
        <w:tc>
          <w:tcPr>
            <w:tcW w:w="686" w:type="dxa"/>
            <w:vMerge/>
            <w:tcBorders>
              <w:left w:val="single" w:sz="4" w:space="0" w:color="000000"/>
              <w:bottom w:val="single" w:sz="4" w:space="0" w:color="000000"/>
              <w:right w:val="single" w:sz="4" w:space="0" w:color="000000"/>
            </w:tcBorders>
            <w:shd w:val="clear" w:color="auto" w:fill="D2D2D2"/>
          </w:tcPr>
          <w:p>
            <w:pPr/>
          </w:p>
        </w:tc>
        <w:tc>
          <w:tcPr>
            <w:tcW w:w="685"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930" w:type="dxa"/>
            <w:vMerge/>
            <w:tcBorders>
              <w:left w:val="single" w:sz="4" w:space="0" w:color="000000"/>
              <w:bottom w:val="single" w:sz="4" w:space="0" w:color="000000"/>
              <w:right w:val="single" w:sz="4" w:space="0" w:color="000000"/>
            </w:tcBorders>
            <w:shd w:val="clear" w:color="auto" w:fill="D2D2D2"/>
          </w:tcPr>
          <w:p>
            <w:pPr/>
          </w:p>
        </w:tc>
      </w:tr>
      <w:tr>
        <w:trPr>
          <w:trHeight w:val="1338"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1" w:right="102"/>
              <w:jc w:val="left"/>
              <w:rPr>
                <w:rFonts w:ascii="宋体" w:hAnsi="宋体" w:cs="宋体" w:eastAsia="宋体" w:hint="default"/>
                <w:sz w:val="18"/>
                <w:szCs w:val="18"/>
              </w:rPr>
            </w:pPr>
            <w:r>
              <w:rPr>
                <w:rFonts w:ascii="宋体" w:hAnsi="宋体" w:cs="宋体" w:eastAsia="宋体" w:hint="default"/>
                <w:spacing w:val="-11"/>
                <w:sz w:val="18"/>
                <w:szCs w:val="18"/>
              </w:rPr>
              <w:t>一、上年期末</w:t>
            </w:r>
            <w:r>
              <w:rPr>
                <w:rFonts w:ascii="宋体" w:hAnsi="宋体" w:cs="宋体" w:eastAsia="宋体" w:hint="default"/>
                <w:sz w:val="18"/>
                <w:szCs w:val="18"/>
              </w:rPr>
              <w:t> 余额</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1,499,</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628,4</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25.90</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181,3</w:t>
            </w:r>
          </w:p>
          <w:p>
            <w:pPr>
              <w:pStyle w:val="TableParagraph"/>
              <w:spacing w:line="240" w:lineRule="auto" w:before="105"/>
              <w:ind w:left="167" w:right="0"/>
              <w:jc w:val="left"/>
              <w:rPr>
                <w:rFonts w:ascii="Times New Roman" w:hAnsi="Times New Roman" w:cs="Times New Roman" w:eastAsia="Times New Roman" w:hint="default"/>
                <w:sz w:val="18"/>
                <w:szCs w:val="18"/>
              </w:rPr>
            </w:pPr>
            <w:r>
              <w:rPr>
                <w:rFonts w:ascii="Times New Roman"/>
                <w:sz w:val="18"/>
              </w:rPr>
              <w:t>64,66</w:t>
            </w:r>
          </w:p>
          <w:p>
            <w:pPr>
              <w:pStyle w:val="TableParagraph"/>
              <w:spacing w:line="240" w:lineRule="auto" w:before="105"/>
              <w:ind w:left="258" w:right="0"/>
              <w:jc w:val="left"/>
              <w:rPr>
                <w:rFonts w:ascii="Times New Roman" w:hAnsi="Times New Roman" w:cs="Times New Roman" w:eastAsia="Times New Roman" w:hint="default"/>
                <w:sz w:val="18"/>
                <w:szCs w:val="18"/>
              </w:rPr>
            </w:pPr>
            <w:r>
              <w:rPr>
                <w:rFonts w:ascii="Times New Roman"/>
                <w:sz w:val="18"/>
              </w:rPr>
              <w:t>7.79</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41,51</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6,879</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.72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328,66</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0,047.2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1,931,24</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2,572.05</w:t>
            </w: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2"/>
              <w:jc w:val="left"/>
              <w:rPr>
                <w:rFonts w:ascii="宋体" w:hAnsi="宋体" w:cs="宋体" w:eastAsia="宋体" w:hint="default"/>
                <w:sz w:val="18"/>
                <w:szCs w:val="18"/>
              </w:rPr>
            </w:pPr>
            <w:r>
              <w:rPr>
                <w:rFonts w:ascii="宋体" w:hAnsi="宋体" w:cs="宋体" w:eastAsia="宋体" w:hint="default"/>
                <w:spacing w:val="-11"/>
                <w:sz w:val="18"/>
                <w:szCs w:val="18"/>
              </w:rPr>
              <w:t>加：会计政策</w:t>
            </w:r>
            <w:r>
              <w:rPr>
                <w:rFonts w:ascii="宋体" w:hAnsi="宋体" w:cs="宋体" w:eastAsia="宋体" w:hint="default"/>
                <w:sz w:val="18"/>
                <w:szCs w:val="18"/>
              </w:rPr>
              <w:t> 变更</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217"/>
              <w:jc w:val="left"/>
              <w:rPr>
                <w:rFonts w:ascii="宋体" w:hAnsi="宋体" w:cs="宋体" w:eastAsia="宋体" w:hint="default"/>
                <w:sz w:val="18"/>
                <w:szCs w:val="18"/>
              </w:rPr>
            </w:pPr>
            <w:r>
              <w:rPr>
                <w:rFonts w:ascii="宋体" w:hAnsi="宋体" w:cs="宋体" w:eastAsia="宋体" w:hint="default"/>
                <w:sz w:val="18"/>
                <w:szCs w:val="18"/>
              </w:rPr>
              <w:t>前期差错更 正</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33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1" w:right="102"/>
              <w:jc w:val="left"/>
              <w:rPr>
                <w:rFonts w:ascii="宋体" w:hAnsi="宋体" w:cs="宋体" w:eastAsia="宋体" w:hint="default"/>
                <w:sz w:val="18"/>
                <w:szCs w:val="18"/>
              </w:rPr>
            </w:pPr>
            <w:r>
              <w:rPr>
                <w:rFonts w:ascii="宋体" w:hAnsi="宋体" w:cs="宋体" w:eastAsia="宋体" w:hint="default"/>
                <w:spacing w:val="-11"/>
                <w:sz w:val="18"/>
                <w:szCs w:val="18"/>
              </w:rPr>
              <w:t>二、本年期初</w:t>
            </w:r>
            <w:r>
              <w:rPr>
                <w:rFonts w:ascii="宋体" w:hAnsi="宋体" w:cs="宋体" w:eastAsia="宋体" w:hint="default"/>
                <w:sz w:val="18"/>
                <w:szCs w:val="18"/>
              </w:rPr>
              <w:t> 余额</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1,499,</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628,4</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25.90</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181,3</w:t>
            </w:r>
          </w:p>
          <w:p>
            <w:pPr>
              <w:pStyle w:val="TableParagraph"/>
              <w:spacing w:line="240" w:lineRule="auto" w:before="105"/>
              <w:ind w:left="167" w:right="0"/>
              <w:jc w:val="left"/>
              <w:rPr>
                <w:rFonts w:ascii="Times New Roman" w:hAnsi="Times New Roman" w:cs="Times New Roman" w:eastAsia="Times New Roman" w:hint="default"/>
                <w:sz w:val="18"/>
                <w:szCs w:val="18"/>
              </w:rPr>
            </w:pPr>
            <w:r>
              <w:rPr>
                <w:rFonts w:ascii="Times New Roman"/>
                <w:sz w:val="18"/>
              </w:rPr>
              <w:t>64,66</w:t>
            </w:r>
          </w:p>
          <w:p>
            <w:pPr>
              <w:pStyle w:val="TableParagraph"/>
              <w:spacing w:line="240" w:lineRule="auto" w:before="105"/>
              <w:ind w:left="258" w:right="0"/>
              <w:jc w:val="left"/>
              <w:rPr>
                <w:rFonts w:ascii="Times New Roman" w:hAnsi="Times New Roman" w:cs="Times New Roman" w:eastAsia="Times New Roman" w:hint="default"/>
                <w:sz w:val="18"/>
                <w:szCs w:val="18"/>
              </w:rPr>
            </w:pPr>
            <w:r>
              <w:rPr>
                <w:rFonts w:ascii="Times New Roman"/>
                <w:sz w:val="18"/>
              </w:rPr>
              <w:t>7.79</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41,51</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6,879</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.72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328,66</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0,047.2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1,931,24</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2,572.05</w:t>
            </w:r>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31"/>
        <w:gridCol w:w="594"/>
        <w:gridCol w:w="572"/>
        <w:gridCol w:w="572"/>
        <w:gridCol w:w="572"/>
        <w:gridCol w:w="685"/>
        <w:gridCol w:w="686"/>
        <w:gridCol w:w="685"/>
        <w:gridCol w:w="781"/>
        <w:gridCol w:w="665"/>
        <w:gridCol w:w="798"/>
        <w:gridCol w:w="797"/>
        <w:gridCol w:w="930"/>
      </w:tblGrid>
      <w:tr>
        <w:trPr>
          <w:trHeight w:val="1338"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2"/>
              <w:jc w:val="both"/>
              <w:rPr>
                <w:rFonts w:ascii="宋体" w:hAnsi="宋体" w:cs="宋体" w:eastAsia="宋体" w:hint="default"/>
                <w:sz w:val="18"/>
                <w:szCs w:val="18"/>
              </w:rPr>
            </w:pPr>
            <w:r>
              <w:rPr>
                <w:rFonts w:ascii="宋体" w:hAnsi="宋体" w:cs="宋体" w:eastAsia="宋体" w:hint="default"/>
                <w:spacing w:val="-11"/>
                <w:sz w:val="18"/>
                <w:szCs w:val="18"/>
              </w:rPr>
              <w:t>三、本期增减</w:t>
            </w:r>
            <w:r>
              <w:rPr>
                <w:rFonts w:ascii="宋体" w:hAnsi="宋体" w:cs="宋体" w:eastAsia="宋体" w:hint="default"/>
                <w:sz w:val="18"/>
                <w:szCs w:val="18"/>
              </w:rPr>
              <w:t> </w:t>
            </w:r>
            <w:r>
              <w:rPr>
                <w:rFonts w:ascii="宋体" w:hAnsi="宋体" w:cs="宋体" w:eastAsia="宋体" w:hint="default"/>
                <w:spacing w:val="-11"/>
                <w:sz w:val="18"/>
                <w:szCs w:val="18"/>
              </w:rPr>
              <w:t>变动金额（减</w:t>
            </w:r>
            <w:r>
              <w:rPr>
                <w:rFonts w:ascii="宋体" w:hAnsi="宋体" w:cs="宋体" w:eastAsia="宋体" w:hint="default"/>
                <w:sz w:val="18"/>
                <w:szCs w:val="18"/>
              </w:rPr>
              <w:t> </w:t>
            </w:r>
            <w:r>
              <w:rPr>
                <w:rFonts w:ascii="宋体" w:hAnsi="宋体" w:cs="宋体" w:eastAsia="宋体" w:hint="default"/>
                <w:spacing w:val="-11"/>
                <w:sz w:val="18"/>
                <w:szCs w:val="18"/>
              </w:rPr>
              <w:t>少以“－”号</w:t>
            </w:r>
            <w:r>
              <w:rPr>
                <w:rFonts w:ascii="宋体" w:hAnsi="宋体" w:cs="宋体" w:eastAsia="宋体" w:hint="default"/>
                <w:sz w:val="18"/>
                <w:szCs w:val="18"/>
              </w:rPr>
              <w:t> 填列）</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5"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654,</w:t>
            </w:r>
          </w:p>
          <w:p>
            <w:pPr>
              <w:pStyle w:val="TableParagraph"/>
              <w:spacing w:line="240" w:lineRule="auto" w:before="105"/>
              <w:ind w:left="72" w:right="0"/>
              <w:jc w:val="center"/>
              <w:rPr>
                <w:rFonts w:ascii="Times New Roman" w:hAnsi="Times New Roman" w:cs="Times New Roman" w:eastAsia="Times New Roman" w:hint="default"/>
                <w:sz w:val="18"/>
                <w:szCs w:val="18"/>
              </w:rPr>
            </w:pPr>
            <w:r>
              <w:rPr>
                <w:rFonts w:ascii="Times New Roman"/>
                <w:sz w:val="18"/>
              </w:rPr>
              <w:t>511.</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-259,5</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14,28</w:t>
            </w:r>
          </w:p>
          <w:p>
            <w:pPr>
              <w:pStyle w:val="TableParagraph"/>
              <w:spacing w:line="240" w:lineRule="auto" w:before="105"/>
              <w:ind w:left="154" w:right="0"/>
              <w:jc w:val="center"/>
              <w:rPr>
                <w:rFonts w:ascii="Times New Roman" w:hAnsi="Times New Roman" w:cs="Times New Roman" w:eastAsia="Times New Roman" w:hint="default"/>
                <w:sz w:val="18"/>
                <w:szCs w:val="18"/>
              </w:rPr>
            </w:pPr>
            <w:r>
              <w:rPr>
                <w:rFonts w:ascii="Times New Roman"/>
                <w:sz w:val="18"/>
              </w:rPr>
              <w:t>2.75</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-150,8</w:t>
            </w:r>
          </w:p>
          <w:p>
            <w:pPr>
              <w:pStyle w:val="TableParagraph"/>
              <w:spacing w:line="240" w:lineRule="auto" w:before="105"/>
              <w:ind w:left="167" w:right="0"/>
              <w:jc w:val="left"/>
              <w:rPr>
                <w:rFonts w:ascii="Times New Roman" w:hAnsi="Times New Roman" w:cs="Times New Roman" w:eastAsia="Times New Roman" w:hint="default"/>
                <w:sz w:val="18"/>
                <w:szCs w:val="18"/>
              </w:rPr>
            </w:pPr>
            <w:r>
              <w:rPr>
                <w:rFonts w:ascii="Times New Roman"/>
                <w:sz w:val="18"/>
              </w:rPr>
              <w:t>83,60</w:t>
            </w:r>
          </w:p>
          <w:p>
            <w:pPr>
              <w:pStyle w:val="TableParagraph"/>
              <w:spacing w:line="240" w:lineRule="auto" w:before="105"/>
              <w:ind w:left="155" w:right="0"/>
              <w:jc w:val="center"/>
              <w:rPr>
                <w:rFonts w:ascii="Times New Roman" w:hAnsi="Times New Roman" w:cs="Times New Roman" w:eastAsia="Times New Roman" w:hint="default"/>
                <w:sz w:val="18"/>
                <w:szCs w:val="18"/>
              </w:rPr>
            </w:pPr>
            <w:r>
              <w:rPr>
                <w:rFonts w:ascii="Times New Roman"/>
                <w:sz w:val="18"/>
              </w:rPr>
              <w:t>5.58</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24,16</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4,122</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.46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193,21</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4,660.3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351,402,</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616.66</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ind w:left="101" w:right="102"/>
              <w:jc w:val="left"/>
              <w:rPr>
                <w:rFonts w:ascii="宋体" w:hAnsi="宋体" w:cs="宋体" w:eastAsia="宋体" w:hint="default"/>
                <w:sz w:val="18"/>
                <w:szCs w:val="18"/>
              </w:rPr>
            </w:pPr>
            <w:r>
              <w:rPr>
                <w:rFonts w:ascii="宋体" w:hAnsi="宋体" w:cs="宋体" w:eastAsia="宋体" w:hint="default"/>
                <w:spacing w:val="-11"/>
                <w:sz w:val="18"/>
                <w:szCs w:val="18"/>
              </w:rPr>
              <w:t>（一）综合收</w:t>
            </w:r>
            <w:r>
              <w:rPr>
                <w:rFonts w:ascii="宋体" w:hAnsi="宋体" w:cs="宋体" w:eastAsia="宋体" w:hint="default"/>
                <w:sz w:val="18"/>
                <w:szCs w:val="18"/>
              </w:rPr>
              <w:t> 益总额</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241,64</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1,224.5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241,641,</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224.55</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2"/>
              <w:jc w:val="left"/>
              <w:rPr>
                <w:rFonts w:ascii="宋体" w:hAnsi="宋体" w:cs="宋体" w:eastAsia="宋体" w:hint="default"/>
                <w:sz w:val="18"/>
                <w:szCs w:val="18"/>
              </w:rPr>
            </w:pPr>
            <w:r>
              <w:rPr>
                <w:rFonts w:ascii="宋体" w:hAnsi="宋体" w:cs="宋体" w:eastAsia="宋体" w:hint="default"/>
                <w:spacing w:val="-11"/>
                <w:sz w:val="18"/>
                <w:szCs w:val="18"/>
              </w:rPr>
              <w:t>（二）所有者</w:t>
            </w:r>
            <w:r>
              <w:rPr>
                <w:rFonts w:ascii="宋体" w:hAnsi="宋体" w:cs="宋体" w:eastAsia="宋体" w:hint="default"/>
                <w:sz w:val="18"/>
                <w:szCs w:val="18"/>
              </w:rPr>
              <w:t> 投入和减少 资本</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 w:right="0"/>
              <w:jc w:val="center"/>
              <w:rPr>
                <w:rFonts w:ascii="Times New Roman" w:hAnsi="Times New Roman" w:cs="Times New Roman" w:eastAsia="Times New Roman" w:hint="default"/>
                <w:sz w:val="18"/>
                <w:szCs w:val="18"/>
              </w:rPr>
            </w:pPr>
            <w:r>
              <w:rPr>
                <w:rFonts w:ascii="Times New Roman"/>
                <w:sz w:val="18"/>
              </w:rPr>
              <w:t>-147,</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376.</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8" w:right="0"/>
              <w:jc w:val="left"/>
              <w:rPr>
                <w:rFonts w:ascii="Times New Roman" w:hAnsi="Times New Roman" w:cs="Times New Roman" w:eastAsia="Times New Roman" w:hint="default"/>
                <w:sz w:val="18"/>
                <w:szCs w:val="18"/>
              </w:rPr>
            </w:pPr>
            <w:r>
              <w:rPr>
                <w:rFonts w:ascii="Times New Roman"/>
                <w:sz w:val="18"/>
              </w:rPr>
              <w:t>-16,71</w:t>
            </w:r>
          </w:p>
          <w:p>
            <w:pPr>
              <w:pStyle w:val="TableParagraph"/>
              <w:spacing w:line="240" w:lineRule="auto" w:before="105"/>
              <w:ind w:left="122" w:right="0"/>
              <w:jc w:val="left"/>
              <w:rPr>
                <w:rFonts w:ascii="Times New Roman" w:hAnsi="Times New Roman" w:cs="Times New Roman" w:eastAsia="Times New Roman" w:hint="default"/>
                <w:sz w:val="18"/>
                <w:szCs w:val="18"/>
              </w:rPr>
            </w:pPr>
            <w:r>
              <w:rPr>
                <w:rFonts w:ascii="Times New Roman"/>
                <w:sz w:val="18"/>
              </w:rPr>
              <w:t>2,395.</w:t>
            </w:r>
          </w:p>
          <w:p>
            <w:pPr>
              <w:pStyle w:val="TableParagraph"/>
              <w:spacing w:line="240" w:lineRule="auto" w:before="105"/>
              <w:ind w:left="391" w:right="0"/>
              <w:jc w:val="left"/>
              <w:rPr>
                <w:rFonts w:ascii="Times New Roman" w:hAnsi="Times New Roman" w:cs="Times New Roman" w:eastAsia="Times New Roman" w:hint="default"/>
                <w:sz w:val="18"/>
                <w:szCs w:val="18"/>
              </w:rPr>
            </w:pPr>
            <w:r>
              <w:rPr>
                <w:rFonts w:ascii="Times New Roman"/>
                <w:sz w:val="18"/>
              </w:rPr>
              <w:t>75</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center"/>
              <w:rPr>
                <w:rFonts w:ascii="Times New Roman" w:hAnsi="Times New Roman" w:cs="Times New Roman" w:eastAsia="Times New Roman" w:hint="default"/>
                <w:sz w:val="18"/>
                <w:szCs w:val="18"/>
              </w:rPr>
            </w:pPr>
            <w:r>
              <w:rPr>
                <w:rFonts w:ascii="Times New Roman"/>
                <w:sz w:val="18"/>
              </w:rPr>
              <w:t>-150,8</w:t>
            </w:r>
          </w:p>
          <w:p>
            <w:pPr>
              <w:pStyle w:val="TableParagraph"/>
              <w:spacing w:line="240" w:lineRule="auto" w:before="105"/>
              <w:ind w:left="167" w:right="0"/>
              <w:jc w:val="left"/>
              <w:rPr>
                <w:rFonts w:ascii="Times New Roman" w:hAnsi="Times New Roman" w:cs="Times New Roman" w:eastAsia="Times New Roman" w:hint="default"/>
                <w:sz w:val="18"/>
                <w:szCs w:val="18"/>
              </w:rPr>
            </w:pPr>
            <w:r>
              <w:rPr>
                <w:rFonts w:ascii="Times New Roman"/>
                <w:sz w:val="18"/>
              </w:rPr>
              <w:t>83,60</w:t>
            </w:r>
          </w:p>
          <w:p>
            <w:pPr>
              <w:pStyle w:val="TableParagraph"/>
              <w:spacing w:line="240" w:lineRule="auto" w:before="105"/>
              <w:ind w:left="155" w:right="0"/>
              <w:jc w:val="center"/>
              <w:rPr>
                <w:rFonts w:ascii="Times New Roman" w:hAnsi="Times New Roman" w:cs="Times New Roman" w:eastAsia="Times New Roman" w:hint="default"/>
                <w:sz w:val="18"/>
                <w:szCs w:val="18"/>
              </w:rPr>
            </w:pPr>
            <w:r>
              <w:rPr>
                <w:rFonts w:ascii="Times New Roman"/>
                <w:sz w:val="18"/>
              </w:rPr>
              <w:t>5.58</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134,023,</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833.83</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ind w:left="101"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-147,</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376.</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-1,195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,479.2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 w:right="0"/>
              <w:jc w:val="center"/>
              <w:rPr>
                <w:rFonts w:ascii="Times New Roman" w:hAnsi="Times New Roman" w:cs="Times New Roman" w:eastAsia="Times New Roman" w:hint="default"/>
                <w:sz w:val="18"/>
                <w:szCs w:val="18"/>
              </w:rPr>
            </w:pPr>
            <w:r>
              <w:rPr>
                <w:rFonts w:ascii="Times New Roman"/>
                <w:sz w:val="18"/>
              </w:rPr>
              <w:t>-150,8</w:t>
            </w:r>
          </w:p>
          <w:p>
            <w:pPr>
              <w:pStyle w:val="TableParagraph"/>
              <w:spacing w:line="240" w:lineRule="auto" w:before="105"/>
              <w:ind w:left="167" w:right="0"/>
              <w:jc w:val="left"/>
              <w:rPr>
                <w:rFonts w:ascii="Times New Roman" w:hAnsi="Times New Roman" w:cs="Times New Roman" w:eastAsia="Times New Roman" w:hint="default"/>
                <w:sz w:val="18"/>
                <w:szCs w:val="18"/>
              </w:rPr>
            </w:pPr>
            <w:r>
              <w:rPr>
                <w:rFonts w:ascii="Times New Roman"/>
                <w:sz w:val="18"/>
              </w:rPr>
              <w:t>83,60</w:t>
            </w:r>
          </w:p>
          <w:p>
            <w:pPr>
              <w:pStyle w:val="TableParagraph"/>
              <w:spacing w:line="240" w:lineRule="auto" w:before="105"/>
              <w:ind w:left="155" w:right="0"/>
              <w:jc w:val="center"/>
              <w:rPr>
                <w:rFonts w:ascii="Times New Roman" w:hAnsi="Times New Roman" w:cs="Times New Roman" w:eastAsia="Times New Roman" w:hint="default"/>
                <w:sz w:val="18"/>
                <w:szCs w:val="18"/>
              </w:rPr>
            </w:pPr>
            <w:r>
              <w:rPr>
                <w:rFonts w:ascii="Times New Roman"/>
                <w:sz w:val="18"/>
              </w:rPr>
              <w:t>5.58</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149,540,</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750.36</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 工具持有者 投入资本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8,350,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800.0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8,350,80</w:t>
            </w:r>
          </w:p>
          <w:p>
            <w:pPr>
              <w:pStyle w:val="TableParagraph"/>
              <w:spacing w:line="240" w:lineRule="auto" w:before="105"/>
              <w:ind w:left="502" w:right="0"/>
              <w:jc w:val="left"/>
              <w:rPr>
                <w:rFonts w:ascii="Times New Roman" w:hAnsi="Times New Roman" w:cs="Times New Roman" w:eastAsia="Times New Roman" w:hint="default"/>
                <w:sz w:val="18"/>
                <w:szCs w:val="18"/>
              </w:rPr>
            </w:pPr>
            <w:r>
              <w:rPr>
                <w:rFonts w:ascii="Times New Roman"/>
                <w:sz w:val="18"/>
              </w:rPr>
              <w:t>0.00</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8" w:right="0"/>
              <w:jc w:val="left"/>
              <w:rPr>
                <w:rFonts w:ascii="Times New Roman" w:hAnsi="Times New Roman" w:cs="Times New Roman" w:eastAsia="Times New Roman" w:hint="default"/>
                <w:sz w:val="18"/>
                <w:szCs w:val="18"/>
              </w:rPr>
            </w:pPr>
            <w:r>
              <w:rPr>
                <w:rFonts w:ascii="Times New Roman"/>
                <w:sz w:val="18"/>
              </w:rPr>
              <w:t>-23,86</w:t>
            </w:r>
          </w:p>
          <w:p>
            <w:pPr>
              <w:pStyle w:val="TableParagraph"/>
              <w:spacing w:line="240" w:lineRule="auto" w:before="105"/>
              <w:ind w:left="122" w:right="0"/>
              <w:jc w:val="left"/>
              <w:rPr>
                <w:rFonts w:ascii="Times New Roman" w:hAnsi="Times New Roman" w:cs="Times New Roman" w:eastAsia="Times New Roman" w:hint="default"/>
                <w:sz w:val="18"/>
                <w:szCs w:val="18"/>
              </w:rPr>
            </w:pPr>
            <w:r>
              <w:rPr>
                <w:rFonts w:ascii="Times New Roman"/>
                <w:sz w:val="18"/>
              </w:rPr>
              <w:t>7,716.</w:t>
            </w:r>
          </w:p>
          <w:p>
            <w:pPr>
              <w:pStyle w:val="TableParagraph"/>
              <w:spacing w:line="240" w:lineRule="auto" w:before="105"/>
              <w:ind w:left="391" w:right="0"/>
              <w:jc w:val="left"/>
              <w:rPr>
                <w:rFonts w:ascii="Times New Roman" w:hAnsi="Times New Roman" w:cs="Times New Roman" w:eastAsia="Times New Roman" w:hint="default"/>
                <w:sz w:val="18"/>
                <w:szCs w:val="18"/>
              </w:rPr>
            </w:pPr>
            <w:r>
              <w:rPr>
                <w:rFonts w:ascii="Times New Roman"/>
                <w:sz w:val="18"/>
              </w:rPr>
              <w:t>53</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-23,867,7</w:t>
            </w:r>
          </w:p>
          <w:p>
            <w:pPr>
              <w:pStyle w:val="TableParagraph"/>
              <w:spacing w:line="240" w:lineRule="auto" w:before="105"/>
              <w:ind w:left="411" w:right="0"/>
              <w:jc w:val="left"/>
              <w:rPr>
                <w:rFonts w:ascii="Times New Roman" w:hAnsi="Times New Roman" w:cs="Times New Roman" w:eastAsia="Times New Roman" w:hint="default"/>
                <w:sz w:val="18"/>
                <w:szCs w:val="18"/>
              </w:rPr>
            </w:pPr>
            <w:r>
              <w:rPr>
                <w:rFonts w:ascii="Times New Roman"/>
                <w:sz w:val="18"/>
              </w:rPr>
              <w:t>16.53</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ind w:left="101" w:right="102"/>
              <w:jc w:val="left"/>
              <w:rPr>
                <w:rFonts w:ascii="宋体" w:hAnsi="宋体" w:cs="宋体" w:eastAsia="宋体" w:hint="default"/>
                <w:sz w:val="18"/>
                <w:szCs w:val="18"/>
              </w:rPr>
            </w:pPr>
            <w:r>
              <w:rPr>
                <w:rFonts w:ascii="宋体" w:hAnsi="宋体" w:cs="宋体" w:eastAsia="宋体" w:hint="default"/>
                <w:spacing w:val="-11"/>
                <w:sz w:val="18"/>
                <w:szCs w:val="18"/>
              </w:rPr>
              <w:t>（三）利润分</w:t>
            </w:r>
            <w:r>
              <w:rPr>
                <w:rFonts w:ascii="宋体" w:hAnsi="宋体" w:cs="宋体" w:eastAsia="宋体" w:hint="default"/>
                <w:sz w:val="18"/>
                <w:szCs w:val="18"/>
              </w:rPr>
              <w:t> 配</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4" w:right="0"/>
              <w:jc w:val="center"/>
              <w:rPr>
                <w:rFonts w:ascii="Times New Roman" w:hAnsi="Times New Roman" w:cs="Times New Roman" w:eastAsia="Times New Roman" w:hint="default"/>
                <w:sz w:val="18"/>
                <w:szCs w:val="18"/>
              </w:rPr>
            </w:pPr>
            <w:r>
              <w:rPr>
                <w:rFonts w:ascii="Times New Roman"/>
                <w:sz w:val="18"/>
              </w:rPr>
              <w:t>24,16</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4,122</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.46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1" w:right="0"/>
              <w:jc w:val="left"/>
              <w:rPr>
                <w:rFonts w:ascii="Times New Roman" w:hAnsi="Times New Roman" w:cs="Times New Roman" w:eastAsia="Times New Roman" w:hint="default"/>
                <w:sz w:val="18"/>
                <w:szCs w:val="18"/>
              </w:rPr>
            </w:pPr>
            <w:r>
              <w:rPr>
                <w:rFonts w:ascii="Times New Roman"/>
                <w:sz w:val="18"/>
              </w:rPr>
              <w:t>-48,426</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,564.18</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-24,262,4</w:t>
            </w:r>
          </w:p>
          <w:p>
            <w:pPr>
              <w:pStyle w:val="TableParagraph"/>
              <w:spacing w:line="240" w:lineRule="auto" w:before="105"/>
              <w:ind w:left="411" w:right="0"/>
              <w:jc w:val="left"/>
              <w:rPr>
                <w:rFonts w:ascii="Times New Roman" w:hAnsi="Times New Roman" w:cs="Times New Roman" w:eastAsia="Times New Roman" w:hint="default"/>
                <w:sz w:val="18"/>
                <w:szCs w:val="18"/>
              </w:rPr>
            </w:pPr>
            <w:r>
              <w:rPr>
                <w:rFonts w:ascii="Times New Roman"/>
                <w:sz w:val="18"/>
              </w:rPr>
              <w:t>41.72</w:t>
            </w: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0" w:lineRule="auto"/>
              <w:ind w:left="101"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 公积</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center"/>
              <w:rPr>
                <w:rFonts w:ascii="Times New Roman" w:hAnsi="Times New Roman" w:cs="Times New Roman" w:eastAsia="Times New Roman" w:hint="default"/>
                <w:sz w:val="18"/>
                <w:szCs w:val="18"/>
              </w:rPr>
            </w:pPr>
            <w:r>
              <w:rPr>
                <w:rFonts w:ascii="Times New Roman"/>
                <w:sz w:val="18"/>
              </w:rPr>
              <w:t>24,16</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4,122</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.46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31" w:right="0"/>
              <w:jc w:val="left"/>
              <w:rPr>
                <w:rFonts w:ascii="Times New Roman" w:hAnsi="Times New Roman" w:cs="Times New Roman" w:eastAsia="Times New Roman" w:hint="default"/>
                <w:sz w:val="18"/>
                <w:szCs w:val="18"/>
              </w:rPr>
            </w:pPr>
            <w:r>
              <w:rPr>
                <w:rFonts w:ascii="Times New Roman"/>
                <w:sz w:val="18"/>
              </w:rPr>
              <w:t>-24,164</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,122.46</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w:t>
            </w:r>
          </w:p>
          <w:p>
            <w:pPr>
              <w:pStyle w:val="TableParagraph"/>
              <w:spacing w:line="316" w:lineRule="auto" w:before="63"/>
              <w:ind w:left="101" w:right="102"/>
              <w:jc w:val="left"/>
              <w:rPr>
                <w:rFonts w:ascii="宋体" w:hAnsi="宋体" w:cs="宋体" w:eastAsia="宋体" w:hint="default"/>
                <w:sz w:val="18"/>
                <w:szCs w:val="18"/>
              </w:rPr>
            </w:pPr>
            <w:r>
              <w:rPr>
                <w:rFonts w:ascii="宋体" w:hAnsi="宋体" w:cs="宋体" w:eastAsia="宋体" w:hint="default"/>
                <w:spacing w:val="-11"/>
                <w:sz w:val="18"/>
                <w:szCs w:val="18"/>
              </w:rPr>
              <w:t>（或股东）的</w:t>
            </w:r>
            <w:r>
              <w:rPr>
                <w:rFonts w:ascii="宋体" w:hAnsi="宋体" w:cs="宋体" w:eastAsia="宋体" w:hint="default"/>
                <w:sz w:val="18"/>
                <w:szCs w:val="18"/>
              </w:rPr>
              <w:t> 分配</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1" w:right="0"/>
              <w:jc w:val="left"/>
              <w:rPr>
                <w:rFonts w:ascii="Times New Roman" w:hAnsi="Times New Roman" w:cs="Times New Roman" w:eastAsia="Times New Roman" w:hint="default"/>
                <w:sz w:val="18"/>
                <w:szCs w:val="18"/>
              </w:rPr>
            </w:pPr>
            <w:r>
              <w:rPr>
                <w:rFonts w:ascii="Times New Roman"/>
                <w:sz w:val="18"/>
              </w:rPr>
              <w:t>-24,262</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,441.72</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-24,262,4</w:t>
            </w:r>
          </w:p>
          <w:p>
            <w:pPr>
              <w:pStyle w:val="TableParagraph"/>
              <w:spacing w:line="240" w:lineRule="auto" w:before="105"/>
              <w:ind w:left="411" w:right="0"/>
              <w:jc w:val="left"/>
              <w:rPr>
                <w:rFonts w:ascii="Times New Roman" w:hAnsi="Times New Roman" w:cs="Times New Roman" w:eastAsia="Times New Roman" w:hint="default"/>
                <w:sz w:val="18"/>
                <w:szCs w:val="18"/>
              </w:rPr>
            </w:pPr>
            <w:r>
              <w:rPr>
                <w:rFonts w:ascii="Times New Roman"/>
                <w:sz w:val="18"/>
              </w:rPr>
              <w:t>41.72</w:t>
            </w: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ind w:left="101" w:right="102"/>
              <w:jc w:val="left"/>
              <w:rPr>
                <w:rFonts w:ascii="宋体" w:hAnsi="宋体" w:cs="宋体" w:eastAsia="宋体" w:hint="default"/>
                <w:sz w:val="18"/>
                <w:szCs w:val="18"/>
              </w:rPr>
            </w:pPr>
            <w:r>
              <w:rPr>
                <w:rFonts w:ascii="宋体" w:hAnsi="宋体" w:cs="宋体" w:eastAsia="宋体" w:hint="default"/>
                <w:spacing w:val="-11"/>
                <w:sz w:val="18"/>
                <w:szCs w:val="18"/>
              </w:rPr>
              <w:t>（四）所有者</w:t>
            </w:r>
            <w:r>
              <w:rPr>
                <w:rFonts w:ascii="宋体" w:hAnsi="宋体" w:cs="宋体" w:eastAsia="宋体" w:hint="default"/>
                <w:sz w:val="18"/>
                <w:szCs w:val="18"/>
              </w:rPr>
              <w:t> 权益内部结 转</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5"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-242,8</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01,88</w:t>
            </w:r>
          </w:p>
          <w:p>
            <w:pPr>
              <w:pStyle w:val="TableParagraph"/>
              <w:spacing w:line="240" w:lineRule="auto" w:before="105"/>
              <w:ind w:left="154" w:right="0"/>
              <w:jc w:val="center"/>
              <w:rPr>
                <w:rFonts w:ascii="Times New Roman" w:hAnsi="Times New Roman" w:cs="Times New Roman" w:eastAsia="Times New Roman" w:hint="default"/>
                <w:sz w:val="18"/>
                <w:szCs w:val="18"/>
              </w:rPr>
            </w:pPr>
            <w:r>
              <w:rPr>
                <w:rFonts w:ascii="Times New Roman"/>
                <w:sz w:val="18"/>
              </w:rPr>
              <w:t>7.00</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33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9" w:lineRule="auto"/>
              <w:ind w:left="101" w:right="102"/>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 </w:t>
            </w:r>
            <w:r>
              <w:rPr>
                <w:rFonts w:ascii="宋体" w:hAnsi="宋体" w:cs="宋体" w:eastAsia="宋体" w:hint="default"/>
                <w:spacing w:val="-11"/>
                <w:sz w:val="18"/>
                <w:szCs w:val="18"/>
              </w:rPr>
              <w:t>转增资本（或</w:t>
            </w:r>
            <w:r>
              <w:rPr>
                <w:rFonts w:ascii="宋体" w:hAnsi="宋体" w:cs="宋体" w:eastAsia="宋体" w:hint="default"/>
                <w:sz w:val="18"/>
                <w:szCs w:val="18"/>
              </w:rPr>
              <w:t> 股本）</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5"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-242,8</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01,88</w:t>
            </w:r>
          </w:p>
          <w:p>
            <w:pPr>
              <w:pStyle w:val="TableParagraph"/>
              <w:spacing w:line="240" w:lineRule="auto" w:before="105"/>
              <w:ind w:left="154" w:right="0"/>
              <w:jc w:val="center"/>
              <w:rPr>
                <w:rFonts w:ascii="Times New Roman" w:hAnsi="Times New Roman" w:cs="Times New Roman" w:eastAsia="Times New Roman" w:hint="default"/>
                <w:sz w:val="18"/>
                <w:szCs w:val="18"/>
              </w:rPr>
            </w:pPr>
            <w:r>
              <w:rPr>
                <w:rFonts w:ascii="Times New Roman"/>
                <w:sz w:val="18"/>
              </w:rPr>
              <w:t>7.00</w:t>
            </w: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231"/>
        <w:gridCol w:w="594"/>
        <w:gridCol w:w="572"/>
        <w:gridCol w:w="572"/>
        <w:gridCol w:w="572"/>
        <w:gridCol w:w="685"/>
        <w:gridCol w:w="686"/>
        <w:gridCol w:w="685"/>
        <w:gridCol w:w="781"/>
        <w:gridCol w:w="665"/>
        <w:gridCol w:w="798"/>
        <w:gridCol w:w="797"/>
        <w:gridCol w:w="930"/>
      </w:tblGrid>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02"/>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 </w:t>
            </w:r>
            <w:r>
              <w:rPr>
                <w:rFonts w:ascii="宋体" w:hAnsi="宋体" w:cs="宋体" w:eastAsia="宋体" w:hint="default"/>
                <w:spacing w:val="-11"/>
                <w:sz w:val="18"/>
                <w:szCs w:val="18"/>
              </w:rPr>
              <w:t>转增资本（或</w:t>
            </w:r>
            <w:r>
              <w:rPr>
                <w:rFonts w:ascii="宋体" w:hAnsi="宋体" w:cs="宋体" w:eastAsia="宋体" w:hint="default"/>
                <w:sz w:val="18"/>
                <w:szCs w:val="18"/>
              </w:rPr>
              <w:t> 股本）</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0"/>
              <w:ind w:left="101"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 计划变动额 结转留存收 益</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 收益结转留 存收益</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02"/>
              <w:jc w:val="left"/>
              <w:rPr>
                <w:rFonts w:ascii="宋体" w:hAnsi="宋体" w:cs="宋体" w:eastAsia="宋体" w:hint="default"/>
                <w:sz w:val="18"/>
                <w:szCs w:val="18"/>
              </w:rPr>
            </w:pPr>
            <w:r>
              <w:rPr>
                <w:rFonts w:ascii="宋体" w:hAnsi="宋体" w:cs="宋体" w:eastAsia="宋体" w:hint="default"/>
                <w:spacing w:val="-11"/>
                <w:sz w:val="18"/>
                <w:szCs w:val="18"/>
              </w:rPr>
              <w:t>（五）专项储</w:t>
            </w:r>
            <w:r>
              <w:rPr>
                <w:rFonts w:ascii="宋体" w:hAnsi="宋体" w:cs="宋体" w:eastAsia="宋体" w:hint="default"/>
                <w:sz w:val="18"/>
                <w:szCs w:val="18"/>
              </w:rPr>
              <w:t> 备</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94"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1" w:right="102"/>
              <w:jc w:val="left"/>
              <w:rPr>
                <w:rFonts w:ascii="宋体" w:hAnsi="宋体" w:cs="宋体" w:eastAsia="宋体" w:hint="default"/>
                <w:sz w:val="18"/>
                <w:szCs w:val="18"/>
              </w:rPr>
            </w:pPr>
            <w:r>
              <w:rPr>
                <w:rFonts w:ascii="宋体" w:hAnsi="宋体" w:cs="宋体" w:eastAsia="宋体" w:hint="default"/>
                <w:spacing w:val="-11"/>
                <w:sz w:val="18"/>
                <w:szCs w:val="18"/>
              </w:rPr>
              <w:t>四、本期期末</w:t>
            </w:r>
            <w:r>
              <w:rPr>
                <w:rFonts w:ascii="宋体" w:hAnsi="宋体" w:cs="宋体" w:eastAsia="宋体" w:hint="default"/>
                <w:sz w:val="18"/>
                <w:szCs w:val="18"/>
              </w:rPr>
              <w:t> 余额</w:t>
            </w:r>
          </w:p>
        </w:tc>
        <w:tc>
          <w:tcPr>
            <w:tcW w:w="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5" w:right="0"/>
              <w:jc w:val="center"/>
              <w:rPr>
                <w:rFonts w:ascii="Times New Roman" w:hAnsi="Times New Roman" w:cs="Times New Roman" w:eastAsia="Times New Roman" w:hint="default"/>
                <w:sz w:val="18"/>
                <w:szCs w:val="18"/>
              </w:rPr>
            </w:pPr>
            <w:r>
              <w:rPr>
                <w:rFonts w:ascii="Times New Roman"/>
                <w:sz w:val="18"/>
              </w:rPr>
              <w:t>485,</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456,</w:t>
            </w:r>
          </w:p>
          <w:p>
            <w:pPr>
              <w:pStyle w:val="TableParagraph"/>
              <w:spacing w:line="240" w:lineRule="auto" w:before="105"/>
              <w:ind w:left="65" w:right="0"/>
              <w:jc w:val="center"/>
              <w:rPr>
                <w:rFonts w:ascii="Times New Roman" w:hAnsi="Times New Roman" w:cs="Times New Roman" w:eastAsia="Times New Roman" w:hint="default"/>
                <w:sz w:val="18"/>
                <w:szCs w:val="18"/>
              </w:rPr>
            </w:pPr>
            <w:r>
              <w:rPr>
                <w:rFonts w:ascii="Times New Roman"/>
                <w:sz w:val="18"/>
              </w:rPr>
              <w:t>398.</w:t>
            </w:r>
          </w:p>
          <w:p>
            <w:pPr>
              <w:pStyle w:val="TableParagraph"/>
              <w:spacing w:line="240" w:lineRule="auto" w:before="105"/>
              <w:ind w:left="199" w:right="0"/>
              <w:jc w:val="center"/>
              <w:rPr>
                <w:rFonts w:ascii="Times New Roman" w:hAnsi="Times New Roman" w:cs="Times New Roman" w:eastAsia="Times New Roman" w:hint="default"/>
                <w:sz w:val="18"/>
                <w:szCs w:val="18"/>
              </w:rPr>
            </w:pPr>
            <w:r>
              <w:rPr>
                <w:rFonts w:ascii="Times New Roman"/>
                <w:sz w:val="18"/>
              </w:rPr>
              <w:t>00</w:t>
            </w: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572"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1,240,</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114,1</w:t>
            </w:r>
          </w:p>
          <w:p>
            <w:pPr>
              <w:pStyle w:val="TableParagraph"/>
              <w:spacing w:line="240" w:lineRule="auto" w:before="105"/>
              <w:ind w:left="168" w:right="0"/>
              <w:jc w:val="left"/>
              <w:rPr>
                <w:rFonts w:ascii="Times New Roman" w:hAnsi="Times New Roman" w:cs="Times New Roman" w:eastAsia="Times New Roman" w:hint="default"/>
                <w:sz w:val="18"/>
                <w:szCs w:val="18"/>
              </w:rPr>
            </w:pPr>
            <w:r>
              <w:rPr>
                <w:rFonts w:ascii="Times New Roman"/>
                <w:sz w:val="18"/>
              </w:rPr>
              <w:t>43.15</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30,48</w:t>
            </w:r>
          </w:p>
          <w:p>
            <w:pPr>
              <w:pStyle w:val="TableParagraph"/>
              <w:spacing w:line="240" w:lineRule="auto" w:before="105"/>
              <w:ind w:left="123" w:right="0"/>
              <w:jc w:val="left"/>
              <w:rPr>
                <w:rFonts w:ascii="Times New Roman" w:hAnsi="Times New Roman" w:cs="Times New Roman" w:eastAsia="Times New Roman" w:hint="default"/>
                <w:sz w:val="18"/>
                <w:szCs w:val="18"/>
              </w:rPr>
            </w:pPr>
            <w:r>
              <w:rPr>
                <w:rFonts w:ascii="Times New Roman"/>
                <w:sz w:val="18"/>
              </w:rPr>
              <w:t>1,062.</w:t>
            </w:r>
          </w:p>
          <w:p>
            <w:pPr>
              <w:pStyle w:val="TableParagraph"/>
              <w:spacing w:line="240" w:lineRule="auto" w:before="105"/>
              <w:ind w:left="392" w:right="0"/>
              <w:jc w:val="left"/>
              <w:rPr>
                <w:rFonts w:ascii="Times New Roman" w:hAnsi="Times New Roman" w:cs="Times New Roman" w:eastAsia="Times New Roman" w:hint="default"/>
                <w:sz w:val="18"/>
                <w:szCs w:val="18"/>
              </w:rPr>
            </w:pPr>
            <w:r>
              <w:rPr>
                <w:rFonts w:ascii="Times New Roman"/>
                <w:sz w:val="18"/>
              </w:rPr>
              <w:t>21</w:t>
            </w:r>
          </w:p>
        </w:tc>
        <w:tc>
          <w:tcPr>
            <w:tcW w:w="685"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65,68</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1,002</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.18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521,87</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4,707.5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2,282,64</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5,188.71</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882"/>
        <w:jc w:val="left"/>
        <w:rPr>
          <w:b w:val="0"/>
          <w:bCs w:val="0"/>
        </w:rPr>
      </w:pPr>
      <w:bookmarkStart w:name="三、公司基本情况" w:id="176"/>
      <w:bookmarkEnd w:id="176"/>
      <w:r>
        <w:rPr>
          <w:b w:val="0"/>
          <w:bCs w:val="0"/>
        </w:rPr>
      </w:r>
      <w:r>
        <w:rPr/>
        <w:t>三、公司基本情况</w:t>
      </w:r>
      <w:r>
        <w:rPr>
          <w:b w:val="0"/>
          <w:bCs w:val="0"/>
        </w:rPr>
      </w:r>
    </w:p>
    <w:p>
      <w:pPr>
        <w:spacing w:line="240" w:lineRule="auto" w:before="6"/>
        <w:rPr>
          <w:rFonts w:ascii="宋体" w:hAnsi="宋体" w:cs="宋体" w:eastAsia="宋体" w:hint="default"/>
          <w:b/>
          <w:bCs/>
          <w:sz w:val="26"/>
          <w:szCs w:val="26"/>
        </w:rPr>
      </w:pPr>
    </w:p>
    <w:p>
      <w:pPr>
        <w:pStyle w:val="BodyText"/>
        <w:spacing w:line="304" w:lineRule="auto"/>
        <w:ind w:right="1129" w:firstLine="420"/>
        <w:jc w:val="both"/>
      </w:pPr>
      <w:r>
        <w:rPr/>
        <w:t>创业慧康科技股份有限公司（以下简称公司或本公司，更名自创业软件股份有限公司）系经浙江省人民政府企业上市 </w:t>
      </w:r>
      <w:r>
        <w:rPr>
          <w:spacing w:val="-2"/>
        </w:rPr>
        <w:t>工作领导小组《关于同意变更设立杭州创业软件股份有限公司的批复》（浙上市〔</w:t>
      </w:r>
      <w:r>
        <w:rPr>
          <w:rFonts w:ascii="Times New Roman" w:hAnsi="Times New Roman" w:cs="Times New Roman" w:eastAsia="Times New Roman" w:hint="default"/>
          <w:spacing w:val="-2"/>
        </w:rPr>
        <w:t>2002</w:t>
      </w:r>
      <w:r>
        <w:rPr>
          <w:spacing w:val="-2"/>
        </w:rPr>
        <w:t>〕</w:t>
      </w:r>
      <w:r>
        <w:rPr>
          <w:rFonts w:ascii="Times New Roman" w:hAnsi="Times New Roman" w:cs="Times New Roman" w:eastAsia="Times New Roman" w:hint="default"/>
          <w:spacing w:val="-2"/>
        </w:rPr>
        <w:t>33</w:t>
      </w:r>
      <w:r>
        <w:rPr>
          <w:spacing w:val="-2"/>
        </w:rPr>
        <w:t>号）批准，由杭州创业软件集团</w:t>
      </w:r>
      <w:r>
        <w:rPr>
          <w:spacing w:val="-61"/>
        </w:rPr>
        <w:t> </w:t>
      </w:r>
      <w:r>
        <w:rPr>
          <w:spacing w:val="-61"/>
        </w:rPr>
      </w:r>
      <w:r>
        <w:rPr>
          <w:spacing w:val="-2"/>
        </w:rPr>
        <w:t>有限公司以</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31</w:t>
      </w:r>
      <w:r>
        <w:rPr>
          <w:spacing w:val="-2"/>
        </w:rPr>
        <w:t>日的净资产为基准整体变更设立，于</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27</w:t>
      </w:r>
      <w:r>
        <w:rPr>
          <w:spacing w:val="-2"/>
        </w:rPr>
        <w:t>日在浙江省工商行政管理局登记注册，总部位于浙</w:t>
      </w:r>
      <w:r>
        <w:rPr>
          <w:spacing w:val="-57"/>
        </w:rPr>
        <w:t> </w:t>
      </w:r>
      <w:r>
        <w:rPr>
          <w:spacing w:val="-57"/>
        </w:rPr>
      </w:r>
      <w:r>
        <w:rPr>
          <w:spacing w:val="5"/>
        </w:rPr>
        <w:t>江省杭州市。公司现持有统一社会信用代码为</w:t>
      </w:r>
      <w:r>
        <w:rPr>
          <w:rFonts w:ascii="Times New Roman" w:hAnsi="Times New Roman" w:cs="Times New Roman" w:eastAsia="Times New Roman" w:hint="default"/>
          <w:spacing w:val="5"/>
        </w:rPr>
        <w:t>9133000025393934X6</w:t>
      </w:r>
      <w:r>
        <w:rPr>
          <w:spacing w:val="5"/>
        </w:rPr>
        <w:t>的营业执照，注册资本</w:t>
      </w:r>
      <w:r>
        <w:rPr>
          <w:rFonts w:ascii="Times New Roman" w:hAnsi="Times New Roman" w:cs="Times New Roman" w:eastAsia="Times New Roman" w:hint="default"/>
          <w:spacing w:val="5"/>
        </w:rPr>
        <w:t>739,751,425.00</w:t>
      </w:r>
      <w:r>
        <w:rPr>
          <w:spacing w:val="5"/>
        </w:rPr>
        <w:t>元，股份总数</w:t>
      </w:r>
      <w:r>
        <w:rPr/>
        <w:t> </w:t>
      </w:r>
      <w:r>
        <w:rPr>
          <w:rFonts w:ascii="Times New Roman" w:hAnsi="Times New Roman" w:cs="Times New Roman" w:eastAsia="Times New Roman" w:hint="default"/>
        </w:rPr>
        <w:t>739,751,425</w:t>
      </w:r>
      <w:r>
        <w:rPr/>
        <w:t>股（每股面值</w:t>
      </w:r>
      <w:r>
        <w:rPr>
          <w:rFonts w:ascii="Times New Roman" w:hAnsi="Times New Roman" w:cs="Times New Roman" w:eastAsia="Times New Roman" w:hint="default"/>
        </w:rPr>
        <w:t>1</w:t>
      </w:r>
      <w:r>
        <w:rPr/>
        <w:t>元）。其中，有限售条件的流通股份</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193,718,447</w:t>
      </w:r>
      <w:r>
        <w:rPr/>
        <w:t>股；无限售条件的流通股份</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546,032,978</w:t>
      </w:r>
      <w:r>
        <w:rPr>
          <w:rFonts w:ascii="Times New Roman" w:hAnsi="Times New Roman" w:cs="Times New Roman" w:eastAsia="Times New Roman" w:hint="default"/>
          <w:spacing w:val="34"/>
        </w:rPr>
        <w:t> </w:t>
      </w:r>
      <w:r>
        <w:rPr>
          <w:rFonts w:ascii="Times New Roman" w:hAnsi="Times New Roman" w:cs="Times New Roman" w:eastAsia="Times New Roman" w:hint="default"/>
          <w:spacing w:val="34"/>
        </w:rPr>
      </w:r>
      <w:r>
        <w:rPr/>
        <w:t>股。公司股票已于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14</w:t>
      </w:r>
      <w:r>
        <w:rPr/>
        <w:t>日在深圳证券交易所挂牌交易。</w:t>
      </w:r>
    </w:p>
    <w:p>
      <w:pPr>
        <w:pStyle w:val="BodyText"/>
        <w:spacing w:line="309" w:lineRule="auto" w:before="9"/>
        <w:ind w:left="472" w:right="1034" w:firstLine="60"/>
        <w:jc w:val="left"/>
      </w:pPr>
      <w:r>
        <w:rPr/>
        <w:t>本公司属软件行业。公司主要业务包括软件销售、系统集成和技术服务等。 本财务报表业经公司</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25</w:t>
      </w:r>
      <w:r>
        <w:rPr/>
        <w:t>日第六届董事会三十一次会议批准对外报出。 本公司将杭州联旗科技有限公司、苏州创业亿康信息科技有限公司、上海创航软件有限公司、创业软件南京有限公司、</w:t>
      </w:r>
    </w:p>
    <w:p>
      <w:pPr>
        <w:pStyle w:val="BodyText"/>
        <w:spacing w:line="316" w:lineRule="auto" w:before="24"/>
        <w:ind w:right="882"/>
        <w:jc w:val="left"/>
      </w:pPr>
      <w:r>
        <w:rPr>
          <w:spacing w:val="-2"/>
        </w:rPr>
        <w:t>新疆创什信息科技有限公司、重庆创易康软件有限公司、天津创津科技有限公司、杭州惟勤科技有限公司、广东中拓信息技</w:t>
      </w:r>
      <w:r>
        <w:rPr>
          <w:spacing w:val="-66"/>
        </w:rPr>
        <w:t> </w:t>
      </w:r>
      <w:r>
        <w:rPr>
          <w:spacing w:val="-66"/>
        </w:rPr>
      </w:r>
      <w:r>
        <w:rPr>
          <w:spacing w:val="-2"/>
        </w:rPr>
        <w:t>术有限公司、中山市蓝天电脑有限公司、中山市杭创科技有限公司、宁海杭创网络科技有限公司、杭州慧康物联网科技有限</w:t>
      </w:r>
      <w:r>
        <w:rPr>
          <w:spacing w:val="-66"/>
        </w:rPr>
        <w:t> </w:t>
      </w:r>
      <w:r>
        <w:rPr>
          <w:spacing w:val="-66"/>
        </w:rPr>
      </w:r>
      <w:r>
        <w:rPr>
          <w:spacing w:val="-4"/>
        </w:rPr>
        <w:t>公司、杭州卓腾信息技术有限公司、杭州合美物业管理有限公司、杭州梅清数码科技有限公司、杭州美诺泰科科技有限公司、</w:t>
      </w:r>
      <w:r>
        <w:rPr>
          <w:spacing w:val="-43"/>
        </w:rPr>
        <w:t> </w:t>
      </w:r>
      <w:r>
        <w:rPr>
          <w:spacing w:val="-43"/>
        </w:rPr>
      </w:r>
      <w:r>
        <w:rPr>
          <w:spacing w:val="-2"/>
        </w:rPr>
        <w:t>浙江医康数据科技研究院有限公司、广州粤湾慧康科技有限公司、浙江百利医药有限公司、自贡市杭创科技有限公司、杭州</w:t>
      </w:r>
      <w:r>
        <w:rPr>
          <w:spacing w:val="-66"/>
        </w:rPr>
        <w:t> </w:t>
      </w:r>
      <w:r>
        <w:rPr>
          <w:spacing w:val="-66"/>
        </w:rPr>
      </w:r>
      <w:r>
        <w:rPr/>
        <w:t>慧心健康科技有限公司等</w:t>
      </w:r>
      <w:r>
        <w:rPr>
          <w:rFonts w:ascii="Times New Roman" w:hAnsi="Times New Roman" w:cs="Times New Roman" w:eastAsia="Times New Roman" w:hint="default"/>
        </w:rPr>
        <w:t>22</w:t>
      </w:r>
      <w:r>
        <w:rPr/>
        <w:t>家子公司纳入本期合并财务报表范围，情况详见本财务报表附注八和九之说明。</w:t>
      </w:r>
    </w:p>
    <w:p>
      <w:pPr>
        <w:spacing w:after="0" w:line="316" w:lineRule="auto"/>
        <w:jc w:val="left"/>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spacing w:line="506" w:lineRule="auto" w:before="26"/>
        <w:ind w:left="112" w:right="7514" w:firstLine="0"/>
        <w:jc w:val="left"/>
        <w:rPr>
          <w:rFonts w:ascii="宋体" w:hAnsi="宋体" w:cs="宋体" w:eastAsia="宋体" w:hint="default"/>
          <w:sz w:val="18"/>
          <w:szCs w:val="18"/>
        </w:rPr>
      </w:pPr>
      <w:bookmarkStart w:name="四、财务报表的编制基础" w:id="177"/>
      <w:bookmarkEnd w:id="177"/>
      <w:r>
        <w:rPr/>
      </w:r>
      <w:r>
        <w:rPr>
          <w:rFonts w:ascii="宋体" w:hAnsi="宋体" w:cs="宋体" w:eastAsia="宋体" w:hint="default"/>
          <w:b/>
          <w:bCs/>
          <w:sz w:val="24"/>
          <w:szCs w:val="24"/>
        </w:rPr>
        <w:t>四、财务报表的编制基础</w:t>
      </w:r>
      <w:r>
        <w:rPr>
          <w:rFonts w:ascii="宋体" w:hAnsi="宋体" w:cs="宋体" w:eastAsia="宋体" w:hint="default"/>
          <w:b/>
          <w:bCs/>
          <w:w w:val="99"/>
          <w:sz w:val="24"/>
          <w:szCs w:val="24"/>
        </w:rPr>
        <w:t> </w:t>
      </w:r>
      <w:bookmarkStart w:name="1、编制基础" w:id="178"/>
      <w:bookmarkEnd w:id="178"/>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、编制基础</w:t>
      </w:r>
      <w:r>
        <w:rPr>
          <w:rFonts w:ascii="宋体" w:hAnsi="宋体" w:cs="宋体" w:eastAsia="宋体" w:hint="default"/>
          <w:b/>
          <w:bCs/>
          <w:w w:val="99"/>
          <w:sz w:val="21"/>
          <w:szCs w:val="21"/>
        </w:rPr>
        <w:t> </w:t>
      </w:r>
      <w:r>
        <w:rPr>
          <w:rFonts w:ascii="宋体" w:hAnsi="宋体" w:cs="宋体" w:eastAsia="宋体" w:hint="default"/>
          <w:sz w:val="18"/>
          <w:szCs w:val="18"/>
        </w:rPr>
        <w:t>本公司财务报表以持续经营为编制基础。</w:t>
      </w:r>
    </w:p>
    <w:p>
      <w:pPr>
        <w:pStyle w:val="Heading3"/>
        <w:spacing w:line="240" w:lineRule="auto" w:before="153"/>
        <w:ind w:right="882"/>
        <w:jc w:val="left"/>
        <w:rPr>
          <w:b w:val="0"/>
          <w:bCs w:val="0"/>
        </w:rPr>
      </w:pPr>
      <w:bookmarkStart w:name="2、持续经营" w:id="179"/>
      <w:bookmarkEnd w:id="179"/>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本公司不存在导致对报告期末起12个月内的持续经营能力产生重大疑虑的事项或情况。</w:t>
      </w:r>
    </w:p>
    <w:p>
      <w:pPr>
        <w:spacing w:line="240" w:lineRule="auto" w:before="1"/>
        <w:rPr>
          <w:rFonts w:ascii="宋体" w:hAnsi="宋体" w:cs="宋体" w:eastAsia="宋体" w:hint="default"/>
          <w:sz w:val="25"/>
          <w:szCs w:val="25"/>
        </w:rPr>
      </w:pPr>
    </w:p>
    <w:p>
      <w:pPr>
        <w:pStyle w:val="Heading2"/>
        <w:spacing w:line="240" w:lineRule="auto"/>
        <w:ind w:right="882"/>
        <w:jc w:val="left"/>
        <w:rPr>
          <w:b w:val="0"/>
          <w:bCs w:val="0"/>
        </w:rPr>
      </w:pPr>
      <w:bookmarkStart w:name="五、重要会计政策及会计估计" w:id="180"/>
      <w:bookmarkEnd w:id="180"/>
      <w:r>
        <w:rPr>
          <w:b w:val="0"/>
          <w:bCs w:val="0"/>
        </w:rPr>
      </w:r>
      <w:r>
        <w:rPr/>
        <w:t>五、重要会计政策及会计估计</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882"/>
        <w:jc w:val="left"/>
      </w:pPr>
      <w:r>
        <w:rPr/>
        <w:t>具体会计政策和会计估计提示： </w:t>
      </w:r>
      <w:r>
        <w:rPr>
          <w:spacing w:val="-2"/>
        </w:rPr>
        <w:t>本公司根据实际生产经营特点针对金融工具减值、固定资产折旧、无形资产摊销、收入确认等交易或事项制定了具体会计政</w:t>
      </w:r>
      <w:r>
        <w:rPr>
          <w:spacing w:val="-65"/>
        </w:rPr>
        <w:t> </w:t>
      </w:r>
      <w:r>
        <w:rPr>
          <w:spacing w:val="-65"/>
        </w:rPr>
      </w:r>
      <w:r>
        <w:rPr/>
        <w:t>策和会计估计。</w:t>
      </w:r>
    </w:p>
    <w:p>
      <w:pPr>
        <w:spacing w:line="240" w:lineRule="auto" w:before="5"/>
        <w:rPr>
          <w:rFonts w:ascii="宋体" w:hAnsi="宋体" w:cs="宋体" w:eastAsia="宋体" w:hint="default"/>
          <w:sz w:val="21"/>
          <w:szCs w:val="21"/>
        </w:rPr>
      </w:pPr>
    </w:p>
    <w:p>
      <w:pPr>
        <w:pStyle w:val="Heading3"/>
        <w:spacing w:line="240" w:lineRule="auto"/>
        <w:ind w:right="882"/>
        <w:jc w:val="left"/>
        <w:rPr>
          <w:b w:val="0"/>
          <w:bCs w:val="0"/>
        </w:rPr>
      </w:pPr>
      <w:bookmarkStart w:name="1、遵循企业会计准则的声明" w:id="181"/>
      <w:bookmarkEnd w:id="181"/>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spacing w:val="-4"/>
        </w:rPr>
        <w:t>本公司所编制的财务报表符合企业会计准则的要求，真实、完整地反映了公司的财务状况、经营成果和现金流量等有关信息。</w:t>
      </w:r>
    </w:p>
    <w:p>
      <w:pPr>
        <w:spacing w:line="240" w:lineRule="auto" w:before="11"/>
        <w:rPr>
          <w:rFonts w:ascii="宋体" w:hAnsi="宋体" w:cs="宋体" w:eastAsia="宋体" w:hint="default"/>
          <w:sz w:val="26"/>
          <w:szCs w:val="26"/>
        </w:rPr>
      </w:pPr>
    </w:p>
    <w:p>
      <w:pPr>
        <w:spacing w:line="547" w:lineRule="auto" w:before="0"/>
        <w:ind w:left="112" w:right="7514" w:firstLine="0"/>
        <w:jc w:val="left"/>
        <w:rPr>
          <w:rFonts w:ascii="宋体" w:hAnsi="宋体" w:cs="宋体" w:eastAsia="宋体" w:hint="default"/>
          <w:sz w:val="21"/>
          <w:szCs w:val="21"/>
        </w:rPr>
      </w:pPr>
      <w:bookmarkStart w:name="2、会计期间" w:id="182"/>
      <w:bookmarkEnd w:id="182"/>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、会计期间</w:t>
      </w:r>
      <w:r>
        <w:rPr>
          <w:rFonts w:ascii="宋体" w:hAnsi="宋体" w:cs="宋体" w:eastAsia="宋体" w:hint="default"/>
          <w:b/>
          <w:bCs/>
          <w:w w:val="99"/>
          <w:sz w:val="21"/>
          <w:szCs w:val="21"/>
        </w:rPr>
        <w:t> </w:t>
      </w:r>
      <w:r>
        <w:rPr>
          <w:rFonts w:ascii="宋体" w:hAnsi="宋体" w:cs="宋体" w:eastAsia="宋体" w:hint="default"/>
          <w:sz w:val="18"/>
          <w:szCs w:val="18"/>
        </w:rPr>
        <w:t>会计年度自公历</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日起至</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日止。 </w:t>
      </w:r>
      <w:bookmarkStart w:name="3、营业周期" w:id="183"/>
      <w:bookmarkEnd w:id="183"/>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sz w:val="21"/>
          <w:szCs w:val="21"/>
        </w:rPr>
      </w:r>
    </w:p>
    <w:p>
      <w:pPr>
        <w:pStyle w:val="BodyText"/>
        <w:spacing w:line="240" w:lineRule="auto" w:before="49"/>
        <w:ind w:right="882"/>
        <w:jc w:val="left"/>
      </w:pPr>
      <w:r>
        <w:rPr/>
        <w:t>公司经营业务的营业周期较短，以</w:t>
      </w:r>
      <w:r>
        <w:rPr>
          <w:rFonts w:ascii="Times New Roman" w:hAnsi="Times New Roman" w:cs="Times New Roman" w:eastAsia="Times New Roman" w:hint="default"/>
        </w:rPr>
        <w:t>12</w:t>
      </w:r>
      <w:r>
        <w:rPr/>
        <w:t>个月作为资产和负债的流动性划分标准。</w:t>
      </w:r>
    </w:p>
    <w:p>
      <w:pPr>
        <w:spacing w:line="240" w:lineRule="auto" w:before="13"/>
        <w:rPr>
          <w:rFonts w:ascii="宋体" w:hAnsi="宋体" w:cs="宋体" w:eastAsia="宋体" w:hint="default"/>
          <w:sz w:val="25"/>
          <w:szCs w:val="25"/>
        </w:rPr>
      </w:pPr>
    </w:p>
    <w:p>
      <w:pPr>
        <w:pStyle w:val="Heading3"/>
        <w:spacing w:line="240" w:lineRule="auto"/>
        <w:ind w:right="882"/>
        <w:jc w:val="left"/>
        <w:rPr>
          <w:b w:val="0"/>
          <w:bCs w:val="0"/>
        </w:rPr>
      </w:pPr>
      <w:bookmarkStart w:name="4、记账本位币" w:id="184"/>
      <w:bookmarkEnd w:id="184"/>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882"/>
        <w:jc w:val="left"/>
      </w:pPr>
      <w:r>
        <w:rPr/>
        <w:t>采用人民币为记账本位币。</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5、同一控制下和非同一控制下企业合并的会计处理方法" w:id="185"/>
      <w:bookmarkEnd w:id="185"/>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left="532" w:right="882"/>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4"/>
        </w:rPr>
        <w:t> </w:t>
      </w:r>
      <w:r>
        <w:rPr/>
        <w:t>同一控制下企业合并的会计处理方法 公司在企业合并中取得的资产和负债，按照合并日被合并方在最终控制方合并财务报表中的账面价值计量。公司按照</w:t>
      </w:r>
    </w:p>
    <w:p>
      <w:pPr>
        <w:pStyle w:val="BodyText"/>
        <w:spacing w:line="316" w:lineRule="auto" w:before="31"/>
        <w:ind w:right="1034"/>
        <w:jc w:val="left"/>
      </w:pPr>
      <w:r>
        <w:rPr/>
        <w:t>被合并方所有者权益在最终控制方合并财务报表中的账面价值份额与支付的合并对价账面价值或发行股份面值总额的差额， 调整资本公积；资本公积不足冲减的，调整留存收益。</w:t>
      </w:r>
    </w:p>
    <w:p>
      <w:pPr>
        <w:pStyle w:val="BodyText"/>
        <w:spacing w:line="300" w:lineRule="auto" w:before="19"/>
        <w:ind w:left="532" w:right="882"/>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44"/>
        </w:rPr>
        <w:t> </w:t>
      </w:r>
      <w:r>
        <w:rPr/>
        <w:t>非同一控制下企业合并的会计处理方法 公司在购买日对合并成本大于合并中取得的被购买方可辨认净资产公允价值份额的差额，确认为商誉；如果合并成本</w:t>
      </w:r>
    </w:p>
    <w:p>
      <w:pPr>
        <w:pStyle w:val="BodyText"/>
        <w:spacing w:line="316" w:lineRule="auto" w:before="31"/>
        <w:ind w:right="1132"/>
        <w:jc w:val="both"/>
      </w:pPr>
      <w:r>
        <w:rPr>
          <w:spacing w:val="-2"/>
        </w:rPr>
        <w:t>小于合并中取得的被购买方可辨认净资产公允价值份额，首先对取得的被购买方各项可辨认资产、负债及或有负债的公允价</w:t>
      </w:r>
      <w:r>
        <w:rPr>
          <w:spacing w:val="-64"/>
        </w:rPr>
        <w:t> </w:t>
      </w:r>
      <w:r>
        <w:rPr>
          <w:spacing w:val="-64"/>
        </w:rPr>
      </w:r>
      <w:r>
        <w:rPr>
          <w:spacing w:val="-2"/>
        </w:rPr>
        <w:t>值以及合并成本的计量进行复核，经复核后合并成本仍小于合并中取得的被购买方可辨认净资产公允价值份额的，其差额计</w:t>
      </w:r>
      <w:r>
        <w:rPr>
          <w:spacing w:val="-64"/>
        </w:rPr>
        <w:t> </w:t>
      </w:r>
      <w:r>
        <w:rPr>
          <w:spacing w:val="-64"/>
        </w:rPr>
      </w:r>
      <w:r>
        <w:rPr/>
        <w:t>入当期损益。</w:t>
      </w:r>
    </w:p>
    <w:p>
      <w:pPr>
        <w:spacing w:after="0" w:line="316" w:lineRule="auto"/>
        <w:jc w:val="both"/>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both"/>
        <w:rPr>
          <w:b w:val="0"/>
          <w:bCs w:val="0"/>
        </w:rPr>
      </w:pPr>
      <w:bookmarkStart w:name="6、合并财务报表的编制方法" w:id="186"/>
      <w:bookmarkEnd w:id="186"/>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2" w:firstLine="360"/>
        <w:jc w:val="both"/>
      </w:pPr>
      <w:r>
        <w:rPr>
          <w:spacing w:val="-2"/>
        </w:rPr>
        <w:t>母公司将其控制的所有子公司纳入合并财务报表的合并范围。合并财务报表以母公司及其子公司的财务报表为基础，根</w:t>
      </w:r>
      <w:r>
        <w:rPr/>
        <w:t> 据其他有关资料，由母公司按照《企业会计准则第</w:t>
      </w:r>
      <w:r>
        <w:rPr>
          <w:rFonts w:ascii="Times New Roman" w:hAnsi="Times New Roman" w:cs="Times New Roman" w:eastAsia="Times New Roman" w:hint="default"/>
        </w:rPr>
        <w:t>33</w:t>
      </w:r>
      <w:r>
        <w:rPr/>
        <w:t>号——合并财务报表》编制。</w:t>
      </w:r>
    </w:p>
    <w:p>
      <w:pPr>
        <w:spacing w:line="240" w:lineRule="auto" w:before="1"/>
        <w:rPr>
          <w:rFonts w:ascii="宋体" w:hAnsi="宋体" w:cs="宋体" w:eastAsia="宋体" w:hint="default"/>
          <w:sz w:val="21"/>
          <w:szCs w:val="21"/>
        </w:rPr>
      </w:pPr>
    </w:p>
    <w:p>
      <w:pPr>
        <w:pStyle w:val="Heading3"/>
        <w:spacing w:line="240" w:lineRule="auto"/>
        <w:ind w:right="0"/>
        <w:jc w:val="both"/>
        <w:rPr>
          <w:b w:val="0"/>
          <w:bCs w:val="0"/>
        </w:rPr>
      </w:pPr>
      <w:bookmarkStart w:name="7、现金及现金等价物的确定标准" w:id="187"/>
      <w:bookmarkEnd w:id="187"/>
      <w:r>
        <w:rPr>
          <w:b w:val="0"/>
          <w:bCs w:val="0"/>
        </w:rPr>
      </w:r>
      <w:r>
        <w:rPr>
          <w:rFonts w:ascii="Times New Roman" w:hAnsi="Times New Roman" w:cs="Times New Roman" w:eastAsia="Times New Roman" w:hint="default"/>
        </w:rPr>
        <w:t>7</w:t>
      </w:r>
      <w:r>
        <w:rPr/>
        <w:t>、现金及现金等价物的确定标准</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041" w:firstLine="360"/>
        <w:jc w:val="both"/>
      </w:pPr>
      <w:r>
        <w:rPr>
          <w:spacing w:val="-4"/>
        </w:rPr>
        <w:t>列示于现金流量表中的现金是指库存现金以及可以随时用于支付的存款。现金等价物是指企业持有的期限短、流动性强、</w:t>
      </w:r>
      <w:r>
        <w:rPr/>
        <w:t> 易于转换为已知金额现金、价值变动风险很小的投资。</w:t>
      </w:r>
    </w:p>
    <w:p>
      <w:pPr>
        <w:spacing w:line="240" w:lineRule="auto" w:before="8"/>
        <w:rPr>
          <w:rFonts w:ascii="宋体" w:hAnsi="宋体" w:cs="宋体" w:eastAsia="宋体" w:hint="default"/>
          <w:sz w:val="22"/>
          <w:szCs w:val="22"/>
        </w:rPr>
      </w:pPr>
    </w:p>
    <w:p>
      <w:pPr>
        <w:pStyle w:val="Heading3"/>
        <w:spacing w:line="240" w:lineRule="auto"/>
        <w:ind w:right="0"/>
        <w:jc w:val="both"/>
        <w:rPr>
          <w:b w:val="0"/>
          <w:bCs w:val="0"/>
        </w:rPr>
      </w:pPr>
      <w:bookmarkStart w:name="8、外币业务和外币报表折算" w:id="188"/>
      <w:bookmarkEnd w:id="188"/>
      <w:r>
        <w:rPr>
          <w:b w:val="0"/>
          <w:bCs w:val="0"/>
        </w:rPr>
      </w:r>
      <w:r>
        <w:rPr>
          <w:rFonts w:ascii="Times New Roman" w:hAnsi="Times New Roman" w:cs="Times New Roman" w:eastAsia="Times New Roman" w:hint="default"/>
        </w:rPr>
        <w:t>8</w:t>
      </w:r>
      <w:r>
        <w:rPr/>
        <w:t>、外币业务和外币报表折算</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32" w:firstLine="360"/>
        <w:jc w:val="both"/>
      </w:pPr>
      <w:r>
        <w:rPr>
          <w:spacing w:val="-2"/>
        </w:rPr>
        <w:t>外币交易在初始确认时，采用交易发生日即期汇率的近似汇率折算为人民币金额。资产负债表日，外币货币性项目采用</w:t>
      </w:r>
      <w:r>
        <w:rPr/>
        <w:t> </w:t>
      </w:r>
      <w:r>
        <w:rPr>
          <w:spacing w:val="-2"/>
        </w:rPr>
        <w:t>资产负债表日即期汇率折算，因汇率不同而产生的汇兑差额，除与购建符合资本化条件资产有关的外币专门借款本金及利息</w:t>
      </w:r>
      <w:r>
        <w:rPr>
          <w:spacing w:val="-64"/>
        </w:rPr>
        <w:t> </w:t>
      </w:r>
      <w:r>
        <w:rPr>
          <w:spacing w:val="-64"/>
        </w:rPr>
      </w:r>
      <w:r>
        <w:rPr>
          <w:spacing w:val="-2"/>
        </w:rPr>
        <w:t>的汇兑差额外，计入当期损益；以历史成本计量的外币非货币性项目仍采用交易发生日即期汇率的近似汇率折算，不改变其</w:t>
      </w:r>
      <w:r>
        <w:rPr>
          <w:spacing w:val="-65"/>
        </w:rPr>
        <w:t> </w:t>
      </w:r>
      <w:r>
        <w:rPr>
          <w:spacing w:val="-65"/>
        </w:rPr>
      </w:r>
      <w:r>
        <w:rPr>
          <w:spacing w:val="-2"/>
        </w:rPr>
        <w:t>人民币金额；以公允价值计量的外币非货币性项目，采用公允价值确定日的即期汇率折算，差额计入当期损益或其他综合收</w:t>
      </w:r>
      <w:r>
        <w:rPr>
          <w:spacing w:val="-65"/>
        </w:rPr>
        <w:t> </w:t>
      </w:r>
      <w:r>
        <w:rPr>
          <w:spacing w:val="-65"/>
        </w:rPr>
      </w:r>
      <w:r>
        <w:rPr/>
        <w:t>益。</w:t>
      </w:r>
    </w:p>
    <w:p>
      <w:pPr>
        <w:spacing w:line="240" w:lineRule="auto" w:before="6"/>
        <w:rPr>
          <w:rFonts w:ascii="宋体" w:hAnsi="宋体" w:cs="宋体" w:eastAsia="宋体" w:hint="default"/>
          <w:sz w:val="22"/>
          <w:szCs w:val="22"/>
        </w:rPr>
      </w:pPr>
    </w:p>
    <w:p>
      <w:pPr>
        <w:pStyle w:val="Heading3"/>
        <w:spacing w:line="240" w:lineRule="auto"/>
        <w:ind w:right="0"/>
        <w:jc w:val="both"/>
        <w:rPr>
          <w:b w:val="0"/>
          <w:bCs w:val="0"/>
        </w:rPr>
      </w:pPr>
      <w:bookmarkStart w:name="9、金融工具" w:id="189"/>
      <w:bookmarkEnd w:id="189"/>
      <w:r>
        <w:rPr>
          <w:b w:val="0"/>
          <w:bCs w:val="0"/>
        </w:rPr>
      </w:r>
      <w:r>
        <w:rPr>
          <w:rFonts w:ascii="Times New Roman" w:hAnsi="Times New Roman" w:cs="Times New Roman" w:eastAsia="Times New Roman" w:hint="default"/>
        </w:rPr>
        <w:t>9</w:t>
      </w:r>
      <w:r>
        <w:rPr/>
        <w:t>、金融工具</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472" w:right="882"/>
        <w:jc w:val="left"/>
      </w:pPr>
      <w:r>
        <w:rPr>
          <w:rFonts w:ascii="Times New Roman" w:hAnsi="Times New Roman" w:cs="Times New Roman" w:eastAsia="Times New Roman" w:hint="default"/>
        </w:rPr>
        <w:t>1.  </w:t>
      </w:r>
      <w:r>
        <w:rPr/>
        <w:t>金融资产和金融负债的分类</w:t>
      </w:r>
    </w:p>
    <w:p>
      <w:pPr>
        <w:pStyle w:val="BodyText"/>
        <w:spacing w:line="300" w:lineRule="auto" w:before="63"/>
        <w:ind w:right="1132" w:firstLine="360"/>
        <w:jc w:val="both"/>
      </w:pPr>
      <w:r>
        <w:rPr/>
        <w:t>金融资产在初始确认时划分为以下三类：（</w:t>
      </w:r>
      <w:r>
        <w:rPr>
          <w:rFonts w:ascii="Times New Roman" w:hAnsi="Times New Roman" w:cs="Times New Roman" w:eastAsia="Times New Roman" w:hint="default"/>
        </w:rPr>
        <w:t>1</w:t>
      </w:r>
      <w:r>
        <w:rPr/>
        <w:t>）</w:t>
      </w:r>
      <w:r>
        <w:rPr>
          <w:spacing w:val="-41"/>
        </w:rPr>
        <w:t> </w:t>
      </w:r>
      <w:r>
        <w:rPr/>
        <w:t>以摊余成本计量的金融资产；（</w:t>
      </w:r>
      <w:r>
        <w:rPr>
          <w:rFonts w:ascii="Times New Roman" w:hAnsi="Times New Roman" w:cs="Times New Roman" w:eastAsia="Times New Roman" w:hint="default"/>
        </w:rPr>
        <w:t>2</w:t>
      </w:r>
      <w:r>
        <w:rPr/>
        <w:t>）</w:t>
      </w:r>
      <w:r>
        <w:rPr>
          <w:spacing w:val="-41"/>
        </w:rPr>
        <w:t> </w:t>
      </w:r>
      <w:r>
        <w:rPr/>
        <w:t>以公允价值计量且其变动计入其他</w:t>
      </w:r>
      <w:r>
        <w:rPr/>
        <w:t> 综合收益的金融资产；（</w:t>
      </w:r>
      <w:r>
        <w:rPr>
          <w:rFonts w:ascii="Times New Roman" w:hAnsi="Times New Roman" w:cs="Times New Roman" w:eastAsia="Times New Roman" w:hint="default"/>
        </w:rPr>
        <w:t>3</w:t>
      </w:r>
      <w:r>
        <w:rPr/>
        <w:t>）</w:t>
      </w:r>
      <w:r>
        <w:rPr>
          <w:spacing w:val="-1"/>
        </w:rPr>
        <w:t> </w:t>
      </w:r>
      <w:r>
        <w:rPr/>
        <w:t>以公允价值计量且其变动计入当期损益的金融资产。</w:t>
      </w:r>
    </w:p>
    <w:p>
      <w:pPr>
        <w:pStyle w:val="BodyText"/>
        <w:spacing w:line="300" w:lineRule="auto" w:before="13"/>
        <w:ind w:right="1132" w:firstLine="360"/>
        <w:jc w:val="both"/>
      </w:pPr>
      <w:r>
        <w:rPr/>
        <w:t>金融负债在初始确认时划分为以下四类：（</w:t>
      </w:r>
      <w:r>
        <w:rPr>
          <w:rFonts w:ascii="Times New Roman" w:hAnsi="Times New Roman" w:cs="Times New Roman" w:eastAsia="Times New Roman" w:hint="default"/>
        </w:rPr>
        <w:t>1</w:t>
      </w:r>
      <w:r>
        <w:rPr/>
        <w:t>）</w:t>
      </w:r>
      <w:r>
        <w:rPr>
          <w:spacing w:val="-41"/>
        </w:rPr>
        <w:t> </w:t>
      </w:r>
      <w:r>
        <w:rPr/>
        <w:t>以公允价值计量且其变动计入当期损益的金融负债；（</w:t>
      </w:r>
      <w:r>
        <w:rPr>
          <w:rFonts w:ascii="Times New Roman" w:hAnsi="Times New Roman" w:cs="Times New Roman" w:eastAsia="Times New Roman" w:hint="default"/>
        </w:rPr>
        <w:t>2</w:t>
      </w:r>
      <w:r>
        <w:rPr/>
        <w:t>）</w:t>
      </w:r>
      <w:r>
        <w:rPr>
          <w:spacing w:val="-41"/>
        </w:rPr>
        <w:t> </w:t>
      </w:r>
      <w:r>
        <w:rPr/>
        <w:t>金融资产转</w:t>
      </w:r>
      <w:r>
        <w:rPr/>
        <w:t> 移不符合终止确认条件或继续涉入被转移金融资产所形成的金融负债；（</w:t>
      </w:r>
      <w:r>
        <w:rPr>
          <w:rFonts w:ascii="Times New Roman" w:hAnsi="Times New Roman" w:cs="Times New Roman" w:eastAsia="Times New Roman" w:hint="default"/>
        </w:rPr>
        <w:t>3</w:t>
      </w:r>
      <w:r>
        <w:rPr/>
        <w:t>）</w:t>
      </w:r>
      <w:r>
        <w:rPr>
          <w:spacing w:val="-21"/>
        </w:rPr>
        <w:t> </w:t>
      </w:r>
      <w:r>
        <w:rPr>
          <w:spacing w:val="-3"/>
        </w:rPr>
        <w:t>不属于上述（</w:t>
      </w:r>
      <w:r>
        <w:rPr>
          <w:rFonts w:ascii="Times New Roman" w:hAnsi="Times New Roman" w:cs="Times New Roman" w:eastAsia="Times New Roman" w:hint="default"/>
          <w:spacing w:val="-3"/>
        </w:rPr>
        <w:t>1</w:t>
      </w:r>
      <w:r>
        <w:rPr>
          <w:spacing w:val="-3"/>
        </w:rPr>
        <w:t>）或（</w:t>
      </w:r>
      <w:r>
        <w:rPr>
          <w:rFonts w:ascii="Times New Roman" w:hAnsi="Times New Roman" w:cs="Times New Roman" w:eastAsia="Times New Roman" w:hint="default"/>
          <w:spacing w:val="-3"/>
        </w:rPr>
        <w:t>2</w:t>
      </w:r>
      <w:r>
        <w:rPr>
          <w:spacing w:val="-3"/>
        </w:rPr>
        <w:t>）的财务担保合同，以</w:t>
      </w:r>
      <w:r>
        <w:rPr/>
        <w:t> 及不属于上述（</w:t>
      </w:r>
      <w:r>
        <w:rPr>
          <w:rFonts w:ascii="Times New Roman" w:hAnsi="Times New Roman" w:cs="Times New Roman" w:eastAsia="Times New Roman" w:hint="default"/>
        </w:rPr>
        <w:t>1</w:t>
      </w:r>
      <w:r>
        <w:rPr/>
        <w:t>）并以低于市场利率贷款的贷款承诺；（</w:t>
      </w:r>
      <w:r>
        <w:rPr>
          <w:rFonts w:ascii="Times New Roman" w:hAnsi="Times New Roman" w:cs="Times New Roman" w:eastAsia="Times New Roman" w:hint="default"/>
        </w:rPr>
        <w:t>4</w:t>
      </w:r>
      <w:r>
        <w:rPr/>
        <w:t>） 以摊余成本计量的金融负债。</w:t>
      </w:r>
    </w:p>
    <w:p>
      <w:pPr>
        <w:pStyle w:val="BodyText"/>
        <w:spacing w:line="240" w:lineRule="auto" w:before="13"/>
        <w:ind w:left="472" w:right="882"/>
        <w:jc w:val="left"/>
      </w:pPr>
      <w:r>
        <w:rPr>
          <w:rFonts w:ascii="Times New Roman" w:hAnsi="Times New Roman" w:cs="Times New Roman" w:eastAsia="Times New Roman" w:hint="default"/>
        </w:rPr>
        <w:t>2.  </w:t>
      </w:r>
      <w:r>
        <w:rPr/>
        <w:t>金融资产和金融负债的确认依据、计量方法和终止确认条件</w:t>
      </w:r>
    </w:p>
    <w:p>
      <w:pPr>
        <w:pStyle w:val="BodyText"/>
        <w:spacing w:line="300" w:lineRule="auto" w:before="63"/>
        <w:ind w:left="472" w:right="882"/>
        <w:jc w:val="left"/>
      </w:pPr>
      <w:r>
        <w:rPr/>
        <w:t>（</w:t>
      </w:r>
      <w:r>
        <w:rPr>
          <w:rFonts w:ascii="Times New Roman" w:hAnsi="Times New Roman" w:cs="Times New Roman" w:eastAsia="Times New Roman" w:hint="default"/>
        </w:rPr>
        <w:t>1</w:t>
      </w:r>
      <w:r>
        <w:rPr/>
        <w:t>）</w:t>
      </w:r>
      <w:r>
        <w:rPr>
          <w:spacing w:val="-2"/>
        </w:rPr>
        <w:t> </w:t>
      </w:r>
      <w:r>
        <w:rPr/>
        <w:t>金融资产和金融负债的确认依据和初始计量方法</w:t>
      </w:r>
      <w:r>
        <w:rPr/>
        <w:t> </w:t>
      </w:r>
      <w:r>
        <w:rPr>
          <w:spacing w:val="-4"/>
        </w:rPr>
        <w:t>公司成为金融工具合同的一方时，确认一项金融资产或金融负债。初始确认金融资产或金融负债时，按照公允价值计量；</w:t>
      </w:r>
    </w:p>
    <w:p>
      <w:pPr>
        <w:pStyle w:val="BodyText"/>
        <w:spacing w:line="316" w:lineRule="auto" w:before="31"/>
        <w:ind w:right="1132"/>
        <w:jc w:val="both"/>
      </w:pPr>
      <w:r>
        <w:rPr>
          <w:spacing w:val="-2"/>
        </w:rPr>
        <w:t>对于以公允价值计量且其变动计入当期损益的金融资产和金融负债，相关交易费用直接计入当期损益；对于其他类别的金融</w:t>
      </w:r>
      <w:r>
        <w:rPr>
          <w:spacing w:val="-64"/>
        </w:rPr>
        <w:t> </w:t>
      </w:r>
      <w:r>
        <w:rPr>
          <w:spacing w:val="-64"/>
        </w:rPr>
      </w:r>
      <w:r>
        <w:rPr>
          <w:spacing w:val="-2"/>
        </w:rPr>
        <w:t>资产或金融负债，相关交易费用计入初始确认金额。但是，公司初始确认的应收账款未包含重大融资成分或公司不考虑未超</w:t>
      </w:r>
      <w:r>
        <w:rPr>
          <w:spacing w:val="-65"/>
        </w:rPr>
        <w:t> </w:t>
      </w:r>
      <w:r>
        <w:rPr>
          <w:spacing w:val="-65"/>
        </w:rPr>
      </w:r>
      <w:r>
        <w:rPr/>
        <w:t>过一年的合同中的融资成分的，按照交易价格进行初始计量。</w:t>
      </w:r>
    </w:p>
    <w:p>
      <w:pPr>
        <w:pStyle w:val="BodyText"/>
        <w:spacing w:line="240" w:lineRule="auto" w:before="19"/>
        <w:ind w:left="472" w:right="882"/>
        <w:jc w:val="left"/>
      </w:pPr>
      <w:r>
        <w:rPr/>
        <w:t>（</w:t>
      </w:r>
      <w:r>
        <w:rPr>
          <w:rFonts w:ascii="Times New Roman" w:hAnsi="Times New Roman" w:cs="Times New Roman" w:eastAsia="Times New Roman" w:hint="default"/>
        </w:rPr>
        <w:t>2</w:t>
      </w:r>
      <w:r>
        <w:rPr/>
        <w:t>）</w:t>
      </w:r>
      <w:r>
        <w:rPr>
          <w:spacing w:val="-1"/>
        </w:rPr>
        <w:t> </w:t>
      </w:r>
      <w:r>
        <w:rPr/>
        <w:t>金融资产的后续计量方法</w:t>
      </w:r>
    </w:p>
    <w:p>
      <w:pPr>
        <w:pStyle w:val="BodyText"/>
        <w:spacing w:line="300" w:lineRule="auto" w:before="63"/>
        <w:ind w:left="472" w:right="882"/>
        <w:jc w:val="left"/>
      </w:pPr>
      <w:r>
        <w:rPr>
          <w:rFonts w:ascii="Times New Roman" w:hAnsi="Times New Roman" w:cs="Times New Roman" w:eastAsia="Times New Roman" w:hint="default"/>
        </w:rPr>
        <w:t>1</w:t>
      </w:r>
      <w:r>
        <w:rPr/>
        <w:t>）</w:t>
      </w:r>
      <w:r>
        <w:rPr>
          <w:spacing w:val="-2"/>
        </w:rPr>
        <w:t> </w:t>
      </w:r>
      <w:r>
        <w:rPr/>
        <w:t>以摊余成本计量的金融资产</w:t>
      </w:r>
      <w:r>
        <w:rPr/>
        <w:t> </w:t>
      </w:r>
      <w:r>
        <w:rPr>
          <w:spacing w:val="-2"/>
        </w:rPr>
        <w:t>采用实际利率法，按照摊余成本进行后续计量。以摊余成本计量且不属于任何套期关系的一部分的金融资产所产生的利</w:t>
      </w:r>
    </w:p>
    <w:p>
      <w:pPr>
        <w:pStyle w:val="BodyText"/>
        <w:spacing w:line="240" w:lineRule="auto" w:before="31"/>
        <w:ind w:right="0"/>
        <w:jc w:val="both"/>
      </w:pPr>
      <w:r>
        <w:rPr/>
        <w:t>得或损失，在终止确认、重分类、按照实际利率法摊销或确认减值时，计入当期损益。</w:t>
      </w:r>
    </w:p>
    <w:p>
      <w:pPr>
        <w:pStyle w:val="BodyText"/>
        <w:spacing w:line="300" w:lineRule="auto" w:before="76"/>
        <w:ind w:left="472" w:right="882"/>
        <w:jc w:val="left"/>
      </w:pPr>
      <w:r>
        <w:rPr>
          <w:rFonts w:ascii="Times New Roman" w:hAnsi="Times New Roman" w:cs="Times New Roman" w:eastAsia="Times New Roman" w:hint="default"/>
        </w:rPr>
        <w:t>2</w:t>
      </w:r>
      <w:r>
        <w:rPr/>
        <w:t>）</w:t>
      </w:r>
      <w:r>
        <w:rPr>
          <w:spacing w:val="-2"/>
        </w:rPr>
        <w:t> </w:t>
      </w:r>
      <w:r>
        <w:rPr/>
        <w:t>以公允价值计量且其变动计入其他综合收益的债务工具投资</w:t>
      </w:r>
      <w:r>
        <w:rPr/>
        <w:t> </w:t>
      </w:r>
      <w:r>
        <w:rPr>
          <w:spacing w:val="-2"/>
        </w:rPr>
        <w:t>采用公允价值进行后续计量。采用实际利率法计算的利息、减值损失或利得及汇兑损益计入当期损益，其他利得或损失</w:t>
      </w:r>
    </w:p>
    <w:p>
      <w:pPr>
        <w:pStyle w:val="BodyText"/>
        <w:spacing w:line="240" w:lineRule="auto" w:before="31"/>
        <w:ind w:right="0"/>
        <w:jc w:val="both"/>
      </w:pPr>
      <w:r>
        <w:rPr/>
        <w:t>计入其他综合收益。终止确认时，将之前计入其他综合收益的累计利得或损失从其他综合收益中转出，计入当期损益。</w:t>
      </w:r>
    </w:p>
    <w:p>
      <w:pPr>
        <w:pStyle w:val="BodyText"/>
        <w:spacing w:line="300" w:lineRule="auto" w:before="76"/>
        <w:ind w:left="472" w:right="882"/>
        <w:jc w:val="left"/>
      </w:pPr>
      <w:r>
        <w:rPr>
          <w:rFonts w:ascii="Times New Roman" w:hAnsi="Times New Roman" w:cs="Times New Roman" w:eastAsia="Times New Roman" w:hint="default"/>
        </w:rPr>
        <w:t>3</w:t>
      </w:r>
      <w:r>
        <w:rPr/>
        <w:t>）</w:t>
      </w:r>
      <w:r>
        <w:rPr>
          <w:spacing w:val="-2"/>
        </w:rPr>
        <w:t> </w:t>
      </w:r>
      <w:r>
        <w:rPr/>
        <w:t>以公允价值计量且其变动计入其他综合收益的权益工具投资</w:t>
      </w:r>
      <w:r>
        <w:rPr/>
        <w:t> </w:t>
      </w:r>
      <w:r>
        <w:rPr>
          <w:spacing w:val="-2"/>
        </w:rPr>
        <w:t>采用公允价值进行后续计量。获得的股利（属于投资成本收回部分的除外）计入当期损益，其他利得或损失计入其他综</w:t>
      </w:r>
    </w:p>
    <w:p>
      <w:pPr>
        <w:pStyle w:val="BodyText"/>
        <w:spacing w:line="240" w:lineRule="auto" w:before="31"/>
        <w:ind w:right="0"/>
        <w:jc w:val="both"/>
      </w:pPr>
      <w:r>
        <w:rPr/>
        <w:t>合收益。终止确认时，将之前计入其他综合收益的累计利得或损失从其他综合收益中转出，计入留存收益。</w:t>
      </w:r>
    </w:p>
    <w:p>
      <w:pPr>
        <w:pStyle w:val="BodyText"/>
        <w:spacing w:line="300" w:lineRule="auto" w:before="76"/>
        <w:ind w:left="472" w:right="882"/>
        <w:jc w:val="left"/>
      </w:pPr>
      <w:r>
        <w:rPr>
          <w:rFonts w:ascii="Times New Roman" w:hAnsi="Times New Roman" w:cs="Times New Roman" w:eastAsia="Times New Roman" w:hint="default"/>
        </w:rPr>
        <w:t>4</w:t>
      </w:r>
      <w:r>
        <w:rPr/>
        <w:t>）</w:t>
      </w:r>
      <w:r>
        <w:rPr>
          <w:spacing w:val="-2"/>
        </w:rPr>
        <w:t> </w:t>
      </w:r>
      <w:r>
        <w:rPr/>
        <w:t>以公允价值计量且其变动计入当期损益的金融资产</w:t>
      </w:r>
      <w:r>
        <w:rPr/>
        <w:t> </w:t>
      </w:r>
      <w:r>
        <w:rPr>
          <w:spacing w:val="-2"/>
        </w:rPr>
        <w:t>采用公允价值进行后续计量，产生的利得或损失（包括利息和股利收入）计入当期损益，除非该金融资产属于套期关系</w:t>
      </w:r>
    </w:p>
    <w:p>
      <w:pPr>
        <w:pStyle w:val="BodyText"/>
        <w:spacing w:line="240" w:lineRule="auto" w:before="31"/>
        <w:ind w:right="0"/>
        <w:jc w:val="both"/>
      </w:pPr>
      <w:r>
        <w:rPr/>
        <w:t>的一部分。</w:t>
      </w:r>
    </w:p>
    <w:p>
      <w:pPr>
        <w:spacing w:after="0" w:line="240" w:lineRule="auto"/>
        <w:jc w:val="both"/>
        <w:sectPr>
          <w:headerReference w:type="default" r:id="rId42"/>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472" w:right="882"/>
        <w:jc w:val="left"/>
      </w:pPr>
      <w:r>
        <w:rPr/>
        <w:t>（</w:t>
      </w:r>
      <w:r>
        <w:rPr>
          <w:rFonts w:ascii="Times New Roman" w:hAnsi="Times New Roman" w:cs="Times New Roman" w:eastAsia="Times New Roman" w:hint="default"/>
        </w:rPr>
        <w:t>3</w:t>
      </w:r>
      <w:r>
        <w:rPr/>
        <w:t>）</w:t>
      </w:r>
      <w:r>
        <w:rPr>
          <w:spacing w:val="-1"/>
        </w:rPr>
        <w:t> </w:t>
      </w:r>
      <w:r>
        <w:rPr/>
        <w:t>金融负债的后续计量方法</w:t>
      </w:r>
    </w:p>
    <w:p>
      <w:pPr>
        <w:pStyle w:val="BodyText"/>
        <w:spacing w:line="300" w:lineRule="auto" w:before="63"/>
        <w:ind w:left="472" w:right="882"/>
        <w:jc w:val="left"/>
      </w:pPr>
      <w:r>
        <w:rPr>
          <w:rFonts w:ascii="Times New Roman" w:hAnsi="Times New Roman" w:cs="Times New Roman" w:eastAsia="Times New Roman" w:hint="default"/>
        </w:rPr>
        <w:t>1</w:t>
      </w:r>
      <w:r>
        <w:rPr/>
        <w:t>）</w:t>
      </w:r>
      <w:r>
        <w:rPr>
          <w:spacing w:val="-2"/>
        </w:rPr>
        <w:t> </w:t>
      </w:r>
      <w:r>
        <w:rPr/>
        <w:t>以公允价值计量且其变动计入当期损益的金融负债</w:t>
      </w:r>
      <w:r>
        <w:rPr/>
        <w:t> </w:t>
      </w:r>
      <w:r>
        <w:rPr>
          <w:spacing w:val="-2"/>
        </w:rPr>
        <w:t>此类金融负债包括交易性金融负债（含属于金融负债的衍生工具）和指定为以公允价值计量且其变动计入当期损益的金</w:t>
      </w:r>
    </w:p>
    <w:p>
      <w:pPr>
        <w:pStyle w:val="BodyText"/>
        <w:spacing w:line="316" w:lineRule="auto" w:before="31"/>
        <w:ind w:right="1132"/>
        <w:jc w:val="both"/>
      </w:pPr>
      <w:r>
        <w:rPr>
          <w:spacing w:val="-2"/>
        </w:rPr>
        <w:t>融负债。对于此类金融负债以公允价值进行后续计量。因公司自身信用风险变动引起的指定为以公允价值计量且其变动计入</w:t>
      </w:r>
      <w:r>
        <w:rPr>
          <w:spacing w:val="-64"/>
        </w:rPr>
        <w:t> </w:t>
      </w:r>
      <w:r>
        <w:rPr>
          <w:spacing w:val="-64"/>
        </w:rPr>
      </w:r>
      <w:r>
        <w:rPr>
          <w:spacing w:val="-2"/>
        </w:rPr>
        <w:t>当期损益的金融负债的公允价值变动金额计入其他综合收益，除非该处理会造成或扩大损益中的会计错配。此类金融负债产</w:t>
      </w:r>
      <w:r>
        <w:rPr>
          <w:spacing w:val="-64"/>
        </w:rPr>
        <w:t> </w:t>
      </w:r>
      <w:r>
        <w:rPr>
          <w:spacing w:val="-64"/>
        </w:rPr>
      </w:r>
      <w:r>
        <w:rPr>
          <w:spacing w:val="-2"/>
        </w:rPr>
        <w:t>生的其他利得或损失（包括利息费用、除因公司自身信用风险变动引起的公允价值变动）计入当期损益，除非该金融负债属</w:t>
      </w:r>
      <w:r>
        <w:rPr>
          <w:spacing w:val="-66"/>
        </w:rPr>
        <w:t> </w:t>
      </w:r>
      <w:r>
        <w:rPr>
          <w:spacing w:val="-66"/>
        </w:rPr>
      </w:r>
      <w:r>
        <w:rPr/>
        <w:t>于套期关系的一部分。终止确认时，将之前计入其他综合收益的累计利得或损失从其他综合收益中转出，计入留存收益。</w:t>
      </w:r>
    </w:p>
    <w:p>
      <w:pPr>
        <w:pStyle w:val="BodyText"/>
        <w:spacing w:line="300" w:lineRule="auto" w:before="19"/>
        <w:ind w:left="472" w:right="3736"/>
        <w:jc w:val="left"/>
      </w:pPr>
      <w:r>
        <w:rPr>
          <w:rFonts w:ascii="Times New Roman" w:hAnsi="Times New Roman" w:cs="Times New Roman" w:eastAsia="Times New Roman" w:hint="default"/>
        </w:rPr>
        <w:t>2</w:t>
      </w:r>
      <w:r>
        <w:rPr/>
        <w:t>）</w:t>
      </w:r>
      <w:r>
        <w:rPr>
          <w:spacing w:val="-2"/>
        </w:rPr>
        <w:t> </w:t>
      </w:r>
      <w:r>
        <w:rPr/>
        <w:t>金融资产转移不符合终止确认条件或继续涉入被转移金融资产所形成的金融负债</w:t>
      </w:r>
      <w:r>
        <w:rPr/>
        <w:t> 按照《企业会计准则第</w:t>
      </w:r>
      <w:r>
        <w:rPr>
          <w:rFonts w:ascii="Times New Roman" w:hAnsi="Times New Roman" w:cs="Times New Roman" w:eastAsia="Times New Roman" w:hint="default"/>
        </w:rPr>
        <w:t>23</w:t>
      </w:r>
      <w:r>
        <w:rPr/>
        <w:t>号——金融资产转移》相关规定进行计量。</w:t>
      </w:r>
    </w:p>
    <w:p>
      <w:pPr>
        <w:pStyle w:val="BodyText"/>
        <w:spacing w:line="300" w:lineRule="auto" w:before="13"/>
        <w:ind w:left="472" w:right="1118"/>
        <w:jc w:val="left"/>
      </w:pPr>
      <w:r>
        <w:rPr>
          <w:rFonts w:ascii="Times New Roman" w:hAnsi="Times New Roman" w:cs="Times New Roman" w:eastAsia="Times New Roman" w:hint="default"/>
        </w:rPr>
        <w:t>3</w:t>
      </w:r>
      <w:r>
        <w:rPr/>
        <w:t>）</w:t>
      </w:r>
      <w:r>
        <w:rPr>
          <w:spacing w:val="-2"/>
        </w:rPr>
        <w:t> </w:t>
      </w:r>
      <w:r>
        <w:rPr/>
        <w:t>不属于上述</w:t>
      </w:r>
      <w:r>
        <w:rPr>
          <w:rFonts w:ascii="Times New Roman" w:hAnsi="Times New Roman" w:cs="Times New Roman" w:eastAsia="Times New Roman" w:hint="default"/>
        </w:rPr>
        <w:t>1</w:t>
      </w:r>
      <w:r>
        <w:rPr/>
        <w:t>）或</w:t>
      </w:r>
      <w:r>
        <w:rPr>
          <w:rFonts w:ascii="Times New Roman" w:hAnsi="Times New Roman" w:cs="Times New Roman" w:eastAsia="Times New Roman" w:hint="default"/>
        </w:rPr>
        <w:t>2</w:t>
      </w:r>
      <w:r>
        <w:rPr/>
        <w:t>）的财务担保合同，以及不属于上述</w:t>
      </w:r>
      <w:r>
        <w:rPr>
          <w:rFonts w:ascii="Times New Roman" w:hAnsi="Times New Roman" w:cs="Times New Roman" w:eastAsia="Times New Roman" w:hint="default"/>
        </w:rPr>
        <w:t>1</w:t>
      </w:r>
      <w:r>
        <w:rPr/>
        <w:t>）并以低于市场利率贷款的贷款承诺 在初始确认后按照下列两项金额之中的较高者进行后续计量：①</w:t>
      </w:r>
      <w:r>
        <w:rPr>
          <w:spacing w:val="-41"/>
        </w:rPr>
        <w:t> </w:t>
      </w:r>
      <w:r>
        <w:rPr/>
        <w:t>按照金融工具的减值规定确定的损失准备金额；②</w:t>
      </w:r>
      <w:r>
        <w:rPr>
          <w:spacing w:val="-43"/>
        </w:rPr>
        <w:t> </w:t>
      </w:r>
      <w:r>
        <w:rPr/>
        <w:t>初</w:t>
      </w:r>
    </w:p>
    <w:p>
      <w:pPr>
        <w:pStyle w:val="BodyText"/>
        <w:spacing w:line="240" w:lineRule="auto" w:before="31"/>
        <w:ind w:right="0"/>
        <w:jc w:val="both"/>
      </w:pPr>
      <w:r>
        <w:rPr/>
        <w:t>始确认金额扣除按照相关规定所确定的累计摊销额后的余额。</w:t>
      </w:r>
    </w:p>
    <w:p>
      <w:pPr>
        <w:pStyle w:val="BodyText"/>
        <w:spacing w:line="300" w:lineRule="auto" w:before="76"/>
        <w:ind w:left="472" w:right="882"/>
        <w:jc w:val="left"/>
      </w:pPr>
      <w:r>
        <w:rPr>
          <w:rFonts w:ascii="Times New Roman" w:hAnsi="Times New Roman" w:cs="Times New Roman" w:eastAsia="Times New Roman" w:hint="default"/>
        </w:rPr>
        <w:t>4</w:t>
      </w:r>
      <w:r>
        <w:rPr/>
        <w:t>）</w:t>
      </w:r>
      <w:r>
        <w:rPr>
          <w:spacing w:val="-2"/>
        </w:rPr>
        <w:t> </w:t>
      </w:r>
      <w:r>
        <w:rPr/>
        <w:t>以摊余成本计量的金融负债</w:t>
      </w:r>
      <w:r>
        <w:rPr/>
        <w:t> </w:t>
      </w:r>
      <w:r>
        <w:rPr>
          <w:spacing w:val="-2"/>
        </w:rPr>
        <w:t>采用实际利率法以摊余成本计量。以摊余成本计量且不属于任何套期关系的一部分的金融负债所产生的利得或损失，在</w:t>
      </w:r>
    </w:p>
    <w:p>
      <w:pPr>
        <w:pStyle w:val="BodyText"/>
        <w:spacing w:line="240" w:lineRule="auto" w:before="31"/>
        <w:ind w:right="0"/>
        <w:jc w:val="both"/>
      </w:pPr>
      <w:r>
        <w:rPr/>
        <w:t>终止确认、按照实际利率法摊销时计入当期损益。</w:t>
      </w:r>
    </w:p>
    <w:p>
      <w:pPr>
        <w:pStyle w:val="BodyText"/>
        <w:spacing w:line="240" w:lineRule="auto" w:before="76"/>
        <w:ind w:left="472" w:right="882"/>
        <w:jc w:val="left"/>
      </w:pPr>
      <w:r>
        <w:rPr/>
        <w:t>（</w:t>
      </w:r>
      <w:r>
        <w:rPr>
          <w:rFonts w:ascii="Times New Roman" w:hAnsi="Times New Roman" w:cs="Times New Roman" w:eastAsia="Times New Roman" w:hint="default"/>
        </w:rPr>
        <w:t>4</w:t>
      </w:r>
      <w:r>
        <w:rPr/>
        <w:t>）</w:t>
      </w:r>
      <w:r>
        <w:rPr>
          <w:spacing w:val="-1"/>
        </w:rPr>
        <w:t> </w:t>
      </w:r>
      <w:r>
        <w:rPr/>
        <w:t>金融资产和金融负债的终止确认</w:t>
      </w:r>
    </w:p>
    <w:p>
      <w:pPr>
        <w:pStyle w:val="BodyText"/>
        <w:spacing w:line="240" w:lineRule="auto" w:before="63"/>
        <w:ind w:left="472" w:right="882"/>
        <w:jc w:val="left"/>
      </w:pPr>
      <w:r>
        <w:rPr>
          <w:rFonts w:ascii="Times New Roman" w:hAnsi="Times New Roman" w:cs="Times New Roman" w:eastAsia="Times New Roman" w:hint="default"/>
        </w:rPr>
        <w:t>1</w:t>
      </w:r>
      <w:r>
        <w:rPr/>
        <w:t>）</w:t>
      </w:r>
      <w:r>
        <w:rPr>
          <w:spacing w:val="-1"/>
        </w:rPr>
        <w:t> </w:t>
      </w:r>
      <w:r>
        <w:rPr/>
        <w:t>当满足下列条件之一时，终止确认金融资产：</w:t>
      </w:r>
    </w:p>
    <w:p>
      <w:pPr>
        <w:pStyle w:val="BodyText"/>
        <w:spacing w:line="240" w:lineRule="auto" w:before="63"/>
        <w:ind w:left="472" w:right="882"/>
        <w:jc w:val="left"/>
      </w:pPr>
      <w:r>
        <w:rPr/>
        <w:t>①</w:t>
      </w:r>
      <w:r>
        <w:rPr>
          <w:spacing w:val="1"/>
        </w:rPr>
        <w:t> </w:t>
      </w:r>
      <w:r>
        <w:rPr/>
        <w:t>收取金融资产现金流量的合同权利已终止；</w:t>
      </w:r>
    </w:p>
    <w:p>
      <w:pPr>
        <w:pStyle w:val="BodyText"/>
        <w:spacing w:line="240" w:lineRule="auto" w:before="76"/>
        <w:ind w:left="472" w:right="882"/>
        <w:jc w:val="left"/>
      </w:pPr>
      <w:r>
        <w:rPr/>
        <w:t>② 金融资产已转移，且该转移满足《企业会计准则第</w:t>
      </w:r>
      <w:r>
        <w:rPr>
          <w:rFonts w:ascii="Times New Roman" w:hAnsi="Times New Roman" w:cs="Times New Roman" w:eastAsia="Times New Roman" w:hint="default"/>
        </w:rPr>
        <w:t>23</w:t>
      </w:r>
      <w:r>
        <w:rPr/>
        <w:t>号——金融资产转移》关于金融资产终止确认的规定。</w:t>
      </w:r>
    </w:p>
    <w:p>
      <w:pPr>
        <w:pStyle w:val="BodyText"/>
        <w:spacing w:line="240" w:lineRule="auto" w:before="63"/>
        <w:ind w:left="472" w:right="882"/>
        <w:jc w:val="left"/>
      </w:pPr>
      <w:r>
        <w:rPr>
          <w:rFonts w:ascii="Times New Roman" w:hAnsi="Times New Roman" w:cs="Times New Roman" w:eastAsia="Times New Roman" w:hint="default"/>
        </w:rPr>
        <w:t>2</w:t>
      </w:r>
      <w:r>
        <w:rPr/>
        <w:t>）</w:t>
      </w:r>
      <w:r>
        <w:rPr>
          <w:spacing w:val="-1"/>
        </w:rPr>
        <w:t> </w:t>
      </w:r>
      <w:r>
        <w:rPr/>
        <w:t>当金融负债（或其一部分）的现时义务已经解除时，相应终止确认该金融负债（或该部分金融负债）。</w:t>
      </w:r>
    </w:p>
    <w:p>
      <w:pPr>
        <w:pStyle w:val="BodyText"/>
        <w:spacing w:line="300" w:lineRule="auto" w:before="63"/>
        <w:ind w:left="472" w:right="882"/>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44"/>
        </w:rPr>
        <w:t> </w:t>
      </w:r>
      <w:r>
        <w:rPr/>
        <w:t>金融资产转移的确认依据和计量方法 </w:t>
      </w:r>
      <w:r>
        <w:rPr>
          <w:spacing w:val="-2"/>
        </w:rPr>
        <w:t>公司转移了金融资产所有权上几乎所有的风险和报酬的，终止确认该金融资产，并将转移中产生或保留的权利和义务单</w:t>
      </w:r>
    </w:p>
    <w:p>
      <w:pPr>
        <w:pStyle w:val="BodyText"/>
        <w:spacing w:line="307" w:lineRule="auto" w:before="31"/>
        <w:ind w:right="1132"/>
        <w:jc w:val="both"/>
      </w:pPr>
      <w:r>
        <w:rPr>
          <w:spacing w:val="-2"/>
        </w:rPr>
        <w:t>独确认为资产或负债；保留了金融资产所有权上几乎所有的风险和报酬的，继续确认所转移的金融资产。公司既没有转移也</w:t>
      </w:r>
      <w:r>
        <w:rPr>
          <w:spacing w:val="-65"/>
        </w:rPr>
        <w:t> </w:t>
      </w:r>
      <w:r>
        <w:rPr>
          <w:spacing w:val="-65"/>
        </w:rPr>
      </w:r>
      <w:r>
        <w:rPr>
          <w:spacing w:val="-2"/>
        </w:rPr>
        <w:t>没有保留金融资产所有权上几乎所有的风险和报酬的，分别下列情况处理：（</w:t>
      </w:r>
      <w:r>
        <w:rPr>
          <w:rFonts w:ascii="Times New Roman" w:hAnsi="Times New Roman" w:cs="Times New Roman" w:eastAsia="Times New Roman" w:hint="default"/>
          <w:spacing w:val="-2"/>
        </w:rPr>
        <w:t>1</w:t>
      </w:r>
      <w:r>
        <w:rPr>
          <w:spacing w:val="-2"/>
        </w:rPr>
        <w:t>）</w:t>
      </w:r>
      <w:r>
        <w:rPr/>
        <w:t> </w:t>
      </w:r>
      <w:r>
        <w:rPr>
          <w:spacing w:val="-1"/>
        </w:rPr>
        <w:t>未保留对该金融资产控制的，终止确认该</w:t>
      </w:r>
      <w:r>
        <w:rPr>
          <w:spacing w:val="-84"/>
        </w:rPr>
        <w:t> </w:t>
      </w:r>
      <w:r>
        <w:rPr>
          <w:spacing w:val="-84"/>
        </w:rPr>
      </w:r>
      <w:r>
        <w:rPr>
          <w:spacing w:val="-2"/>
        </w:rPr>
        <w:t>金融资产，并将转移中产生或保留的权利和义务单独确认为资产或负债；（</w:t>
      </w:r>
      <w:r>
        <w:rPr>
          <w:rFonts w:ascii="Times New Roman" w:hAnsi="Times New Roman" w:cs="Times New Roman" w:eastAsia="Times New Roman" w:hint="default"/>
          <w:spacing w:val="-2"/>
        </w:rPr>
        <w:t>2</w:t>
      </w:r>
      <w:r>
        <w:rPr>
          <w:spacing w:val="-2"/>
        </w:rPr>
        <w:t>）</w:t>
      </w:r>
      <w:r>
        <w:rPr/>
        <w:t> </w:t>
      </w:r>
      <w:r>
        <w:rPr>
          <w:spacing w:val="-1"/>
        </w:rPr>
        <w:t>保留了对该金融资产控制的，按照继续涉入</w:t>
      </w:r>
      <w:r>
        <w:rPr>
          <w:spacing w:val="-85"/>
        </w:rPr>
        <w:t> </w:t>
      </w:r>
      <w:r>
        <w:rPr>
          <w:spacing w:val="-85"/>
        </w:rPr>
      </w:r>
      <w:r>
        <w:rPr/>
        <w:t>所转移金融资产的程度确认有关金融资产，并相应确认有关负债。</w:t>
      </w:r>
    </w:p>
    <w:p>
      <w:pPr>
        <w:pStyle w:val="BodyText"/>
        <w:spacing w:line="309" w:lineRule="auto" w:before="26"/>
        <w:ind w:right="882" w:firstLine="360"/>
        <w:jc w:val="left"/>
      </w:pPr>
      <w:r>
        <w:rPr/>
        <w:t>金融资产整体转移满足终止确认条件的，将下列两项金额的差额计入当期损益：（</w:t>
      </w:r>
      <w:r>
        <w:rPr>
          <w:rFonts w:ascii="Times New Roman" w:hAnsi="Times New Roman" w:cs="Times New Roman" w:eastAsia="Times New Roman" w:hint="default"/>
        </w:rPr>
        <w:t>1</w:t>
      </w:r>
      <w:r>
        <w:rPr/>
        <w:t>）</w:t>
      </w:r>
      <w:r>
        <w:rPr>
          <w:spacing w:val="-47"/>
        </w:rPr>
        <w:t> </w:t>
      </w:r>
      <w:r>
        <w:rPr/>
        <w:t>所转移金融资产在终止确认日的</w:t>
      </w:r>
      <w:r>
        <w:rPr/>
        <w:t> </w:t>
      </w:r>
      <w:r>
        <w:rPr>
          <w:spacing w:val="-5"/>
        </w:rPr>
        <w:t>账面价值；（</w:t>
      </w:r>
      <w:r>
        <w:rPr>
          <w:rFonts w:ascii="Times New Roman" w:hAnsi="Times New Roman" w:cs="Times New Roman" w:eastAsia="Times New Roman" w:hint="default"/>
          <w:spacing w:val="-5"/>
        </w:rPr>
        <w:t>2</w:t>
      </w:r>
      <w:r>
        <w:rPr>
          <w:spacing w:val="-5"/>
        </w:rPr>
        <w:t>）</w:t>
      </w:r>
      <w:r>
        <w:rPr>
          <w:spacing w:val="-30"/>
        </w:rPr>
        <w:t> </w:t>
      </w:r>
      <w:r>
        <w:rPr/>
        <w:t>因转移金融资产而收到的对价，与原直接计入其他综合收益的公允价值变动累计额中对应终止确认部分的</w:t>
      </w:r>
      <w:r>
        <w:rPr/>
        <w:t> </w:t>
      </w:r>
      <w:r>
        <w:rPr>
          <w:spacing w:val="-4"/>
        </w:rPr>
        <w:t>金额（涉及转移的金融资产为以公允价值计量且其变动计入其他综合收益的债务工具投资）之和。转移了金融资产的一部分，</w:t>
      </w:r>
      <w:r>
        <w:rPr>
          <w:spacing w:val="-43"/>
        </w:rPr>
        <w:t> </w:t>
      </w:r>
      <w:r>
        <w:rPr>
          <w:spacing w:val="-43"/>
        </w:rPr>
      </w:r>
      <w:r>
        <w:rPr>
          <w:spacing w:val="-2"/>
        </w:rPr>
        <w:t>且该被转移部分整体满足终止确认条件的，将转移前金融资产整体的账面价值，在终止确认部分和继续确认部分之间，按照</w:t>
      </w:r>
      <w:r>
        <w:rPr>
          <w:spacing w:val="-65"/>
        </w:rPr>
        <w:t> </w:t>
      </w:r>
      <w:r>
        <w:rPr>
          <w:spacing w:val="-65"/>
        </w:rPr>
      </w:r>
      <w:r>
        <w:rPr/>
        <w:t>转移日各自的相对公允价值进行分摊，并将下列两项金额的差额计入当期损益：（</w:t>
      </w:r>
      <w:r>
        <w:rPr>
          <w:rFonts w:ascii="Times New Roman" w:hAnsi="Times New Roman" w:cs="Times New Roman" w:eastAsia="Times New Roman" w:hint="default"/>
        </w:rPr>
        <w:t>1</w:t>
      </w:r>
      <w:r>
        <w:rPr/>
        <w:t>） 终止确认部分的账面价值；（</w:t>
      </w:r>
      <w:r>
        <w:rPr>
          <w:rFonts w:ascii="Times New Roman" w:hAnsi="Times New Roman" w:cs="Times New Roman" w:eastAsia="Times New Roman" w:hint="default"/>
        </w:rPr>
        <w:t>2</w:t>
      </w:r>
      <w:r>
        <w:rPr/>
        <w:t>）</w:t>
      </w:r>
      <w:r>
        <w:rPr>
          <w:spacing w:val="-60"/>
        </w:rPr>
        <w:t> </w:t>
      </w:r>
      <w:r>
        <w:rPr/>
        <w:t>终</w:t>
      </w:r>
      <w:r>
        <w:rPr/>
        <w:t> </w:t>
      </w:r>
      <w:r>
        <w:rPr>
          <w:spacing w:val="-2"/>
        </w:rPr>
        <w:t>止确认部分的对价，与原直接计入其他综合收益的公允价值变动累计额中对应终止确认部分的金额（涉及转移的金融资产为</w:t>
      </w:r>
      <w:r>
        <w:rPr>
          <w:spacing w:val="-64"/>
        </w:rPr>
        <w:t> </w:t>
      </w:r>
      <w:r>
        <w:rPr>
          <w:spacing w:val="-64"/>
        </w:rPr>
      </w:r>
      <w:r>
        <w:rPr/>
        <w:t>以公允价值计量且其变动计入其他综合收益的债务工具投资）之和。</w:t>
      </w:r>
    </w:p>
    <w:p>
      <w:pPr>
        <w:pStyle w:val="BodyText"/>
        <w:spacing w:line="300" w:lineRule="auto" w:before="24"/>
        <w:ind w:left="472" w:right="1214"/>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44"/>
        </w:rPr>
        <w:t> </w:t>
      </w:r>
      <w:r>
        <w:rPr/>
        <w:t>金融资产和金融负债的公允价值确定方法 公司采用在当前情况下适用并且有足够可利用数据和其他信息支持的估值技术确定相关金融资产和金融负债的公允价</w:t>
      </w:r>
    </w:p>
    <w:p>
      <w:pPr>
        <w:pStyle w:val="BodyText"/>
        <w:spacing w:line="240" w:lineRule="auto" w:before="31"/>
        <w:ind w:right="0"/>
        <w:jc w:val="both"/>
      </w:pPr>
      <w:r>
        <w:rPr/>
        <w:t>值。公司将估值技术使用的输入值分以下层级，并依次使用：</w:t>
      </w:r>
    </w:p>
    <w:p>
      <w:pPr>
        <w:pStyle w:val="BodyText"/>
        <w:spacing w:line="240" w:lineRule="auto" w:before="76"/>
        <w:ind w:left="472" w:right="882"/>
        <w:jc w:val="left"/>
      </w:pPr>
      <w:r>
        <w:rPr/>
        <w:t>（</w:t>
      </w:r>
      <w:r>
        <w:rPr>
          <w:rFonts w:ascii="Times New Roman" w:hAnsi="Times New Roman" w:cs="Times New Roman" w:eastAsia="Times New Roman" w:hint="default"/>
        </w:rPr>
        <w:t>1</w:t>
      </w:r>
      <w:r>
        <w:rPr/>
        <w:t>）</w:t>
      </w:r>
      <w:r>
        <w:rPr>
          <w:spacing w:val="-1"/>
        </w:rPr>
        <w:t> </w:t>
      </w:r>
      <w:r>
        <w:rPr/>
        <w:t>第一层次输入值是在计量日能够取得的相同资产或负债在活跃市场上未经调整的报价；</w:t>
      </w:r>
    </w:p>
    <w:p>
      <w:pPr>
        <w:pStyle w:val="BodyText"/>
        <w:spacing w:line="309" w:lineRule="auto" w:before="63"/>
        <w:ind w:right="1132" w:firstLine="360"/>
        <w:jc w:val="both"/>
      </w:pPr>
      <w:r>
        <w:rPr/>
        <w:t>（</w:t>
      </w:r>
      <w:r>
        <w:rPr>
          <w:rFonts w:ascii="Times New Roman" w:hAnsi="Times New Roman" w:cs="Times New Roman" w:eastAsia="Times New Roman" w:hint="default"/>
        </w:rPr>
        <w:t>2</w:t>
      </w:r>
      <w:r>
        <w:rPr/>
        <w:t>）</w:t>
      </w:r>
      <w:r>
        <w:rPr>
          <w:spacing w:val="9"/>
        </w:rPr>
        <w:t> </w:t>
      </w:r>
      <w:r>
        <w:rPr>
          <w:spacing w:val="-2"/>
        </w:rPr>
        <w:t>第二层次输入值是除第一层次输入值外相关资产或负债直接或间接可观察的输入值，包括：活跃市场中类似资产</w:t>
      </w:r>
      <w:r>
        <w:rPr/>
        <w:t> </w:t>
      </w:r>
      <w:r>
        <w:rPr>
          <w:spacing w:val="-2"/>
        </w:rPr>
        <w:t>或负债的报价；非活跃市场中相同或类似资产或负债的报价；除报价以外的其他可观察输入值，如在正常报价间隔期间可观</w:t>
      </w:r>
      <w:r>
        <w:rPr>
          <w:spacing w:val="-65"/>
        </w:rPr>
        <w:t> </w:t>
      </w:r>
      <w:r>
        <w:rPr>
          <w:spacing w:val="-65"/>
        </w:rPr>
      </w:r>
      <w:r>
        <w:rPr/>
        <w:t>察的利率和收益率曲线等；市场验证的输入值等；</w:t>
      </w:r>
    </w:p>
    <w:p>
      <w:pPr>
        <w:pStyle w:val="BodyText"/>
        <w:spacing w:line="300" w:lineRule="auto" w:before="24"/>
        <w:ind w:right="1036" w:firstLine="360"/>
        <w:jc w:val="left"/>
      </w:pPr>
      <w:r>
        <w:rPr/>
        <w:t>（</w:t>
      </w:r>
      <w:r>
        <w:rPr>
          <w:rFonts w:ascii="Times New Roman" w:hAnsi="Times New Roman" w:cs="Times New Roman" w:eastAsia="Times New Roman" w:hint="default"/>
        </w:rPr>
        <w:t>3</w:t>
      </w:r>
      <w:r>
        <w:rPr/>
        <w:t>）</w:t>
      </w:r>
      <w:r>
        <w:rPr>
          <w:spacing w:val="-2"/>
        </w:rPr>
        <w:t> </w:t>
      </w:r>
      <w:r>
        <w:rPr/>
        <w:t>第三层次输入值是相关资产或负债的不可观察输入值，包括不能直接观察或无法由可观察市场数据验证的利率、</w:t>
      </w:r>
      <w:r>
        <w:rPr/>
        <w:t> 股票波动率、企业合并中承担的弃置义务的未来现金流量、使用自身数据作出的财务预测等。</w:t>
      </w:r>
    </w:p>
    <w:p>
      <w:pPr>
        <w:pStyle w:val="BodyText"/>
        <w:spacing w:line="240" w:lineRule="auto" w:before="31"/>
        <w:ind w:left="472" w:right="882"/>
        <w:jc w:val="left"/>
      </w:pPr>
      <w:r>
        <w:rPr>
          <w:rFonts w:ascii="Times New Roman" w:hAnsi="Times New Roman" w:cs="Times New Roman" w:eastAsia="Times New Roman" w:hint="default"/>
        </w:rPr>
        <w:t>5.  </w:t>
      </w:r>
      <w:r>
        <w:rPr/>
        <w:t>金融工具减值</w:t>
      </w:r>
    </w:p>
    <w:p>
      <w:pPr>
        <w:pStyle w:val="BodyText"/>
        <w:spacing w:line="240" w:lineRule="auto" w:before="63"/>
        <w:ind w:left="472" w:right="882"/>
        <w:jc w:val="left"/>
      </w:pPr>
      <w:r>
        <w:rPr/>
        <w:t>（</w:t>
      </w:r>
      <w:r>
        <w:rPr>
          <w:rFonts w:ascii="Times New Roman" w:hAnsi="Times New Roman" w:cs="Times New Roman" w:eastAsia="Times New Roman" w:hint="default"/>
        </w:rPr>
        <w:t>1</w:t>
      </w:r>
      <w:r>
        <w:rPr/>
        <w:t>）</w:t>
      </w:r>
      <w:r>
        <w:rPr>
          <w:spacing w:val="-1"/>
        </w:rPr>
        <w:t> </w:t>
      </w:r>
      <w:r>
        <w:rPr/>
        <w:t>金融工具减值计量和会计处理</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left="132" w:right="1115" w:firstLine="360"/>
        <w:jc w:val="left"/>
      </w:pPr>
      <w:r>
        <w:rPr>
          <w:spacing w:val="-2"/>
        </w:rPr>
        <w:t>公司以预期信用损失为基础，对以摊余成本计量的金融资产、以公允价值计量且其变动计入其他综合收益的债务工具投</w:t>
      </w:r>
      <w:r>
        <w:rPr/>
        <w:t> </w:t>
      </w:r>
      <w:r>
        <w:rPr>
          <w:spacing w:val="-2"/>
        </w:rPr>
        <w:t>资、租赁应收款、分类为以公允价值计量且其变动计入当期损益的金融负债以外的贷款承诺、不属于以公允价值计量且其变</w:t>
      </w:r>
      <w:r>
        <w:rPr>
          <w:spacing w:val="-65"/>
        </w:rPr>
        <w:t> </w:t>
      </w:r>
      <w:r>
        <w:rPr>
          <w:spacing w:val="-65"/>
        </w:rPr>
      </w:r>
      <w:r>
        <w:rPr/>
        <w:t>动计入当期损益的金融负债或不属于金融资产转移不符合终止确认条件或继续涉入被转移金融资产所形成的金融负债的财 务担保合同进行减值处理并确认损失准备。</w:t>
      </w:r>
    </w:p>
    <w:p>
      <w:pPr>
        <w:pStyle w:val="BodyText"/>
        <w:spacing w:line="316" w:lineRule="auto" w:before="19"/>
        <w:ind w:left="132" w:right="1132" w:firstLine="360"/>
        <w:jc w:val="both"/>
      </w:pPr>
      <w:r>
        <w:rPr>
          <w:spacing w:val="-2"/>
        </w:rPr>
        <w:t>预期信用损失，是指以发生违约的风险为权重的金融工具信用损失的加权平均值。信用损失，是指公司按照原实际利率</w:t>
      </w:r>
      <w:r>
        <w:rPr/>
        <w:t> </w:t>
      </w:r>
      <w:r>
        <w:rPr>
          <w:spacing w:val="-2"/>
        </w:rPr>
        <w:t>折现的、根据合同应收的所有合同现金流量与预期收取的所有现金流量之间的差额，即全部现金短缺的现值。其中，对于公</w:t>
      </w:r>
      <w:r>
        <w:rPr>
          <w:spacing w:val="-66"/>
        </w:rPr>
        <w:t> </w:t>
      </w:r>
      <w:r>
        <w:rPr>
          <w:spacing w:val="-66"/>
        </w:rPr>
      </w:r>
      <w:r>
        <w:rPr/>
        <w:t>司购买或源生的已发生信用减值的金融资产，按照该金融资产经信用调整的实际利率折现。</w:t>
      </w:r>
    </w:p>
    <w:p>
      <w:pPr>
        <w:pStyle w:val="BodyText"/>
        <w:spacing w:line="316" w:lineRule="auto" w:before="19"/>
        <w:ind w:left="132" w:right="1132" w:firstLine="360"/>
        <w:jc w:val="both"/>
      </w:pPr>
      <w:r>
        <w:rPr>
          <w:spacing w:val="-2"/>
        </w:rPr>
        <w:t>对于购买或源生的已发生信用减值的金融资产，公司在资产负债表日仅将自初始确认后整个存续期内预期信用损失的累</w:t>
      </w:r>
      <w:r>
        <w:rPr/>
        <w:t> 计变动确认为损失准备。</w:t>
      </w:r>
    </w:p>
    <w:p>
      <w:pPr>
        <w:pStyle w:val="BodyText"/>
        <w:spacing w:line="316" w:lineRule="auto" w:before="19"/>
        <w:ind w:left="132" w:right="1132" w:firstLine="360"/>
        <w:jc w:val="both"/>
      </w:pPr>
      <w:r>
        <w:rPr>
          <w:spacing w:val="-2"/>
        </w:rPr>
        <w:t>对于不含重大融资成分或者公司不考虑不超过一年的合同中的融资成分的应收账款，公司运用简化计量方法，按照相当</w:t>
      </w:r>
      <w:r>
        <w:rPr/>
        <w:t> 于整个存续期内的预期信用损失金额计量损失准备。</w:t>
      </w:r>
    </w:p>
    <w:p>
      <w:pPr>
        <w:pStyle w:val="BodyText"/>
        <w:spacing w:line="316" w:lineRule="auto" w:before="19"/>
        <w:ind w:left="132" w:right="1132" w:firstLine="360"/>
        <w:jc w:val="both"/>
      </w:pPr>
      <w:r>
        <w:rPr>
          <w:spacing w:val="-2"/>
        </w:rPr>
        <w:t>除上述计量方法以外的金融资产，公司在每个资产负债表日评估其信用风险自初始确认后是否已经显著增加。如果信用</w:t>
      </w:r>
      <w:r>
        <w:rPr/>
        <w:t> </w:t>
      </w:r>
      <w:r>
        <w:rPr>
          <w:spacing w:val="-2"/>
        </w:rPr>
        <w:t>风险自初始确认后已显著增加，公司按照整个存续期内预期信用损失的金额计量损失准备；如果信用风险自初始确认后未显</w:t>
      </w:r>
      <w:r>
        <w:rPr>
          <w:spacing w:val="-64"/>
        </w:rPr>
        <w:t> </w:t>
      </w:r>
      <w:r>
        <w:rPr>
          <w:spacing w:val="-64"/>
        </w:rPr>
      </w:r>
      <w:r>
        <w:rPr/>
        <w:t>著增加，公司按照该金融工具未来</w:t>
      </w:r>
      <w:r>
        <w:rPr>
          <w:rFonts w:ascii="Times New Roman" w:hAnsi="Times New Roman" w:cs="Times New Roman" w:eastAsia="Times New Roman" w:hint="default"/>
        </w:rPr>
        <w:t>12</w:t>
      </w:r>
      <w:r>
        <w:rPr/>
        <w:t>个月内预期信用损失的金额计量损失准备。</w:t>
      </w:r>
    </w:p>
    <w:p>
      <w:pPr>
        <w:pStyle w:val="BodyText"/>
        <w:spacing w:line="316" w:lineRule="auto"/>
        <w:ind w:left="132" w:right="1132" w:firstLine="360"/>
        <w:jc w:val="both"/>
      </w:pPr>
      <w:r>
        <w:rPr>
          <w:spacing w:val="-2"/>
        </w:rPr>
        <w:t>公司利用可获得的合理且有依据的信息，包括前瞻性信息，通过比较金融工具在资产负债表日发生违约的风险与在初始</w:t>
      </w:r>
      <w:r>
        <w:rPr/>
        <w:t> 确认日发生违约的风险，以确定金融工具的信用风险自初始确认后是否已显著增加。</w:t>
      </w:r>
    </w:p>
    <w:p>
      <w:pPr>
        <w:pStyle w:val="BodyText"/>
        <w:spacing w:line="316" w:lineRule="auto" w:before="19"/>
        <w:ind w:left="132" w:right="1132" w:firstLine="360"/>
        <w:jc w:val="both"/>
      </w:pPr>
      <w:r>
        <w:rPr>
          <w:spacing w:val="-2"/>
        </w:rPr>
        <w:t>于资产负债表日，若公司判断金融工具只具有较低的信用风险，则假定该金融工具的信用风险自初始确认后并未显著增</w:t>
      </w:r>
      <w:r>
        <w:rPr/>
        <w:t> 加。</w:t>
      </w:r>
    </w:p>
    <w:p>
      <w:pPr>
        <w:pStyle w:val="BodyText"/>
        <w:spacing w:line="316" w:lineRule="auto" w:before="19"/>
        <w:ind w:left="132" w:right="1132" w:firstLine="360"/>
        <w:jc w:val="both"/>
      </w:pPr>
      <w:r>
        <w:rPr>
          <w:spacing w:val="-2"/>
        </w:rPr>
        <w:t>公司以单项金融工具或金融工具组合为基础评估预期信用风险和计量预期信用损失。当以金融工具组合为基础时，公司</w:t>
      </w:r>
      <w:r>
        <w:rPr/>
        <w:t> 以共同风险特征为依据，将金融工具划分为不同组合。</w:t>
      </w:r>
    </w:p>
    <w:p>
      <w:pPr>
        <w:pStyle w:val="BodyText"/>
        <w:spacing w:line="316" w:lineRule="auto" w:before="19"/>
        <w:ind w:left="132" w:right="1132" w:firstLine="360"/>
        <w:jc w:val="both"/>
      </w:pPr>
      <w:r>
        <w:rPr>
          <w:spacing w:val="-2"/>
        </w:rPr>
        <w:t>公司在每个资产负债表日重新计量预期信用损失，由此形成的损失准备的增加或转回金额，作为减值损失或利得计入当</w:t>
      </w:r>
      <w:r>
        <w:rPr/>
        <w:t> </w:t>
      </w:r>
      <w:r>
        <w:rPr>
          <w:spacing w:val="-2"/>
        </w:rPr>
        <w:t>期损益。对于以摊余成本计量的金融资产，损失准备抵减该金融资产在资产负债表中列示的账面价值；对于以公允价值计量</w:t>
      </w:r>
      <w:r>
        <w:rPr>
          <w:spacing w:val="-65"/>
        </w:rPr>
        <w:t> </w:t>
      </w:r>
      <w:r>
        <w:rPr>
          <w:spacing w:val="-65"/>
        </w:rPr>
      </w:r>
      <w:r>
        <w:rPr/>
        <w:t>且其变动计入其他综合收益的债权投资，公司在其他综合收益中确认其损失准备，不抵减该金融资产的账面价值。</w:t>
      </w:r>
    </w:p>
    <w:p>
      <w:pPr>
        <w:pStyle w:val="BodyText"/>
        <w:spacing w:line="240" w:lineRule="auto" w:before="19"/>
        <w:ind w:left="492" w:right="1115"/>
        <w:jc w:val="left"/>
      </w:pPr>
      <w:r>
        <w:rPr/>
        <w:t>（</w:t>
      </w:r>
      <w:r>
        <w:rPr>
          <w:rFonts w:ascii="Times New Roman" w:hAnsi="Times New Roman" w:cs="Times New Roman" w:eastAsia="Times New Roman" w:hint="default"/>
        </w:rPr>
        <w:t>2</w:t>
      </w:r>
      <w:r>
        <w:rPr/>
        <w:t>）</w:t>
      </w:r>
      <w:r>
        <w:rPr>
          <w:spacing w:val="-1"/>
        </w:rPr>
        <w:t> </w:t>
      </w:r>
      <w:r>
        <w:rPr/>
        <w:t>按组合评估预期信用风险和计量预期信用损失的金融工具</w:t>
      </w:r>
    </w:p>
    <w:p>
      <w:pPr>
        <w:spacing w:line="240" w:lineRule="auto" w:before="12"/>
        <w:rPr>
          <w:rFonts w:ascii="宋体" w:hAnsi="宋体" w:cs="宋体" w:eastAsia="宋体" w:hint="default"/>
          <w:sz w:val="3"/>
          <w:szCs w:val="3"/>
        </w:rPr>
      </w:pPr>
    </w:p>
    <w:tbl>
      <w:tblPr>
        <w:tblW w:w="0" w:type="auto"/>
        <w:jc w:val="left"/>
        <w:tblInd w:w="117" w:type="dxa"/>
        <w:tblLayout w:type="fixed"/>
        <w:tblCellMar>
          <w:top w:w="0" w:type="dxa"/>
          <w:left w:w="0" w:type="dxa"/>
          <w:bottom w:w="0" w:type="dxa"/>
          <w:right w:w="0" w:type="dxa"/>
        </w:tblCellMar>
        <w:tblLook w:val="01E0"/>
      </w:tblPr>
      <w:tblGrid>
        <w:gridCol w:w="3818"/>
        <w:gridCol w:w="1926"/>
        <w:gridCol w:w="3912"/>
      </w:tblGrid>
      <w:tr>
        <w:trPr>
          <w:trHeight w:val="347" w:hRule="exact"/>
        </w:trPr>
        <w:tc>
          <w:tcPr>
            <w:tcW w:w="3818"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87"/>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1926"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3" w:right="0"/>
              <w:jc w:val="center"/>
              <w:rPr>
                <w:rFonts w:ascii="宋体" w:hAnsi="宋体" w:cs="宋体" w:eastAsia="宋体" w:hint="default"/>
                <w:sz w:val="18"/>
                <w:szCs w:val="18"/>
              </w:rPr>
            </w:pPr>
            <w:r>
              <w:rPr>
                <w:rFonts w:ascii="宋体" w:hAnsi="宋体" w:cs="宋体" w:eastAsia="宋体" w:hint="default"/>
                <w:b/>
                <w:bCs/>
                <w:sz w:val="18"/>
                <w:szCs w:val="18"/>
              </w:rPr>
              <w:t>确定组合的依据</w:t>
            </w:r>
            <w:r>
              <w:rPr>
                <w:rFonts w:ascii="宋体" w:hAnsi="宋体" w:cs="宋体" w:eastAsia="宋体" w:hint="default"/>
                <w:sz w:val="18"/>
                <w:szCs w:val="18"/>
              </w:rPr>
            </w:r>
          </w:p>
        </w:tc>
        <w:tc>
          <w:tcPr>
            <w:tcW w:w="3912"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9" w:right="0"/>
              <w:jc w:val="center"/>
              <w:rPr>
                <w:rFonts w:ascii="宋体" w:hAnsi="宋体" w:cs="宋体" w:eastAsia="宋体" w:hint="default"/>
                <w:sz w:val="18"/>
                <w:szCs w:val="18"/>
              </w:rPr>
            </w:pPr>
            <w:r>
              <w:rPr>
                <w:rFonts w:ascii="宋体" w:hAnsi="宋体" w:cs="宋体" w:eastAsia="宋体" w:hint="default"/>
                <w:b/>
                <w:bCs/>
                <w:sz w:val="18"/>
                <w:szCs w:val="18"/>
              </w:rPr>
              <w:t>计量预期信用损失的方法</w:t>
            </w:r>
            <w:r>
              <w:rPr>
                <w:rFonts w:ascii="宋体" w:hAnsi="宋体" w:cs="宋体" w:eastAsia="宋体" w:hint="default"/>
                <w:sz w:val="18"/>
                <w:szCs w:val="18"/>
              </w:rPr>
            </w:r>
          </w:p>
        </w:tc>
      </w:tr>
      <w:tr>
        <w:trPr>
          <w:trHeight w:val="347" w:hRule="exact"/>
        </w:trPr>
        <w:tc>
          <w:tcPr>
            <w:tcW w:w="3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其他应收款——应收利息组合</w:t>
            </w:r>
          </w:p>
        </w:tc>
        <w:tc>
          <w:tcPr>
            <w:tcW w:w="192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912"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pacing w:val="-4"/>
                <w:sz w:val="18"/>
                <w:szCs w:val="18"/>
              </w:rPr>
              <w:t>参考历史信用损失经验，结合当前状况以及对未来</w:t>
            </w:r>
          </w:p>
        </w:tc>
      </w:tr>
      <w:tr>
        <w:trPr>
          <w:trHeight w:val="347" w:hRule="exact"/>
        </w:trPr>
        <w:tc>
          <w:tcPr>
            <w:tcW w:w="3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其他应收款——应收股利组合</w:t>
            </w:r>
          </w:p>
        </w:tc>
        <w:tc>
          <w:tcPr>
            <w:tcW w:w="1926" w:type="dxa"/>
            <w:tcBorders>
              <w:top w:val="nil" w:sz="6" w:space="0" w:color="auto"/>
              <w:left w:val="single" w:sz="6" w:space="0" w:color="000000"/>
              <w:bottom w:val="nil" w:sz="6" w:space="0" w:color="auto"/>
              <w:right w:val="single" w:sz="6" w:space="0" w:color="000000"/>
            </w:tcBorders>
          </w:tcPr>
          <w:p>
            <w:pPr/>
          </w:p>
        </w:tc>
        <w:tc>
          <w:tcPr>
            <w:tcW w:w="3912" w:type="dxa"/>
            <w:tcBorders>
              <w:top w:val="nil" w:sz="6" w:space="0" w:color="auto"/>
              <w:left w:val="single" w:sz="6" w:space="0" w:color="000000"/>
              <w:bottom w:val="nil" w:sz="6" w:space="0" w:color="auto"/>
              <w:right w:val="single" w:sz="6" w:space="0" w:color="000000"/>
            </w:tcBorders>
          </w:tcPr>
          <w:p>
            <w:pPr>
              <w:pStyle w:val="TableParagraph"/>
              <w:spacing w:line="244" w:lineRule="exact"/>
              <w:ind w:right="0"/>
              <w:jc w:val="center"/>
              <w:rPr>
                <w:rFonts w:ascii="宋体" w:hAnsi="宋体" w:cs="宋体" w:eastAsia="宋体" w:hint="default"/>
                <w:sz w:val="18"/>
                <w:szCs w:val="18"/>
              </w:rPr>
            </w:pPr>
            <w:r>
              <w:rPr>
                <w:rFonts w:ascii="宋体" w:hAnsi="宋体" w:cs="宋体" w:eastAsia="宋体" w:hint="default"/>
                <w:spacing w:val="-4"/>
                <w:sz w:val="18"/>
                <w:szCs w:val="18"/>
              </w:rPr>
              <w:t>经济状况的预测，通过违约风险敞口和未来</w:t>
            </w:r>
            <w:r>
              <w:rPr>
                <w:rFonts w:ascii="Times New Roman" w:hAnsi="Times New Roman" w:cs="Times New Roman" w:eastAsia="Times New Roman" w:hint="default"/>
                <w:spacing w:val="-4"/>
                <w:sz w:val="18"/>
                <w:szCs w:val="18"/>
              </w:rPr>
              <w:t>12</w:t>
            </w:r>
            <w:r>
              <w:rPr>
                <w:rFonts w:ascii="宋体" w:hAnsi="宋体" w:cs="宋体" w:eastAsia="宋体" w:hint="default"/>
                <w:spacing w:val="-4"/>
                <w:sz w:val="18"/>
                <w:szCs w:val="18"/>
              </w:rPr>
              <w:t>个月</w:t>
            </w:r>
          </w:p>
        </w:tc>
      </w:tr>
      <w:tr>
        <w:trPr>
          <w:trHeight w:val="261" w:hRule="exact"/>
        </w:trPr>
        <w:tc>
          <w:tcPr>
            <w:tcW w:w="3818" w:type="dxa"/>
            <w:vMerge w:val="restart"/>
            <w:tcBorders>
              <w:top w:val="single" w:sz="6" w:space="0" w:color="000000"/>
              <w:left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其他应收款——应收合并范围内关联方组合</w:t>
            </w:r>
          </w:p>
        </w:tc>
        <w:tc>
          <w:tcPr>
            <w:tcW w:w="1926" w:type="dxa"/>
            <w:tcBorders>
              <w:top w:val="nil" w:sz="6" w:space="0" w:color="auto"/>
              <w:left w:val="single" w:sz="6" w:space="0" w:color="000000"/>
              <w:bottom w:val="nil" w:sz="6" w:space="0" w:color="auto"/>
              <w:right w:val="single" w:sz="6" w:space="0" w:color="000000"/>
            </w:tcBorders>
          </w:tcPr>
          <w:p>
            <w:pPr/>
          </w:p>
        </w:tc>
        <w:tc>
          <w:tcPr>
            <w:tcW w:w="3912" w:type="dxa"/>
            <w:tcBorders>
              <w:top w:val="nil" w:sz="6" w:space="0" w:color="auto"/>
              <w:left w:val="single" w:sz="6" w:space="0" w:color="000000"/>
              <w:bottom w:val="nil" w:sz="6" w:space="0" w:color="auto"/>
              <w:right w:val="single" w:sz="6" w:space="0" w:color="000000"/>
            </w:tcBorders>
          </w:tcPr>
          <w:p>
            <w:pPr>
              <w:pStyle w:val="TableParagraph"/>
              <w:spacing w:line="195" w:lineRule="exact"/>
              <w:ind w:right="0"/>
              <w:jc w:val="center"/>
              <w:rPr>
                <w:rFonts w:ascii="宋体" w:hAnsi="宋体" w:cs="宋体" w:eastAsia="宋体" w:hint="default"/>
                <w:sz w:val="18"/>
                <w:szCs w:val="18"/>
              </w:rPr>
            </w:pPr>
            <w:r>
              <w:rPr>
                <w:rFonts w:ascii="宋体" w:hAnsi="宋体" w:cs="宋体" w:eastAsia="宋体" w:hint="default"/>
                <w:spacing w:val="-4"/>
                <w:sz w:val="18"/>
                <w:szCs w:val="18"/>
              </w:rPr>
              <w:t>内或整个存续期预期信用损失率，计算预期信用损</w:t>
            </w:r>
          </w:p>
        </w:tc>
      </w:tr>
      <w:tr>
        <w:trPr>
          <w:trHeight w:val="86" w:hRule="exact"/>
        </w:trPr>
        <w:tc>
          <w:tcPr>
            <w:tcW w:w="3818" w:type="dxa"/>
            <w:vMerge/>
            <w:tcBorders>
              <w:left w:val="single" w:sz="6" w:space="0" w:color="000000"/>
              <w:bottom w:val="single" w:sz="6" w:space="0" w:color="000000"/>
              <w:right w:val="single" w:sz="6" w:space="0" w:color="000000"/>
            </w:tcBorders>
          </w:tcPr>
          <w:p>
            <w:pPr/>
          </w:p>
        </w:tc>
        <w:tc>
          <w:tcPr>
            <w:tcW w:w="1926" w:type="dxa"/>
            <w:tcBorders>
              <w:top w:val="nil" w:sz="6" w:space="0" w:color="auto"/>
              <w:left w:val="single" w:sz="6" w:space="0" w:color="000000"/>
              <w:bottom w:val="single" w:sz="6" w:space="0" w:color="000000"/>
              <w:right w:val="single" w:sz="6" w:space="0" w:color="000000"/>
            </w:tcBorders>
          </w:tcPr>
          <w:p>
            <w:pPr/>
          </w:p>
        </w:tc>
        <w:tc>
          <w:tcPr>
            <w:tcW w:w="3912" w:type="dxa"/>
            <w:vMerge w:val="restart"/>
            <w:tcBorders>
              <w:top w:val="nil" w:sz="6" w:space="0" w:color="auto"/>
              <w:left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失</w:t>
            </w:r>
          </w:p>
        </w:tc>
      </w:tr>
      <w:tr>
        <w:trPr>
          <w:trHeight w:val="347" w:hRule="exact"/>
        </w:trPr>
        <w:tc>
          <w:tcPr>
            <w:tcW w:w="3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其他应收款——账龄组合</w:t>
            </w:r>
          </w:p>
        </w:tc>
        <w:tc>
          <w:tcPr>
            <w:tcW w:w="19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12" w:type="dxa"/>
            <w:vMerge/>
            <w:tcBorders>
              <w:left w:val="single" w:sz="6" w:space="0" w:color="000000"/>
              <w:bottom w:val="single" w:sz="6" w:space="0" w:color="000000"/>
              <w:right w:val="single" w:sz="6" w:space="0" w:color="000000"/>
            </w:tcBorders>
          </w:tcPr>
          <w:p>
            <w:pPr/>
          </w:p>
        </w:tc>
      </w:tr>
    </w:tbl>
    <w:p>
      <w:pPr>
        <w:pStyle w:val="BodyText"/>
        <w:spacing w:line="240" w:lineRule="auto" w:before="11"/>
        <w:ind w:left="552" w:right="1115"/>
        <w:jc w:val="left"/>
      </w:pPr>
      <w:r>
        <w:rPr/>
        <w:t>（</w:t>
      </w:r>
      <w:r>
        <w:rPr>
          <w:rFonts w:ascii="Times New Roman" w:hAnsi="Times New Roman" w:cs="Times New Roman" w:eastAsia="Times New Roman" w:hint="default"/>
        </w:rPr>
        <w:t>3</w:t>
      </w:r>
      <w:r>
        <w:rPr/>
        <w:t>）</w:t>
      </w:r>
      <w:r>
        <w:rPr>
          <w:spacing w:val="-1"/>
        </w:rPr>
        <w:t> </w:t>
      </w:r>
      <w:r>
        <w:rPr/>
        <w:t>按组合计量预期信用损失的应收款项</w:t>
      </w:r>
    </w:p>
    <w:p>
      <w:pPr>
        <w:pStyle w:val="BodyText"/>
        <w:spacing w:line="240" w:lineRule="auto" w:before="63"/>
        <w:ind w:left="552" w:right="1115"/>
        <w:jc w:val="left"/>
      </w:pPr>
      <w:r>
        <w:rPr>
          <w:rFonts w:ascii="Times New Roman" w:hAnsi="Times New Roman" w:cs="Times New Roman" w:eastAsia="Times New Roman" w:hint="default"/>
        </w:rPr>
        <w:t>1</w:t>
      </w:r>
      <w:r>
        <w:rPr/>
        <w:t>）</w:t>
      </w:r>
      <w:r>
        <w:rPr>
          <w:spacing w:val="-1"/>
        </w:rPr>
        <w:t> </w:t>
      </w:r>
      <w:r>
        <w:rPr/>
        <w:t>具体组合及计量预期信用损失的方法</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spacing w:line="240" w:lineRule="auto"/>
        <w:ind w:left="0" w:right="1045"/>
        <w:jc w:val="right"/>
      </w:pPr>
      <w:r>
        <w:rPr/>
        <w:pict>
          <v:shape style="position:absolute;margin-left:55.939999pt;margin-top:-34.758282pt;width:483.8pt;height:197.35pt;mso-position-horizontal-relative:page;mso-position-vertical-relative:paragraph;z-index:14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71"/>
                    <w:gridCol w:w="2673"/>
                    <w:gridCol w:w="4610"/>
                  </w:tblGrid>
                  <w:tr>
                    <w:trPr>
                      <w:trHeight w:val="347" w:hRule="exact"/>
                    </w:trPr>
                    <w:tc>
                      <w:tcPr>
                        <w:tcW w:w="2371"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left="198" w:right="0"/>
                          <w:jc w:val="center"/>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87"/>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2673"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b/>
                            <w:bCs/>
                            <w:sz w:val="18"/>
                            <w:szCs w:val="18"/>
                          </w:rPr>
                          <w:t>确定组合的依据</w:t>
                        </w:r>
                        <w:r>
                          <w:rPr>
                            <w:rFonts w:ascii="宋体" w:hAnsi="宋体" w:cs="宋体" w:eastAsia="宋体" w:hint="default"/>
                            <w:sz w:val="18"/>
                            <w:szCs w:val="18"/>
                          </w:rPr>
                        </w:r>
                      </w:p>
                    </w:tc>
                    <w:tc>
                      <w:tcPr>
                        <w:tcW w:w="4610"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left="1308" w:right="0"/>
                          <w:jc w:val="left"/>
                          <w:rPr>
                            <w:rFonts w:ascii="宋体" w:hAnsi="宋体" w:cs="宋体" w:eastAsia="宋体" w:hint="default"/>
                            <w:sz w:val="18"/>
                            <w:szCs w:val="18"/>
                          </w:rPr>
                        </w:pPr>
                        <w:r>
                          <w:rPr>
                            <w:rFonts w:ascii="宋体" w:hAnsi="宋体" w:cs="宋体" w:eastAsia="宋体" w:hint="default"/>
                            <w:b/>
                            <w:bCs/>
                            <w:sz w:val="18"/>
                            <w:szCs w:val="18"/>
                          </w:rPr>
                          <w:t>计量预期信用损失的方法</w:t>
                        </w:r>
                        <w:r>
                          <w:rPr>
                            <w:rFonts w:ascii="宋体" w:hAnsi="宋体" w:cs="宋体" w:eastAsia="宋体" w:hint="default"/>
                            <w:sz w:val="18"/>
                            <w:szCs w:val="18"/>
                          </w:rPr>
                        </w:r>
                      </w:p>
                    </w:tc>
                  </w:tr>
                  <w:tr>
                    <w:trPr>
                      <w:trHeight w:val="971" w:hRule="exact"/>
                    </w:trPr>
                    <w:tc>
                      <w:tcPr>
                        <w:tcW w:w="2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457" w:right="0"/>
                          <w:jc w:val="left"/>
                          <w:rPr>
                            <w:rFonts w:ascii="宋体" w:hAnsi="宋体" w:cs="宋体" w:eastAsia="宋体" w:hint="default"/>
                            <w:sz w:val="18"/>
                            <w:szCs w:val="18"/>
                          </w:rPr>
                        </w:pPr>
                        <w:r>
                          <w:rPr>
                            <w:rFonts w:ascii="宋体" w:hAnsi="宋体" w:cs="宋体" w:eastAsia="宋体" w:hint="default"/>
                            <w:sz w:val="18"/>
                            <w:szCs w:val="18"/>
                          </w:rPr>
                          <w:t>应收银行承兑汇票</w:t>
                        </w:r>
                      </w:p>
                    </w:tc>
                    <w:tc>
                      <w:tcPr>
                        <w:tcW w:w="2673"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票据类型</w:t>
                        </w:r>
                      </w:p>
                    </w:tc>
                    <w:tc>
                      <w:tcPr>
                        <w:tcW w:w="461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3"/>
                          <w:jc w:val="left"/>
                          <w:rPr>
                            <w:rFonts w:ascii="宋体" w:hAnsi="宋体" w:cs="宋体" w:eastAsia="宋体" w:hint="default"/>
                            <w:sz w:val="18"/>
                            <w:szCs w:val="18"/>
                          </w:rPr>
                        </w:pPr>
                        <w:r>
                          <w:rPr>
                            <w:rFonts w:ascii="宋体" w:hAnsi="宋体" w:cs="宋体" w:eastAsia="宋体" w:hint="default"/>
                            <w:spacing w:val="-4"/>
                            <w:sz w:val="18"/>
                            <w:szCs w:val="18"/>
                          </w:rPr>
                          <w:t>参考历史信用损失经验，结合当前状况以及对未来经济状况</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的预测，通过违约风险敞口和整个存续期预期信用损失率 计算预期信用损失</w:t>
                        </w:r>
                      </w:p>
                    </w:tc>
                  </w:tr>
                  <w:tr>
                    <w:trPr>
                      <w:trHeight w:val="971" w:hRule="exact"/>
                    </w:trPr>
                    <w:tc>
                      <w:tcPr>
                        <w:tcW w:w="2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457" w:right="0"/>
                          <w:jc w:val="left"/>
                          <w:rPr>
                            <w:rFonts w:ascii="宋体" w:hAnsi="宋体" w:cs="宋体" w:eastAsia="宋体" w:hint="default"/>
                            <w:sz w:val="18"/>
                            <w:szCs w:val="18"/>
                          </w:rPr>
                        </w:pPr>
                        <w:r>
                          <w:rPr>
                            <w:rFonts w:ascii="宋体" w:hAnsi="宋体" w:cs="宋体" w:eastAsia="宋体" w:hint="default"/>
                            <w:sz w:val="18"/>
                            <w:szCs w:val="18"/>
                          </w:rPr>
                          <w:t>应收商业承兑汇票</w:t>
                        </w:r>
                      </w:p>
                    </w:tc>
                    <w:tc>
                      <w:tcPr>
                        <w:tcW w:w="2673" w:type="dxa"/>
                        <w:vMerge/>
                        <w:tcBorders>
                          <w:left w:val="single" w:sz="6" w:space="0" w:color="000000"/>
                          <w:bottom w:val="single" w:sz="6" w:space="0" w:color="000000"/>
                          <w:right w:val="single" w:sz="6" w:space="0" w:color="000000"/>
                        </w:tcBorders>
                      </w:tcPr>
                      <w:p>
                        <w:pPr/>
                      </w:p>
                    </w:tc>
                    <w:tc>
                      <w:tcPr>
                        <w:tcW w:w="461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3"/>
                          <w:jc w:val="both"/>
                          <w:rPr>
                            <w:rFonts w:ascii="宋体" w:hAnsi="宋体" w:cs="宋体" w:eastAsia="宋体" w:hint="default"/>
                            <w:sz w:val="18"/>
                            <w:szCs w:val="18"/>
                          </w:rPr>
                        </w:pPr>
                        <w:r>
                          <w:rPr>
                            <w:rFonts w:ascii="宋体" w:hAnsi="宋体" w:cs="宋体" w:eastAsia="宋体" w:hint="default"/>
                            <w:spacing w:val="-4"/>
                            <w:sz w:val="18"/>
                            <w:szCs w:val="18"/>
                          </w:rPr>
                          <w:t>参考历史信用损失经验，结合当前状况以及对未来经济状况</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4"/>
                            <w:sz w:val="18"/>
                            <w:szCs w:val="18"/>
                          </w:rPr>
                          <w:t>的预测，编制应收票据账龄与整个存续期预期信用损失率对</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照表，计算预期信用损失</w:t>
                        </w:r>
                      </w:p>
                    </w:tc>
                  </w:tr>
                  <w:tr>
                    <w:trPr>
                      <w:trHeight w:val="971" w:hRule="exact"/>
                    </w:trPr>
                    <w:tc>
                      <w:tcPr>
                        <w:tcW w:w="2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00" w:lineRule="auto"/>
                          <w:ind w:left="817" w:right="67" w:hanging="749"/>
                          <w:jc w:val="left"/>
                          <w:rPr>
                            <w:rFonts w:ascii="宋体" w:hAnsi="宋体" w:cs="宋体" w:eastAsia="宋体" w:hint="default"/>
                            <w:sz w:val="18"/>
                            <w:szCs w:val="18"/>
                          </w:rPr>
                        </w:pP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应收合并范围内关 联方组合</w:t>
                        </w:r>
                      </w:p>
                    </w:tc>
                    <w:tc>
                      <w:tcPr>
                        <w:tcW w:w="26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461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3"/>
                          <w:jc w:val="left"/>
                          <w:rPr>
                            <w:rFonts w:ascii="宋体" w:hAnsi="宋体" w:cs="宋体" w:eastAsia="宋体" w:hint="default"/>
                            <w:sz w:val="18"/>
                            <w:szCs w:val="18"/>
                          </w:rPr>
                        </w:pPr>
                        <w:r>
                          <w:rPr>
                            <w:rFonts w:ascii="宋体" w:hAnsi="宋体" w:cs="宋体" w:eastAsia="宋体" w:hint="default"/>
                            <w:spacing w:val="-4"/>
                            <w:sz w:val="18"/>
                            <w:szCs w:val="18"/>
                          </w:rPr>
                          <w:t>参考历史信用损失经验，结合当前状况以及对未来经济状况</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的预测，通过违约风险敞口和整个存续期预期信用损失率 计算预期信用损失</w:t>
                        </w:r>
                      </w:p>
                    </w:tc>
                  </w:tr>
                  <w:tr>
                    <w:trPr>
                      <w:trHeight w:val="672" w:hRule="exact"/>
                    </w:trPr>
                    <w:tc>
                      <w:tcPr>
                        <w:tcW w:w="2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429"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账龄组合</w:t>
                        </w:r>
                      </w:p>
                    </w:tc>
                    <w:tc>
                      <w:tcPr>
                        <w:tcW w:w="26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61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2"/>
                          <w:ind w:left="2" w:right="3"/>
                          <w:jc w:val="left"/>
                          <w:rPr>
                            <w:rFonts w:ascii="宋体" w:hAnsi="宋体" w:cs="宋体" w:eastAsia="宋体" w:hint="default"/>
                            <w:sz w:val="18"/>
                            <w:szCs w:val="18"/>
                          </w:rPr>
                        </w:pPr>
                        <w:r>
                          <w:rPr>
                            <w:rFonts w:ascii="宋体" w:hAnsi="宋体" w:cs="宋体" w:eastAsia="宋体" w:hint="default"/>
                            <w:sz w:val="18"/>
                            <w:szCs w:val="18"/>
                          </w:rPr>
                          <w:t>参考历史信用损失经验</w:t>
                        </w:r>
                        <w:r>
                          <w:rPr>
                            <w:rFonts w:ascii="宋体" w:hAnsi="宋体" w:cs="宋体" w:eastAsia="宋体" w:hint="default"/>
                            <w:spacing w:val="-92"/>
                            <w:sz w:val="18"/>
                            <w:szCs w:val="18"/>
                          </w:rPr>
                          <w:t>，</w:t>
                        </w:r>
                        <w:r>
                          <w:rPr>
                            <w:rFonts w:ascii="宋体" w:hAnsi="宋体" w:cs="宋体" w:eastAsia="宋体" w:hint="default"/>
                            <w:sz w:val="18"/>
                            <w:szCs w:val="18"/>
                          </w:rPr>
                          <w:t>结合当前状况以及对未来经济状况</w:t>
                        </w:r>
                        <w:r>
                          <w:rPr>
                            <w:rFonts w:ascii="宋体" w:hAnsi="宋体" w:cs="宋体" w:eastAsia="宋体" w:hint="default"/>
                            <w:sz w:val="18"/>
                            <w:szCs w:val="18"/>
                          </w:rPr>
                          <w:t> 的预测</w:t>
                        </w:r>
                        <w:r>
                          <w:rPr>
                            <w:rFonts w:ascii="宋体" w:hAnsi="宋体" w:cs="宋体" w:eastAsia="宋体" w:hint="default"/>
                            <w:spacing w:val="-92"/>
                            <w:sz w:val="18"/>
                            <w:szCs w:val="18"/>
                          </w:rPr>
                          <w:t>，</w:t>
                        </w:r>
                        <w:r>
                          <w:rPr>
                            <w:rFonts w:ascii="宋体" w:hAnsi="宋体" w:cs="宋体" w:eastAsia="宋体" w:hint="default"/>
                            <w:sz w:val="18"/>
                            <w:szCs w:val="18"/>
                          </w:rPr>
                          <w:t>编制应收账款账龄与整个存续期预期信用损失率对</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6"/>
          <w:szCs w:val="26"/>
        </w:rPr>
      </w:pPr>
    </w:p>
    <w:p>
      <w:pPr>
        <w:pStyle w:val="BodyText"/>
        <w:spacing w:line="240" w:lineRule="auto" w:before="44"/>
        <w:ind w:left="0" w:right="1045"/>
        <w:jc w:val="right"/>
      </w:pPr>
      <w:r>
        <w:rPr/>
        <w:t>，</w:t>
      </w:r>
    </w:p>
    <w:p>
      <w:pPr>
        <w:spacing w:after="0" w:line="240" w:lineRule="auto"/>
        <w:jc w:val="right"/>
        <w:sectPr>
          <w:footerReference w:type="default" r:id="rId43"/>
          <w:pgSz w:w="11910" w:h="16840"/>
          <w:pgMar w:footer="1016" w:header="907" w:top="1100" w:bottom="1200" w:left="1000" w:right="0"/>
          <w:pgNumType w:start="120"/>
        </w:sectPr>
      </w:pPr>
    </w:p>
    <w:p>
      <w:pPr>
        <w:spacing w:line="240" w:lineRule="auto" w:before="6"/>
        <w:rPr>
          <w:rFonts w:ascii="宋体" w:hAnsi="宋体" w:cs="宋体" w:eastAsia="宋体" w:hint="default"/>
          <w:sz w:val="25"/>
          <w:szCs w:val="25"/>
        </w:rPr>
      </w:pPr>
    </w:p>
    <w:tbl>
      <w:tblPr>
        <w:tblW w:w="0" w:type="auto"/>
        <w:jc w:val="left"/>
        <w:tblInd w:w="118" w:type="dxa"/>
        <w:tblLayout w:type="fixed"/>
        <w:tblCellMar>
          <w:top w:w="0" w:type="dxa"/>
          <w:left w:w="0" w:type="dxa"/>
          <w:bottom w:w="0" w:type="dxa"/>
          <w:right w:w="0" w:type="dxa"/>
        </w:tblCellMar>
        <w:tblLook w:val="01E0"/>
      </w:tblPr>
      <w:tblGrid>
        <w:gridCol w:w="2371"/>
        <w:gridCol w:w="2673"/>
        <w:gridCol w:w="4610"/>
      </w:tblGrid>
      <w:tr>
        <w:trPr>
          <w:trHeight w:val="347" w:hRule="exact"/>
        </w:trPr>
        <w:tc>
          <w:tcPr>
            <w:tcW w:w="2371" w:type="dxa"/>
            <w:tcBorders>
              <w:top w:val="single" w:sz="6" w:space="0" w:color="000000"/>
              <w:left w:val="single" w:sz="6" w:space="0" w:color="000000"/>
              <w:bottom w:val="single" w:sz="6" w:space="0" w:color="000000"/>
              <w:right w:val="single" w:sz="6" w:space="0" w:color="000000"/>
            </w:tcBorders>
          </w:tcPr>
          <w:p>
            <w:pPr/>
          </w:p>
        </w:tc>
        <w:tc>
          <w:tcPr>
            <w:tcW w:w="2673" w:type="dxa"/>
            <w:tcBorders>
              <w:top w:val="single" w:sz="6" w:space="0" w:color="000000"/>
              <w:left w:val="single" w:sz="6" w:space="0" w:color="000000"/>
              <w:bottom w:val="single" w:sz="6" w:space="0" w:color="000000"/>
              <w:right w:val="single" w:sz="6" w:space="0" w:color="000000"/>
            </w:tcBorders>
          </w:tcPr>
          <w:p>
            <w:pPr/>
          </w:p>
        </w:tc>
        <w:tc>
          <w:tcPr>
            <w:tcW w:w="46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照表，计算预期信用损失</w:t>
            </w:r>
          </w:p>
        </w:tc>
      </w:tr>
    </w:tbl>
    <w:p>
      <w:pPr>
        <w:pStyle w:val="BodyText"/>
        <w:spacing w:line="240" w:lineRule="auto" w:before="10"/>
        <w:ind w:left="552" w:right="1115"/>
        <w:jc w:val="left"/>
      </w:pPr>
      <w:r>
        <w:rPr>
          <w:rFonts w:ascii="Times New Roman" w:hAnsi="Times New Roman" w:cs="Times New Roman" w:eastAsia="Times New Roman" w:hint="default"/>
        </w:rPr>
        <w:t>2</w:t>
      </w:r>
      <w:r>
        <w:rPr/>
        <w:t>）</w:t>
      </w:r>
      <w:r>
        <w:rPr>
          <w:spacing w:val="-1"/>
        </w:rPr>
        <w:t> </w:t>
      </w:r>
      <w:r>
        <w:rPr/>
        <w:t>应收账龄组合账龄与整个存续期预期信用损失率对照表</w:t>
      </w:r>
    </w:p>
    <w:p>
      <w:pPr>
        <w:spacing w:line="240" w:lineRule="auto" w:before="1"/>
        <w:rPr>
          <w:rFonts w:ascii="宋体" w:hAnsi="宋体" w:cs="宋体" w:eastAsia="宋体" w:hint="default"/>
          <w:sz w:val="4"/>
          <w:szCs w:val="4"/>
        </w:rPr>
      </w:pPr>
    </w:p>
    <w:tbl>
      <w:tblPr>
        <w:tblW w:w="0" w:type="auto"/>
        <w:jc w:val="left"/>
        <w:tblInd w:w="116" w:type="dxa"/>
        <w:tblLayout w:type="fixed"/>
        <w:tblCellMar>
          <w:top w:w="0" w:type="dxa"/>
          <w:left w:w="0" w:type="dxa"/>
          <w:bottom w:w="0" w:type="dxa"/>
          <w:right w:w="0" w:type="dxa"/>
        </w:tblCellMar>
        <w:tblLook w:val="01E0"/>
      </w:tblPr>
      <w:tblGrid>
        <w:gridCol w:w="4829"/>
        <w:gridCol w:w="4829"/>
      </w:tblGrid>
      <w:tr>
        <w:trPr>
          <w:trHeight w:val="659" w:hRule="exact"/>
        </w:trPr>
        <w:tc>
          <w:tcPr>
            <w:tcW w:w="4829"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账</w:t>
            </w:r>
            <w:r>
              <w:rPr>
                <w:rFonts w:ascii="宋体" w:hAnsi="宋体" w:cs="宋体" w:eastAsia="宋体" w:hint="default"/>
                <w:b/>
                <w:bCs/>
                <w:spacing w:val="87"/>
                <w:sz w:val="18"/>
                <w:szCs w:val="18"/>
              </w:rPr>
              <w:t> </w:t>
            </w:r>
            <w:r>
              <w:rPr>
                <w:rFonts w:ascii="宋体" w:hAnsi="宋体" w:cs="宋体" w:eastAsia="宋体" w:hint="default"/>
                <w:b/>
                <w:bCs/>
                <w:sz w:val="18"/>
                <w:szCs w:val="18"/>
              </w:rPr>
              <w:t>龄</w:t>
            </w:r>
            <w:r>
              <w:rPr>
                <w:rFonts w:ascii="宋体" w:hAnsi="宋体" w:cs="宋体" w:eastAsia="宋体" w:hint="default"/>
                <w:sz w:val="18"/>
                <w:szCs w:val="18"/>
              </w:rPr>
            </w:r>
          </w:p>
        </w:tc>
        <w:tc>
          <w:tcPr>
            <w:tcW w:w="4829"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316" w:lineRule="auto" w:before="21"/>
              <w:ind w:left="1506" w:right="1499"/>
              <w:jc w:val="left"/>
              <w:rPr>
                <w:rFonts w:ascii="宋体" w:hAnsi="宋体" w:cs="宋体" w:eastAsia="宋体" w:hint="default"/>
                <w:sz w:val="18"/>
                <w:szCs w:val="18"/>
              </w:rPr>
            </w:pPr>
            <w:r>
              <w:rPr>
                <w:rFonts w:ascii="宋体" w:hAnsi="宋体" w:cs="宋体" w:eastAsia="宋体" w:hint="default"/>
                <w:b/>
                <w:bCs/>
                <w:sz w:val="18"/>
                <w:szCs w:val="18"/>
              </w:rPr>
              <w:t>应收外部客户账款组合</w:t>
            </w:r>
            <w:r>
              <w:rPr>
                <w:rFonts w:ascii="宋体" w:hAnsi="宋体" w:cs="宋体" w:eastAsia="宋体" w:hint="default"/>
                <w:b/>
                <w:bCs/>
                <w:w w:val="99"/>
                <w:sz w:val="18"/>
                <w:szCs w:val="18"/>
              </w:rPr>
              <w:t> </w:t>
            </w:r>
            <w:r>
              <w:rPr>
                <w:rFonts w:ascii="宋体" w:hAnsi="宋体" w:cs="宋体" w:eastAsia="宋体" w:hint="default"/>
                <w:b/>
                <w:bCs/>
                <w:sz w:val="18"/>
                <w:szCs w:val="18"/>
              </w:rPr>
              <w:t>预期信用损失率（</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年以内（含，下同）</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246"/>
              <w:jc w:val="right"/>
              <w:rPr>
                <w:rFonts w:ascii="Times New Roman" w:hAnsi="Times New Roman" w:cs="Times New Roman" w:eastAsia="Times New Roman" w:hint="default"/>
                <w:sz w:val="18"/>
                <w:szCs w:val="18"/>
              </w:rPr>
            </w:pPr>
            <w:r>
              <w:rPr>
                <w:rFonts w:ascii="Times New Roman"/>
                <w:spacing w:val="-1"/>
                <w:sz w:val="18"/>
              </w:rPr>
              <w:t>5.00</w:t>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2201"/>
              <w:jc w:val="right"/>
              <w:rPr>
                <w:rFonts w:ascii="Times New Roman" w:hAnsi="Times New Roman" w:cs="Times New Roman" w:eastAsia="Times New Roman" w:hint="default"/>
                <w:sz w:val="18"/>
                <w:szCs w:val="18"/>
              </w:rPr>
            </w:pPr>
            <w:r>
              <w:rPr>
                <w:rFonts w:ascii="Times New Roman"/>
                <w:sz w:val="18"/>
              </w:rPr>
              <w:t>20.00</w:t>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宋体" w:hAnsi="宋体" w:cs="宋体" w:eastAsia="宋体" w:hint="default"/>
                <w:sz w:val="18"/>
                <w:szCs w:val="18"/>
              </w:rPr>
              <w:t>年</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201"/>
              <w:jc w:val="right"/>
              <w:rPr>
                <w:rFonts w:ascii="Times New Roman" w:hAnsi="Times New Roman" w:cs="Times New Roman" w:eastAsia="Times New Roman" w:hint="default"/>
                <w:sz w:val="18"/>
                <w:szCs w:val="18"/>
              </w:rPr>
            </w:pPr>
            <w:r>
              <w:rPr>
                <w:rFonts w:ascii="Times New Roman"/>
                <w:sz w:val="18"/>
              </w:rPr>
              <w:t>30.00</w:t>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宋体" w:hAnsi="宋体" w:cs="宋体" w:eastAsia="宋体" w:hint="default"/>
                <w:sz w:val="18"/>
                <w:szCs w:val="18"/>
              </w:rPr>
              <w:t>年</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2201"/>
              <w:jc w:val="right"/>
              <w:rPr>
                <w:rFonts w:ascii="Times New Roman" w:hAnsi="Times New Roman" w:cs="Times New Roman" w:eastAsia="Times New Roman" w:hint="default"/>
                <w:sz w:val="18"/>
                <w:szCs w:val="18"/>
              </w:rPr>
            </w:pPr>
            <w:r>
              <w:rPr>
                <w:rFonts w:ascii="Times New Roman"/>
                <w:sz w:val="18"/>
              </w:rPr>
              <w:t>50.00</w:t>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宋体" w:hAnsi="宋体" w:cs="宋体" w:eastAsia="宋体" w:hint="default"/>
                <w:sz w:val="18"/>
                <w:szCs w:val="18"/>
              </w:rPr>
              <w:t>年</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2201"/>
              <w:jc w:val="right"/>
              <w:rPr>
                <w:rFonts w:ascii="Times New Roman" w:hAnsi="Times New Roman" w:cs="Times New Roman" w:eastAsia="Times New Roman" w:hint="default"/>
                <w:sz w:val="18"/>
                <w:szCs w:val="18"/>
              </w:rPr>
            </w:pPr>
            <w:r>
              <w:rPr>
                <w:rFonts w:ascii="Times New Roman"/>
                <w:sz w:val="18"/>
              </w:rPr>
              <w:t>80.00</w:t>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2158"/>
              <w:jc w:val="right"/>
              <w:rPr>
                <w:rFonts w:ascii="Times New Roman" w:hAnsi="Times New Roman" w:cs="Times New Roman" w:eastAsia="Times New Roman" w:hint="default"/>
                <w:sz w:val="18"/>
                <w:szCs w:val="18"/>
              </w:rPr>
            </w:pPr>
            <w:r>
              <w:rPr>
                <w:rFonts w:ascii="Times New Roman"/>
                <w:spacing w:val="-1"/>
                <w:sz w:val="18"/>
              </w:rPr>
              <w:t>100.00</w:t>
            </w:r>
          </w:p>
        </w:tc>
      </w:tr>
    </w:tbl>
    <w:p>
      <w:pPr>
        <w:pStyle w:val="BodyText"/>
        <w:spacing w:line="240" w:lineRule="auto" w:before="11"/>
        <w:ind w:left="552" w:right="1115"/>
        <w:jc w:val="left"/>
      </w:pPr>
      <w:r>
        <w:rPr/>
        <w:t>此外，应收商业承兑汇票组合均为</w:t>
      </w:r>
      <w:r>
        <w:rPr>
          <w:rFonts w:ascii="Times New Roman" w:hAnsi="Times New Roman" w:cs="Times New Roman" w:eastAsia="Times New Roman" w:hint="default"/>
        </w:rPr>
        <w:t>1</w:t>
      </w:r>
      <w:r>
        <w:rPr/>
        <w:t>年以内，故按</w:t>
      </w:r>
      <w:r>
        <w:rPr>
          <w:rFonts w:ascii="Times New Roman" w:hAnsi="Times New Roman" w:cs="Times New Roman" w:eastAsia="Times New Roman" w:hint="default"/>
        </w:rPr>
        <w:t>5%</w:t>
      </w:r>
      <w:r>
        <w:rPr/>
        <w:t>确定预期信用损失率。</w:t>
      </w:r>
    </w:p>
    <w:p>
      <w:pPr>
        <w:pStyle w:val="BodyText"/>
        <w:spacing w:line="300" w:lineRule="auto" w:before="63"/>
        <w:ind w:left="552" w:right="1115"/>
        <w:jc w:val="left"/>
      </w:pPr>
      <w:r>
        <w:rPr>
          <w:rFonts w:ascii="Times New Roman" w:hAnsi="Times New Roman" w:cs="Times New Roman" w:eastAsia="Times New Roman" w:hint="default"/>
        </w:rPr>
        <w:t>6.</w:t>
      </w:r>
      <w:r>
        <w:rPr>
          <w:rFonts w:ascii="Times New Roman" w:hAnsi="Times New Roman" w:cs="Times New Roman" w:eastAsia="Times New Roman" w:hint="default"/>
          <w:spacing w:val="44"/>
        </w:rPr>
        <w:t> </w:t>
      </w:r>
      <w:r>
        <w:rPr/>
        <w:t>金融资产和金融负债的抵销 金融资产和金融负债在资产负债表内分别列示，不相互抵销。但同时满足下列条件的，公司以相互抵销后的净额在资</w:t>
      </w:r>
    </w:p>
    <w:p>
      <w:pPr>
        <w:pStyle w:val="BodyText"/>
        <w:spacing w:line="309" w:lineRule="auto" w:before="31"/>
        <w:ind w:left="132" w:right="1115"/>
        <w:jc w:val="left"/>
      </w:pPr>
      <w:r>
        <w:rPr>
          <w:spacing w:val="-3"/>
        </w:rPr>
        <w:t>产负债表内列示：（</w:t>
      </w:r>
      <w:r>
        <w:rPr>
          <w:rFonts w:ascii="Times New Roman" w:hAnsi="Times New Roman" w:cs="Times New Roman" w:eastAsia="Times New Roman" w:hint="default"/>
          <w:spacing w:val="-3"/>
        </w:rPr>
        <w:t>1</w:t>
      </w:r>
      <w:r>
        <w:rPr>
          <w:spacing w:val="-3"/>
        </w:rPr>
        <w:t>） </w:t>
      </w:r>
      <w:r>
        <w:rPr/>
        <w:t>公司具有抵销已确认金额的法定权利，且该种法定权利是当前可执行的；（</w:t>
      </w:r>
      <w:r>
        <w:rPr>
          <w:rFonts w:ascii="Times New Roman" w:hAnsi="Times New Roman" w:cs="Times New Roman" w:eastAsia="Times New Roman" w:hint="default"/>
        </w:rPr>
        <w:t>2</w:t>
      </w:r>
      <w:r>
        <w:rPr/>
        <w:t>）</w:t>
      </w:r>
      <w:r>
        <w:rPr>
          <w:spacing w:val="-45"/>
        </w:rPr>
        <w:t> </w:t>
      </w:r>
      <w:r>
        <w:rPr/>
        <w:t>公司计划以净额结</w:t>
      </w:r>
      <w:r>
        <w:rPr/>
        <w:t> 算，或同时变现该金融资产和清偿该金融负债。 不满足终止确认条件的金融资产转移，公司不对已转移的金融资产和相关负债进行抵销。</w:t>
      </w:r>
    </w:p>
    <w:p>
      <w:pPr>
        <w:spacing w:line="240" w:lineRule="auto" w:before="11"/>
        <w:rPr>
          <w:rFonts w:ascii="宋体" w:hAnsi="宋体" w:cs="宋体" w:eastAsia="宋体" w:hint="default"/>
          <w:sz w:val="22"/>
          <w:szCs w:val="22"/>
        </w:rPr>
      </w:pPr>
    </w:p>
    <w:p>
      <w:pPr>
        <w:pStyle w:val="Heading3"/>
        <w:spacing w:line="240" w:lineRule="auto"/>
        <w:ind w:left="132" w:right="1115"/>
        <w:jc w:val="left"/>
        <w:rPr>
          <w:b w:val="0"/>
          <w:bCs w:val="0"/>
        </w:rPr>
      </w:pPr>
      <w:bookmarkStart w:name="10、存货" w:id="190"/>
      <w:bookmarkEnd w:id="190"/>
      <w:r>
        <w:rPr>
          <w:b w:val="0"/>
          <w:bCs w:val="0"/>
        </w:rPr>
      </w:r>
      <w:r>
        <w:rPr>
          <w:rFonts w:ascii="Times New Roman" w:hAnsi="Times New Roman" w:cs="Times New Roman" w:eastAsia="Times New Roman" w:hint="default"/>
        </w:rPr>
        <w:t>10</w:t>
      </w:r>
      <w:r>
        <w:rPr/>
        <w:t>、存货</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52" w:right="1115"/>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4"/>
        </w:rPr>
        <w:t> </w:t>
      </w:r>
      <w:r>
        <w:rPr/>
        <w:t>存货的分类 存货包括在日常活动中持有以备出售的产成品或商品、处在生产过程中的在产品、在生产过程或提供劳务过程中耗用</w:t>
      </w:r>
    </w:p>
    <w:p>
      <w:pPr>
        <w:pStyle w:val="BodyText"/>
        <w:spacing w:line="240" w:lineRule="auto" w:before="31"/>
        <w:ind w:left="132" w:right="1115"/>
        <w:jc w:val="left"/>
      </w:pPr>
      <w:r>
        <w:rPr/>
        <w:t>的材料和物料等。</w:t>
      </w:r>
    </w:p>
    <w:p>
      <w:pPr>
        <w:pStyle w:val="BodyText"/>
        <w:spacing w:line="309" w:lineRule="auto" w:before="76"/>
        <w:ind w:left="552" w:right="6374"/>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44"/>
        </w:rPr>
        <w:t> </w:t>
      </w:r>
      <w:r>
        <w:rPr/>
        <w:t>发出存货的计价方法 发出存货采用个别计价法和月末一次加权平均法。 </w:t>
      </w:r>
      <w:r>
        <w:rPr>
          <w:rFonts w:ascii="Times New Roman" w:hAnsi="Times New Roman" w:cs="Times New Roman" w:eastAsia="Times New Roman" w:hint="default"/>
        </w:rPr>
        <w:t>3.  </w:t>
      </w:r>
      <w:r>
        <w:rPr/>
        <w:t>存货可变现净值的确定依据</w:t>
      </w:r>
    </w:p>
    <w:p>
      <w:pPr>
        <w:pStyle w:val="BodyText"/>
        <w:spacing w:line="316" w:lineRule="auto" w:before="5"/>
        <w:ind w:left="132" w:right="1130" w:firstLine="420"/>
        <w:jc w:val="both"/>
      </w:pPr>
      <w:r>
        <w:rPr/>
        <w:t>资产负债表日，存货采用成本与可变现净值孰低计量，按照单个存货成本高于可变现净值的差额计提存货跌价准备。 </w:t>
      </w:r>
      <w:r>
        <w:rPr>
          <w:spacing w:val="-2"/>
        </w:rPr>
        <w:t>直接用于出售的存货，在正常生产经营过程中以该存货的估计售价减去估计的销售费用和相关税费后的金额确定其可变现净</w:t>
      </w:r>
      <w:r>
        <w:rPr>
          <w:spacing w:val="-64"/>
        </w:rPr>
        <w:t> </w:t>
      </w:r>
      <w:r>
        <w:rPr>
          <w:spacing w:val="-64"/>
        </w:rPr>
      </w:r>
      <w:r>
        <w:rPr>
          <w:spacing w:val="-2"/>
        </w:rPr>
        <w:t>值；需要经过加工的存货，在正常生产经营过程中以所生产的产成品的估计售价减去至完工时估计将要发生的成本、估计的</w:t>
      </w:r>
      <w:r>
        <w:rPr>
          <w:spacing w:val="-64"/>
        </w:rPr>
        <w:t> </w:t>
      </w:r>
      <w:r>
        <w:rPr>
          <w:spacing w:val="-64"/>
        </w:rPr>
      </w:r>
      <w:r>
        <w:rPr>
          <w:spacing w:val="-2"/>
        </w:rPr>
        <w:t>销售费用和相关税费后的金额确定其可变现净值；资产负债表日，同一项存货中一部分有合同价格约定、其他部分不存在合</w:t>
      </w:r>
      <w:r>
        <w:rPr>
          <w:spacing w:val="-63"/>
        </w:rPr>
        <w:t> </w:t>
      </w:r>
      <w:r>
        <w:rPr>
          <w:spacing w:val="-63"/>
        </w:rPr>
      </w:r>
      <w:r>
        <w:rPr/>
        <w:t>同价格的，分别确定其可变现净值，并与其对应的成本进行比较，分别确定存货跌价准备的计提或转回的金额。</w:t>
      </w:r>
    </w:p>
    <w:p>
      <w:pPr>
        <w:pStyle w:val="BodyText"/>
        <w:spacing w:line="300" w:lineRule="auto" w:before="19"/>
        <w:ind w:left="552" w:right="7814"/>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44"/>
        </w:rPr>
        <w:t> </w:t>
      </w:r>
      <w:r>
        <w:rPr/>
        <w:t>存货的盘存制度 存货的盘存制度为永续盘存制。</w:t>
      </w:r>
    </w:p>
    <w:p>
      <w:pPr>
        <w:pStyle w:val="BodyText"/>
        <w:spacing w:line="240" w:lineRule="auto" w:before="31"/>
        <w:ind w:left="552" w:right="1115"/>
        <w:jc w:val="left"/>
      </w:pPr>
      <w:r>
        <w:rPr>
          <w:rFonts w:ascii="Times New Roman" w:hAnsi="Times New Roman" w:cs="Times New Roman" w:eastAsia="Times New Roman" w:hint="default"/>
        </w:rPr>
        <w:t>5.  </w:t>
      </w:r>
      <w:r>
        <w:rPr/>
        <w:t>低值易耗品和包装物的摊销方法</w:t>
      </w:r>
    </w:p>
    <w:p>
      <w:pPr>
        <w:pStyle w:val="BodyText"/>
        <w:spacing w:line="300" w:lineRule="auto" w:before="63"/>
        <w:ind w:left="552" w:right="8174"/>
        <w:jc w:val="left"/>
      </w:pPr>
      <w:r>
        <w:rPr/>
        <w:t>（</w:t>
      </w:r>
      <w:r>
        <w:rPr>
          <w:rFonts w:ascii="Times New Roman" w:hAnsi="Times New Roman" w:cs="Times New Roman" w:eastAsia="Times New Roman" w:hint="default"/>
        </w:rPr>
        <w:t>1</w:t>
      </w:r>
      <w:r>
        <w:rPr/>
        <w:t>）</w:t>
      </w:r>
      <w:r>
        <w:rPr>
          <w:spacing w:val="-2"/>
        </w:rPr>
        <w:t> </w:t>
      </w:r>
      <w:r>
        <w:rPr/>
        <w:t>低值易耗品</w:t>
      </w:r>
      <w:r>
        <w:rPr/>
        <w:t> 按照一次转销法进行摊销。</w:t>
      </w:r>
    </w:p>
    <w:p>
      <w:pPr>
        <w:pStyle w:val="BodyText"/>
        <w:spacing w:line="300" w:lineRule="auto" w:before="31"/>
        <w:ind w:left="132" w:right="8594" w:firstLine="420"/>
        <w:jc w:val="left"/>
      </w:pPr>
      <w:r>
        <w:rPr/>
        <w:t>（</w:t>
      </w:r>
      <w:r>
        <w:rPr>
          <w:rFonts w:ascii="Times New Roman" w:hAnsi="Times New Roman" w:cs="Times New Roman" w:eastAsia="Times New Roman" w:hint="default"/>
        </w:rPr>
        <w:t>2</w:t>
      </w:r>
      <w:r>
        <w:rPr/>
        <w:t>）</w:t>
      </w:r>
      <w:r>
        <w:rPr>
          <w:spacing w:val="-2"/>
        </w:rPr>
        <w:t> </w:t>
      </w:r>
      <w:r>
        <w:rPr/>
        <w:t>包装物</w:t>
      </w:r>
      <w:r>
        <w:rPr/>
        <w:t> 按照一次转销法进行摊销。</w:t>
      </w:r>
    </w:p>
    <w:p>
      <w:pPr>
        <w:spacing w:line="240" w:lineRule="auto" w:before="7"/>
        <w:rPr>
          <w:rFonts w:ascii="宋体" w:hAnsi="宋体" w:cs="宋体" w:eastAsia="宋体" w:hint="default"/>
          <w:sz w:val="23"/>
          <w:szCs w:val="23"/>
        </w:rPr>
      </w:pPr>
    </w:p>
    <w:p>
      <w:pPr>
        <w:pStyle w:val="Heading3"/>
        <w:spacing w:line="240" w:lineRule="auto"/>
        <w:ind w:left="132" w:right="1115"/>
        <w:jc w:val="left"/>
        <w:rPr>
          <w:b w:val="0"/>
          <w:bCs w:val="0"/>
        </w:rPr>
      </w:pPr>
      <w:bookmarkStart w:name="11、长期股权投资" w:id="191"/>
      <w:bookmarkEnd w:id="191"/>
      <w:r>
        <w:rPr>
          <w:b w:val="0"/>
          <w:bCs w:val="0"/>
        </w:rPr>
      </w:r>
      <w:r>
        <w:rPr>
          <w:rFonts w:ascii="Times New Roman" w:hAnsi="Times New Roman" w:cs="Times New Roman" w:eastAsia="Times New Roman" w:hint="default"/>
        </w:rPr>
        <w:t>11</w:t>
      </w:r>
      <w:r>
        <w:rPr/>
        <w:t>、长期股权投资</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52" w:right="1026"/>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4"/>
        </w:rPr>
        <w:t> </w:t>
      </w:r>
      <w:r>
        <w:rPr/>
        <w:t>共同控制、重要影响的判断 </w:t>
      </w:r>
      <w:r>
        <w:rPr>
          <w:spacing w:val="-1"/>
        </w:rPr>
        <w:t>按照相关约定对某项安排存在共有的控制，并且该安排的相关活动必须经过分享控制权的参与方一致同意后才能决策，</w:t>
      </w:r>
    </w:p>
    <w:p>
      <w:pPr>
        <w:pStyle w:val="BodyText"/>
        <w:spacing w:line="316" w:lineRule="auto" w:before="31"/>
        <w:ind w:left="132" w:right="1115"/>
        <w:jc w:val="left"/>
      </w:pPr>
      <w:r>
        <w:rPr>
          <w:spacing w:val="-2"/>
        </w:rPr>
        <w:t>认定为共同控制。对被投资单位的财务和经营政策有参与决策的权力，但并不能够控制或者与其他方一起共同控制这些政策</w:t>
      </w:r>
      <w:r>
        <w:rPr>
          <w:spacing w:val="-64"/>
        </w:rPr>
        <w:t> </w:t>
      </w:r>
      <w:r>
        <w:rPr>
          <w:spacing w:val="-64"/>
        </w:rPr>
      </w:r>
      <w:r>
        <w:rPr/>
        <w:t>的制定，认定为重大影响。</w:t>
      </w:r>
    </w:p>
    <w:p>
      <w:pPr>
        <w:spacing w:after="0" w:line="316" w:lineRule="auto"/>
        <w:jc w:val="left"/>
        <w:sectPr>
          <w:pgSz w:w="11910" w:h="16840"/>
          <w:pgMar w:header="907" w:footer="1016" w:top="1100" w:bottom="1200" w:left="1000" w:right="0"/>
        </w:sectPr>
      </w:pPr>
    </w:p>
    <w:p>
      <w:pPr>
        <w:spacing w:line="240" w:lineRule="auto" w:before="13"/>
        <w:rPr>
          <w:rFonts w:ascii="宋体" w:hAnsi="宋体" w:cs="宋体" w:eastAsia="宋体" w:hint="default"/>
          <w:sz w:val="22"/>
          <w:szCs w:val="22"/>
        </w:rPr>
      </w:pPr>
    </w:p>
    <w:p>
      <w:pPr>
        <w:pStyle w:val="BodyText"/>
        <w:spacing w:line="240" w:lineRule="auto" w:before="44"/>
        <w:ind w:left="532" w:right="882"/>
        <w:jc w:val="left"/>
      </w:pPr>
      <w:r>
        <w:rPr>
          <w:rFonts w:ascii="Times New Roman" w:hAnsi="Times New Roman" w:cs="Times New Roman" w:eastAsia="Times New Roman" w:hint="default"/>
        </w:rPr>
        <w:t>2.  </w:t>
      </w:r>
      <w:r>
        <w:rPr/>
        <w:t>投资成本的确定</w:t>
      </w:r>
    </w:p>
    <w:p>
      <w:pPr>
        <w:pStyle w:val="BodyText"/>
        <w:spacing w:line="312" w:lineRule="auto" w:before="63"/>
        <w:ind w:right="1034" w:firstLine="420"/>
        <w:jc w:val="left"/>
      </w:pPr>
      <w:r>
        <w:rPr/>
        <w:t>（</w:t>
      </w:r>
      <w:r>
        <w:rPr>
          <w:rFonts w:ascii="Times New Roman" w:hAnsi="Times New Roman" w:cs="Times New Roman" w:eastAsia="Times New Roman" w:hint="default"/>
        </w:rPr>
        <w:t>1</w:t>
      </w:r>
      <w:r>
        <w:rPr/>
        <w:t>）</w:t>
      </w:r>
      <w:r>
        <w:rPr>
          <w:spacing w:val="16"/>
        </w:rPr>
        <w:t> </w:t>
      </w:r>
      <w:r>
        <w:rPr/>
        <w:t>同一控制下的企业合并形成的，合并方以支付现金、转让非现金资产、承担债务或发行权益性证券作为合并对</w:t>
      </w:r>
      <w:r>
        <w:rPr/>
        <w:t> </w:t>
      </w:r>
      <w:r>
        <w:rPr>
          <w:spacing w:val="-2"/>
        </w:rPr>
        <w:t>价的，在合并日按照取得被合并方所有者权益在最终控制方合并财务报表中的账面价值的份额作为其初始投资成本。长期股</w:t>
      </w:r>
      <w:r>
        <w:rPr>
          <w:spacing w:val="-64"/>
        </w:rPr>
        <w:t> </w:t>
      </w:r>
      <w:r>
        <w:rPr>
          <w:spacing w:val="-64"/>
        </w:rPr>
      </w:r>
      <w:r>
        <w:rPr/>
        <w:t>权投资初始投资成本与支付的合并对价的账面价值或发行股份的面值总额之间的差额调整资本公积；资本公积不足冲减的， 调整留存收益。</w:t>
      </w:r>
    </w:p>
    <w:p>
      <w:pPr>
        <w:pStyle w:val="BodyText"/>
        <w:spacing w:line="316" w:lineRule="auto" w:before="22"/>
        <w:ind w:right="1034" w:firstLine="420"/>
        <w:jc w:val="left"/>
      </w:pPr>
      <w:r>
        <w:rPr/>
        <w:t>公司通过多次交易分步实现同一控制下企业合并形成的长期股权投资，判断是否属于“一揽子交易”。属于“一揽子 </w:t>
      </w:r>
      <w:r>
        <w:rPr>
          <w:spacing w:val="-2"/>
        </w:rPr>
        <w:t>交易”的，把各项交易作为一项取得控制权的交易进行会计处理。不属于“一揽子交易”的，在合并日，根据合并后应享有</w:t>
      </w:r>
      <w:r>
        <w:rPr>
          <w:spacing w:val="-63"/>
        </w:rPr>
        <w:t> </w:t>
      </w:r>
      <w:r>
        <w:rPr>
          <w:spacing w:val="-63"/>
        </w:rPr>
      </w:r>
      <w:r>
        <w:rPr/>
        <w:t>被合并方净资产在最终控制方合并财务报表中的账面价值的份额确定初始投资成本。合并日长期股权投资的初始投资成本， </w:t>
      </w:r>
      <w:r>
        <w:rPr>
          <w:spacing w:val="-2"/>
        </w:rPr>
        <w:t>与达到合并前的长期股权投资账面价值加上合并日进一步取得股份新支付对价的账面价值之和的差额，调整资本公积；资本</w:t>
      </w:r>
      <w:r>
        <w:rPr>
          <w:spacing w:val="-64"/>
        </w:rPr>
        <w:t> </w:t>
      </w:r>
      <w:r>
        <w:rPr>
          <w:spacing w:val="-64"/>
        </w:rPr>
      </w:r>
      <w:r>
        <w:rPr/>
        <w:t>公积不足冲减的，调整留存收益。</w:t>
      </w:r>
    </w:p>
    <w:p>
      <w:pPr>
        <w:pStyle w:val="BodyText"/>
        <w:spacing w:line="300" w:lineRule="auto" w:before="19"/>
        <w:ind w:left="532" w:right="882"/>
        <w:jc w:val="left"/>
      </w:pPr>
      <w:r>
        <w:rPr/>
        <w:t>（</w:t>
      </w:r>
      <w:r>
        <w:rPr>
          <w:rFonts w:ascii="Times New Roman" w:hAnsi="Times New Roman" w:cs="Times New Roman" w:eastAsia="Times New Roman" w:hint="default"/>
        </w:rPr>
        <w:t>2</w:t>
      </w:r>
      <w:r>
        <w:rPr/>
        <w:t>）</w:t>
      </w:r>
      <w:r>
        <w:rPr>
          <w:spacing w:val="-2"/>
        </w:rPr>
        <w:t> </w:t>
      </w:r>
      <w:r>
        <w:rPr/>
        <w:t>非同一控制下的企业合并形成的，在购买日按照支付的合并对价的公允价值作为其初始投资成本。</w:t>
      </w:r>
      <w:r>
        <w:rPr/>
        <w:t> 公司通过多次交易分步实现非同一控制下企业合并形成的长期股权投资，区分个别财务报表和合并财务报表进行相关</w:t>
      </w:r>
    </w:p>
    <w:p>
      <w:pPr>
        <w:pStyle w:val="BodyText"/>
        <w:spacing w:line="240" w:lineRule="auto" w:before="31"/>
        <w:ind w:right="0"/>
        <w:jc w:val="both"/>
      </w:pPr>
      <w:r>
        <w:rPr/>
        <w:t>会计处理：</w:t>
      </w:r>
    </w:p>
    <w:p>
      <w:pPr>
        <w:pStyle w:val="BodyText"/>
        <w:spacing w:line="300" w:lineRule="auto" w:before="76"/>
        <w:ind w:right="1127" w:firstLine="420"/>
        <w:jc w:val="left"/>
      </w:pPr>
      <w:r>
        <w:rPr>
          <w:rFonts w:ascii="Times New Roman" w:hAnsi="Times New Roman" w:cs="Times New Roman" w:eastAsia="Times New Roman" w:hint="default"/>
        </w:rPr>
        <w:t>1</w:t>
      </w:r>
      <w:r>
        <w:rPr/>
        <w:t>）</w:t>
      </w:r>
      <w:r>
        <w:rPr>
          <w:spacing w:val="27"/>
        </w:rPr>
        <w:t> </w:t>
      </w:r>
      <w:r>
        <w:rPr/>
        <w:t>在个别财务报表中，按照原持有的股权投资的账面价值加上新增投资成本之和，作为改按成本法核算的初始投资</w:t>
      </w:r>
      <w:r>
        <w:rPr/>
        <w:t> 成本。</w:t>
      </w:r>
    </w:p>
    <w:p>
      <w:pPr>
        <w:pStyle w:val="BodyText"/>
        <w:spacing w:line="314" w:lineRule="auto" w:before="31"/>
        <w:ind w:right="1130" w:firstLine="420"/>
        <w:jc w:val="both"/>
      </w:pPr>
      <w:r>
        <w:rPr>
          <w:rFonts w:ascii="Times New Roman" w:hAnsi="Times New Roman" w:cs="Times New Roman" w:eastAsia="Times New Roman" w:hint="default"/>
        </w:rPr>
        <w:t>2</w:t>
      </w:r>
      <w:r>
        <w:rPr/>
        <w:t>）</w:t>
      </w:r>
      <w:r>
        <w:rPr>
          <w:spacing w:val="27"/>
        </w:rPr>
        <w:t> </w:t>
      </w:r>
      <w:r>
        <w:rPr/>
        <w:t>在合并财务报表中，判断是否属于“一揽子交易”。属于“一揽子交易”的，把各项交易作为一项取得控制权的</w:t>
      </w:r>
      <w:r>
        <w:rPr/>
        <w:t> </w:t>
      </w:r>
      <w:r>
        <w:rPr>
          <w:spacing w:val="-2"/>
        </w:rPr>
        <w:t>交易进行会计处理。不属于“一揽子交易”的，对于购买日之前持有的被购买方的股权，按照该股权在购买日的公允价值进</w:t>
      </w:r>
      <w:r>
        <w:rPr>
          <w:spacing w:val="-63"/>
        </w:rPr>
        <w:t> </w:t>
      </w:r>
      <w:r>
        <w:rPr>
          <w:spacing w:val="-63"/>
        </w:rPr>
      </w:r>
      <w:r>
        <w:rPr>
          <w:spacing w:val="-2"/>
        </w:rPr>
        <w:t>行重新计量，公允价值与其账面价值的差额计入当期投资收益；购买日之前持有的被购买方的股权涉及权益法核算下的其他</w:t>
      </w:r>
      <w:r>
        <w:rPr>
          <w:spacing w:val="-64"/>
        </w:rPr>
        <w:t> </w:t>
      </w:r>
      <w:r>
        <w:rPr>
          <w:spacing w:val="-64"/>
        </w:rPr>
      </w:r>
      <w:r>
        <w:rPr>
          <w:spacing w:val="-2"/>
        </w:rPr>
        <w:t>综合收益等的，与其相关的其他综合收益等转为购买日所属当期收益。但由于被投资方重新计量设定受益计划净负债或净资</w:t>
      </w:r>
      <w:r>
        <w:rPr>
          <w:spacing w:val="-64"/>
        </w:rPr>
        <w:t> </w:t>
      </w:r>
      <w:r>
        <w:rPr>
          <w:spacing w:val="-64"/>
        </w:rPr>
      </w:r>
      <w:r>
        <w:rPr/>
        <w:t>产变动而产生的其他综合收益除外。</w:t>
      </w:r>
    </w:p>
    <w:p>
      <w:pPr>
        <w:pStyle w:val="BodyText"/>
        <w:spacing w:line="300" w:lineRule="auto" w:before="20"/>
        <w:ind w:right="1130" w:firstLine="420"/>
        <w:jc w:val="both"/>
      </w:pPr>
      <w:r>
        <w:rPr/>
        <w:t>（</w:t>
      </w:r>
      <w:r>
        <w:rPr>
          <w:rFonts w:ascii="Times New Roman" w:hAnsi="Times New Roman" w:cs="Times New Roman" w:eastAsia="Times New Roman" w:hint="default"/>
        </w:rPr>
        <w:t>3</w:t>
      </w:r>
      <w:r>
        <w:rPr/>
        <w:t>）</w:t>
      </w:r>
      <w:r>
        <w:rPr>
          <w:spacing w:val="27"/>
        </w:rPr>
        <w:t> </w:t>
      </w:r>
      <w:r>
        <w:rPr/>
        <w:t>除企业合并形成以外的：以支付现金取得的，按照实际支付的购买价款作为其初始投资成本；以发行权益性证</w:t>
      </w:r>
      <w:r>
        <w:rPr/>
        <w:t> </w:t>
      </w:r>
      <w:r>
        <w:rPr>
          <w:spacing w:val="-2"/>
        </w:rPr>
        <w:t>券取得的，按照发行权益性证券的公允价值作为其初始投资成本；以债务重组方式取得的，按《企业会计准则第</w:t>
      </w:r>
      <w:r>
        <w:rPr>
          <w:rFonts w:ascii="Times New Roman" w:hAnsi="Times New Roman" w:cs="Times New Roman" w:eastAsia="Times New Roman" w:hint="default"/>
          <w:spacing w:val="-2"/>
        </w:rPr>
        <w:t>12</w:t>
      </w:r>
      <w:r>
        <w:rPr>
          <w:spacing w:val="-2"/>
        </w:rPr>
        <w:t>号——债</w:t>
      </w:r>
      <w:r>
        <w:rPr>
          <w:spacing w:val="-63"/>
        </w:rPr>
        <w:t> </w:t>
      </w:r>
      <w:r>
        <w:rPr/>
        <w:t>务重组》确定其初始投资成本；以非货币性资产交换取得的，按《企业会计准则第</w:t>
      </w:r>
      <w:r>
        <w:rPr>
          <w:rFonts w:ascii="Times New Roman" w:hAnsi="Times New Roman" w:cs="Times New Roman" w:eastAsia="Times New Roman" w:hint="default"/>
        </w:rPr>
        <w:t>7</w:t>
      </w:r>
      <w:r>
        <w:rPr/>
        <w:t>号——非货币性资产交换》确定其初始</w:t>
      </w:r>
      <w:r>
        <w:rPr>
          <w:spacing w:val="-85"/>
        </w:rPr>
        <w:t> </w:t>
      </w:r>
      <w:r>
        <w:rPr>
          <w:spacing w:val="-85"/>
        </w:rPr>
      </w:r>
      <w:r>
        <w:rPr/>
        <w:t>投资成本。</w:t>
      </w:r>
    </w:p>
    <w:p>
      <w:pPr>
        <w:pStyle w:val="BodyText"/>
        <w:spacing w:line="309" w:lineRule="auto" w:before="31"/>
        <w:ind w:left="532" w:right="1154"/>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44"/>
        </w:rPr>
        <w:t> </w:t>
      </w:r>
      <w:r>
        <w:rPr/>
        <w:t>后续计量及损益确认方法 对被投资单位实施控制的长期股权投资采用成本法核算；对联营企业和合营企业的长期股权投资，采用权益法核算。 </w:t>
      </w:r>
      <w:r>
        <w:rPr>
          <w:rFonts w:ascii="Times New Roman" w:hAnsi="Times New Roman" w:cs="Times New Roman" w:eastAsia="Times New Roman" w:hint="default"/>
        </w:rPr>
        <w:t>4.  </w:t>
      </w:r>
      <w:r>
        <w:rPr/>
        <w:t>通过多次交易分步处置对子公司投资至丧失控制权的处理方法</w:t>
      </w:r>
    </w:p>
    <w:p>
      <w:pPr>
        <w:pStyle w:val="BodyText"/>
        <w:spacing w:line="300" w:lineRule="auto" w:before="5"/>
        <w:ind w:left="532" w:right="882"/>
        <w:jc w:val="left"/>
      </w:pPr>
      <w:r>
        <w:rPr/>
        <w:t>（</w:t>
      </w:r>
      <w:r>
        <w:rPr>
          <w:rFonts w:ascii="Times New Roman" w:hAnsi="Times New Roman" w:cs="Times New Roman" w:eastAsia="Times New Roman" w:hint="default"/>
        </w:rPr>
        <w:t>1</w:t>
      </w:r>
      <w:r>
        <w:rPr/>
        <w:t>）</w:t>
      </w:r>
      <w:r>
        <w:rPr>
          <w:spacing w:val="-2"/>
        </w:rPr>
        <w:t> </w:t>
      </w:r>
      <w:r>
        <w:rPr/>
        <w:t>个别财务报表</w:t>
      </w:r>
      <w:r>
        <w:rPr/>
        <w:t> 对处置的股权，其账面价值与实际取得价款之间的差额，计入当期损益。对于剩余股权，对被投资单位仍具有重大影</w:t>
      </w:r>
    </w:p>
    <w:p>
      <w:pPr>
        <w:pStyle w:val="BodyText"/>
        <w:spacing w:line="316" w:lineRule="auto" w:before="31"/>
        <w:ind w:right="1129"/>
        <w:jc w:val="both"/>
      </w:pPr>
      <w:r>
        <w:rPr>
          <w:spacing w:val="-2"/>
        </w:rPr>
        <w:t>响或者与其他方一起实施共同控制的，转为权益法核算；不能再对被投资单位实施控制、共同控制或重大影响的，按照《企</w:t>
      </w:r>
      <w:r>
        <w:rPr>
          <w:spacing w:val="-61"/>
        </w:rPr>
        <w:t> </w:t>
      </w:r>
      <w:r>
        <w:rPr>
          <w:spacing w:val="-61"/>
        </w:rPr>
      </w:r>
      <w:r>
        <w:rPr/>
        <w:t>业会计准则第</w:t>
      </w:r>
      <w:r>
        <w:rPr>
          <w:rFonts w:ascii="Times New Roman" w:hAnsi="Times New Roman" w:cs="Times New Roman" w:eastAsia="Times New Roman" w:hint="default"/>
        </w:rPr>
        <w:t>22</w:t>
      </w:r>
      <w:r>
        <w:rPr/>
        <w:t>号——金融工具确认和计量》的相关规定进行核算。</w:t>
      </w:r>
    </w:p>
    <w:p>
      <w:pPr>
        <w:pStyle w:val="BodyText"/>
        <w:spacing w:line="248" w:lineRule="exact"/>
        <w:ind w:left="532" w:right="882"/>
        <w:jc w:val="left"/>
      </w:pPr>
      <w:r>
        <w:rPr/>
        <w:t>（</w:t>
      </w:r>
      <w:r>
        <w:rPr>
          <w:rFonts w:ascii="Times New Roman" w:hAnsi="Times New Roman" w:cs="Times New Roman" w:eastAsia="Times New Roman" w:hint="default"/>
        </w:rPr>
        <w:t>2</w:t>
      </w:r>
      <w:r>
        <w:rPr/>
        <w:t>）</w:t>
      </w:r>
      <w:r>
        <w:rPr>
          <w:spacing w:val="-1"/>
        </w:rPr>
        <w:t> </w:t>
      </w:r>
      <w:r>
        <w:rPr/>
        <w:t>合并财务报表</w:t>
      </w:r>
    </w:p>
    <w:p>
      <w:pPr>
        <w:pStyle w:val="BodyText"/>
        <w:spacing w:line="300" w:lineRule="auto" w:before="63"/>
        <w:ind w:left="532" w:right="882"/>
        <w:jc w:val="left"/>
      </w:pPr>
      <w:r>
        <w:rPr>
          <w:rFonts w:ascii="Times New Roman" w:hAnsi="Times New Roman" w:cs="Times New Roman" w:eastAsia="Times New Roman" w:hint="default"/>
        </w:rPr>
        <w:t>1</w:t>
      </w:r>
      <w:r>
        <w:rPr/>
        <w:t>）</w:t>
      </w:r>
      <w:r>
        <w:rPr>
          <w:spacing w:val="-2"/>
        </w:rPr>
        <w:t> </w:t>
      </w:r>
      <w:r>
        <w:rPr/>
        <w:t>通过多次交易分步处置对子公司投资至丧失控制权，且不属于“一揽子交易”的</w:t>
      </w:r>
      <w:r>
        <w:rPr/>
        <w:t> 在丧失控制权之前，处置价款与处置长期股权投资相对应享有子公司自购买日或合并日开始持续计算的净资产份额之</w:t>
      </w:r>
    </w:p>
    <w:p>
      <w:pPr>
        <w:pStyle w:val="BodyText"/>
        <w:spacing w:line="316" w:lineRule="auto" w:before="31"/>
        <w:ind w:left="532" w:right="882" w:hanging="420"/>
        <w:jc w:val="left"/>
      </w:pPr>
      <w:r>
        <w:rPr/>
        <w:t>间的差额，调整资本公积（资本溢价），资本溢价不足冲减的，冲减留存收益。 丧失对原子公司控制权时，对于剩余股权，按照其在丧失控制权日的公允价值进行重新计量。处置股权取得的对价与</w:t>
      </w:r>
    </w:p>
    <w:p>
      <w:pPr>
        <w:pStyle w:val="BodyText"/>
        <w:spacing w:line="316" w:lineRule="auto" w:before="19"/>
        <w:ind w:right="1130"/>
        <w:jc w:val="both"/>
      </w:pPr>
      <w:r>
        <w:rPr>
          <w:spacing w:val="-2"/>
        </w:rPr>
        <w:t>剩余股权公允价值之和，减去按原持股比例计算应享有原有子公司自购买日或合并日开始持续计算的净资产的份额之间的差</w:t>
      </w:r>
      <w:r>
        <w:rPr>
          <w:spacing w:val="-64"/>
        </w:rPr>
        <w:t> </w:t>
      </w:r>
      <w:r>
        <w:rPr>
          <w:spacing w:val="-64"/>
        </w:rPr>
      </w:r>
      <w:r>
        <w:rPr>
          <w:spacing w:val="-2"/>
        </w:rPr>
        <w:t>额，计入丧失控制权当期的投资收益，同时冲减商誉。与原有子公司股权投资相关的其他综合收益等，应当在丧失控制权时</w:t>
      </w:r>
      <w:r>
        <w:rPr>
          <w:spacing w:val="-64"/>
        </w:rPr>
        <w:t> </w:t>
      </w:r>
      <w:r>
        <w:rPr>
          <w:spacing w:val="-64"/>
        </w:rPr>
      </w:r>
      <w:r>
        <w:rPr/>
        <w:t>转为当期投资收益。</w:t>
      </w:r>
    </w:p>
    <w:p>
      <w:pPr>
        <w:pStyle w:val="BodyText"/>
        <w:spacing w:line="312" w:lineRule="auto" w:before="19"/>
        <w:ind w:right="882" w:firstLine="420"/>
        <w:jc w:val="left"/>
      </w:pPr>
      <w:r>
        <w:rPr>
          <w:rFonts w:ascii="Times New Roman" w:hAnsi="Times New Roman" w:cs="Times New Roman" w:eastAsia="Times New Roman" w:hint="default"/>
        </w:rPr>
        <w:t>2</w:t>
      </w:r>
      <w:r>
        <w:rPr/>
        <w:t>）</w:t>
      </w:r>
      <w:r>
        <w:rPr>
          <w:spacing w:val="-2"/>
        </w:rPr>
        <w:t> </w:t>
      </w:r>
      <w:r>
        <w:rPr/>
        <w:t>通过多次交易分步处置对子公司投资至丧失控制权，且属于“一揽子交易”的</w:t>
      </w:r>
      <w:r>
        <w:rPr/>
        <w:t> </w:t>
      </w:r>
      <w:r>
        <w:rPr>
          <w:spacing w:val="-2"/>
        </w:rPr>
        <w:t>将各项交易作为一项处置子公司并丧失控制权的交易进行会计处理。但是，在丧失控制权之前每一次处置价款与处置投资对</w:t>
      </w:r>
      <w:r>
        <w:rPr>
          <w:spacing w:val="-64"/>
        </w:rPr>
        <w:t> </w:t>
      </w:r>
      <w:r>
        <w:rPr>
          <w:spacing w:val="-64"/>
        </w:rPr>
      </w:r>
      <w:r>
        <w:rPr>
          <w:spacing w:val="-2"/>
        </w:rPr>
        <w:t>应的享有该子公司净资产份额的差额，在合并财务报表中确认为其他综合收益，在丧失控制权时一并转入丧失控制权当期的</w:t>
      </w:r>
      <w:r>
        <w:rPr>
          <w:spacing w:val="-64"/>
        </w:rPr>
        <w:t> </w:t>
      </w:r>
      <w:r>
        <w:rPr>
          <w:spacing w:val="-64"/>
        </w:rPr>
      </w:r>
      <w:r>
        <w:rPr/>
        <w:t>损益。</w:t>
      </w:r>
    </w:p>
    <w:p>
      <w:pPr>
        <w:spacing w:after="0" w:line="312"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12、投资性房地产" w:id="192"/>
      <w:bookmarkEnd w:id="192"/>
      <w:r>
        <w:rPr>
          <w:b w:val="0"/>
          <w:bCs w:val="0"/>
        </w:rPr>
      </w:r>
      <w:r>
        <w:rPr>
          <w:rFonts w:ascii="Times New Roman" w:hAnsi="Times New Roman" w:cs="Times New Roman" w:eastAsia="Times New Roman" w:hint="default"/>
        </w:rPr>
        <w:t>12</w:t>
      </w:r>
      <w:r>
        <w:rPr/>
        <w:t>、投资性房地产</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left="472" w:right="8594"/>
        <w:jc w:val="left"/>
      </w:pPr>
      <w:r>
        <w:rPr/>
        <w:t>投资性房地产计量模式 成本法计量 折旧或摊销方法</w:t>
      </w:r>
    </w:p>
    <w:p>
      <w:pPr>
        <w:pStyle w:val="BodyText"/>
        <w:spacing w:line="240" w:lineRule="auto" w:before="29"/>
        <w:ind w:left="532" w:right="882"/>
        <w:jc w:val="left"/>
      </w:pPr>
      <w:r>
        <w:rPr>
          <w:rFonts w:ascii="Times New Roman" w:hAnsi="Times New Roman" w:cs="Times New Roman" w:eastAsia="Times New Roman" w:hint="default"/>
        </w:rPr>
        <w:t>1.  </w:t>
      </w:r>
      <w:r>
        <w:rPr/>
        <w:t>投资性房地产包括已出租的土地使用权、持有并准备增值后转让的土地使用权和已出租的建筑物。</w:t>
      </w:r>
    </w:p>
    <w:p>
      <w:pPr>
        <w:pStyle w:val="BodyText"/>
        <w:spacing w:line="300" w:lineRule="auto" w:before="63"/>
        <w:ind w:right="1117" w:firstLine="42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37"/>
        </w:rPr>
        <w:t> </w:t>
      </w:r>
      <w:r>
        <w:rPr/>
        <w:t>投资性房地产按照成本进行初始计量，采用成本模式进行后续计量，并采用与固定资产和无形资产相同的方法计提 折旧或进行摊销。</w:t>
      </w:r>
    </w:p>
    <w:p>
      <w:pPr>
        <w:spacing w:line="240" w:lineRule="auto" w:before="7"/>
        <w:rPr>
          <w:rFonts w:ascii="宋体" w:hAnsi="宋体" w:cs="宋体" w:eastAsia="宋体" w:hint="default"/>
          <w:sz w:val="23"/>
          <w:szCs w:val="23"/>
        </w:rPr>
      </w:pPr>
    </w:p>
    <w:p>
      <w:pPr>
        <w:pStyle w:val="Heading3"/>
        <w:spacing w:line="240" w:lineRule="auto"/>
        <w:ind w:right="882"/>
        <w:jc w:val="left"/>
        <w:rPr>
          <w:b w:val="0"/>
          <w:bCs w:val="0"/>
        </w:rPr>
      </w:pPr>
      <w:bookmarkStart w:name="13、固定资产" w:id="193"/>
      <w:bookmarkEnd w:id="193"/>
      <w:r>
        <w:rPr>
          <w:b w:val="0"/>
          <w:bCs w:val="0"/>
        </w:rPr>
      </w:r>
      <w:r>
        <w:rPr>
          <w:rFonts w:ascii="Times New Roman" w:hAnsi="Times New Roman" w:cs="Times New Roman" w:eastAsia="Times New Roman" w:hint="default"/>
        </w:rPr>
        <w:t>13</w:t>
      </w:r>
      <w:r>
        <w:rPr/>
        <w:t>、固定资产</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确认条件" w:id="194"/>
      <w:bookmarkEnd w:id="194"/>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882" w:firstLine="360"/>
        <w:jc w:val="left"/>
      </w:pPr>
      <w:r>
        <w:rPr>
          <w:spacing w:val="-2"/>
        </w:rPr>
        <w:t>固定资产是指为生产商品、提供劳务、出租或经营管理而持有的，使用年限超过一个会计年度的有形资产。固定资产在</w:t>
      </w:r>
      <w:r>
        <w:rPr/>
        <w:t> 同时满足经济利益很可能流入、成本能够可靠计量时予以确认。</w:t>
      </w:r>
    </w:p>
    <w:p>
      <w:pPr>
        <w:spacing w:line="240" w:lineRule="auto" w:before="6"/>
        <w:rPr>
          <w:rFonts w:ascii="宋体" w:hAnsi="宋体" w:cs="宋体" w:eastAsia="宋体" w:hint="default"/>
          <w:sz w:val="22"/>
          <w:szCs w:val="22"/>
        </w:rPr>
      </w:pPr>
    </w:p>
    <w:p>
      <w:pPr>
        <w:pStyle w:val="Heading3"/>
        <w:spacing w:line="240" w:lineRule="auto"/>
        <w:ind w:right="882"/>
        <w:jc w:val="left"/>
        <w:rPr>
          <w:b w:val="0"/>
          <w:bCs w:val="0"/>
        </w:rPr>
      </w:pPr>
      <w:bookmarkStart w:name="（2）折旧方法" w:id="195"/>
      <w:bookmarkEnd w:id="195"/>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20-50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4.75-1.90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3-10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31.67-9.50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19.00-9.50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3-10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31.67-9.50</w:t>
            </w:r>
          </w:p>
        </w:tc>
      </w:tr>
    </w:tbl>
    <w:p>
      <w:pPr>
        <w:spacing w:line="240" w:lineRule="auto" w:before="4"/>
        <w:rPr>
          <w:rFonts w:ascii="宋体" w:hAnsi="宋体" w:cs="宋体" w:eastAsia="宋体" w:hint="default"/>
          <w:b/>
          <w:bCs/>
          <w:sz w:val="19"/>
          <w:szCs w:val="19"/>
        </w:rPr>
      </w:pPr>
    </w:p>
    <w:p>
      <w:pPr>
        <w:pStyle w:val="Heading3"/>
        <w:spacing w:line="240" w:lineRule="auto" w:before="34"/>
        <w:ind w:right="882"/>
        <w:jc w:val="left"/>
        <w:rPr>
          <w:b w:val="0"/>
          <w:bCs w:val="0"/>
        </w:rPr>
      </w:pPr>
      <w:bookmarkStart w:name="（3）融资租入固定资产的认定依据、计价和折旧方法" w:id="196"/>
      <w:bookmarkEnd w:id="196"/>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4、在建工程" w:id="197"/>
      <w:bookmarkEnd w:id="197"/>
      <w:r>
        <w:rPr>
          <w:b w:val="0"/>
          <w:bCs w:val="0"/>
        </w:rPr>
      </w:r>
      <w:r>
        <w:rPr>
          <w:rFonts w:ascii="Times New Roman" w:hAnsi="Times New Roman" w:cs="Times New Roman" w:eastAsia="Times New Roman" w:hint="default"/>
        </w:rPr>
        <w:t>14</w:t>
      </w:r>
      <w:r>
        <w:rPr/>
        <w:t>、在建工程</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right="1117" w:firstLine="42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37"/>
        </w:rPr>
        <w:t> </w:t>
      </w:r>
      <w:r>
        <w:rPr/>
        <w:t>在建工程同时满足经济利益很可能流入、成本能够可靠计量则予以确认。在建工程按建造该项资产达到预定可使用 状态前所发生的实际成本计量。</w:t>
      </w:r>
    </w:p>
    <w:p>
      <w:pPr>
        <w:pStyle w:val="BodyText"/>
        <w:spacing w:line="300" w:lineRule="auto" w:before="31"/>
        <w:ind w:right="1110" w:firstLine="42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44"/>
        </w:rPr>
        <w:t> </w:t>
      </w:r>
      <w:r>
        <w:rPr/>
        <w:t>在建工程达到预定可使用状态时，按工程实际成本转入固定资产。已达到预定可使用状态但尚未办理竣工决算的， 先按估计价值转入固定资产，待办理竣工决算后再按实际成本调整原暂估价值，但不再调整原已计提的折旧。</w:t>
      </w:r>
    </w:p>
    <w:p>
      <w:pPr>
        <w:spacing w:line="240" w:lineRule="auto" w:before="7"/>
        <w:rPr>
          <w:rFonts w:ascii="宋体" w:hAnsi="宋体" w:cs="宋体" w:eastAsia="宋体" w:hint="default"/>
          <w:sz w:val="23"/>
          <w:szCs w:val="23"/>
        </w:rPr>
      </w:pPr>
    </w:p>
    <w:p>
      <w:pPr>
        <w:pStyle w:val="Heading3"/>
        <w:spacing w:line="240" w:lineRule="auto"/>
        <w:ind w:right="882"/>
        <w:jc w:val="left"/>
        <w:rPr>
          <w:b w:val="0"/>
          <w:bCs w:val="0"/>
        </w:rPr>
      </w:pPr>
      <w:bookmarkStart w:name="15、借款费用" w:id="198"/>
      <w:bookmarkEnd w:id="198"/>
      <w:r>
        <w:rPr>
          <w:b w:val="0"/>
          <w:bCs w:val="0"/>
        </w:rPr>
      </w:r>
      <w:r>
        <w:rPr>
          <w:rFonts w:ascii="Times New Roman" w:hAnsi="Times New Roman" w:cs="Times New Roman" w:eastAsia="Times New Roman" w:hint="default"/>
        </w:rPr>
        <w:t>15</w:t>
      </w:r>
      <w:r>
        <w:rPr/>
        <w:t>、借款费用</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32" w:right="882"/>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4"/>
        </w:rPr>
        <w:t> </w:t>
      </w:r>
      <w:r>
        <w:rPr/>
        <w:t>借款费用资本化的确认原则 公司发生的借款费用，可直接归属于符合资本化条件的资产的购建或者生产的，予以资本化，计入相关资产成本；其</w:t>
      </w:r>
    </w:p>
    <w:p>
      <w:pPr>
        <w:pStyle w:val="BodyText"/>
        <w:spacing w:line="240" w:lineRule="auto" w:before="31"/>
        <w:ind w:right="882"/>
        <w:jc w:val="left"/>
      </w:pPr>
      <w:r>
        <w:rPr/>
        <w:t>他借款费用，在发生时确认为费用，计入当期损益。</w:t>
      </w:r>
    </w:p>
    <w:p>
      <w:pPr>
        <w:pStyle w:val="BodyText"/>
        <w:spacing w:line="240" w:lineRule="auto" w:before="76"/>
        <w:ind w:left="532" w:right="882"/>
        <w:jc w:val="left"/>
      </w:pPr>
      <w:r>
        <w:rPr>
          <w:rFonts w:ascii="Times New Roman" w:hAnsi="Times New Roman" w:cs="Times New Roman" w:eastAsia="Times New Roman" w:hint="default"/>
        </w:rPr>
        <w:t>2.  </w:t>
      </w:r>
      <w:r>
        <w:rPr/>
        <w:t>借款费用资本化期间</w:t>
      </w:r>
    </w:p>
    <w:p>
      <w:pPr>
        <w:pStyle w:val="BodyText"/>
        <w:spacing w:line="300" w:lineRule="auto" w:before="63"/>
        <w:ind w:right="1126" w:firstLine="420"/>
        <w:jc w:val="left"/>
      </w:pPr>
      <w:r>
        <w:rPr/>
        <w:t>（</w:t>
      </w:r>
      <w:r>
        <w:rPr>
          <w:rFonts w:ascii="Times New Roman" w:hAnsi="Times New Roman" w:cs="Times New Roman" w:eastAsia="Times New Roman" w:hint="default"/>
        </w:rPr>
        <w:t>1</w:t>
      </w:r>
      <w:r>
        <w:rPr/>
        <w:t>） 当借款费用同时满足下列条件时，开始资本化：</w:t>
      </w:r>
      <w:r>
        <w:rPr>
          <w:rFonts w:ascii="Times New Roman" w:hAnsi="Times New Roman" w:cs="Times New Roman" w:eastAsia="Times New Roman" w:hint="default"/>
        </w:rPr>
        <w:t>1</w:t>
      </w:r>
      <w:r>
        <w:rPr/>
        <w:t>） 资产支出已经发生；</w:t>
      </w:r>
      <w:r>
        <w:rPr>
          <w:rFonts w:ascii="Times New Roman" w:hAnsi="Times New Roman" w:cs="Times New Roman" w:eastAsia="Times New Roman" w:hint="default"/>
        </w:rPr>
        <w:t>2</w:t>
      </w:r>
      <w:r>
        <w:rPr/>
        <w:t>） 借款费用已经发生；</w:t>
      </w:r>
      <w:r>
        <w:rPr>
          <w:rFonts w:ascii="Times New Roman" w:hAnsi="Times New Roman" w:cs="Times New Roman" w:eastAsia="Times New Roman" w:hint="default"/>
        </w:rPr>
        <w:t>3</w:t>
      </w:r>
      <w:r>
        <w:rPr/>
        <w:t>）</w:t>
      </w:r>
      <w:r>
        <w:rPr>
          <w:spacing w:val="28"/>
        </w:rPr>
        <w:t> </w:t>
      </w:r>
      <w:r>
        <w:rPr/>
        <w:t>为使资</w:t>
      </w:r>
      <w:r>
        <w:rPr/>
        <w:t> 产达到预定可使用或可销售状态所必要的购建或者生产活动已经开始。</w:t>
      </w:r>
    </w:p>
    <w:p>
      <w:pPr>
        <w:pStyle w:val="BodyText"/>
        <w:spacing w:line="300" w:lineRule="auto" w:before="31"/>
        <w:ind w:right="1111" w:firstLine="420"/>
        <w:jc w:val="left"/>
      </w:pPr>
      <w:r>
        <w:rPr/>
        <w:t>（</w:t>
      </w:r>
      <w:r>
        <w:rPr>
          <w:rFonts w:ascii="Times New Roman" w:hAnsi="Times New Roman" w:cs="Times New Roman" w:eastAsia="Times New Roman" w:hint="default"/>
        </w:rPr>
        <w:t>2</w:t>
      </w:r>
      <w:r>
        <w:rPr/>
        <w:t>）</w:t>
      </w:r>
      <w:r>
        <w:rPr>
          <w:spacing w:val="-47"/>
        </w:rPr>
        <w:t> </w:t>
      </w:r>
      <w:r>
        <w:rPr/>
        <w:t>若符合资本化条件的资产在购建或者生产过程中发生非正常中断，并且中断时间连续超过</w:t>
      </w:r>
      <w:r>
        <w:rPr>
          <w:rFonts w:ascii="Times New Roman" w:hAnsi="Times New Roman" w:cs="Times New Roman" w:eastAsia="Times New Roman" w:hint="default"/>
        </w:rPr>
        <w:t>3</w:t>
      </w:r>
      <w:r>
        <w:rPr/>
        <w:t>个月，暂停借款费用 的资本化；中断期间发生的借款费用确认为当期费用，直至资产的购建或者生产活动重新开始。</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552" w:right="1115"/>
        <w:jc w:val="left"/>
      </w:pPr>
      <w:r>
        <w:rPr/>
        <w:t>（</w:t>
      </w:r>
      <w:r>
        <w:rPr>
          <w:rFonts w:ascii="Times New Roman" w:hAnsi="Times New Roman" w:cs="Times New Roman" w:eastAsia="Times New Roman" w:hint="default"/>
        </w:rPr>
        <w:t>3</w:t>
      </w:r>
      <w:r>
        <w:rPr/>
        <w:t>）</w:t>
      </w:r>
      <w:r>
        <w:rPr>
          <w:spacing w:val="-1"/>
        </w:rPr>
        <w:t> </w:t>
      </w:r>
      <w:r>
        <w:rPr/>
        <w:t>当所购建或者生产符合资本化条件的资产达到预定可使用或可销售状态时，借款费用停止资本化。</w:t>
      </w:r>
    </w:p>
    <w:p>
      <w:pPr>
        <w:pStyle w:val="BodyText"/>
        <w:spacing w:line="314" w:lineRule="auto" w:before="63"/>
        <w:ind w:left="132" w:right="1034" w:firstLine="420"/>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44"/>
        </w:rPr>
        <w:t> </w:t>
      </w:r>
      <w:r>
        <w:rPr/>
        <w:t>借款费用资本化率以及资本化金额 </w:t>
      </w:r>
      <w:r>
        <w:rPr>
          <w:spacing w:val="-2"/>
        </w:rPr>
        <w:t>为购建或者生产符合资本化条件的资产而借入专门借款的，以专门借款当期实际发生的利息费用（包括按照实际利率法确定</w:t>
      </w:r>
      <w:r>
        <w:rPr>
          <w:spacing w:val="-64"/>
        </w:rPr>
        <w:t> </w:t>
      </w:r>
      <w:r>
        <w:rPr>
          <w:spacing w:val="-64"/>
        </w:rPr>
      </w:r>
      <w:r>
        <w:rPr/>
        <w:t>的折价或溢价的摊销），减去将尚未动用的借款资金存入银行取得的利息收入或进行暂时性投资取得的投资收益后的金额， </w:t>
      </w:r>
      <w:r>
        <w:rPr>
          <w:spacing w:val="-2"/>
        </w:rPr>
        <w:t>确定应予资本化的利息金额；为购建或者生产符合资本化条件的资产占用了一般借款的，根据累计资产支出超过专门借款的</w:t>
      </w:r>
      <w:r>
        <w:rPr>
          <w:spacing w:val="-64"/>
        </w:rPr>
        <w:t> </w:t>
      </w:r>
      <w:r>
        <w:rPr>
          <w:spacing w:val="-64"/>
        </w:rPr>
      </w:r>
      <w:r>
        <w:rPr/>
        <w:t>资产支出加权平均数乘以占用一般借款的资本化率，计算确定一般借款应予资本化的利息金额。</w:t>
      </w:r>
    </w:p>
    <w:p>
      <w:pPr>
        <w:spacing w:line="240" w:lineRule="auto" w:before="7"/>
        <w:rPr>
          <w:rFonts w:ascii="宋体" w:hAnsi="宋体" w:cs="宋体" w:eastAsia="宋体" w:hint="default"/>
          <w:sz w:val="22"/>
          <w:szCs w:val="22"/>
        </w:rPr>
      </w:pPr>
    </w:p>
    <w:p>
      <w:pPr>
        <w:pStyle w:val="Heading3"/>
        <w:spacing w:line="240" w:lineRule="auto"/>
        <w:ind w:left="132" w:right="1115"/>
        <w:jc w:val="left"/>
        <w:rPr>
          <w:b w:val="0"/>
          <w:bCs w:val="0"/>
        </w:rPr>
      </w:pPr>
      <w:bookmarkStart w:name="16、无形资产" w:id="199"/>
      <w:bookmarkEnd w:id="199"/>
      <w:r>
        <w:rPr>
          <w:b w:val="0"/>
          <w:bCs w:val="0"/>
        </w:rPr>
      </w:r>
      <w:r>
        <w:rPr>
          <w:rFonts w:ascii="Times New Roman" w:hAnsi="Times New Roman" w:cs="Times New Roman" w:eastAsia="Times New Roman" w:hint="default"/>
        </w:rPr>
        <w:t>16</w:t>
      </w:r>
      <w:r>
        <w:rPr/>
        <w:t>、无形资产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32" w:right="1115"/>
        <w:jc w:val="left"/>
        <w:rPr>
          <w:b w:val="0"/>
          <w:bCs w:val="0"/>
        </w:rPr>
      </w:pPr>
      <w:bookmarkStart w:name="（1）计价方法、使用寿命、减值测试" w:id="200"/>
      <w:bookmarkEnd w:id="200"/>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552" w:right="1115"/>
        <w:jc w:val="left"/>
      </w:pPr>
      <w:r>
        <w:rPr>
          <w:rFonts w:ascii="Times New Roman" w:hAnsi="Times New Roman" w:cs="Times New Roman" w:eastAsia="Times New Roman" w:hint="default"/>
        </w:rPr>
        <w:t>1.  </w:t>
      </w:r>
      <w:r>
        <w:rPr/>
        <w:t>无形资产包括土地使用权、专利权及非专利技术等，按成本进行初始计量。</w:t>
      </w:r>
    </w:p>
    <w:p>
      <w:pPr>
        <w:pStyle w:val="BodyText"/>
        <w:spacing w:line="300" w:lineRule="auto" w:before="63"/>
        <w:ind w:left="132" w:right="1117" w:firstLine="42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37"/>
        </w:rPr>
        <w:t> </w:t>
      </w:r>
      <w:r>
        <w:rPr/>
        <w:t>使用寿命有限的无形资产，在使用寿命内按照与该项无形资产有关的经济利益的预期实现方式系统合理地摊销，无 法可靠确定预期实现方式的，采用直线法摊销。具体年限如下：</w:t>
      </w:r>
    </w:p>
    <w:tbl>
      <w:tblPr>
        <w:tblW w:w="0" w:type="auto"/>
        <w:jc w:val="left"/>
        <w:tblInd w:w="116" w:type="dxa"/>
        <w:tblLayout w:type="fixed"/>
        <w:tblCellMar>
          <w:top w:w="0" w:type="dxa"/>
          <w:left w:w="0" w:type="dxa"/>
          <w:bottom w:w="0" w:type="dxa"/>
          <w:right w:w="0" w:type="dxa"/>
        </w:tblCellMar>
        <w:tblLook w:val="01E0"/>
      </w:tblPr>
      <w:tblGrid>
        <w:gridCol w:w="4829"/>
        <w:gridCol w:w="4829"/>
      </w:tblGrid>
      <w:tr>
        <w:trPr>
          <w:trHeight w:val="347" w:hRule="exact"/>
        </w:trPr>
        <w:tc>
          <w:tcPr>
            <w:tcW w:w="4829"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left="212" w:right="0"/>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87"/>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4829"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b/>
                <w:bCs/>
                <w:sz w:val="18"/>
                <w:szCs w:val="18"/>
              </w:rPr>
              <w:t>摊销年限（年）</w:t>
            </w:r>
            <w:r>
              <w:rPr>
                <w:rFonts w:ascii="宋体" w:hAnsi="宋体" w:cs="宋体" w:eastAsia="宋体" w:hint="default"/>
                <w:sz w:val="18"/>
                <w:szCs w:val="18"/>
              </w:rPr>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50</w:t>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1" w:right="0"/>
              <w:jc w:val="center"/>
              <w:rPr>
                <w:rFonts w:ascii="Times New Roman" w:hAnsi="Times New Roman" w:cs="Times New Roman" w:eastAsia="Times New Roman" w:hint="default"/>
                <w:sz w:val="18"/>
                <w:szCs w:val="18"/>
              </w:rPr>
            </w:pPr>
            <w:r>
              <w:rPr>
                <w:rFonts w:ascii="Times New Roman"/>
                <w:sz w:val="18"/>
              </w:rPr>
              <w:t>10</w:t>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5-10</w:t>
            </w:r>
          </w:p>
        </w:tc>
      </w:tr>
      <w:tr>
        <w:trPr>
          <w:trHeight w:val="347" w:hRule="exact"/>
        </w:trPr>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1" w:right="0"/>
              <w:jc w:val="left"/>
              <w:rPr>
                <w:rFonts w:ascii="宋体" w:hAnsi="宋体" w:cs="宋体" w:eastAsia="宋体" w:hint="default"/>
                <w:sz w:val="18"/>
                <w:szCs w:val="18"/>
              </w:rPr>
            </w:pPr>
            <w:r>
              <w:rPr>
                <w:rFonts w:ascii="宋体" w:hAnsi="宋体" w:cs="宋体" w:eastAsia="宋体" w:hint="default"/>
                <w:sz w:val="18"/>
                <w:szCs w:val="18"/>
              </w:rPr>
              <w:t>特许经营权</w:t>
            </w:r>
          </w:p>
        </w:tc>
        <w:tc>
          <w:tcPr>
            <w:tcW w:w="4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1" w:right="0"/>
              <w:jc w:val="center"/>
              <w:rPr>
                <w:rFonts w:ascii="Times New Roman" w:hAnsi="Times New Roman" w:cs="Times New Roman" w:eastAsia="Times New Roman" w:hint="default"/>
                <w:sz w:val="18"/>
                <w:szCs w:val="18"/>
              </w:rPr>
            </w:pPr>
            <w:r>
              <w:rPr>
                <w:rFonts w:ascii="Times New Roman"/>
                <w:sz w:val="18"/>
              </w:rPr>
              <w:t>10</w:t>
            </w:r>
          </w:p>
        </w:tc>
      </w:tr>
    </w:tbl>
    <w:p>
      <w:pPr>
        <w:spacing w:line="240" w:lineRule="auto" w:before="13"/>
        <w:rPr>
          <w:rFonts w:ascii="宋体" w:hAnsi="宋体" w:cs="宋体" w:eastAsia="宋体" w:hint="default"/>
          <w:sz w:val="20"/>
          <w:szCs w:val="20"/>
        </w:rPr>
      </w:pPr>
    </w:p>
    <w:p>
      <w:pPr>
        <w:pStyle w:val="Heading3"/>
        <w:spacing w:line="240" w:lineRule="auto" w:before="34"/>
        <w:ind w:left="132" w:right="1115"/>
        <w:jc w:val="left"/>
        <w:rPr>
          <w:b w:val="0"/>
          <w:bCs w:val="0"/>
        </w:rPr>
      </w:pPr>
      <w:bookmarkStart w:name="（2）内部研究开发支出会计政策" w:id="201"/>
      <w:bookmarkEnd w:id="201"/>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7"/>
        <w:rPr>
          <w:rFonts w:ascii="宋体" w:hAnsi="宋体" w:cs="宋体" w:eastAsia="宋体" w:hint="default"/>
          <w:b/>
          <w:bCs/>
          <w:sz w:val="26"/>
          <w:szCs w:val="26"/>
        </w:rPr>
      </w:pPr>
    </w:p>
    <w:p>
      <w:pPr>
        <w:pStyle w:val="BodyText"/>
        <w:spacing w:line="304" w:lineRule="auto"/>
        <w:ind w:left="132" w:right="1130" w:firstLine="420"/>
        <w:jc w:val="both"/>
      </w:pPr>
      <w:r>
        <w:rPr/>
        <w:t>内部研究开发项目研究阶段的支出，于发生时计入当期损益。内部研究开发项目开发阶段的支出，同时满足下列条件 </w:t>
      </w:r>
      <w:r>
        <w:rPr>
          <w:spacing w:val="-3"/>
        </w:rPr>
        <w:t>的，确认为无形资产：（</w:t>
      </w:r>
      <w:r>
        <w:rPr>
          <w:rFonts w:ascii="Times New Roman" w:hAnsi="Times New Roman" w:cs="Times New Roman" w:eastAsia="Times New Roman" w:hint="default"/>
          <w:spacing w:val="-3"/>
        </w:rPr>
        <w:t>1</w:t>
      </w:r>
      <w:r>
        <w:rPr>
          <w:spacing w:val="-3"/>
        </w:rPr>
        <w:t>） </w:t>
      </w:r>
      <w:r>
        <w:rPr/>
        <w:t>完成该无形资产以使其能够使用或出售在技术上具有可行性；（</w:t>
      </w:r>
      <w:r>
        <w:rPr>
          <w:rFonts w:ascii="Times New Roman" w:hAnsi="Times New Roman" w:cs="Times New Roman" w:eastAsia="Times New Roman" w:hint="default"/>
        </w:rPr>
        <w:t>2</w:t>
      </w:r>
      <w:r>
        <w:rPr/>
        <w:t>）</w:t>
      </w:r>
      <w:r>
        <w:rPr>
          <w:spacing w:val="-39"/>
        </w:rPr>
        <w:t> </w:t>
      </w:r>
      <w:r>
        <w:rPr/>
        <w:t>具有完成该无形资产并使</w:t>
      </w:r>
      <w:r>
        <w:rPr/>
        <w:t> </w:t>
      </w:r>
      <w:r>
        <w:rPr>
          <w:spacing w:val="-4"/>
        </w:rPr>
        <w:t>用或出售的意图；（</w:t>
      </w:r>
      <w:r>
        <w:rPr>
          <w:rFonts w:ascii="Times New Roman" w:hAnsi="Times New Roman" w:cs="Times New Roman" w:eastAsia="Times New Roman" w:hint="default"/>
          <w:spacing w:val="-4"/>
        </w:rPr>
        <w:t>3</w:t>
      </w:r>
      <w:r>
        <w:rPr>
          <w:spacing w:val="-4"/>
        </w:rPr>
        <w:t>）</w:t>
      </w:r>
      <w:r>
        <w:rPr>
          <w:spacing w:val="-37"/>
        </w:rPr>
        <w:t> </w:t>
      </w:r>
      <w:r>
        <w:rPr/>
        <w:t>无形资产产生经济利益的方式，包括能够证明运用该无形资产生产的产品存在市场或无形资产自身</w:t>
      </w:r>
      <w:r>
        <w:rPr/>
        <w:t> </w:t>
      </w:r>
      <w:r>
        <w:rPr>
          <w:spacing w:val="-2"/>
        </w:rPr>
        <w:t>存在市场，无形资产将在内部使用的，能证明其有用性；（</w:t>
      </w:r>
      <w:r>
        <w:rPr>
          <w:rFonts w:ascii="Times New Roman" w:hAnsi="Times New Roman" w:cs="Times New Roman" w:eastAsia="Times New Roman" w:hint="default"/>
          <w:spacing w:val="-2"/>
        </w:rPr>
        <w:t>4</w:t>
      </w:r>
      <w:r>
        <w:rPr>
          <w:spacing w:val="-2"/>
        </w:rPr>
        <w:t>）</w:t>
      </w:r>
      <w:r>
        <w:rPr>
          <w:spacing w:val="-1"/>
        </w:rPr>
        <w:t> 有足够的技术、财务资源和其他资源支持，以完成该无形资</w:t>
      </w:r>
      <w:r>
        <w:rPr/>
        <w:t> 产的开发，并有能力使用或出售该无形资产；（</w:t>
      </w:r>
      <w:r>
        <w:rPr>
          <w:rFonts w:ascii="Times New Roman" w:hAnsi="Times New Roman" w:cs="Times New Roman" w:eastAsia="Times New Roman" w:hint="default"/>
        </w:rPr>
        <w:t>5</w:t>
      </w:r>
      <w:r>
        <w:rPr/>
        <w:t>）</w:t>
      </w:r>
      <w:r>
        <w:rPr>
          <w:spacing w:val="-1"/>
        </w:rPr>
        <w:t> </w:t>
      </w:r>
      <w:r>
        <w:rPr/>
        <w:t>归属于该无形资产开发阶段的支出能够可靠地计量。</w:t>
      </w:r>
    </w:p>
    <w:p>
      <w:pPr>
        <w:pStyle w:val="BodyText"/>
        <w:spacing w:line="316" w:lineRule="auto" w:before="9"/>
        <w:ind w:left="132" w:right="1130" w:firstLine="360"/>
        <w:jc w:val="both"/>
      </w:pPr>
      <w:r>
        <w:rPr>
          <w:spacing w:val="-2"/>
        </w:rPr>
        <w:t>公司划分内部研究开发项目研究阶段支出和开发阶段支出的具体标准：为获取新的技术和知识等进行的有计划的调查阶</w:t>
      </w:r>
      <w:r>
        <w:rPr/>
        <w:t> </w:t>
      </w:r>
      <w:r>
        <w:rPr>
          <w:spacing w:val="-2"/>
        </w:rPr>
        <w:t>段，应确定为研究阶段，该阶段具有计划性和探索性等特点；在进行商业性生产或使用前，将研究成果或其他知识应用于某</w:t>
      </w:r>
      <w:r>
        <w:rPr>
          <w:spacing w:val="-64"/>
        </w:rPr>
        <w:t> </w:t>
      </w:r>
      <w:r>
        <w:rPr>
          <w:spacing w:val="-64"/>
        </w:rPr>
      </w:r>
      <w:r>
        <w:rPr>
          <w:spacing w:val="-2"/>
        </w:rPr>
        <w:t>项计划或设计，以生产出新的或具有实质性改进的材料、装置、产品等阶段，应确定为开发阶段，该阶段具有针对性和形成</w:t>
      </w:r>
      <w:r>
        <w:rPr>
          <w:spacing w:val="-63"/>
        </w:rPr>
        <w:t> </w:t>
      </w:r>
      <w:r>
        <w:rPr>
          <w:spacing w:val="-63"/>
        </w:rPr>
      </w:r>
      <w:r>
        <w:rPr>
          <w:spacing w:val="-2"/>
        </w:rPr>
        <w:t>成果的可能性较大等特点。结合软件行业研发流程及自身研发的特点，公司研发项目通过立项评审后进入开发阶段。开发项</w:t>
      </w:r>
      <w:r>
        <w:rPr>
          <w:spacing w:val="-63"/>
        </w:rPr>
        <w:t> </w:t>
      </w:r>
      <w:r>
        <w:rPr>
          <w:spacing w:val="-63"/>
        </w:rPr>
      </w:r>
      <w:r>
        <w:rPr/>
        <w:t>目达到预定用途后确认为无形资产核算。</w:t>
      </w:r>
    </w:p>
    <w:p>
      <w:pPr>
        <w:spacing w:line="240" w:lineRule="auto" w:before="8"/>
        <w:rPr>
          <w:rFonts w:ascii="宋体" w:hAnsi="宋体" w:cs="宋体" w:eastAsia="宋体" w:hint="default"/>
          <w:sz w:val="22"/>
          <w:szCs w:val="22"/>
        </w:rPr>
      </w:pPr>
    </w:p>
    <w:p>
      <w:pPr>
        <w:pStyle w:val="Heading3"/>
        <w:spacing w:line="240" w:lineRule="auto"/>
        <w:ind w:left="132" w:right="1115"/>
        <w:jc w:val="left"/>
        <w:rPr>
          <w:b w:val="0"/>
          <w:bCs w:val="0"/>
        </w:rPr>
      </w:pPr>
      <w:bookmarkStart w:name="17、长期资产减值" w:id="202"/>
      <w:bookmarkEnd w:id="202"/>
      <w:r>
        <w:rPr>
          <w:b w:val="0"/>
          <w:bCs w:val="0"/>
        </w:rPr>
      </w:r>
      <w:r>
        <w:rPr>
          <w:rFonts w:ascii="Times New Roman" w:hAnsi="Times New Roman" w:cs="Times New Roman" w:eastAsia="Times New Roman" w:hint="default"/>
        </w:rPr>
        <w:t>17</w:t>
      </w:r>
      <w:r>
        <w:rPr/>
        <w:t>、长期资产减值</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left="132" w:right="1130" w:firstLine="420"/>
        <w:jc w:val="both"/>
      </w:pPr>
      <w:r>
        <w:rPr/>
        <w:t>对长期股权投资、采用成本模式计量的投资性房地产、固定资产、在建工程、使用寿命有限的无形资产等长期资产， </w:t>
      </w:r>
      <w:r>
        <w:rPr>
          <w:spacing w:val="-2"/>
        </w:rPr>
        <w:t>在资产负债表日有迹象表明发生减值的，估计其可收回金额。对因企业合并所形成的商誉和使用寿命不确定的无形资产，无</w:t>
      </w:r>
      <w:r>
        <w:rPr>
          <w:spacing w:val="-63"/>
        </w:rPr>
        <w:t> </w:t>
      </w:r>
      <w:r>
        <w:rPr>
          <w:spacing w:val="-63"/>
        </w:rPr>
      </w:r>
      <w:r>
        <w:rPr/>
        <w:t>论是否存在减值迹象，每年都进行减值测试。商誉结合与其相关的资产组或者资产组组合进行减值测试。</w:t>
      </w:r>
    </w:p>
    <w:p>
      <w:pPr>
        <w:pStyle w:val="BodyText"/>
        <w:spacing w:line="240" w:lineRule="auto" w:before="19"/>
        <w:ind w:left="492" w:right="1115"/>
        <w:jc w:val="left"/>
      </w:pPr>
      <w:r>
        <w:rPr/>
        <w:t>若上述长期资产的可收回金额低于其账面价值的，按其差额确认资产减值准备并计入当期损益。</w:t>
      </w:r>
    </w:p>
    <w:p>
      <w:pPr>
        <w:spacing w:line="240" w:lineRule="auto" w:before="11"/>
        <w:rPr>
          <w:rFonts w:ascii="宋体" w:hAnsi="宋体" w:cs="宋体" w:eastAsia="宋体" w:hint="default"/>
          <w:sz w:val="26"/>
          <w:szCs w:val="26"/>
        </w:rPr>
      </w:pPr>
    </w:p>
    <w:p>
      <w:pPr>
        <w:pStyle w:val="Heading3"/>
        <w:spacing w:line="240" w:lineRule="auto"/>
        <w:ind w:left="132" w:right="1115"/>
        <w:jc w:val="left"/>
        <w:rPr>
          <w:b w:val="0"/>
          <w:bCs w:val="0"/>
        </w:rPr>
      </w:pPr>
      <w:bookmarkStart w:name="18、长期待摊费用" w:id="203"/>
      <w:bookmarkEnd w:id="203"/>
      <w:r>
        <w:rPr>
          <w:b w:val="0"/>
          <w:bCs w:val="0"/>
        </w:rPr>
      </w:r>
      <w:r>
        <w:rPr>
          <w:rFonts w:ascii="Times New Roman" w:hAnsi="Times New Roman" w:cs="Times New Roman" w:eastAsia="Times New Roman" w:hint="default"/>
        </w:rPr>
        <w:t>18</w:t>
      </w:r>
      <w:r>
        <w:rPr/>
        <w:t>、长期待摊费用</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left="132" w:right="1132" w:firstLine="360"/>
        <w:jc w:val="both"/>
      </w:pPr>
      <w:r>
        <w:rPr>
          <w:spacing w:val="-2"/>
        </w:rPr>
        <w:t>长期待摊费用核算已经支出，摊销期限在</w:t>
      </w:r>
      <w:r>
        <w:rPr>
          <w:rFonts w:ascii="Times New Roman" w:hAnsi="Times New Roman" w:cs="Times New Roman" w:eastAsia="Times New Roman" w:hint="default"/>
          <w:spacing w:val="-2"/>
        </w:rPr>
        <w:t>1</w:t>
      </w:r>
      <w:r>
        <w:rPr>
          <w:spacing w:val="-2"/>
        </w:rPr>
        <w:t>年以上（不含</w:t>
      </w:r>
      <w:r>
        <w:rPr>
          <w:rFonts w:ascii="Times New Roman" w:hAnsi="Times New Roman" w:cs="Times New Roman" w:eastAsia="Times New Roman" w:hint="default"/>
          <w:spacing w:val="-2"/>
        </w:rPr>
        <w:t>1</w:t>
      </w:r>
      <w:r>
        <w:rPr>
          <w:spacing w:val="-2"/>
        </w:rPr>
        <w:t>年）的各项费用。长期待摊费用按实际发生额入账，在受益期</w:t>
      </w:r>
      <w:r>
        <w:rPr/>
        <w:t> </w:t>
      </w:r>
      <w:r>
        <w:rPr>
          <w:spacing w:val="-2"/>
        </w:rPr>
        <w:t>或规定的期限内分期平均摊销。如果长期待摊的费用项目不能使以后会计期间受益则将尚未摊销的该项目的摊余价值全部转</w:t>
      </w:r>
    </w:p>
    <w:p>
      <w:pPr>
        <w:spacing w:after="0" w:line="300" w:lineRule="auto"/>
        <w:jc w:val="both"/>
        <w:sectPr>
          <w:pgSz w:w="11910" w:h="16840"/>
          <w:pgMar w:header="907" w:footer="1016" w:top="1100" w:bottom="1200" w:left="1000" w:right="0"/>
        </w:sectPr>
      </w:pPr>
    </w:p>
    <w:p>
      <w:pPr>
        <w:spacing w:line="240" w:lineRule="auto" w:before="13"/>
        <w:rPr>
          <w:rFonts w:ascii="宋体" w:hAnsi="宋体" w:cs="宋体" w:eastAsia="宋体" w:hint="default"/>
          <w:sz w:val="22"/>
          <w:szCs w:val="22"/>
        </w:rPr>
      </w:pPr>
    </w:p>
    <w:p>
      <w:pPr>
        <w:pStyle w:val="BodyText"/>
        <w:spacing w:line="240" w:lineRule="auto" w:before="44"/>
        <w:ind w:right="882"/>
        <w:jc w:val="left"/>
      </w:pPr>
      <w:r>
        <w:rPr/>
        <w:t>入当期损益。</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19、职工薪酬" w:id="204"/>
      <w:bookmarkEnd w:id="204"/>
      <w:r>
        <w:rPr>
          <w:b w:val="0"/>
          <w:bCs w:val="0"/>
        </w:rPr>
      </w:r>
      <w:r>
        <w:rPr>
          <w:rFonts w:ascii="Times New Roman" w:hAnsi="Times New Roman" w:cs="Times New Roman" w:eastAsia="Times New Roman" w:hint="default"/>
        </w:rPr>
        <w:t>19</w:t>
      </w:r>
      <w:r>
        <w:rPr/>
        <w:t>、职工薪酬</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短期薪酬的会计处理方法" w:id="205"/>
      <w:bookmarkEnd w:id="205"/>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532" w:right="882"/>
        <w:jc w:val="left"/>
      </w:pPr>
      <w:r>
        <w:rPr/>
        <w:t>在职工为公司提供服务的会计期间，将实际发生的短期薪酬确认为负债，并计入当期损益或相关资产成本。</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离职后福利的会计处理方法" w:id="206"/>
      <w:bookmarkEnd w:id="206"/>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532" w:right="882"/>
        <w:jc w:val="left"/>
      </w:pPr>
      <w:r>
        <w:rPr/>
        <w:t>离职后福利分为设定提存计划和设定受益计划。</w:t>
      </w:r>
    </w:p>
    <w:p>
      <w:pPr>
        <w:pStyle w:val="BodyText"/>
        <w:spacing w:line="300" w:lineRule="auto" w:before="76"/>
        <w:ind w:right="1132" w:firstLine="420"/>
        <w:jc w:val="both"/>
      </w:pPr>
      <w:r>
        <w:rPr/>
        <w:t>（</w:t>
      </w:r>
      <w:r>
        <w:rPr>
          <w:rFonts w:ascii="Times New Roman" w:hAnsi="Times New Roman" w:cs="Times New Roman" w:eastAsia="Times New Roman" w:hint="default"/>
        </w:rPr>
        <w:t>1</w:t>
      </w:r>
      <w:r>
        <w:rPr/>
        <w:t>）</w:t>
      </w:r>
      <w:r>
        <w:rPr>
          <w:spacing w:val="27"/>
        </w:rPr>
        <w:t> </w:t>
      </w:r>
      <w:r>
        <w:rPr/>
        <w:t>在职工为公司提供服务的会计期间，根据设定提存计划计算的应缴存金额确认为负债，并计入当期损益或相关</w:t>
      </w:r>
      <w:r>
        <w:rPr/>
        <w:t> 资产成本。</w:t>
      </w:r>
    </w:p>
    <w:p>
      <w:pPr>
        <w:pStyle w:val="BodyText"/>
        <w:spacing w:line="240" w:lineRule="auto" w:before="31"/>
        <w:ind w:left="532" w:right="882"/>
        <w:jc w:val="left"/>
      </w:pPr>
      <w:r>
        <w:rPr/>
        <w:t>（</w:t>
      </w:r>
      <w:r>
        <w:rPr>
          <w:rFonts w:ascii="Times New Roman" w:hAnsi="Times New Roman" w:cs="Times New Roman" w:eastAsia="Times New Roman" w:hint="default"/>
        </w:rPr>
        <w:t>2</w:t>
      </w:r>
      <w:r>
        <w:rPr/>
        <w:t>）</w:t>
      </w:r>
      <w:r>
        <w:rPr>
          <w:spacing w:val="-1"/>
        </w:rPr>
        <w:t> </w:t>
      </w:r>
      <w:r>
        <w:rPr/>
        <w:t>对设定受益计划的会计处理通常包括下列步骤：</w:t>
      </w:r>
    </w:p>
    <w:p>
      <w:pPr>
        <w:pStyle w:val="BodyText"/>
        <w:spacing w:line="309" w:lineRule="auto" w:before="63"/>
        <w:ind w:right="1130" w:firstLine="420"/>
        <w:jc w:val="both"/>
      </w:pPr>
      <w:r>
        <w:rPr>
          <w:rFonts w:ascii="Times New Roman" w:hAnsi="Times New Roman" w:cs="Times New Roman" w:eastAsia="Times New Roman" w:hint="default"/>
        </w:rPr>
        <w:t>1</w:t>
      </w:r>
      <w:r>
        <w:rPr/>
        <w:t>）</w:t>
      </w:r>
      <w:r>
        <w:rPr>
          <w:spacing w:val="27"/>
        </w:rPr>
        <w:t> </w:t>
      </w:r>
      <w:r>
        <w:rPr/>
        <w:t>根据预期累计福利单位法，采用无偏且相互一致的精算假设对有关人口统计变量和财务变量等作出估计，计量设</w:t>
      </w:r>
      <w:r>
        <w:rPr/>
        <w:t> </w:t>
      </w:r>
      <w:r>
        <w:rPr>
          <w:spacing w:val="-2"/>
        </w:rPr>
        <w:t>定受益计划所产生的义务，并确定相关义务的所属期间。同时，对设定受益计划所产生的义务予以折现，以确定设定受益计</w:t>
      </w:r>
      <w:r>
        <w:rPr>
          <w:spacing w:val="-64"/>
        </w:rPr>
        <w:t> </w:t>
      </w:r>
      <w:r>
        <w:rPr>
          <w:spacing w:val="-64"/>
        </w:rPr>
      </w:r>
      <w:r>
        <w:rPr/>
        <w:t>划义务的现值和当期服务成本；</w:t>
      </w:r>
    </w:p>
    <w:p>
      <w:pPr>
        <w:pStyle w:val="BodyText"/>
        <w:spacing w:line="309" w:lineRule="auto" w:before="24"/>
        <w:ind w:right="1132" w:firstLine="420"/>
        <w:jc w:val="both"/>
      </w:pPr>
      <w:r>
        <w:rPr>
          <w:rFonts w:ascii="Times New Roman" w:hAnsi="Times New Roman" w:cs="Times New Roman" w:eastAsia="Times New Roman" w:hint="default"/>
        </w:rPr>
        <w:t>2</w:t>
      </w:r>
      <w:r>
        <w:rPr/>
        <w:t>）</w:t>
      </w:r>
      <w:r>
        <w:rPr>
          <w:spacing w:val="27"/>
        </w:rPr>
        <w:t> </w:t>
      </w:r>
      <w:r>
        <w:rPr/>
        <w:t>设定受益计划存在资产的，将设定受益计划义务现值减去设定受益计划资产公允价值所形成的赤字或盈余确认为</w:t>
      </w:r>
      <w:r>
        <w:rPr/>
        <w:t> </w:t>
      </w:r>
      <w:r>
        <w:rPr>
          <w:spacing w:val="-2"/>
        </w:rPr>
        <w:t>一项设定受益计划净负债或净资产。设定受益计划存在盈余的，以设定受益计划的盈余和资产上限两项的孰低者计量设定受</w:t>
      </w:r>
      <w:r>
        <w:rPr>
          <w:spacing w:val="-64"/>
        </w:rPr>
        <w:t> </w:t>
      </w:r>
      <w:r>
        <w:rPr>
          <w:spacing w:val="-64"/>
        </w:rPr>
      </w:r>
      <w:r>
        <w:rPr/>
        <w:t>益计划净资产；</w:t>
      </w:r>
    </w:p>
    <w:p>
      <w:pPr>
        <w:pStyle w:val="BodyText"/>
        <w:spacing w:line="312" w:lineRule="auto" w:before="24"/>
        <w:ind w:right="1130" w:firstLine="360"/>
        <w:jc w:val="both"/>
      </w:pPr>
      <w:r>
        <w:rPr>
          <w:rFonts w:ascii="Times New Roman" w:hAnsi="Times New Roman" w:cs="Times New Roman" w:eastAsia="Times New Roman" w:hint="default"/>
        </w:rPr>
        <w:t>3</w:t>
      </w:r>
      <w:r>
        <w:rPr/>
        <w:t>）</w:t>
      </w:r>
      <w:r>
        <w:rPr>
          <w:spacing w:val="13"/>
        </w:rPr>
        <w:t> </w:t>
      </w:r>
      <w:r>
        <w:rPr>
          <w:spacing w:val="-2"/>
        </w:rPr>
        <w:t>期末，将设定受益计划产生的职工薪酬成本确认为服务成本、设定受益计划净负债或净资产的利息净额以及重新计</w:t>
      </w:r>
      <w:r>
        <w:rPr/>
        <w:t> </w:t>
      </w:r>
      <w:r>
        <w:rPr>
          <w:spacing w:val="-2"/>
        </w:rPr>
        <w:t>量设定受益计划净负债或净资产所产生的变动等三部分，其中服务成本和设定受益计划净负债或净资产的利息净额计入当期</w:t>
      </w:r>
      <w:r>
        <w:rPr>
          <w:spacing w:val="-64"/>
        </w:rPr>
        <w:t> </w:t>
      </w:r>
      <w:r>
        <w:rPr>
          <w:spacing w:val="-64"/>
        </w:rPr>
      </w:r>
      <w:r>
        <w:rPr>
          <w:spacing w:val="-2"/>
        </w:rPr>
        <w:t>损益或相关资产成本，重新计量设定受益计划净负债或净资产所产生的变动计入其他综合收益，并且在后续会计期间不允许</w:t>
      </w:r>
      <w:r>
        <w:rPr>
          <w:spacing w:val="-64"/>
        </w:rPr>
        <w:t> </w:t>
      </w:r>
      <w:r>
        <w:rPr>
          <w:spacing w:val="-64"/>
        </w:rPr>
      </w:r>
      <w:r>
        <w:rPr/>
        <w:t>转回至损益，但可以在权益范围内转移这些在其他综合收益确认的金额。</w:t>
      </w:r>
    </w:p>
    <w:p>
      <w:pPr>
        <w:spacing w:line="240" w:lineRule="auto" w:before="9"/>
        <w:rPr>
          <w:rFonts w:ascii="宋体" w:hAnsi="宋体" w:cs="宋体" w:eastAsia="宋体" w:hint="default"/>
          <w:sz w:val="22"/>
          <w:szCs w:val="22"/>
        </w:rPr>
      </w:pPr>
    </w:p>
    <w:p>
      <w:pPr>
        <w:pStyle w:val="Heading3"/>
        <w:spacing w:line="240" w:lineRule="auto"/>
        <w:ind w:right="882"/>
        <w:jc w:val="left"/>
        <w:rPr>
          <w:b w:val="0"/>
          <w:bCs w:val="0"/>
        </w:rPr>
      </w:pPr>
      <w:bookmarkStart w:name="（3）辞退福利的会计处理方法" w:id="207"/>
      <w:bookmarkEnd w:id="207"/>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9"/>
        <w:rPr>
          <w:rFonts w:ascii="宋体" w:hAnsi="宋体" w:cs="宋体" w:eastAsia="宋体" w:hint="default"/>
          <w:b/>
          <w:bCs/>
          <w:sz w:val="26"/>
          <w:szCs w:val="26"/>
        </w:rPr>
      </w:pPr>
    </w:p>
    <w:p>
      <w:pPr>
        <w:pStyle w:val="BodyText"/>
        <w:spacing w:line="300" w:lineRule="auto"/>
        <w:ind w:right="1132" w:firstLine="360"/>
        <w:jc w:val="both"/>
      </w:pPr>
      <w:r>
        <w:rPr>
          <w:spacing w:val="-2"/>
        </w:rPr>
        <w:t>向职工提供的辞退福利，在下列两者孰早日确认辞退福利产生的职工薪酬负债，并计入当期损益：（</w:t>
      </w:r>
      <w:r>
        <w:rPr>
          <w:rFonts w:ascii="Times New Roman" w:hAnsi="Times New Roman" w:cs="Times New Roman" w:eastAsia="Times New Roman" w:hint="default"/>
          <w:spacing w:val="-2"/>
        </w:rPr>
        <w:t>1</w:t>
      </w:r>
      <w:r>
        <w:rPr>
          <w:spacing w:val="-2"/>
        </w:rPr>
        <w:t>）</w:t>
      </w:r>
      <w:r>
        <w:rPr>
          <w:spacing w:val="5"/>
        </w:rPr>
        <w:t> </w:t>
      </w:r>
      <w:r>
        <w:rPr/>
        <w:t>公司不能单方</w:t>
      </w:r>
      <w:r>
        <w:rPr/>
        <w:t> </w:t>
      </w:r>
      <w:r>
        <w:rPr>
          <w:spacing w:val="-2"/>
        </w:rPr>
        <w:t>面撤回因解除劳动关系计划或裁减建议所提供的辞退福利时；（</w:t>
      </w:r>
      <w:r>
        <w:rPr>
          <w:rFonts w:ascii="Times New Roman" w:hAnsi="Times New Roman" w:cs="Times New Roman" w:eastAsia="Times New Roman" w:hint="default"/>
          <w:spacing w:val="-2"/>
        </w:rPr>
        <w:t>2</w:t>
      </w:r>
      <w:r>
        <w:rPr>
          <w:spacing w:val="-2"/>
        </w:rPr>
        <w:t>）</w:t>
      </w:r>
      <w:r>
        <w:rPr>
          <w:spacing w:val="-24"/>
        </w:rPr>
        <w:t> </w:t>
      </w:r>
      <w:r>
        <w:rPr/>
        <w:t>公司确认与涉及支付辞退福利的重组相关的成本或费用</w:t>
      </w:r>
      <w:r>
        <w:rPr/>
        <w:t> 时。</w:t>
      </w:r>
    </w:p>
    <w:p>
      <w:pPr>
        <w:spacing w:line="240" w:lineRule="auto" w:before="5"/>
        <w:rPr>
          <w:rFonts w:ascii="宋体" w:hAnsi="宋体" w:cs="宋体" w:eastAsia="宋体" w:hint="default"/>
          <w:sz w:val="23"/>
          <w:szCs w:val="23"/>
        </w:rPr>
      </w:pPr>
    </w:p>
    <w:p>
      <w:pPr>
        <w:pStyle w:val="Heading3"/>
        <w:spacing w:line="240" w:lineRule="auto"/>
        <w:ind w:right="882"/>
        <w:jc w:val="left"/>
        <w:rPr>
          <w:b w:val="0"/>
          <w:bCs w:val="0"/>
        </w:rPr>
      </w:pPr>
      <w:bookmarkStart w:name="（4）其他长期职工福利的会计处理方法" w:id="208"/>
      <w:bookmarkEnd w:id="208"/>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034" w:firstLine="360"/>
        <w:jc w:val="left"/>
      </w:pPr>
      <w:r>
        <w:rPr>
          <w:spacing w:val="-2"/>
        </w:rPr>
        <w:t>向职工提供的其他长期福利，符合设定提存计划条件的，按照设定提存计划的有关规定进行会计处理；除此之外的其他</w:t>
      </w:r>
      <w:r>
        <w:rPr/>
        <w:t> 长期福利，按照设定受益计划的有关规定进行会计处理，为简化相关会计处理，将其产生的职工薪酬成本确认为服务成本、 其他长期职工福利净负债或净资产的利息净额以及重新计量其他长期职工福利净负债或净资产所产生的变动等组成项目的 总净额计入当期损益或相关资产成本。</w:t>
      </w:r>
    </w:p>
    <w:p>
      <w:pPr>
        <w:spacing w:line="240" w:lineRule="auto" w:before="8"/>
        <w:rPr>
          <w:rFonts w:ascii="宋体" w:hAnsi="宋体" w:cs="宋体" w:eastAsia="宋体" w:hint="default"/>
          <w:sz w:val="22"/>
          <w:szCs w:val="22"/>
        </w:rPr>
      </w:pPr>
    </w:p>
    <w:p>
      <w:pPr>
        <w:pStyle w:val="Heading3"/>
        <w:spacing w:line="240" w:lineRule="auto"/>
        <w:ind w:right="882"/>
        <w:jc w:val="left"/>
        <w:rPr>
          <w:b w:val="0"/>
          <w:bCs w:val="0"/>
        </w:rPr>
      </w:pPr>
      <w:bookmarkStart w:name="20、股份支付" w:id="209"/>
      <w:bookmarkEnd w:id="209"/>
      <w:r>
        <w:rPr>
          <w:b w:val="0"/>
          <w:bCs w:val="0"/>
        </w:rPr>
      </w:r>
      <w:r>
        <w:rPr>
          <w:rFonts w:ascii="Times New Roman" w:hAnsi="Times New Roman" w:cs="Times New Roman" w:eastAsia="Times New Roman" w:hint="default"/>
        </w:rPr>
        <w:t>20</w:t>
      </w:r>
      <w:r>
        <w:rPr/>
        <w:t>、股份支付</w:t>
      </w:r>
      <w:r>
        <w:rPr>
          <w:b w:val="0"/>
          <w:bCs w:val="0"/>
        </w:rPr>
      </w:r>
    </w:p>
    <w:p>
      <w:pPr>
        <w:spacing w:line="240" w:lineRule="auto" w:before="7"/>
        <w:rPr>
          <w:rFonts w:ascii="宋体" w:hAnsi="宋体" w:cs="宋体" w:eastAsia="宋体" w:hint="default"/>
          <w:b/>
          <w:bCs/>
          <w:sz w:val="26"/>
          <w:szCs w:val="26"/>
        </w:rPr>
      </w:pPr>
    </w:p>
    <w:p>
      <w:pPr>
        <w:pStyle w:val="BodyText"/>
        <w:spacing w:line="309" w:lineRule="auto"/>
        <w:ind w:left="532" w:right="6014"/>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4"/>
        </w:rPr>
        <w:t> </w:t>
      </w:r>
      <w:r>
        <w:rPr/>
        <w:t>股份支付的种类 包括以权益结算的股份支付和以现金结算的股份支付。 </w:t>
      </w:r>
      <w:r>
        <w:rPr>
          <w:rFonts w:ascii="Times New Roman" w:hAnsi="Times New Roman" w:cs="Times New Roman" w:eastAsia="Times New Roman" w:hint="default"/>
        </w:rPr>
        <w:t>2.  </w:t>
      </w:r>
      <w:r>
        <w:rPr/>
        <w:t>实施、修改、终止股份支付计划的相关会计处理</w:t>
      </w:r>
    </w:p>
    <w:p>
      <w:pPr>
        <w:pStyle w:val="BodyText"/>
        <w:spacing w:line="300" w:lineRule="auto" w:before="5"/>
        <w:ind w:left="532" w:right="1026"/>
        <w:jc w:val="left"/>
      </w:pPr>
      <w:r>
        <w:rPr/>
        <w:t>（</w:t>
      </w:r>
      <w:r>
        <w:rPr>
          <w:rFonts w:ascii="Times New Roman" w:hAnsi="Times New Roman" w:cs="Times New Roman" w:eastAsia="Times New Roman" w:hint="default"/>
        </w:rPr>
        <w:t>1</w:t>
      </w:r>
      <w:r>
        <w:rPr/>
        <w:t>）</w:t>
      </w:r>
      <w:r>
        <w:rPr>
          <w:spacing w:val="-2"/>
        </w:rPr>
        <w:t> </w:t>
      </w:r>
      <w:r>
        <w:rPr/>
        <w:t>以权益结算的股份支付</w:t>
      </w:r>
      <w:r>
        <w:rPr/>
        <w:t> </w:t>
      </w:r>
      <w:r>
        <w:rPr>
          <w:spacing w:val="-1"/>
        </w:rPr>
        <w:t>授予后立即可行权的换取职工服务的以权益结算的股份支付，在授予日按照权益工具的公允价值计入相关成本或费用，</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30"/>
        <w:jc w:val="both"/>
      </w:pPr>
      <w:r>
        <w:rPr>
          <w:spacing w:val="-2"/>
        </w:rPr>
        <w:t>相应调整资本公积。完成等待期内的服务或达到规定业绩条件才可行权的换取职工服务的以权益结算的股份支付，在等待期</w:t>
      </w:r>
      <w:r>
        <w:rPr>
          <w:spacing w:val="-64"/>
        </w:rPr>
        <w:t> </w:t>
      </w:r>
      <w:r>
        <w:rPr>
          <w:spacing w:val="-64"/>
        </w:rPr>
      </w:r>
      <w:r>
        <w:rPr>
          <w:spacing w:val="-2"/>
        </w:rPr>
        <w:t>内的每个资产负债表日，以对可行权权益工具数量的最佳估计为基础，按权益工具授予日的公允价值，将当期取得的服务计</w:t>
      </w:r>
      <w:r>
        <w:rPr>
          <w:spacing w:val="-63"/>
        </w:rPr>
        <w:t> </w:t>
      </w:r>
      <w:r>
        <w:rPr>
          <w:spacing w:val="-63"/>
        </w:rPr>
      </w:r>
      <w:r>
        <w:rPr/>
        <w:t>入相关成本或费用，相应调整资本公积。</w:t>
      </w:r>
    </w:p>
    <w:p>
      <w:pPr>
        <w:pStyle w:val="BodyText"/>
        <w:spacing w:line="316" w:lineRule="auto" w:before="19"/>
        <w:ind w:right="1130" w:firstLine="420"/>
        <w:jc w:val="both"/>
      </w:pPr>
      <w:r>
        <w:rPr/>
        <w:t>换取其他方服务的权益结算的股份支付，如果其他方服务的公允价值能够可靠计量的，按照其他方服务在取得日的公 </w:t>
      </w:r>
      <w:r>
        <w:rPr>
          <w:spacing w:val="-2"/>
        </w:rPr>
        <w:t>允价值计量；如果其他方服务的公允价值不能可靠计量，但权益工具的公允价值能够可靠计量的，按照权益工具在服务取得</w:t>
      </w:r>
      <w:r>
        <w:rPr>
          <w:spacing w:val="-63"/>
        </w:rPr>
        <w:t> </w:t>
      </w:r>
      <w:r>
        <w:rPr>
          <w:spacing w:val="-63"/>
        </w:rPr>
      </w:r>
      <w:r>
        <w:rPr/>
        <w:t>日的公允价值计量，计入相关成本或费用，相应增加所有者权益。</w:t>
      </w:r>
    </w:p>
    <w:p>
      <w:pPr>
        <w:pStyle w:val="BodyText"/>
        <w:spacing w:line="300" w:lineRule="auto" w:before="19"/>
        <w:ind w:left="532" w:right="882"/>
        <w:jc w:val="left"/>
      </w:pPr>
      <w:r>
        <w:rPr/>
        <w:t>（</w:t>
      </w:r>
      <w:r>
        <w:rPr>
          <w:rFonts w:ascii="Times New Roman" w:hAnsi="Times New Roman" w:cs="Times New Roman" w:eastAsia="Times New Roman" w:hint="default"/>
        </w:rPr>
        <w:t>2</w:t>
      </w:r>
      <w:r>
        <w:rPr/>
        <w:t>）</w:t>
      </w:r>
      <w:r>
        <w:rPr>
          <w:spacing w:val="-2"/>
        </w:rPr>
        <w:t> </w:t>
      </w:r>
      <w:r>
        <w:rPr/>
        <w:t>以现金结算的股份支付</w:t>
      </w:r>
      <w:r>
        <w:rPr/>
        <w:t> 授予后立即可行权的换取职工服务的以现金结算的股份支付，在授予日按公司承担负债的公允价值计入相关成本或费</w:t>
      </w:r>
    </w:p>
    <w:p>
      <w:pPr>
        <w:pStyle w:val="BodyText"/>
        <w:spacing w:line="316" w:lineRule="auto" w:before="31"/>
        <w:ind w:right="1130"/>
        <w:jc w:val="both"/>
      </w:pPr>
      <w:r>
        <w:rPr>
          <w:spacing w:val="-2"/>
        </w:rPr>
        <w:t>用，相应增加负债。完成等待期内的服务或达到规定业绩条件才可行权的换取职工服务的以现金结算的股份支付，在等待期</w:t>
      </w:r>
      <w:r>
        <w:rPr>
          <w:spacing w:val="-64"/>
        </w:rPr>
        <w:t> </w:t>
      </w:r>
      <w:r>
        <w:rPr>
          <w:spacing w:val="-64"/>
        </w:rPr>
      </w:r>
      <w:r>
        <w:rPr>
          <w:spacing w:val="-2"/>
        </w:rPr>
        <w:t>内的每个资产负债表日，以对可行权情况的最佳估计为基础，按公司承担负债的公允价值，将当期取得的服务计入相关成本</w:t>
      </w:r>
      <w:r>
        <w:rPr>
          <w:spacing w:val="-63"/>
        </w:rPr>
        <w:t> </w:t>
      </w:r>
      <w:r>
        <w:rPr>
          <w:spacing w:val="-63"/>
        </w:rPr>
      </w:r>
      <w:r>
        <w:rPr/>
        <w:t>或费用和相应的负债。</w:t>
      </w:r>
    </w:p>
    <w:p>
      <w:pPr>
        <w:pStyle w:val="BodyText"/>
        <w:spacing w:line="300" w:lineRule="auto" w:before="19"/>
        <w:ind w:left="532" w:right="882"/>
        <w:jc w:val="left"/>
      </w:pPr>
      <w:r>
        <w:rPr/>
        <w:t>（</w:t>
      </w:r>
      <w:r>
        <w:rPr>
          <w:rFonts w:ascii="Times New Roman" w:hAnsi="Times New Roman" w:cs="Times New Roman" w:eastAsia="Times New Roman" w:hint="default"/>
        </w:rPr>
        <w:t>3</w:t>
      </w:r>
      <w:r>
        <w:rPr/>
        <w:t>）</w:t>
      </w:r>
      <w:r>
        <w:rPr>
          <w:spacing w:val="-2"/>
        </w:rPr>
        <w:t> </w:t>
      </w:r>
      <w:r>
        <w:rPr/>
        <w:t>修改、终止股份支付计划</w:t>
      </w:r>
      <w:r>
        <w:rPr/>
        <w:t> 如果修改增加了所授予的权益工具的公允价值，公司按照权益工具公允价值的增加相应地确认取得服务的增加；如果</w:t>
      </w:r>
    </w:p>
    <w:p>
      <w:pPr>
        <w:pStyle w:val="BodyText"/>
        <w:spacing w:line="316" w:lineRule="auto" w:before="31"/>
        <w:ind w:right="1132"/>
        <w:jc w:val="both"/>
      </w:pPr>
      <w:r>
        <w:rPr>
          <w:spacing w:val="-2"/>
        </w:rPr>
        <w:t>修改增加了所授予的权益工具的数量，公司将增加的权益工具的公允价值相应地确认为取得服务的增加；如果公司按照有利</w:t>
      </w:r>
      <w:r>
        <w:rPr>
          <w:spacing w:val="-64"/>
        </w:rPr>
        <w:t> </w:t>
      </w:r>
      <w:r>
        <w:rPr>
          <w:spacing w:val="-64"/>
        </w:rPr>
      </w:r>
      <w:r>
        <w:rPr/>
        <w:t>于职工的方式修改可行权条件，公司在处理可行权条件时，考虑修改后的可行权条件。</w:t>
      </w:r>
    </w:p>
    <w:p>
      <w:pPr>
        <w:pStyle w:val="BodyText"/>
        <w:spacing w:line="316" w:lineRule="auto" w:before="19"/>
        <w:ind w:right="1026" w:firstLine="420"/>
        <w:jc w:val="left"/>
      </w:pPr>
      <w:r>
        <w:rPr>
          <w:spacing w:val="-1"/>
        </w:rPr>
        <w:t>如果修改减少了授予的权益工具的公允价值，公司继续以权益工具在授予日的公允价值为基础，确认取得服务的金额，</w:t>
      </w:r>
      <w:r>
        <w:rPr/>
        <w:t> </w:t>
      </w:r>
      <w:r>
        <w:rPr>
          <w:spacing w:val="-2"/>
        </w:rPr>
        <w:t>而不考虑权益工具公允价值的减少；如果修改减少了授予的权益工具的数量，公司将减少部分作为已授予的权益工具的取消</w:t>
      </w:r>
      <w:r>
        <w:rPr>
          <w:spacing w:val="-64"/>
        </w:rPr>
        <w:t> </w:t>
      </w:r>
      <w:r>
        <w:rPr>
          <w:spacing w:val="-64"/>
        </w:rPr>
      </w:r>
      <w:r>
        <w:rPr/>
        <w:t>来进行处理；如果以不利于职工的方式修改了可行权条件，在处理可行权条件时，不考虑修改后的可行权条件。</w:t>
      </w:r>
    </w:p>
    <w:p>
      <w:pPr>
        <w:pStyle w:val="BodyText"/>
        <w:spacing w:line="316" w:lineRule="auto" w:before="19"/>
        <w:ind w:right="1132" w:firstLine="420"/>
        <w:jc w:val="both"/>
      </w:pPr>
      <w:r>
        <w:rPr/>
        <w:t>如果公司在等待期内取消了所授予的权益工具或结算了所授予的权益工具（因未满足可行权条件而被取消的除外）， 则将取消或结算作为加速可行权处理，立即确认原本在剩余等待期内确认的金额。</w:t>
      </w:r>
    </w:p>
    <w:p>
      <w:pPr>
        <w:spacing w:line="240" w:lineRule="auto" w:before="6"/>
        <w:rPr>
          <w:rFonts w:ascii="宋体" w:hAnsi="宋体" w:cs="宋体" w:eastAsia="宋体" w:hint="default"/>
          <w:sz w:val="22"/>
          <w:szCs w:val="22"/>
        </w:rPr>
      </w:pPr>
    </w:p>
    <w:p>
      <w:pPr>
        <w:pStyle w:val="Heading3"/>
        <w:spacing w:line="240" w:lineRule="auto"/>
        <w:ind w:right="0"/>
        <w:jc w:val="both"/>
        <w:rPr>
          <w:b w:val="0"/>
          <w:bCs w:val="0"/>
        </w:rPr>
      </w:pPr>
      <w:bookmarkStart w:name="21、收入" w:id="210"/>
      <w:bookmarkEnd w:id="210"/>
      <w:r>
        <w:rPr>
          <w:b w:val="0"/>
          <w:bCs w:val="0"/>
        </w:rPr>
      </w:r>
      <w:r>
        <w:rPr>
          <w:rFonts w:ascii="Times New Roman" w:hAnsi="Times New Roman" w:cs="Times New Roman" w:eastAsia="Times New Roman" w:hint="default"/>
        </w:rPr>
        <w:t>21</w:t>
      </w:r>
      <w:r>
        <w:rPr/>
        <w:t>、收入</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pStyle w:val="BodyText"/>
        <w:spacing w:line="240" w:lineRule="auto" w:before="103"/>
        <w:ind w:left="532" w:right="882"/>
        <w:jc w:val="left"/>
      </w:pPr>
      <w:r>
        <w:rPr>
          <w:rFonts w:ascii="Times New Roman" w:hAnsi="Times New Roman" w:cs="Times New Roman" w:eastAsia="Times New Roman" w:hint="default"/>
        </w:rPr>
        <w:t>1.  </w:t>
      </w:r>
      <w:r>
        <w:rPr/>
        <w:t>收入确认原则</w:t>
      </w:r>
    </w:p>
    <w:p>
      <w:pPr>
        <w:pStyle w:val="BodyText"/>
        <w:spacing w:line="240" w:lineRule="auto" w:before="63"/>
        <w:ind w:left="532" w:right="882"/>
        <w:jc w:val="left"/>
      </w:pPr>
      <w:r>
        <w:rPr/>
        <w:t>（</w:t>
      </w:r>
      <w:r>
        <w:rPr>
          <w:rFonts w:ascii="Times New Roman" w:hAnsi="Times New Roman" w:cs="Times New Roman" w:eastAsia="Times New Roman" w:hint="default"/>
        </w:rPr>
        <w:t>1</w:t>
      </w:r>
      <w:r>
        <w:rPr/>
        <w:t>）</w:t>
      </w:r>
      <w:r>
        <w:rPr>
          <w:spacing w:val="-1"/>
        </w:rPr>
        <w:t> </w:t>
      </w:r>
      <w:r>
        <w:rPr/>
        <w:t>销售商品</w:t>
      </w:r>
    </w:p>
    <w:p>
      <w:pPr>
        <w:pStyle w:val="BodyText"/>
        <w:spacing w:line="300" w:lineRule="auto" w:before="63"/>
        <w:ind w:right="1130" w:firstLine="420"/>
        <w:jc w:val="both"/>
      </w:pPr>
      <w:r>
        <w:rPr/>
        <w:t>销售商品收入在同时满足下列条件时予以确认：</w:t>
      </w:r>
      <w:r>
        <w:rPr>
          <w:rFonts w:ascii="Times New Roman" w:hAnsi="Times New Roman" w:cs="Times New Roman" w:eastAsia="Times New Roman" w:hint="default"/>
        </w:rPr>
        <w:t>1</w:t>
      </w:r>
      <w:r>
        <w:rPr/>
        <w:t>） 将商品所有权上的主要风险和报酬转移给购货方；</w:t>
      </w:r>
      <w:r>
        <w:rPr>
          <w:rFonts w:ascii="Times New Roman" w:hAnsi="Times New Roman" w:cs="Times New Roman" w:eastAsia="Times New Roman" w:hint="default"/>
        </w:rPr>
        <w:t>2</w:t>
      </w:r>
      <w:r>
        <w:rPr/>
        <w:t>）</w:t>
      </w:r>
      <w:r>
        <w:rPr>
          <w:spacing w:val="29"/>
        </w:rPr>
        <w:t> </w:t>
      </w:r>
      <w:r>
        <w:rPr/>
        <w:t>公司不再</w:t>
      </w:r>
      <w:r>
        <w:rPr/>
        <w:t> 保留通常与所有权相联系的继续管理权，也不再对已售出的商品实施有效控制；</w:t>
      </w:r>
      <w:r>
        <w:rPr>
          <w:rFonts w:ascii="Times New Roman" w:hAnsi="Times New Roman" w:cs="Times New Roman" w:eastAsia="Times New Roman" w:hint="default"/>
        </w:rPr>
        <w:t>3</w:t>
      </w:r>
      <w:r>
        <w:rPr/>
        <w:t>）</w:t>
      </w:r>
      <w:r>
        <w:rPr>
          <w:spacing w:val="-40"/>
        </w:rPr>
        <w:t> </w:t>
      </w:r>
      <w:r>
        <w:rPr/>
        <w:t>收入的金额能够可靠地计量；</w:t>
      </w:r>
      <w:r>
        <w:rPr>
          <w:rFonts w:ascii="Times New Roman" w:hAnsi="Times New Roman" w:cs="Times New Roman" w:eastAsia="Times New Roman" w:hint="default"/>
        </w:rPr>
        <w:t>4</w:t>
      </w:r>
      <w:r>
        <w:rPr/>
        <w:t>）</w:t>
      </w:r>
      <w:r>
        <w:rPr>
          <w:spacing w:val="-40"/>
        </w:rPr>
        <w:t> </w:t>
      </w:r>
      <w:r>
        <w:rPr/>
        <w:t>相关</w:t>
      </w:r>
      <w:r>
        <w:rPr/>
        <w:t> 的经济利益很可能流入；</w:t>
      </w:r>
      <w:r>
        <w:rPr>
          <w:rFonts w:ascii="Times New Roman" w:hAnsi="Times New Roman" w:cs="Times New Roman" w:eastAsia="Times New Roman" w:hint="default"/>
        </w:rPr>
        <w:t>5</w:t>
      </w:r>
      <w:r>
        <w:rPr/>
        <w:t>）</w:t>
      </w:r>
      <w:r>
        <w:rPr>
          <w:spacing w:val="-1"/>
        </w:rPr>
        <w:t> </w:t>
      </w:r>
      <w:r>
        <w:rPr/>
        <w:t>相关的已发生或将发生的成本能够可靠地计量。</w:t>
      </w:r>
    </w:p>
    <w:p>
      <w:pPr>
        <w:pStyle w:val="BodyText"/>
        <w:spacing w:line="300" w:lineRule="auto" w:before="13"/>
        <w:ind w:left="532" w:right="882"/>
        <w:jc w:val="left"/>
      </w:pPr>
      <w:r>
        <w:rPr/>
        <w:t>（</w:t>
      </w:r>
      <w:r>
        <w:rPr>
          <w:rFonts w:ascii="Times New Roman" w:hAnsi="Times New Roman" w:cs="Times New Roman" w:eastAsia="Times New Roman" w:hint="default"/>
        </w:rPr>
        <w:t>2</w:t>
      </w:r>
      <w:r>
        <w:rPr/>
        <w:t>）</w:t>
      </w:r>
      <w:r>
        <w:rPr>
          <w:spacing w:val="-2"/>
        </w:rPr>
        <w:t> </w:t>
      </w:r>
      <w:r>
        <w:rPr/>
        <w:t>提供劳务</w:t>
      </w:r>
      <w:r>
        <w:rPr/>
        <w:t> 提供劳务交易的结果在资产负债表日能够可靠估计的（同时满足收入的金额能够可靠地计量、相关经济利益很可能流</w:t>
      </w:r>
    </w:p>
    <w:p>
      <w:pPr>
        <w:pStyle w:val="BodyText"/>
        <w:spacing w:line="316" w:lineRule="auto" w:before="31"/>
        <w:ind w:right="1130"/>
        <w:jc w:val="both"/>
      </w:pPr>
      <w:r>
        <w:rPr>
          <w:spacing w:val="-2"/>
        </w:rPr>
        <w:t>入、交易的完工进度能够可靠地确定、交易中已发生和将发生的成本能够可靠地计量），采用完工百分比法确认提供劳务的</w:t>
      </w:r>
      <w:r>
        <w:rPr>
          <w:spacing w:val="-64"/>
        </w:rPr>
        <w:t> </w:t>
      </w:r>
      <w:r>
        <w:rPr>
          <w:spacing w:val="-64"/>
        </w:rPr>
      </w:r>
      <w:r>
        <w:rPr>
          <w:spacing w:val="-2"/>
        </w:rPr>
        <w:t>收入，并按已经提供劳务占应提供劳务总量的比例确定提供劳务交易的完工进度。提供劳务交易的结果在资产负债表日不能</w:t>
      </w:r>
      <w:r>
        <w:rPr>
          <w:spacing w:val="-64"/>
        </w:rPr>
        <w:t> </w:t>
      </w:r>
      <w:r>
        <w:rPr>
          <w:spacing w:val="-64"/>
        </w:rPr>
      </w:r>
      <w:r>
        <w:rPr>
          <w:spacing w:val="-2"/>
        </w:rPr>
        <w:t>够可靠估计的，若已经发生的劳务成本预计能够得到补偿，按已经发生的劳务成本金额确认提供劳务收入，并按相同金额结</w:t>
      </w:r>
      <w:r>
        <w:rPr>
          <w:spacing w:val="-63"/>
        </w:rPr>
        <w:t> </w:t>
      </w:r>
      <w:r>
        <w:rPr>
          <w:spacing w:val="-63"/>
        </w:rPr>
      </w:r>
      <w:r>
        <w:rPr/>
        <w:t>转劳务成本；若已经发生的劳务成本预计不能够得到补偿，将已经发生的劳务成本计入当期损益，不确认劳务收入。</w:t>
      </w:r>
    </w:p>
    <w:p>
      <w:pPr>
        <w:pStyle w:val="BodyText"/>
        <w:spacing w:line="300" w:lineRule="auto" w:before="19"/>
        <w:ind w:left="532" w:right="882"/>
        <w:jc w:val="left"/>
      </w:pPr>
      <w:r>
        <w:rPr/>
        <w:t>（</w:t>
      </w:r>
      <w:r>
        <w:rPr>
          <w:rFonts w:ascii="Times New Roman" w:hAnsi="Times New Roman" w:cs="Times New Roman" w:eastAsia="Times New Roman" w:hint="default"/>
        </w:rPr>
        <w:t>3</w:t>
      </w:r>
      <w:r>
        <w:rPr/>
        <w:t>）</w:t>
      </w:r>
      <w:r>
        <w:rPr>
          <w:spacing w:val="-2"/>
        </w:rPr>
        <w:t> </w:t>
      </w:r>
      <w:r>
        <w:rPr/>
        <w:t>让渡资产使用权</w:t>
      </w:r>
      <w:r>
        <w:rPr/>
        <w:t> 让渡资产使用权在同时满足相关的经济利益很可能流入、收入金额能够可靠计量时，确认让渡资产使用权的收入。利</w:t>
      </w:r>
    </w:p>
    <w:p>
      <w:pPr>
        <w:pStyle w:val="BodyText"/>
        <w:spacing w:line="316" w:lineRule="auto" w:before="31"/>
        <w:ind w:right="1132"/>
        <w:jc w:val="both"/>
      </w:pPr>
      <w:r>
        <w:rPr>
          <w:spacing w:val="-2"/>
        </w:rPr>
        <w:t>息收入按照他人使用本公司货币资金的时间和实际利率计算确定；使用费收入按有关合同或协议约定的收费时间和方法计算</w:t>
      </w:r>
      <w:r>
        <w:rPr>
          <w:spacing w:val="-64"/>
        </w:rPr>
        <w:t> </w:t>
      </w:r>
      <w:r>
        <w:rPr>
          <w:spacing w:val="-64"/>
        </w:rPr>
      </w:r>
      <w:r>
        <w:rPr/>
        <w:t>确定。</w:t>
      </w:r>
    </w:p>
    <w:p>
      <w:pPr>
        <w:pStyle w:val="BodyText"/>
        <w:spacing w:line="300" w:lineRule="auto" w:before="19"/>
        <w:ind w:left="532" w:right="6374"/>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44"/>
        </w:rPr>
        <w:t> </w:t>
      </w:r>
      <w:r>
        <w:rPr/>
        <w:t>收入确认的具体方法 公司主要产品为软件销售、系统集成和技术服务。</w:t>
      </w:r>
    </w:p>
    <w:p>
      <w:pPr>
        <w:pStyle w:val="BodyText"/>
        <w:spacing w:line="300" w:lineRule="auto" w:before="31"/>
        <w:ind w:left="532" w:right="1154"/>
        <w:jc w:val="left"/>
      </w:pPr>
      <w:r>
        <w:rPr/>
        <w:t>（</w:t>
      </w:r>
      <w:r>
        <w:rPr>
          <w:rFonts w:ascii="Times New Roman" w:hAnsi="Times New Roman" w:cs="Times New Roman" w:eastAsia="Times New Roman" w:hint="default"/>
        </w:rPr>
        <w:t>1</w:t>
      </w:r>
      <w:r>
        <w:rPr/>
        <w:t>）</w:t>
      </w:r>
      <w:r>
        <w:rPr>
          <w:spacing w:val="-2"/>
        </w:rPr>
        <w:t> </w:t>
      </w:r>
      <w:r>
        <w:rPr/>
        <w:t>软件销售</w:t>
      </w:r>
      <w:r>
        <w:rPr/>
        <w:t> 软件销售系自产软件的开发及销售。软件销售在同时满足收入的金额能够可靠计量、相关经济利益很可能流入、交易</w:t>
      </w:r>
    </w:p>
    <w:p>
      <w:pPr>
        <w:pStyle w:val="BodyText"/>
        <w:spacing w:line="240" w:lineRule="auto" w:before="31"/>
        <w:ind w:right="0"/>
        <w:jc w:val="both"/>
      </w:pPr>
      <w:r>
        <w:rPr/>
        <w:t>的完工进度能够可靠确定、交易中已发生和将发生的成本能够可靠计量的前提下，采用完工百分比法确认收入。</w:t>
      </w:r>
    </w:p>
    <w:p>
      <w:pPr>
        <w:spacing w:after="0" w:line="24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left="532" w:right="1154"/>
        <w:jc w:val="left"/>
      </w:pPr>
      <w:r>
        <w:rPr/>
        <w:t>（</w:t>
      </w:r>
      <w:r>
        <w:rPr>
          <w:rFonts w:ascii="Times New Roman" w:hAnsi="Times New Roman" w:cs="Times New Roman" w:eastAsia="Times New Roman" w:hint="default"/>
        </w:rPr>
        <w:t>2</w:t>
      </w:r>
      <w:r>
        <w:rPr/>
        <w:t>）</w:t>
      </w:r>
      <w:r>
        <w:rPr>
          <w:spacing w:val="-2"/>
        </w:rPr>
        <w:t> </w:t>
      </w:r>
      <w:r>
        <w:rPr/>
        <w:t>技术服务</w:t>
      </w:r>
      <w:r>
        <w:rPr/>
        <w:t> 技术服务包括软件开发服务和软硬件维护服务。技术服务在同时满足相关劳务已经提供、收入的金额能够可靠计量、</w:t>
      </w:r>
    </w:p>
    <w:p>
      <w:pPr>
        <w:pStyle w:val="BodyText"/>
        <w:spacing w:line="316" w:lineRule="auto" w:before="31"/>
        <w:ind w:right="1132"/>
        <w:jc w:val="both"/>
      </w:pPr>
      <w:r>
        <w:rPr>
          <w:spacing w:val="-2"/>
        </w:rPr>
        <w:t>相关经济利益很可能流入、交易的完工进度能够可靠确定、交易中已发生和将发生的成本能够可靠计量的前提下，采用完工</w:t>
      </w:r>
      <w:r>
        <w:rPr>
          <w:spacing w:val="-65"/>
        </w:rPr>
        <w:t> </w:t>
      </w:r>
      <w:r>
        <w:rPr>
          <w:spacing w:val="-65"/>
        </w:rPr>
      </w:r>
      <w:r>
        <w:rPr/>
        <w:t>百分比法确认收入；如合同约定明确服务期限的，在服务期限内平均摊销确认收入。</w:t>
      </w:r>
    </w:p>
    <w:p>
      <w:pPr>
        <w:pStyle w:val="BodyText"/>
        <w:spacing w:line="300" w:lineRule="auto" w:before="19"/>
        <w:ind w:left="532" w:right="1154"/>
        <w:jc w:val="left"/>
      </w:pPr>
      <w:r>
        <w:rPr/>
        <w:t>（</w:t>
      </w:r>
      <w:r>
        <w:rPr>
          <w:rFonts w:ascii="Times New Roman" w:hAnsi="Times New Roman" w:cs="Times New Roman" w:eastAsia="Times New Roman" w:hint="default"/>
        </w:rPr>
        <w:t>3</w:t>
      </w:r>
      <w:r>
        <w:rPr/>
        <w:t>）</w:t>
      </w:r>
      <w:r>
        <w:rPr>
          <w:spacing w:val="-2"/>
        </w:rPr>
        <w:t> </w:t>
      </w:r>
      <w:r>
        <w:rPr/>
        <w:t>系统集成</w:t>
      </w:r>
      <w:r>
        <w:rPr/>
        <w:t> 系统集成包括计算机信息设备系统集成业务和智能化网络布线工程集成业务。计算机信息设备系统集成业务在同时满</w:t>
      </w:r>
    </w:p>
    <w:p>
      <w:pPr>
        <w:pStyle w:val="BodyText"/>
        <w:spacing w:line="316" w:lineRule="auto" w:before="31"/>
        <w:ind w:right="882"/>
        <w:jc w:val="left"/>
      </w:pPr>
      <w:r>
        <w:rPr>
          <w:spacing w:val="-2"/>
        </w:rPr>
        <w:t>足商品所有权上的主要风险和报酬转移给购货方、公司不再保留通常与所有权相联系的继续管理权，也不再对已售出的商品</w:t>
      </w:r>
      <w:r>
        <w:rPr>
          <w:spacing w:val="-64"/>
        </w:rPr>
        <w:t> </w:t>
      </w:r>
      <w:r>
        <w:rPr>
          <w:spacing w:val="-64"/>
        </w:rPr>
      </w:r>
      <w:r>
        <w:rPr>
          <w:spacing w:val="-4"/>
        </w:rPr>
        <w:t>实施有效控制、收入的金额能够可靠地计量、相关的经济利益很可能流入、相关的已发生或将发生的成本能够可靠地计量时，</w:t>
      </w:r>
      <w:r>
        <w:rPr>
          <w:spacing w:val="-42"/>
        </w:rPr>
        <w:t> </w:t>
      </w:r>
      <w:r>
        <w:rPr>
          <w:spacing w:val="-42"/>
        </w:rPr>
      </w:r>
      <w:r>
        <w:rPr/>
        <w:t>于整个项目验收完成时确认收入；</w:t>
      </w:r>
    </w:p>
    <w:p>
      <w:pPr>
        <w:pStyle w:val="BodyText"/>
        <w:spacing w:line="316" w:lineRule="auto" w:before="19"/>
        <w:ind w:right="1132" w:firstLine="360"/>
        <w:jc w:val="both"/>
      </w:pPr>
      <w:r>
        <w:rPr>
          <w:spacing w:val="-2"/>
        </w:rPr>
        <w:t>智能化网络布线工程集成业务在同时满足收入金额能够可靠计量、相关经济利益很可能流入、交易的完工进度能够可靠</w:t>
      </w:r>
      <w:r>
        <w:rPr/>
        <w:t> 确定、交易中已发生和将发生的成本能够可靠计量的前提下，采用完工百分比法确认收入。</w:t>
      </w:r>
    </w:p>
    <w:p>
      <w:pPr>
        <w:spacing w:line="240" w:lineRule="auto" w:before="6"/>
        <w:rPr>
          <w:rFonts w:ascii="宋体" w:hAnsi="宋体" w:cs="宋体" w:eastAsia="宋体" w:hint="default"/>
          <w:sz w:val="22"/>
          <w:szCs w:val="22"/>
        </w:rPr>
      </w:pPr>
    </w:p>
    <w:p>
      <w:pPr>
        <w:pStyle w:val="Heading3"/>
        <w:spacing w:line="240" w:lineRule="auto"/>
        <w:ind w:right="0"/>
        <w:jc w:val="both"/>
        <w:rPr>
          <w:b w:val="0"/>
          <w:bCs w:val="0"/>
        </w:rPr>
      </w:pPr>
      <w:bookmarkStart w:name="22、政府补助" w:id="211"/>
      <w:bookmarkEnd w:id="211"/>
      <w:r>
        <w:rPr>
          <w:b w:val="0"/>
          <w:bCs w:val="0"/>
        </w:rPr>
      </w:r>
      <w:r>
        <w:rPr>
          <w:rFonts w:ascii="Times New Roman" w:hAnsi="Times New Roman" w:cs="Times New Roman" w:eastAsia="Times New Roman" w:hint="default"/>
        </w:rPr>
        <w:t>22</w:t>
      </w:r>
      <w:r>
        <w:rPr/>
        <w:t>、政府补助</w:t>
      </w:r>
      <w:r>
        <w:rPr>
          <w:b w:val="0"/>
          <w:bCs w:val="0"/>
        </w:rPr>
      </w:r>
    </w:p>
    <w:p>
      <w:pPr>
        <w:spacing w:line="240" w:lineRule="auto" w:before="7"/>
        <w:rPr>
          <w:rFonts w:ascii="宋体" w:hAnsi="宋体" w:cs="宋体" w:eastAsia="宋体" w:hint="default"/>
          <w:b/>
          <w:bCs/>
          <w:sz w:val="26"/>
          <w:szCs w:val="26"/>
        </w:rPr>
      </w:pPr>
    </w:p>
    <w:p>
      <w:pPr>
        <w:pStyle w:val="BodyText"/>
        <w:spacing w:line="309" w:lineRule="auto"/>
        <w:ind w:right="1129" w:firstLine="420"/>
        <w:jc w:val="both"/>
      </w:pPr>
      <w:r>
        <w:rPr>
          <w:rFonts w:ascii="Times New Roman" w:hAnsi="Times New Roman" w:cs="Times New Roman" w:eastAsia="Times New Roman" w:hint="default"/>
        </w:rPr>
        <w:t>1. </w:t>
      </w:r>
      <w:r>
        <w:rPr/>
        <w:t>政府补助在同时满足下列条件时予以确认：（</w:t>
      </w:r>
      <w:r>
        <w:rPr>
          <w:rFonts w:ascii="Times New Roman" w:hAnsi="Times New Roman" w:cs="Times New Roman" w:eastAsia="Times New Roman" w:hint="default"/>
        </w:rPr>
        <w:t>1</w:t>
      </w:r>
      <w:r>
        <w:rPr/>
        <w:t>） 公司能够满足政府补助所附的条件；（</w:t>
      </w:r>
      <w:r>
        <w:rPr>
          <w:rFonts w:ascii="Times New Roman" w:hAnsi="Times New Roman" w:cs="Times New Roman" w:eastAsia="Times New Roman" w:hint="default"/>
        </w:rPr>
        <w:t>2</w:t>
      </w:r>
      <w:r>
        <w:rPr/>
        <w:t>）</w:t>
      </w:r>
      <w:r>
        <w:rPr>
          <w:spacing w:val="-7"/>
        </w:rPr>
        <w:t> </w:t>
      </w:r>
      <w:r>
        <w:rPr/>
        <w:t>公司能够收到政府补</w:t>
      </w:r>
      <w:r>
        <w:rPr/>
        <w:t> </w:t>
      </w:r>
      <w:r>
        <w:rPr>
          <w:spacing w:val="-2"/>
        </w:rPr>
        <w:t>助。政府补助为货币性资产的，按照收到或应收的金额计量。政府补助为非货币性资产的，按照公允价值计量；公允价值不</w:t>
      </w:r>
      <w:r>
        <w:rPr>
          <w:spacing w:val="-63"/>
        </w:rPr>
        <w:t> </w:t>
      </w:r>
      <w:r>
        <w:rPr>
          <w:spacing w:val="-63"/>
        </w:rPr>
      </w:r>
      <w:r>
        <w:rPr/>
        <w:t>能可靠取得的，按照名义金额计量。</w:t>
      </w:r>
    </w:p>
    <w:p>
      <w:pPr>
        <w:pStyle w:val="BodyText"/>
        <w:spacing w:line="300" w:lineRule="auto" w:before="24"/>
        <w:ind w:left="532" w:right="882"/>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44"/>
        </w:rPr>
        <w:t> </w:t>
      </w:r>
      <w:r>
        <w:rPr/>
        <w:t>与资产相关的政府补助判断依据及会计处理方法 政府文件规定用于购建或以其他方式形成长期资产的政府补助划分为与资产相关的政府补助。政府文件不明确的，以</w:t>
      </w:r>
    </w:p>
    <w:p>
      <w:pPr>
        <w:pStyle w:val="BodyText"/>
        <w:spacing w:line="316" w:lineRule="auto" w:before="31"/>
        <w:ind w:right="1130"/>
        <w:jc w:val="both"/>
      </w:pPr>
      <w:r>
        <w:rPr/>
        <w:t>取得该补助必须具备的基本条件为基础进行判断，以购建或其他方式形成长期资产为基本条件的作为与资产相关的政府补</w:t>
      </w:r>
      <w:r>
        <w:rPr>
          <w:spacing w:val="-9"/>
        </w:rPr>
        <w:t> </w:t>
      </w:r>
      <w:r>
        <w:rPr>
          <w:spacing w:val="-9"/>
        </w:rPr>
      </w:r>
      <w:r>
        <w:rPr>
          <w:spacing w:val="-2"/>
        </w:rPr>
        <w:t>助。与资产相关的政府补助，冲减相关资产的账面价值或确认为递延收益。与资产相关的政府补助确认为递延收益的，在相</w:t>
      </w:r>
      <w:r>
        <w:rPr>
          <w:spacing w:val="-64"/>
        </w:rPr>
        <w:t> </w:t>
      </w:r>
      <w:r>
        <w:rPr>
          <w:spacing w:val="-64"/>
        </w:rPr>
      </w:r>
      <w:r>
        <w:rPr>
          <w:spacing w:val="-2"/>
        </w:rPr>
        <w:t>关资产使用寿命内按照合理、系统的方法分期计入损益。按照名义金额计量的政府补助，直接计入当期损益。相关资产在使</w:t>
      </w:r>
      <w:r>
        <w:rPr>
          <w:spacing w:val="-64"/>
        </w:rPr>
        <w:t> </w:t>
      </w:r>
      <w:r>
        <w:rPr>
          <w:spacing w:val="-64"/>
        </w:rPr>
      </w:r>
      <w:r>
        <w:rPr/>
        <w:t>用寿命结束前被出售、转让、报废或发生毁损的，将尚未分配的相关递延收益余额转入资产处置当期的损益。</w:t>
      </w:r>
    </w:p>
    <w:p>
      <w:pPr>
        <w:pStyle w:val="BodyText"/>
        <w:spacing w:line="300" w:lineRule="auto" w:before="19"/>
        <w:ind w:left="532" w:right="882"/>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44"/>
        </w:rPr>
        <w:t> </w:t>
      </w:r>
      <w:r>
        <w:rPr/>
        <w:t>与收益相关的政府补助判断依据及会计处理方法 除与资产相关的政府补助之外的政府补助划分为与收益相关的政府补助。对于同时包含与资产相关部分和与收益相关</w:t>
      </w:r>
    </w:p>
    <w:p>
      <w:pPr>
        <w:pStyle w:val="BodyText"/>
        <w:spacing w:line="316" w:lineRule="auto" w:before="31"/>
        <w:ind w:right="1130"/>
        <w:jc w:val="both"/>
      </w:pPr>
      <w:r>
        <w:rPr>
          <w:spacing w:val="-2"/>
        </w:rPr>
        <w:t>部分的政府补助，难以区分与资产相关或与收益相关的，整体归类为与收益相关的政府补助。与收益相关的政府补助，用于</w:t>
      </w:r>
      <w:r>
        <w:rPr>
          <w:spacing w:val="-64"/>
        </w:rPr>
        <w:t> </w:t>
      </w:r>
      <w:r>
        <w:rPr>
          <w:spacing w:val="-64"/>
        </w:rPr>
      </w:r>
      <w:r>
        <w:rPr>
          <w:spacing w:val="-2"/>
        </w:rPr>
        <w:t>补偿以后期间的相关成本费用或损失的，确认为递延收益，在确认相关成本费用或损失的期间，计入当期损益或冲减相关成</w:t>
      </w:r>
      <w:r>
        <w:rPr>
          <w:spacing w:val="-63"/>
        </w:rPr>
        <w:t> </w:t>
      </w:r>
      <w:r>
        <w:rPr>
          <w:spacing w:val="-63"/>
        </w:rPr>
      </w:r>
      <w:r>
        <w:rPr/>
        <w:t>本；用于补偿已发生的相关成本费用或损失的，直接计入当期损益或冲减相关成本。</w:t>
      </w:r>
    </w:p>
    <w:p>
      <w:pPr>
        <w:pStyle w:val="BodyText"/>
        <w:spacing w:line="300" w:lineRule="auto" w:before="19"/>
        <w:ind w:right="1130" w:firstLine="420"/>
        <w:jc w:val="both"/>
      </w:pPr>
      <w:r>
        <w:rPr>
          <w:rFonts w:ascii="Times New Roman" w:hAnsi="Times New Roman" w:cs="Times New Roman" w:eastAsia="Times New Roman" w:hint="default"/>
        </w:rPr>
        <w:t>4.</w:t>
      </w:r>
      <w:r>
        <w:rPr>
          <w:rFonts w:ascii="Times New Roman" w:hAnsi="Times New Roman" w:cs="Times New Roman" w:eastAsia="Times New Roman" w:hint="default"/>
          <w:spacing w:val="39"/>
        </w:rPr>
        <w:t> </w:t>
      </w:r>
      <w:r>
        <w:rPr/>
        <w:t>与公司日常经营活动相关的政府补助，按照经济业务实质，计入其他收益或冲减相关成本费用。与公司日常活动无 关的政府补助，计入营业外收支。</w:t>
      </w:r>
    </w:p>
    <w:p>
      <w:pPr>
        <w:pStyle w:val="BodyText"/>
        <w:spacing w:line="240" w:lineRule="auto" w:before="31"/>
        <w:ind w:left="532" w:right="882"/>
        <w:jc w:val="left"/>
      </w:pPr>
      <w:r>
        <w:rPr>
          <w:rFonts w:ascii="Times New Roman" w:hAnsi="Times New Roman" w:cs="Times New Roman" w:eastAsia="Times New Roman" w:hint="default"/>
        </w:rPr>
        <w:t>5.  </w:t>
      </w:r>
      <w:r>
        <w:rPr/>
        <w:t>政策性优惠贷款贴息的会计处理方法</w:t>
      </w:r>
    </w:p>
    <w:p>
      <w:pPr>
        <w:pStyle w:val="BodyText"/>
        <w:spacing w:line="300" w:lineRule="auto" w:before="63"/>
        <w:ind w:right="1132" w:firstLine="420"/>
        <w:jc w:val="both"/>
      </w:pPr>
      <w:r>
        <w:rPr/>
        <w:t>（</w:t>
      </w:r>
      <w:r>
        <w:rPr>
          <w:rFonts w:ascii="Times New Roman" w:hAnsi="Times New Roman" w:cs="Times New Roman" w:eastAsia="Times New Roman" w:hint="default"/>
        </w:rPr>
        <w:t>1</w:t>
      </w:r>
      <w:r>
        <w:rPr/>
        <w:t>）</w:t>
      </w:r>
      <w:r>
        <w:rPr>
          <w:spacing w:val="27"/>
        </w:rPr>
        <w:t> </w:t>
      </w:r>
      <w:r>
        <w:rPr/>
        <w:t>财政将贴息资金拨付给贷款银行，由贷款银行以政策性优惠利率向公司提供贷款的，以实际收到的借款金额作</w:t>
      </w:r>
      <w:r>
        <w:rPr/>
        <w:t> 为借款的入账价值，按照借款本金和该政策性优惠利率计算相关借款费用。</w:t>
      </w:r>
    </w:p>
    <w:p>
      <w:pPr>
        <w:pStyle w:val="BodyText"/>
        <w:spacing w:line="240" w:lineRule="auto" w:before="31"/>
        <w:ind w:left="532" w:right="882"/>
        <w:jc w:val="left"/>
      </w:pPr>
      <w:r>
        <w:rPr/>
        <w:t>（</w:t>
      </w:r>
      <w:r>
        <w:rPr>
          <w:rFonts w:ascii="Times New Roman" w:hAnsi="Times New Roman" w:cs="Times New Roman" w:eastAsia="Times New Roman" w:hint="default"/>
        </w:rPr>
        <w:t>2</w:t>
      </w:r>
      <w:r>
        <w:rPr/>
        <w:t>）</w:t>
      </w:r>
      <w:r>
        <w:rPr>
          <w:spacing w:val="-1"/>
        </w:rPr>
        <w:t> </w:t>
      </w:r>
      <w:r>
        <w:rPr/>
        <w:t>财政将贴息资金直接拨付给公司的，将对应的贴息冲减相关借款费用。</w:t>
      </w:r>
    </w:p>
    <w:p>
      <w:pPr>
        <w:spacing w:line="240" w:lineRule="auto" w:before="13"/>
        <w:rPr>
          <w:rFonts w:ascii="宋体" w:hAnsi="宋体" w:cs="宋体" w:eastAsia="宋体" w:hint="default"/>
          <w:sz w:val="25"/>
          <w:szCs w:val="25"/>
        </w:rPr>
      </w:pPr>
    </w:p>
    <w:p>
      <w:pPr>
        <w:pStyle w:val="Heading3"/>
        <w:spacing w:line="240" w:lineRule="auto"/>
        <w:ind w:right="0"/>
        <w:jc w:val="both"/>
        <w:rPr>
          <w:b w:val="0"/>
          <w:bCs w:val="0"/>
        </w:rPr>
      </w:pPr>
      <w:bookmarkStart w:name="23、递延所得税资产/递延所得税负债" w:id="212"/>
      <w:bookmarkEnd w:id="212"/>
      <w:r>
        <w:rPr>
          <w:b w:val="0"/>
          <w:bCs w:val="0"/>
        </w:rPr>
      </w:r>
      <w:r>
        <w:rPr>
          <w:rFonts w:ascii="Times New Roman" w:hAnsi="Times New Roman" w:cs="Times New Roman" w:eastAsia="Times New Roman" w:hint="default"/>
        </w:rPr>
        <w:t>23</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4"/>
        <w:rPr>
          <w:rFonts w:ascii="宋体" w:hAnsi="宋体" w:cs="宋体" w:eastAsia="宋体" w:hint="default"/>
          <w:b/>
          <w:bCs/>
          <w:sz w:val="26"/>
          <w:szCs w:val="26"/>
        </w:rPr>
      </w:pPr>
    </w:p>
    <w:p>
      <w:pPr>
        <w:pStyle w:val="BodyText"/>
        <w:spacing w:line="309" w:lineRule="auto"/>
        <w:ind w:right="1130" w:firstLine="420"/>
        <w:jc w:val="both"/>
      </w:pPr>
      <w:r>
        <w:rPr>
          <w:rFonts w:ascii="Times New Roman" w:hAnsi="Times New Roman" w:cs="Times New Roman" w:eastAsia="Times New Roman" w:hint="default"/>
        </w:rPr>
        <w:t>1.</w:t>
      </w:r>
      <w:r>
        <w:rPr>
          <w:rFonts w:ascii="Times New Roman" w:hAnsi="Times New Roman" w:cs="Times New Roman" w:eastAsia="Times New Roman" w:hint="default"/>
          <w:spacing w:val="37"/>
        </w:rPr>
        <w:t> </w:t>
      </w:r>
      <w:r>
        <w:rPr/>
        <w:t>根据资产、负债的账面价值与其计税基础之间的差额（未作为资产和负债确认的项目按照税法规定可以确定其计税 </w:t>
      </w:r>
      <w:r>
        <w:rPr>
          <w:spacing w:val="-2"/>
        </w:rPr>
        <w:t>基础的，该计税基础与其账面数之间的差额），按照预期收回该资产或清偿该负债期间的适用税率计算确认递延所得税资产</w:t>
      </w:r>
      <w:r>
        <w:rPr>
          <w:spacing w:val="-63"/>
        </w:rPr>
        <w:t> </w:t>
      </w:r>
      <w:r>
        <w:rPr>
          <w:spacing w:val="-63"/>
        </w:rPr>
      </w:r>
      <w:r>
        <w:rPr/>
        <w:t>或递延所得税负债。</w:t>
      </w:r>
    </w:p>
    <w:p>
      <w:pPr>
        <w:pStyle w:val="BodyText"/>
        <w:spacing w:line="300" w:lineRule="auto" w:before="24"/>
        <w:ind w:right="1132" w:firstLine="420"/>
        <w:jc w:val="both"/>
      </w:pPr>
      <w:r>
        <w:rPr>
          <w:rFonts w:ascii="Times New Roman" w:hAnsi="Times New Roman" w:cs="Times New Roman" w:eastAsia="Times New Roman" w:hint="default"/>
        </w:rPr>
        <w:t>2.</w:t>
      </w:r>
      <w:r>
        <w:rPr>
          <w:rFonts w:ascii="Times New Roman" w:hAnsi="Times New Roman" w:cs="Times New Roman" w:eastAsia="Times New Roman" w:hint="default"/>
          <w:spacing w:val="36"/>
        </w:rPr>
        <w:t> </w:t>
      </w:r>
      <w:r>
        <w:rPr/>
        <w:t>确认递延所得税资产以很可能取得用来抵扣可抵扣暂时性差异的应纳税所得额为限。资产负债表日，有确凿证据表 明未来期间很可能获得足够的应纳税所得额用来抵扣可抵扣暂时性差异的，确认以前会计期间未确认的递延所得税资产。</w:t>
      </w:r>
    </w:p>
    <w:p>
      <w:pPr>
        <w:pStyle w:val="BodyText"/>
        <w:spacing w:line="300" w:lineRule="auto" w:before="31"/>
        <w:ind w:right="1132" w:firstLine="420"/>
        <w:jc w:val="both"/>
      </w:pPr>
      <w:r>
        <w:rPr>
          <w:rFonts w:ascii="Times New Roman" w:hAnsi="Times New Roman" w:cs="Times New Roman" w:eastAsia="Times New Roman" w:hint="default"/>
        </w:rPr>
        <w:t>3.</w:t>
      </w:r>
      <w:r>
        <w:rPr>
          <w:rFonts w:ascii="Times New Roman" w:hAnsi="Times New Roman" w:cs="Times New Roman" w:eastAsia="Times New Roman" w:hint="default"/>
          <w:spacing w:val="37"/>
        </w:rPr>
        <w:t> </w:t>
      </w:r>
      <w:r>
        <w:rPr/>
        <w:t>资产负债表日，对递延所得税资产的账面价值进行复核，如果未来期间很可能无法获得足够的应纳税所得额用以抵 扣递延所得税资产的利益，则减记递延所得税资产的账面价值。在很可能获得足够的应纳税所得额时，转回减记的金额。</w:t>
      </w:r>
    </w:p>
    <w:p>
      <w:pPr>
        <w:pStyle w:val="BodyText"/>
        <w:spacing w:line="240" w:lineRule="auto" w:before="31"/>
        <w:ind w:left="472" w:right="882"/>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8"/>
        </w:rPr>
        <w:t> </w:t>
      </w:r>
      <w:r>
        <w:rPr/>
        <w:t>公司当期所得税和递延所得税作为所得税费用或收益计入当期损益，但不包括下列情况产生的所得税：（</w:t>
      </w:r>
      <w:r>
        <w:rPr>
          <w:rFonts w:ascii="Times New Roman" w:hAnsi="Times New Roman" w:cs="Times New Roman" w:eastAsia="Times New Roman" w:hint="default"/>
        </w:rPr>
        <w:t>1</w:t>
      </w:r>
      <w:r>
        <w:rPr/>
        <w:t>）企业合</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0"/>
        <w:jc w:val="both"/>
      </w:pPr>
      <w:r>
        <w:rPr/>
        <w:t>并；（</w:t>
      </w:r>
      <w:r>
        <w:rPr>
          <w:rFonts w:ascii="Times New Roman" w:hAnsi="Times New Roman" w:cs="Times New Roman" w:eastAsia="Times New Roman" w:hint="default"/>
        </w:rPr>
        <w:t>2</w:t>
      </w:r>
      <w:r>
        <w:rPr/>
        <w:t>）直接在所有者权益中确认的交易或者事项。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3"/>
          <w:szCs w:val="13"/>
        </w:rPr>
      </w:pPr>
    </w:p>
    <w:p>
      <w:pPr>
        <w:pStyle w:val="Heading3"/>
        <w:spacing w:line="240" w:lineRule="auto"/>
        <w:ind w:right="0"/>
        <w:jc w:val="both"/>
        <w:rPr>
          <w:b w:val="0"/>
          <w:bCs w:val="0"/>
        </w:rPr>
      </w:pPr>
      <w:bookmarkStart w:name="24、租赁" w:id="213"/>
      <w:bookmarkEnd w:id="213"/>
      <w:r>
        <w:rPr>
          <w:b w:val="0"/>
          <w:bCs w:val="0"/>
        </w:rPr>
      </w:r>
      <w:r>
        <w:rPr>
          <w:rFonts w:ascii="Times New Roman" w:hAnsi="Times New Roman" w:cs="Times New Roman" w:eastAsia="Times New Roman" w:hint="default"/>
        </w:rPr>
        <w:t>24</w:t>
      </w:r>
      <w:r>
        <w:rPr/>
        <w:t>、租赁</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both"/>
        <w:rPr>
          <w:b w:val="0"/>
          <w:bCs w:val="0"/>
        </w:rPr>
      </w:pPr>
      <w:bookmarkStart w:name="（1）经营租赁的会计处理方法" w:id="214"/>
      <w:bookmarkEnd w:id="214"/>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026" w:firstLine="420"/>
        <w:jc w:val="left"/>
      </w:pPr>
      <w:r>
        <w:rPr>
          <w:spacing w:val="-1"/>
        </w:rPr>
        <w:t>公司为承租人时，在租赁期内各个期间按照直线法将租金计入相关资产成本或确认为当期损益，发生的初始直接费用，</w:t>
      </w:r>
      <w:r>
        <w:rPr/>
        <w:t> 直接计入当期损益。或有租金在实际发生时计入当期损益。</w:t>
      </w:r>
    </w:p>
    <w:p>
      <w:pPr>
        <w:pStyle w:val="BodyText"/>
        <w:spacing w:line="316" w:lineRule="auto" w:before="19"/>
        <w:ind w:right="882" w:firstLine="360"/>
        <w:jc w:val="left"/>
      </w:pPr>
      <w:r>
        <w:rPr>
          <w:spacing w:val="-2"/>
        </w:rPr>
        <w:t>公司为出租人时，在租赁期内各个期间按照直线法将租金确认为当期损益，发生的初始直接费用，除金额较大的予以资</w:t>
      </w:r>
      <w:r>
        <w:rPr/>
        <w:t> 本化并分期计入损益外，均直接计入当期损益。或有租金在实际发生时计入当期损益。</w:t>
      </w:r>
    </w:p>
    <w:p>
      <w:pPr>
        <w:spacing w:line="240" w:lineRule="auto" w:before="8"/>
        <w:rPr>
          <w:rFonts w:ascii="宋体" w:hAnsi="宋体" w:cs="宋体" w:eastAsia="宋体" w:hint="default"/>
          <w:sz w:val="22"/>
          <w:szCs w:val="22"/>
        </w:rPr>
      </w:pPr>
    </w:p>
    <w:p>
      <w:pPr>
        <w:pStyle w:val="Heading3"/>
        <w:spacing w:line="240" w:lineRule="auto"/>
        <w:ind w:right="0"/>
        <w:jc w:val="both"/>
        <w:rPr>
          <w:b w:val="0"/>
          <w:bCs w:val="0"/>
        </w:rPr>
      </w:pPr>
      <w:bookmarkStart w:name="25、其他重要的会计政策和会计估计" w:id="215"/>
      <w:bookmarkEnd w:id="215"/>
      <w:r>
        <w:rPr>
          <w:b w:val="0"/>
          <w:bCs w:val="0"/>
        </w:rPr>
      </w:r>
      <w:r>
        <w:rPr>
          <w:rFonts w:ascii="Times New Roman" w:hAnsi="Times New Roman" w:cs="Times New Roman" w:eastAsia="Times New Roman" w:hint="default"/>
        </w:rPr>
        <w:t>25</w:t>
      </w:r>
      <w:r>
        <w:rPr/>
        <w:t>、其他重要的会计政策和会计估计</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left="532" w:right="1154"/>
        <w:jc w:val="left"/>
      </w:pPr>
      <w:r>
        <w:rPr/>
        <w:t>（一）分部报告 公司以内部组织结构、管理要求、内部报告制度等为依据确定经营分部。公司的经营分部是指同时满足下列条件的组</w:t>
      </w:r>
    </w:p>
    <w:p>
      <w:pPr>
        <w:pStyle w:val="BodyText"/>
        <w:spacing w:line="240" w:lineRule="auto" w:before="19"/>
        <w:ind w:right="0"/>
        <w:jc w:val="both"/>
      </w:pPr>
      <w:r>
        <w:rPr/>
        <w:t>成部分：</w:t>
      </w:r>
    </w:p>
    <w:p>
      <w:pPr>
        <w:pStyle w:val="BodyText"/>
        <w:spacing w:line="240" w:lineRule="auto" w:before="76"/>
        <w:ind w:left="532" w:right="882"/>
        <w:jc w:val="left"/>
      </w:pPr>
      <w:r>
        <w:rPr>
          <w:rFonts w:ascii="Times New Roman" w:hAnsi="Times New Roman" w:cs="Times New Roman" w:eastAsia="Times New Roman" w:hint="default"/>
        </w:rPr>
        <w:t>1.  </w:t>
      </w:r>
      <w:r>
        <w:rPr/>
        <w:t>该组成部分能够在日常活动中产生收入、发生费用；</w:t>
      </w:r>
    </w:p>
    <w:p>
      <w:pPr>
        <w:pStyle w:val="BodyText"/>
        <w:spacing w:line="240" w:lineRule="auto" w:before="63"/>
        <w:ind w:left="532" w:right="882"/>
        <w:jc w:val="left"/>
      </w:pPr>
      <w:r>
        <w:rPr>
          <w:rFonts w:ascii="Times New Roman" w:hAnsi="Times New Roman" w:cs="Times New Roman" w:eastAsia="Times New Roman" w:hint="default"/>
        </w:rPr>
        <w:t>2.  </w:t>
      </w:r>
      <w:r>
        <w:rPr/>
        <w:t>管理层能够定期评价该组成部分的经营成果，以决定向其配置资源、评价其业绩；</w:t>
      </w:r>
    </w:p>
    <w:p>
      <w:pPr>
        <w:pStyle w:val="BodyText"/>
        <w:spacing w:line="240" w:lineRule="auto" w:before="63"/>
        <w:ind w:left="532" w:right="882"/>
        <w:jc w:val="left"/>
      </w:pPr>
      <w:r>
        <w:rPr>
          <w:rFonts w:ascii="Times New Roman" w:hAnsi="Times New Roman" w:cs="Times New Roman" w:eastAsia="Times New Roman" w:hint="default"/>
        </w:rPr>
        <w:t>3.  </w:t>
      </w:r>
      <w:r>
        <w:rPr/>
        <w:t>能够通过分析取得该组成部分的财务状况、经营成果和现金流量等有关会计信息。</w:t>
      </w:r>
    </w:p>
    <w:p>
      <w:pPr>
        <w:pStyle w:val="BodyText"/>
        <w:spacing w:line="316" w:lineRule="auto" w:before="63"/>
        <w:ind w:left="532" w:right="882"/>
        <w:jc w:val="left"/>
      </w:pPr>
      <w:r>
        <w:rPr/>
        <w:t>（二）回购公司股份 因减少注册资本或奖励职工等原因收购本公司股份的，按实际支付的金额作为库存股处理，同时进行备查登记。如果</w:t>
      </w:r>
    </w:p>
    <w:p>
      <w:pPr>
        <w:pStyle w:val="BodyText"/>
        <w:spacing w:line="316" w:lineRule="auto" w:before="19"/>
        <w:ind w:right="1130"/>
        <w:jc w:val="both"/>
      </w:pPr>
      <w:r>
        <w:rPr/>
        <w:t>将回购的股份注销，则将按注销股票面值和注销股数计算的股票面值总额与实际回购所支付的金额之间的差额冲减资本公</w:t>
      </w:r>
      <w:r>
        <w:rPr>
          <w:spacing w:val="-9"/>
        </w:rPr>
        <w:t> </w:t>
      </w:r>
      <w:r>
        <w:rPr>
          <w:spacing w:val="-9"/>
        </w:rPr>
      </w:r>
      <w:r>
        <w:rPr>
          <w:spacing w:val="-2"/>
        </w:rPr>
        <w:t>积，资本公积不足冲减的，冲减留存收益；如果将回购的股份奖励给本公司职工属于以权益结算的股份支付，于职工行权购</w:t>
      </w:r>
      <w:r>
        <w:rPr>
          <w:spacing w:val="-64"/>
        </w:rPr>
        <w:t> </w:t>
      </w:r>
      <w:r>
        <w:rPr>
          <w:spacing w:val="-64"/>
        </w:rPr>
      </w:r>
      <w:r>
        <w:rPr>
          <w:spacing w:val="-2"/>
        </w:rPr>
        <w:t>买本公司股份收到价款时，转销交付职工的库存股成本和等待期内资本公积（其他资本公积）累计金额，同时，按照其差额</w:t>
      </w:r>
      <w:r>
        <w:rPr>
          <w:spacing w:val="-63"/>
        </w:rPr>
        <w:t> </w:t>
      </w:r>
      <w:r>
        <w:rPr>
          <w:spacing w:val="-63"/>
        </w:rPr>
      </w:r>
      <w:r>
        <w:rPr/>
        <w:t>调整资本公积（股本溢价）。</w:t>
      </w:r>
    </w:p>
    <w:p>
      <w:pPr>
        <w:spacing w:line="240" w:lineRule="auto" w:before="6"/>
        <w:rPr>
          <w:rFonts w:ascii="宋体" w:hAnsi="宋体" w:cs="宋体" w:eastAsia="宋体" w:hint="default"/>
          <w:sz w:val="22"/>
          <w:szCs w:val="22"/>
        </w:rPr>
      </w:pPr>
    </w:p>
    <w:p>
      <w:pPr>
        <w:pStyle w:val="Heading3"/>
        <w:spacing w:line="240" w:lineRule="auto"/>
        <w:ind w:right="0"/>
        <w:jc w:val="both"/>
        <w:rPr>
          <w:b w:val="0"/>
          <w:bCs w:val="0"/>
        </w:rPr>
      </w:pPr>
      <w:bookmarkStart w:name="26、重要会计政策和会计估计变更" w:id="216"/>
      <w:bookmarkEnd w:id="216"/>
      <w:r>
        <w:rPr>
          <w:b w:val="0"/>
          <w:bCs w:val="0"/>
        </w:rPr>
      </w:r>
      <w:r>
        <w:rPr>
          <w:rFonts w:ascii="Times New Roman" w:hAnsi="Times New Roman" w:cs="Times New Roman" w:eastAsia="Times New Roman" w:hint="default"/>
        </w:rPr>
        <w:t>26</w:t>
      </w:r>
      <w:r>
        <w:rPr/>
        <w:t>、重要会计政策和会计估计变更</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both"/>
        <w:rPr>
          <w:b w:val="0"/>
          <w:bCs w:val="0"/>
        </w:rPr>
      </w:pPr>
      <w:bookmarkStart w:name="（1）重要会计政策变更" w:id="217"/>
      <w:bookmarkEnd w:id="217"/>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 适用 □ 不适用</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1"/>
        <w:gridCol w:w="3189"/>
        <w:gridCol w:w="3189"/>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9"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71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详见下述说明</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00"/>
              <w:jc w:val="left"/>
              <w:rPr>
                <w:rFonts w:ascii="宋体" w:hAnsi="宋体" w:cs="宋体" w:eastAsia="宋体" w:hint="default"/>
                <w:sz w:val="18"/>
                <w:szCs w:val="18"/>
              </w:rPr>
            </w:pPr>
            <w:r>
              <w:rPr>
                <w:rFonts w:ascii="宋体" w:hAnsi="宋体" w:cs="宋体" w:eastAsia="宋体" w:hint="default"/>
                <w:spacing w:val="-6"/>
                <w:sz w:val="18"/>
                <w:szCs w:val="18"/>
              </w:rPr>
              <w:t>经公司六届董事会第十八、二十二、三</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十一次董事会批准</w:t>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10"/>
        <w:ind w:left="472" w:right="882"/>
        <w:jc w:val="left"/>
      </w:pPr>
      <w:r>
        <w:rPr>
          <w:rFonts w:ascii="Times New Roman" w:hAnsi="Times New Roman" w:cs="Times New Roman" w:eastAsia="Times New Roman" w:hint="default"/>
        </w:rPr>
        <w:t>1.  </w:t>
      </w:r>
      <w:r>
        <w:rPr/>
        <w:t>重要会计政策变更</w:t>
      </w:r>
    </w:p>
    <w:p>
      <w:pPr>
        <w:pStyle w:val="BodyText"/>
        <w:spacing w:line="240" w:lineRule="auto" w:before="63"/>
        <w:ind w:left="472" w:right="882"/>
        <w:jc w:val="left"/>
      </w:pPr>
      <w:r>
        <w:rPr/>
        <w:t>（</w:t>
      </w:r>
      <w:r>
        <w:rPr>
          <w:rFonts w:ascii="Times New Roman" w:hAnsi="Times New Roman" w:cs="Times New Roman" w:eastAsia="Times New Roman" w:hint="default"/>
        </w:rPr>
        <w:t>1</w:t>
      </w:r>
      <w:r>
        <w:rPr/>
        <w:t>）企业会计准则变化引起的会计政策变更</w:t>
      </w:r>
    </w:p>
    <w:p>
      <w:pPr>
        <w:pStyle w:val="BodyText"/>
        <w:spacing w:line="300" w:lineRule="auto" w:before="63"/>
        <w:ind w:right="1130" w:firstLine="360"/>
        <w:jc w:val="both"/>
      </w:pPr>
      <w:r>
        <w:rPr>
          <w:rFonts w:ascii="Times New Roman" w:hAnsi="Times New Roman" w:cs="Times New Roman" w:eastAsia="Times New Roman" w:hint="default"/>
        </w:rPr>
        <w:t>1</w:t>
      </w:r>
      <w:r>
        <w:rPr/>
        <w:t>）本公司根据财政部《关于修订印发 </w:t>
      </w:r>
      <w:r>
        <w:rPr>
          <w:rFonts w:ascii="Times New Roman" w:hAnsi="Times New Roman" w:cs="Times New Roman" w:eastAsia="Times New Roman" w:hint="default"/>
        </w:rPr>
        <w:t>2019 </w:t>
      </w:r>
      <w:r>
        <w:rPr/>
        <w:t>年度一般企业财务报表格式的通知》（财会〔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t>号</w:t>
      </w:r>
      <w:r>
        <w:rPr>
          <w:rFonts w:ascii="Times New Roman" w:hAnsi="Times New Roman" w:cs="Times New Roman" w:eastAsia="Times New Roman" w:hint="default"/>
        </w:rPr>
        <w:t>)</w:t>
      </w:r>
      <w:r>
        <w:rPr/>
        <w:t>、《关于修订印 发合并财务报表格式（</w:t>
      </w: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t>版）的通知》（财会〔</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16</w:t>
      </w:r>
      <w:r>
        <w:rPr>
          <w:rFonts w:ascii="Times New Roman" w:hAnsi="Times New Roman" w:cs="Times New Roman" w:eastAsia="Times New Roman" w:hint="default"/>
          <w:spacing w:val="5"/>
        </w:rPr>
        <w:t> </w:t>
      </w:r>
      <w:r>
        <w:rPr/>
        <w:t>号</w:t>
      </w:r>
      <w:r>
        <w:rPr>
          <w:rFonts w:ascii="Times New Roman" w:hAnsi="Times New Roman" w:cs="Times New Roman" w:eastAsia="Times New Roman" w:hint="default"/>
        </w:rPr>
        <w:t>)</w:t>
      </w:r>
      <w:r>
        <w:rPr/>
        <w:t>和企业会计准则的要求编制</w:t>
      </w:r>
      <w:r>
        <w:rPr>
          <w:spacing w:val="-39"/>
        </w:rPr>
        <w:t> </w:t>
      </w:r>
      <w:r>
        <w:rPr>
          <w:rFonts w:ascii="Times New Roman" w:hAnsi="Times New Roman" w:cs="Times New Roman" w:eastAsia="Times New Roman" w:hint="default"/>
        </w:rPr>
        <w:t>2019</w:t>
      </w:r>
      <w:r>
        <w:rPr>
          <w:rFonts w:ascii="Times New Roman" w:hAnsi="Times New Roman" w:cs="Times New Roman" w:eastAsia="Times New Roman" w:hint="default"/>
          <w:spacing w:val="5"/>
        </w:rPr>
        <w:t> </w:t>
      </w:r>
      <w:r>
        <w:rPr/>
        <w:t>年度财务报表，此项会计</w:t>
      </w:r>
      <w:r>
        <w:rPr>
          <w:spacing w:val="-88"/>
        </w:rPr>
        <w:t> </w:t>
      </w:r>
      <w:r>
        <w:rPr>
          <w:spacing w:val="-88"/>
        </w:rPr>
      </w:r>
      <w:r>
        <w:rPr/>
        <w:t>政策变更采用追溯调整法。</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年度财务报表受重要影响的报表项目和金额如下：</w:t>
      </w:r>
    </w:p>
    <w:tbl>
      <w:tblPr>
        <w:tblW w:w="0" w:type="auto"/>
        <w:jc w:val="left"/>
        <w:tblInd w:w="667" w:type="dxa"/>
        <w:tblLayout w:type="fixed"/>
        <w:tblCellMar>
          <w:top w:w="0" w:type="dxa"/>
          <w:left w:w="0" w:type="dxa"/>
          <w:bottom w:w="0" w:type="dxa"/>
          <w:right w:w="0" w:type="dxa"/>
        </w:tblCellMar>
        <w:tblLook w:val="01E0"/>
      </w:tblPr>
      <w:tblGrid>
        <w:gridCol w:w="2268"/>
        <w:gridCol w:w="2427"/>
        <w:gridCol w:w="1824"/>
        <w:gridCol w:w="2003"/>
      </w:tblGrid>
      <w:tr>
        <w:trPr>
          <w:trHeight w:val="362" w:hRule="exact"/>
        </w:trPr>
        <w:tc>
          <w:tcPr>
            <w:tcW w:w="46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442" w:right="0"/>
              <w:jc w:val="left"/>
              <w:rPr>
                <w:rFonts w:ascii="宋体" w:hAnsi="宋体" w:cs="宋体" w:eastAsia="宋体" w:hint="default"/>
                <w:sz w:val="18"/>
                <w:szCs w:val="18"/>
              </w:rPr>
            </w:pPr>
            <w:r>
              <w:rPr>
                <w:rFonts w:ascii="宋体" w:hAnsi="宋体" w:cs="宋体" w:eastAsia="宋体" w:hint="default"/>
                <w:sz w:val="18"/>
                <w:szCs w:val="18"/>
              </w:rPr>
              <w:t>原列报报表项目及金额</w:t>
            </w:r>
          </w:p>
        </w:tc>
        <w:tc>
          <w:tcPr>
            <w:tcW w:w="38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07" w:right="0"/>
              <w:jc w:val="left"/>
              <w:rPr>
                <w:rFonts w:ascii="宋体" w:hAnsi="宋体" w:cs="宋体" w:eastAsia="宋体" w:hint="default"/>
                <w:sz w:val="18"/>
                <w:szCs w:val="18"/>
              </w:rPr>
            </w:pPr>
            <w:r>
              <w:rPr>
                <w:rFonts w:ascii="宋体" w:hAnsi="宋体" w:cs="宋体" w:eastAsia="宋体" w:hint="default"/>
                <w:sz w:val="18"/>
                <w:szCs w:val="18"/>
              </w:rPr>
              <w:t>新列报报表项目及金额</w:t>
            </w:r>
          </w:p>
        </w:tc>
      </w:tr>
      <w:tr>
        <w:trPr>
          <w:trHeight w:val="362" w:hRule="exact"/>
        </w:trPr>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427"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187" w:right="0"/>
              <w:jc w:val="left"/>
              <w:rPr>
                <w:rFonts w:ascii="Times New Roman" w:hAnsi="Times New Roman" w:cs="Times New Roman" w:eastAsia="Times New Roman" w:hint="default"/>
                <w:sz w:val="18"/>
                <w:szCs w:val="18"/>
              </w:rPr>
            </w:pPr>
            <w:r>
              <w:rPr>
                <w:rFonts w:ascii="Times New Roman"/>
                <w:sz w:val="18"/>
              </w:rPr>
              <w:t>580,675,277.73</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360" w:hRule="exact"/>
        </w:trPr>
        <w:tc>
          <w:tcPr>
            <w:tcW w:w="2268" w:type="dxa"/>
            <w:vMerge/>
            <w:tcBorders>
              <w:left w:val="single" w:sz="4" w:space="0" w:color="000000"/>
              <w:bottom w:val="single" w:sz="4" w:space="0" w:color="000000"/>
              <w:right w:val="single" w:sz="4" w:space="0" w:color="000000"/>
            </w:tcBorders>
          </w:tcPr>
          <w:p>
            <w:pPr/>
          </w:p>
        </w:tc>
        <w:tc>
          <w:tcPr>
            <w:tcW w:w="2427" w:type="dxa"/>
            <w:vMerge/>
            <w:tcBorders>
              <w:left w:val="single" w:sz="4" w:space="0" w:color="000000"/>
              <w:bottom w:val="single" w:sz="4" w:space="0" w:color="000000"/>
              <w:right w:val="single" w:sz="4" w:space="0" w:color="000000"/>
            </w:tcBorders>
          </w:tcPr>
          <w:p>
            <w:pP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579,520,829.00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767" w:type="dxa"/>
        <w:tblLayout w:type="fixed"/>
        <w:tblCellMar>
          <w:top w:w="0" w:type="dxa"/>
          <w:left w:w="0" w:type="dxa"/>
          <w:bottom w:w="0" w:type="dxa"/>
          <w:right w:w="0" w:type="dxa"/>
        </w:tblCellMar>
        <w:tblLook w:val="01E0"/>
      </w:tblPr>
      <w:tblGrid>
        <w:gridCol w:w="2268"/>
        <w:gridCol w:w="2427"/>
        <w:gridCol w:w="1824"/>
        <w:gridCol w:w="2003"/>
      </w:tblGrid>
      <w:tr>
        <w:trPr>
          <w:trHeight w:val="362" w:hRule="exact"/>
        </w:trPr>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427"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187" w:right="0"/>
              <w:jc w:val="left"/>
              <w:rPr>
                <w:rFonts w:ascii="Times New Roman" w:hAnsi="Times New Roman" w:cs="Times New Roman" w:eastAsia="Times New Roman" w:hint="default"/>
                <w:sz w:val="18"/>
                <w:szCs w:val="18"/>
              </w:rPr>
            </w:pPr>
            <w:r>
              <w:rPr>
                <w:rFonts w:ascii="Times New Roman"/>
                <w:sz w:val="18"/>
              </w:rPr>
              <w:t>231,590,017.95</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7,249,126.60</w:t>
            </w:r>
          </w:p>
        </w:tc>
      </w:tr>
      <w:tr>
        <w:trPr>
          <w:trHeight w:val="362" w:hRule="exact"/>
        </w:trPr>
        <w:tc>
          <w:tcPr>
            <w:tcW w:w="2268" w:type="dxa"/>
            <w:vMerge/>
            <w:tcBorders>
              <w:left w:val="single" w:sz="4" w:space="0" w:color="000000"/>
              <w:bottom w:val="single" w:sz="4" w:space="0" w:color="000000"/>
              <w:right w:val="single" w:sz="4" w:space="0" w:color="000000"/>
            </w:tcBorders>
          </w:tcPr>
          <w:p>
            <w:pPr/>
          </w:p>
        </w:tc>
        <w:tc>
          <w:tcPr>
            <w:tcW w:w="2427" w:type="dxa"/>
            <w:vMerge/>
            <w:tcBorders>
              <w:left w:val="single" w:sz="4" w:space="0" w:color="000000"/>
              <w:bottom w:val="single" w:sz="4" w:space="0" w:color="000000"/>
              <w:right w:val="single" w:sz="4" w:space="0" w:color="000000"/>
            </w:tcBorders>
          </w:tcPr>
          <w:p>
            <w:pP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224,340,891.35</w:t>
            </w:r>
          </w:p>
        </w:tc>
      </w:tr>
      <w:tr>
        <w:trPr>
          <w:trHeight w:val="362"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151,709,086.59</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151,137,119.49</w:t>
            </w:r>
          </w:p>
        </w:tc>
      </w:tr>
      <w:tr>
        <w:trPr>
          <w:trHeight w:val="362"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129,852,419.99</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130,424,387.09</w:t>
            </w:r>
          </w:p>
        </w:tc>
      </w:tr>
    </w:tbl>
    <w:p>
      <w:pPr>
        <w:pStyle w:val="BodyText"/>
        <w:spacing w:line="240" w:lineRule="auto" w:before="10"/>
        <w:ind w:left="572" w:right="1031"/>
        <w:jc w:val="left"/>
      </w:pPr>
      <w:r>
        <w:rPr>
          <w:rFonts w:ascii="Times New Roman" w:hAnsi="Times New Roman" w:cs="Times New Roman" w:eastAsia="Times New Roman" w:hint="default"/>
        </w:rPr>
        <w:t>2</w:t>
      </w:r>
      <w:r>
        <w:rPr/>
        <w:t>）本公司自</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日起执行财政部修订后的《企业会计准则第</w:t>
      </w:r>
      <w:r>
        <w:rPr>
          <w:spacing w:val="-45"/>
        </w:rPr>
        <w:t> </w:t>
      </w:r>
      <w:r>
        <w:rPr>
          <w:rFonts w:ascii="Times New Roman" w:hAnsi="Times New Roman" w:cs="Times New Roman" w:eastAsia="Times New Roman" w:hint="default"/>
        </w:rPr>
        <w:t>22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金融工具确认和计量》《企业会计准</w:t>
      </w:r>
    </w:p>
    <w:p>
      <w:pPr>
        <w:pStyle w:val="BodyText"/>
        <w:spacing w:line="309" w:lineRule="auto" w:before="63"/>
        <w:ind w:left="212" w:right="1130"/>
        <w:jc w:val="both"/>
      </w:pPr>
      <w:r>
        <w:rPr/>
        <w:t>则第</w:t>
      </w:r>
      <w:r>
        <w:rPr>
          <w:spacing w:val="-40"/>
        </w:rPr>
        <w:t> </w:t>
      </w:r>
      <w:r>
        <w:rPr>
          <w:rFonts w:ascii="Times New Roman" w:hAnsi="Times New Roman" w:cs="Times New Roman" w:eastAsia="Times New Roman" w:hint="default"/>
        </w:rPr>
        <w:t>23</w:t>
      </w:r>
      <w:r>
        <w:rPr>
          <w:rFonts w:ascii="Times New Roman" w:hAnsi="Times New Roman" w:cs="Times New Roman" w:eastAsia="Times New Roman" w:hint="default"/>
          <w:spacing w:val="4"/>
        </w:rPr>
        <w:t> </w:t>
      </w:r>
      <w:r>
        <w:rPr>
          <w:spacing w:val="-4"/>
        </w:rPr>
        <w:t>号</w:t>
      </w:r>
      <w:r>
        <w:rPr>
          <w:rFonts w:ascii="Times New Roman" w:hAnsi="Times New Roman" w:cs="Times New Roman" w:eastAsia="Times New Roman" w:hint="default"/>
          <w:spacing w:val="-4"/>
        </w:rPr>
        <w:t>——</w:t>
      </w:r>
      <w:r>
        <w:rPr>
          <w:spacing w:val="-4"/>
        </w:rPr>
        <w:t>金融资产转移》《企业会计准则第</w:t>
      </w:r>
      <w:r>
        <w:rPr>
          <w:spacing w:val="-40"/>
        </w:rPr>
        <w:t> </w:t>
      </w:r>
      <w:r>
        <w:rPr>
          <w:rFonts w:ascii="Times New Roman" w:hAnsi="Times New Roman" w:cs="Times New Roman" w:eastAsia="Times New Roman" w:hint="default"/>
        </w:rPr>
        <w:t>24</w:t>
      </w:r>
      <w:r>
        <w:rPr>
          <w:rFonts w:ascii="Times New Roman" w:hAnsi="Times New Roman" w:cs="Times New Roman" w:eastAsia="Times New Roman" w:hint="default"/>
          <w:spacing w:val="4"/>
        </w:rPr>
        <w:t> </w:t>
      </w:r>
      <w:r>
        <w:rPr>
          <w:spacing w:val="-4"/>
        </w:rPr>
        <w:t>号</w:t>
      </w:r>
      <w:r>
        <w:rPr>
          <w:rFonts w:ascii="Times New Roman" w:hAnsi="Times New Roman" w:cs="Times New Roman" w:eastAsia="Times New Roman" w:hint="default"/>
          <w:spacing w:val="-4"/>
        </w:rPr>
        <w:t>——</w:t>
      </w:r>
      <w:r>
        <w:rPr>
          <w:spacing w:val="-4"/>
        </w:rPr>
        <w:t>套期保值》以及《企业会计准则第</w:t>
      </w:r>
      <w:r>
        <w:rPr>
          <w:spacing w:val="-40"/>
        </w:rPr>
        <w:t> </w:t>
      </w:r>
      <w:r>
        <w:rPr>
          <w:rFonts w:ascii="Times New Roman" w:hAnsi="Times New Roman" w:cs="Times New Roman" w:eastAsia="Times New Roman" w:hint="default"/>
        </w:rPr>
        <w:t>37</w:t>
      </w:r>
      <w:r>
        <w:rPr>
          <w:rFonts w:ascii="Times New Roman" w:hAnsi="Times New Roman" w:cs="Times New Roman" w:eastAsia="Times New Roman" w:hint="default"/>
          <w:spacing w:val="2"/>
        </w:rPr>
        <w:t> </w:t>
      </w:r>
      <w:r>
        <w:rPr>
          <w:spacing w:val="-5"/>
        </w:rPr>
        <w:t>号</w:t>
      </w:r>
      <w:r>
        <w:rPr>
          <w:rFonts w:ascii="Times New Roman" w:hAnsi="Times New Roman" w:cs="Times New Roman" w:eastAsia="Times New Roman" w:hint="default"/>
          <w:spacing w:val="-5"/>
        </w:rPr>
        <w:t>——</w:t>
      </w:r>
      <w:r>
        <w:rPr>
          <w:spacing w:val="-5"/>
        </w:rPr>
        <w:t>金融工具列报》（以</w:t>
      </w:r>
      <w:r>
        <w:rPr/>
        <w:t> </w:t>
      </w:r>
      <w:r>
        <w:rPr>
          <w:spacing w:val="-2"/>
        </w:rPr>
        <w:t>下简称新金融工具准则）。根据相关新旧准则衔接规定，对可比期间信息不予调整，首次执行日执行新准则与原准则的差异</w:t>
      </w:r>
      <w:r>
        <w:rPr>
          <w:spacing w:val="-64"/>
        </w:rPr>
        <w:t> </w:t>
      </w:r>
      <w:r>
        <w:rPr>
          <w:spacing w:val="-64"/>
        </w:rPr>
      </w:r>
      <w:r>
        <w:rPr/>
        <w:t>追溯调整本报告期期初留存收益或其他综合收益。</w:t>
      </w:r>
    </w:p>
    <w:p>
      <w:pPr>
        <w:pStyle w:val="BodyText"/>
        <w:spacing w:line="316" w:lineRule="auto" w:before="24"/>
        <w:ind w:left="212" w:right="1132" w:firstLine="360"/>
        <w:jc w:val="both"/>
      </w:pPr>
      <w:r>
        <w:rPr>
          <w:spacing w:val="-2"/>
        </w:rPr>
        <w:t>新金融工具准则改变了金融资产的分类和计量方式，确定了三个计量类别：摊余成本；以公允价值计量且其变动计入其</w:t>
      </w:r>
      <w:r>
        <w:rPr/>
        <w:t> </w:t>
      </w:r>
      <w:r>
        <w:rPr>
          <w:spacing w:val="-2"/>
        </w:rPr>
        <w:t>他综合收益；以公允价值计量且其变动计入当期损益。公司考虑自身业务模式，以及金融资产的合同现金流特征进行上述分</w:t>
      </w:r>
      <w:r>
        <w:rPr>
          <w:spacing w:val="-65"/>
        </w:rPr>
        <w:t> </w:t>
      </w:r>
      <w:r>
        <w:rPr>
          <w:spacing w:val="-65"/>
        </w:rPr>
      </w:r>
      <w:r>
        <w:rPr>
          <w:spacing w:val="-2"/>
        </w:rPr>
        <w:t>类。权益类投资需按公允价值计量且其变动计入当期损益，但非交易性权益类投资在初始确认时可选择按公允价值计量且其</w:t>
      </w:r>
      <w:r>
        <w:rPr>
          <w:spacing w:val="-64"/>
        </w:rPr>
        <w:t> </w:t>
      </w:r>
      <w:r>
        <w:rPr>
          <w:spacing w:val="-64"/>
        </w:rPr>
      </w:r>
      <w:r>
        <w:rPr/>
        <w:t>变动计入其他综合收益（处置时的利得或损失不能回转到损益，但股利收入计入当期损益</w:t>
      </w:r>
      <w:r>
        <w:rPr>
          <w:rFonts w:ascii="Times New Roman" w:hAnsi="Times New Roman" w:cs="Times New Roman" w:eastAsia="Times New Roman" w:hint="default"/>
        </w:rPr>
        <w:t>)</w:t>
      </w:r>
      <w:r>
        <w:rPr/>
        <w:t>，且该选择不可撤销。</w:t>
      </w:r>
    </w:p>
    <w:p>
      <w:pPr>
        <w:pStyle w:val="BodyText"/>
        <w:spacing w:line="300" w:lineRule="auto"/>
        <w:ind w:left="212" w:right="1132" w:firstLine="360"/>
        <w:jc w:val="both"/>
      </w:pPr>
      <w:r>
        <w:rPr>
          <w:spacing w:val="-1"/>
        </w:rPr>
        <w:t>新金融工具准则要求金融资产减值计量由</w:t>
      </w:r>
      <w:r>
        <w:rPr>
          <w:rFonts w:ascii="Times New Roman" w:hAnsi="Times New Roman" w:cs="Times New Roman" w:eastAsia="Times New Roman" w:hint="default"/>
          <w:spacing w:val="-1"/>
        </w:rPr>
        <w:t>“</w:t>
      </w:r>
      <w:r>
        <w:rPr>
          <w:spacing w:val="-1"/>
        </w:rPr>
        <w:t>已发生损失模型</w:t>
      </w:r>
      <w:r>
        <w:rPr>
          <w:rFonts w:ascii="Times New Roman" w:hAnsi="Times New Roman" w:cs="Times New Roman" w:eastAsia="Times New Roman" w:hint="default"/>
          <w:spacing w:val="-1"/>
        </w:rPr>
        <w:t>”</w:t>
      </w:r>
      <w:r>
        <w:rPr>
          <w:spacing w:val="-1"/>
        </w:rPr>
        <w:t>改为</w:t>
      </w:r>
      <w:r>
        <w:rPr>
          <w:rFonts w:ascii="Times New Roman" w:hAnsi="Times New Roman" w:cs="Times New Roman" w:eastAsia="Times New Roman" w:hint="default"/>
          <w:spacing w:val="-1"/>
        </w:rPr>
        <w:t>“</w:t>
      </w:r>
      <w:r>
        <w:rPr>
          <w:spacing w:val="-1"/>
        </w:rPr>
        <w:t>预期信用损失模型</w:t>
      </w:r>
      <w:r>
        <w:rPr>
          <w:rFonts w:ascii="Times New Roman" w:hAnsi="Times New Roman" w:cs="Times New Roman" w:eastAsia="Times New Roman" w:hint="default"/>
          <w:spacing w:val="-1"/>
        </w:rPr>
        <w:t>”</w:t>
      </w:r>
      <w:r>
        <w:rPr>
          <w:spacing w:val="-1"/>
        </w:rPr>
        <w:t>，适用于以摊余成本计量的金融资</w:t>
      </w:r>
      <w:r>
        <w:rPr/>
        <w:t> 产、以公允价值计量且其变动计入其他综合收益的金融资产、租赁应收款。</w:t>
      </w:r>
    </w:p>
    <w:p>
      <w:pPr>
        <w:pStyle w:val="BodyText"/>
        <w:spacing w:line="240" w:lineRule="auto" w:before="31"/>
        <w:ind w:left="572" w:right="1031"/>
        <w:jc w:val="left"/>
      </w:pPr>
      <w:r>
        <w:rPr/>
        <w:t>①</w:t>
      </w:r>
      <w:r>
        <w:rPr>
          <w:spacing w:val="1"/>
        </w:rPr>
        <w:t> </w:t>
      </w:r>
      <w:r>
        <w:rPr/>
        <w:t>执行新金融工具准则对公司</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日财务报表的主要影响如下：</w:t>
      </w:r>
    </w:p>
    <w:p>
      <w:pPr>
        <w:spacing w:line="240" w:lineRule="auto" w:before="0"/>
        <w:rPr>
          <w:rFonts w:ascii="宋体" w:hAnsi="宋体" w:cs="宋体" w:eastAsia="宋体" w:hint="default"/>
          <w:sz w:val="4"/>
          <w:szCs w:val="4"/>
        </w:rPr>
      </w:pPr>
    </w:p>
    <w:tbl>
      <w:tblPr>
        <w:tblW w:w="0" w:type="auto"/>
        <w:jc w:val="left"/>
        <w:tblInd w:w="102" w:type="dxa"/>
        <w:tblLayout w:type="fixed"/>
        <w:tblCellMar>
          <w:top w:w="0" w:type="dxa"/>
          <w:left w:w="0" w:type="dxa"/>
          <w:bottom w:w="0" w:type="dxa"/>
          <w:right w:w="0" w:type="dxa"/>
        </w:tblCellMar>
        <w:tblLook w:val="01E0"/>
      </w:tblPr>
      <w:tblGrid>
        <w:gridCol w:w="2461"/>
        <w:gridCol w:w="2462"/>
        <w:gridCol w:w="2464"/>
        <w:gridCol w:w="2465"/>
      </w:tblGrid>
      <w:tr>
        <w:trPr>
          <w:trHeight w:val="322" w:hRule="exact"/>
        </w:trPr>
        <w:tc>
          <w:tcPr>
            <w:tcW w:w="24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5"/>
                <w:szCs w:val="25"/>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73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8" w:right="0"/>
              <w:jc w:val="center"/>
              <w:rPr>
                <w:rFonts w:ascii="宋体" w:hAnsi="宋体" w:cs="宋体" w:eastAsia="宋体" w:hint="default"/>
                <w:sz w:val="18"/>
                <w:szCs w:val="18"/>
              </w:rPr>
            </w:pPr>
            <w:r>
              <w:rPr>
                <w:rFonts w:ascii="宋体" w:hAnsi="宋体" w:cs="宋体" w:eastAsia="宋体" w:hint="default"/>
                <w:sz w:val="18"/>
                <w:szCs w:val="18"/>
              </w:rPr>
              <w:t>资产负债表</w:t>
            </w:r>
          </w:p>
        </w:tc>
      </w:tr>
      <w:tr>
        <w:trPr>
          <w:trHeight w:val="634" w:hRule="exact"/>
        </w:trPr>
        <w:tc>
          <w:tcPr>
            <w:tcW w:w="2461" w:type="dxa"/>
            <w:vMerge/>
            <w:tcBorders>
              <w:left w:val="single" w:sz="4" w:space="0" w:color="000000"/>
              <w:bottom w:val="single" w:sz="4" w:space="0" w:color="000000"/>
              <w:right w:val="single" w:sz="4" w:space="0" w:color="000000"/>
            </w:tcBorders>
          </w:tcPr>
          <w:p>
            <w:pP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4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866" w:right="595" w:hanging="269"/>
              <w:jc w:val="left"/>
              <w:rPr>
                <w:rFonts w:ascii="宋体" w:hAnsi="宋体" w:cs="宋体" w:eastAsia="宋体" w:hint="default"/>
                <w:sz w:val="18"/>
                <w:szCs w:val="18"/>
              </w:rPr>
            </w:pPr>
            <w:r>
              <w:rPr>
                <w:rFonts w:ascii="宋体" w:hAnsi="宋体" w:cs="宋体" w:eastAsia="宋体" w:hint="default"/>
                <w:sz w:val="18"/>
                <w:szCs w:val="18"/>
              </w:rPr>
              <w:t>新金融工具准则 调整影响</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57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-1,154,448.73</w:t>
            </w:r>
          </w:p>
        </w:tc>
        <w:tc>
          <w:tcPr>
            <w:tcW w:w="24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579,520,829.00</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-5,608,947.99</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573,911,881.01</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62" w:type="dxa"/>
            <w:tcBorders>
              <w:top w:val="single" w:sz="4" w:space="0" w:color="000000"/>
              <w:left w:val="single" w:sz="4" w:space="0" w:color="000000"/>
              <w:bottom w:val="single" w:sz="4" w:space="0" w:color="000000"/>
              <w:right w:val="single" w:sz="4" w:space="0" w:color="000000"/>
            </w:tcBorders>
          </w:tcPr>
          <w:p>
            <w:pP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1,154,448.73</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46,845,184.54</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-413,154.48</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46,432,030.06</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9,853,267.74</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533,944.17</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10,387,211.91</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118,600,000.00</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-118,600,000.00</w:t>
            </w:r>
          </w:p>
        </w:tc>
        <w:tc>
          <w:tcPr>
            <w:tcW w:w="24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62" w:type="dxa"/>
            <w:tcBorders>
              <w:top w:val="single" w:sz="4" w:space="0" w:color="000000"/>
              <w:left w:val="single" w:sz="4" w:space="0" w:color="000000"/>
              <w:bottom w:val="single" w:sz="4" w:space="0" w:color="000000"/>
              <w:right w:val="single" w:sz="4" w:space="0" w:color="000000"/>
            </w:tcBorders>
          </w:tcPr>
          <w:p>
            <w:pP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8,500,000.00</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462" w:type="dxa"/>
            <w:tcBorders>
              <w:top w:val="single" w:sz="4" w:space="0" w:color="000000"/>
              <w:left w:val="single" w:sz="4" w:space="0" w:color="000000"/>
              <w:bottom w:val="single" w:sz="4" w:space="0" w:color="000000"/>
              <w:right w:val="single" w:sz="4" w:space="0" w:color="000000"/>
            </w:tcBorders>
          </w:tcPr>
          <w:p>
            <w:pP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110,100,000.00</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110,100,000.00</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-15,000,000.00</w:t>
            </w:r>
          </w:p>
        </w:tc>
        <w:tc>
          <w:tcPr>
            <w:tcW w:w="24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62" w:type="dxa"/>
            <w:tcBorders>
              <w:top w:val="single" w:sz="4" w:space="0" w:color="000000"/>
              <w:left w:val="single" w:sz="4" w:space="0" w:color="000000"/>
              <w:bottom w:val="single" w:sz="4" w:space="0" w:color="000000"/>
              <w:right w:val="single" w:sz="4" w:space="0" w:color="000000"/>
            </w:tcBorders>
          </w:tcPr>
          <w:p>
            <w:pP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15,000,000.00</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未分配利润</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599,584,088.72</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-5,061,166.21</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594,522,922.51</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盈余公积</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65,681,002.18</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-425,220.68</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65,255,781.50</w:t>
            </w:r>
          </w:p>
        </w:tc>
      </w:tr>
      <w:tr>
        <w:trPr>
          <w:trHeight w:val="322" w:hRule="exact"/>
        </w:trPr>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36,929,853.16</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-1,771.41</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36,928,081.75</w:t>
            </w:r>
          </w:p>
        </w:tc>
      </w:tr>
    </w:tbl>
    <w:p>
      <w:pPr>
        <w:pStyle w:val="BodyText"/>
        <w:spacing w:line="309" w:lineRule="auto" w:before="11"/>
        <w:ind w:left="212" w:right="1125" w:firstLine="360"/>
        <w:jc w:val="both"/>
      </w:pPr>
      <w:r>
        <w:rPr>
          <w:rFonts w:ascii="Times New Roman" w:hAnsi="Times New Roman" w:cs="Times New Roman" w:eastAsia="Times New Roman" w:hint="default"/>
        </w:rPr>
        <w:t>[</w:t>
      </w:r>
      <w:r>
        <w:rPr/>
        <w:t>注</w:t>
      </w:r>
      <w:r>
        <w:rPr>
          <w:rFonts w:ascii="Times New Roman" w:hAnsi="Times New Roman" w:cs="Times New Roman" w:eastAsia="Times New Roman" w:hint="default"/>
        </w:rPr>
        <w:t>]</w:t>
      </w:r>
      <w:r>
        <w:rPr/>
        <w:t>：由于新金融工具准则要求金融资产减值计量由</w:t>
      </w:r>
      <w:r>
        <w:rPr>
          <w:rFonts w:ascii="Times New Roman" w:hAnsi="Times New Roman" w:cs="Times New Roman" w:eastAsia="Times New Roman" w:hint="default"/>
        </w:rPr>
        <w:t>“</w:t>
      </w:r>
      <w:r>
        <w:rPr/>
        <w:t>已发生损失模型</w:t>
      </w:r>
      <w:r>
        <w:rPr>
          <w:rFonts w:ascii="Times New Roman" w:hAnsi="Times New Roman" w:cs="Times New Roman" w:eastAsia="Times New Roman" w:hint="default"/>
        </w:rPr>
        <w:t>”</w:t>
      </w:r>
      <w:r>
        <w:rPr/>
        <w:t>改为</w:t>
      </w:r>
      <w:r>
        <w:rPr>
          <w:rFonts w:ascii="Times New Roman" w:hAnsi="Times New Roman" w:cs="Times New Roman" w:eastAsia="Times New Roman" w:hint="default"/>
        </w:rPr>
        <w:t>“</w:t>
      </w:r>
      <w:r>
        <w:rPr/>
        <w:t>预期信用损失模型</w:t>
      </w:r>
      <w:r>
        <w:rPr>
          <w:rFonts w:ascii="Times New Roman" w:hAnsi="Times New Roman" w:cs="Times New Roman" w:eastAsia="Times New Roman" w:hint="default"/>
        </w:rPr>
        <w:t>”</w:t>
      </w:r>
      <w:r>
        <w:rPr/>
        <w:t>，公司对合并范围内子 公司的往来款不再计提坏账准备及对应收外部客户账款通过编制组合账龄与整个存续期预期信用损失率对照表计算预期信</w:t>
      </w:r>
      <w:r>
        <w:rPr>
          <w:spacing w:val="-9"/>
        </w:rPr>
        <w:t> </w:t>
      </w:r>
      <w:r>
        <w:rPr>
          <w:spacing w:val="-9"/>
        </w:rPr>
      </w:r>
      <w:r>
        <w:rPr/>
        <w:t>用损失，相应调整增加公司期初其他应收款坏账准备</w:t>
      </w:r>
      <w:r>
        <w:rPr>
          <w:spacing w:val="-54"/>
        </w:rPr>
        <w:t> </w:t>
      </w:r>
      <w:r>
        <w:rPr>
          <w:rFonts w:ascii="Times New Roman" w:hAnsi="Times New Roman" w:cs="Times New Roman" w:eastAsia="Times New Roman" w:hint="default"/>
        </w:rPr>
        <w:t>413,154.48</w:t>
      </w:r>
      <w:r>
        <w:rPr>
          <w:rFonts w:ascii="Times New Roman" w:hAnsi="Times New Roman" w:cs="Times New Roman" w:eastAsia="Times New Roman" w:hint="default"/>
          <w:spacing w:val="-10"/>
        </w:rPr>
        <w:t> </w:t>
      </w:r>
      <w:r>
        <w:rPr/>
        <w:t>元、增加公司期初应收账款坏账准备</w:t>
      </w:r>
      <w:r>
        <w:rPr>
          <w:spacing w:val="-52"/>
        </w:rPr>
        <w:t> </w:t>
      </w:r>
      <w:r>
        <w:rPr>
          <w:rFonts w:ascii="Times New Roman" w:hAnsi="Times New Roman" w:cs="Times New Roman" w:eastAsia="Times New Roman" w:hint="default"/>
        </w:rPr>
        <w:t>5,608,947.99</w:t>
      </w:r>
      <w:r>
        <w:rPr>
          <w:rFonts w:ascii="Times New Roman" w:hAnsi="Times New Roman" w:cs="Times New Roman" w:eastAsia="Times New Roman" w:hint="default"/>
          <w:spacing w:val="-10"/>
        </w:rPr>
        <w:t> </w:t>
      </w:r>
      <w:r>
        <w:rPr>
          <w:spacing w:val="-3"/>
        </w:rPr>
        <w:t>元、增加</w:t>
      </w:r>
    </w:p>
    <w:p>
      <w:pPr>
        <w:pStyle w:val="BodyText"/>
        <w:spacing w:line="240" w:lineRule="auto" w:before="5"/>
        <w:ind w:left="212" w:right="1031"/>
        <w:jc w:val="left"/>
      </w:pPr>
      <w:r>
        <w:rPr/>
        <w:t>期初递延所得税资产</w:t>
      </w:r>
      <w:r>
        <w:rPr>
          <w:spacing w:val="-48"/>
        </w:rPr>
        <w:t> </w:t>
      </w:r>
      <w:r>
        <w:rPr>
          <w:rFonts w:ascii="Times New Roman" w:hAnsi="Times New Roman" w:cs="Times New Roman" w:eastAsia="Times New Roman" w:hint="default"/>
        </w:rPr>
        <w:t>533,944.17</w:t>
      </w:r>
      <w:r>
        <w:rPr>
          <w:rFonts w:ascii="Times New Roman" w:hAnsi="Times New Roman" w:cs="Times New Roman" w:eastAsia="Times New Roman" w:hint="default"/>
          <w:spacing w:val="-4"/>
        </w:rPr>
        <w:t> </w:t>
      </w:r>
      <w:r>
        <w:rPr/>
        <w:t>元，同时调整减少公司期初盈余公积</w:t>
      </w:r>
      <w:r>
        <w:rPr>
          <w:spacing w:val="-48"/>
        </w:rPr>
        <w:t> </w:t>
      </w:r>
      <w:r>
        <w:rPr>
          <w:rFonts w:ascii="Times New Roman" w:hAnsi="Times New Roman" w:cs="Times New Roman" w:eastAsia="Times New Roman" w:hint="default"/>
        </w:rPr>
        <w:t>425,220.68</w:t>
      </w:r>
      <w:r>
        <w:rPr>
          <w:rFonts w:ascii="Times New Roman" w:hAnsi="Times New Roman" w:cs="Times New Roman" w:eastAsia="Times New Roman" w:hint="default"/>
          <w:spacing w:val="-4"/>
        </w:rPr>
        <w:t> </w:t>
      </w:r>
      <w:r>
        <w:rPr/>
        <w:t>元、减少期初未分配利润</w:t>
      </w:r>
      <w:r>
        <w:rPr>
          <w:spacing w:val="-48"/>
        </w:rPr>
        <w:t> </w:t>
      </w:r>
      <w:r>
        <w:rPr>
          <w:rFonts w:ascii="Times New Roman" w:hAnsi="Times New Roman" w:cs="Times New Roman" w:eastAsia="Times New Roman" w:hint="default"/>
        </w:rPr>
        <w:t>5,061,166.21</w:t>
      </w:r>
      <w:r>
        <w:rPr>
          <w:rFonts w:ascii="Times New Roman" w:hAnsi="Times New Roman" w:cs="Times New Roman" w:eastAsia="Times New Roman" w:hint="default"/>
          <w:spacing w:val="-4"/>
        </w:rPr>
        <w:t> </w:t>
      </w:r>
      <w:r>
        <w:rPr/>
        <w:t>元、</w:t>
      </w:r>
    </w:p>
    <w:p>
      <w:pPr>
        <w:pStyle w:val="BodyText"/>
        <w:spacing w:line="240" w:lineRule="auto" w:before="63"/>
        <w:ind w:left="212" w:right="1031"/>
        <w:jc w:val="left"/>
      </w:pPr>
      <w:r>
        <w:rPr/>
        <w:t>减少期初少数股东权益</w:t>
      </w:r>
      <w:r>
        <w:rPr>
          <w:spacing w:val="-47"/>
        </w:rPr>
        <w:t> </w:t>
      </w:r>
      <w:r>
        <w:rPr>
          <w:rFonts w:ascii="Times New Roman" w:hAnsi="Times New Roman" w:cs="Times New Roman" w:eastAsia="Times New Roman" w:hint="default"/>
        </w:rPr>
        <w:t>1,771.41</w:t>
      </w:r>
      <w:r>
        <w:rPr>
          <w:rFonts w:ascii="Times New Roman" w:hAnsi="Times New Roman" w:cs="Times New Roman" w:eastAsia="Times New Roman" w:hint="default"/>
          <w:spacing w:val="-3"/>
        </w:rPr>
        <w:t> </w:t>
      </w:r>
      <w:r>
        <w:rPr/>
        <w:t>元。</w:t>
      </w:r>
    </w:p>
    <w:p>
      <w:pPr>
        <w:pStyle w:val="BodyText"/>
        <w:spacing w:line="300" w:lineRule="auto" w:before="63"/>
        <w:ind w:left="212" w:right="1141" w:firstLine="360"/>
        <w:jc w:val="both"/>
      </w:pPr>
      <w:r>
        <w:rPr/>
        <w:t>②</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日，公司金融资产和金融负债按照新金融工具准则和按原金融工具准则的规定进行分类和计量结果对 比如下表：</w:t>
      </w:r>
    </w:p>
    <w:tbl>
      <w:tblPr>
        <w:tblW w:w="0" w:type="auto"/>
        <w:jc w:val="left"/>
        <w:tblInd w:w="103" w:type="dxa"/>
        <w:tblLayout w:type="fixed"/>
        <w:tblCellMar>
          <w:top w:w="0" w:type="dxa"/>
          <w:left w:w="0" w:type="dxa"/>
          <w:bottom w:w="0" w:type="dxa"/>
          <w:right w:w="0" w:type="dxa"/>
        </w:tblCellMar>
        <w:tblLook w:val="01E0"/>
      </w:tblPr>
      <w:tblGrid>
        <w:gridCol w:w="2179"/>
        <w:gridCol w:w="1973"/>
        <w:gridCol w:w="1782"/>
        <w:gridCol w:w="2103"/>
        <w:gridCol w:w="1813"/>
      </w:tblGrid>
      <w:tr>
        <w:trPr>
          <w:trHeight w:val="322" w:hRule="exact"/>
        </w:trPr>
        <w:tc>
          <w:tcPr>
            <w:tcW w:w="2179"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90"/>
                <w:sz w:val="18"/>
                <w:szCs w:val="18"/>
              </w:rPr>
              <w:t> </w:t>
            </w:r>
            <w:r>
              <w:rPr>
                <w:rFonts w:ascii="宋体" w:hAnsi="宋体" w:cs="宋体" w:eastAsia="宋体" w:hint="default"/>
                <w:sz w:val="18"/>
                <w:szCs w:val="18"/>
              </w:rPr>
              <w:t>目</w:t>
            </w:r>
          </w:p>
        </w:tc>
        <w:tc>
          <w:tcPr>
            <w:tcW w:w="37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340" w:right="0"/>
              <w:jc w:val="left"/>
              <w:rPr>
                <w:rFonts w:ascii="宋体" w:hAnsi="宋体" w:cs="宋体" w:eastAsia="宋体" w:hint="default"/>
                <w:sz w:val="18"/>
                <w:szCs w:val="18"/>
              </w:rPr>
            </w:pPr>
            <w:r>
              <w:rPr>
                <w:rFonts w:ascii="宋体" w:hAnsi="宋体" w:cs="宋体" w:eastAsia="宋体" w:hint="default"/>
                <w:sz w:val="18"/>
                <w:szCs w:val="18"/>
              </w:rPr>
              <w:t>原金融工具准则</w:t>
            </w:r>
          </w:p>
        </w:tc>
        <w:tc>
          <w:tcPr>
            <w:tcW w:w="39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23" w:right="0"/>
              <w:jc w:val="left"/>
              <w:rPr>
                <w:rFonts w:ascii="宋体" w:hAnsi="宋体" w:cs="宋体" w:eastAsia="宋体" w:hint="default"/>
                <w:sz w:val="18"/>
                <w:szCs w:val="18"/>
              </w:rPr>
            </w:pPr>
            <w:r>
              <w:rPr>
                <w:rFonts w:ascii="宋体" w:hAnsi="宋体" w:cs="宋体" w:eastAsia="宋体" w:hint="default"/>
                <w:sz w:val="18"/>
                <w:szCs w:val="18"/>
              </w:rPr>
              <w:t>新金融工具准则</w:t>
            </w:r>
          </w:p>
        </w:tc>
      </w:tr>
      <w:tr>
        <w:trPr>
          <w:trHeight w:val="322" w:hRule="exact"/>
        </w:trPr>
        <w:tc>
          <w:tcPr>
            <w:tcW w:w="2179" w:type="dxa"/>
            <w:vMerge/>
            <w:tcBorders>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21"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85" w:right="0"/>
              <w:jc w:val="left"/>
              <w:rPr>
                <w:rFonts w:ascii="宋体" w:hAnsi="宋体" w:cs="宋体" w:eastAsia="宋体" w:hint="default"/>
                <w:sz w:val="18"/>
                <w:szCs w:val="18"/>
              </w:rPr>
            </w:pPr>
            <w:r>
              <w:rPr>
                <w:rFonts w:ascii="宋体" w:hAnsi="宋体" w:cs="宋体" w:eastAsia="宋体" w:hint="default"/>
                <w:sz w:val="18"/>
                <w:szCs w:val="18"/>
              </w:rPr>
              <w:t>计量类别</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22"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贷款和应收款项</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1,154,448.73</w:t>
            </w:r>
          </w:p>
        </w:tc>
        <w:tc>
          <w:tcPr>
            <w:tcW w:w="2103" w:type="dxa"/>
            <w:tcBorders>
              <w:top w:val="single" w:sz="4" w:space="0" w:color="000000"/>
              <w:left w:val="single" w:sz="4" w:space="0" w:color="000000"/>
              <w:bottom w:val="single" w:sz="4" w:space="0" w:color="000000"/>
              <w:right w:val="single" w:sz="4" w:space="0" w:color="000000"/>
            </w:tcBorders>
          </w:tcPr>
          <w:p>
            <w:pPr/>
          </w:p>
        </w:tc>
        <w:tc>
          <w:tcPr>
            <w:tcW w:w="1813"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贷款和应收款项</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579,520,829.00</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82" w:right="0"/>
              <w:jc w:val="left"/>
              <w:rPr>
                <w:rFonts w:ascii="Times New Roman" w:hAnsi="Times New Roman" w:cs="Times New Roman" w:eastAsia="Times New Roman" w:hint="default"/>
                <w:sz w:val="18"/>
                <w:szCs w:val="18"/>
              </w:rPr>
            </w:pPr>
            <w:r>
              <w:rPr>
                <w:rFonts w:ascii="Times New Roman"/>
                <w:sz w:val="18"/>
              </w:rPr>
              <w:t>573,911,881.01</w:t>
            </w:r>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920" w:right="0"/>
        </w:sectPr>
      </w:pPr>
    </w:p>
    <w:p>
      <w:pPr>
        <w:spacing w:line="240" w:lineRule="auto" w:before="6"/>
        <w:rPr>
          <w:rFonts w:ascii="宋体" w:hAnsi="宋体" w:cs="宋体" w:eastAsia="宋体" w:hint="default"/>
          <w:sz w:val="25"/>
          <w:szCs w:val="25"/>
        </w:rPr>
      </w:pPr>
    </w:p>
    <w:tbl>
      <w:tblPr>
        <w:tblW w:w="0" w:type="auto"/>
        <w:jc w:val="left"/>
        <w:tblInd w:w="103" w:type="dxa"/>
        <w:tblLayout w:type="fixed"/>
        <w:tblCellMar>
          <w:top w:w="0" w:type="dxa"/>
          <w:left w:w="0" w:type="dxa"/>
          <w:bottom w:w="0" w:type="dxa"/>
          <w:right w:w="0" w:type="dxa"/>
        </w:tblCellMar>
        <w:tblLook w:val="01E0"/>
      </w:tblPr>
      <w:tblGrid>
        <w:gridCol w:w="2179"/>
        <w:gridCol w:w="1973"/>
        <w:gridCol w:w="1782"/>
        <w:gridCol w:w="2103"/>
        <w:gridCol w:w="1813"/>
      </w:tblGrid>
      <w:tr>
        <w:trPr>
          <w:trHeight w:val="946"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1973" w:type="dxa"/>
            <w:tcBorders>
              <w:top w:val="single" w:sz="4" w:space="0" w:color="000000"/>
              <w:left w:val="single" w:sz="4" w:space="0" w:color="000000"/>
              <w:bottom w:val="single" w:sz="4" w:space="0" w:color="000000"/>
              <w:right w:val="single" w:sz="4" w:space="0" w:color="000000"/>
            </w:tcBorders>
          </w:tcPr>
          <w:p>
            <w:pPr/>
          </w:p>
        </w:tc>
        <w:tc>
          <w:tcPr>
            <w:tcW w:w="1782"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both"/>
              <w:rPr>
                <w:rFonts w:ascii="宋体" w:hAnsi="宋体" w:cs="宋体" w:eastAsia="宋体" w:hint="default"/>
                <w:sz w:val="18"/>
                <w:szCs w:val="18"/>
              </w:rPr>
            </w:pPr>
            <w:r>
              <w:rPr>
                <w:rFonts w:ascii="宋体" w:hAnsi="宋体" w:cs="宋体" w:eastAsia="宋体" w:hint="default"/>
                <w:spacing w:val="8"/>
                <w:sz w:val="18"/>
                <w:szCs w:val="18"/>
              </w:rPr>
              <w:t>以公允价值计量且其变</w:t>
            </w:r>
            <w:r>
              <w:rPr>
                <w:rFonts w:ascii="宋体" w:hAnsi="宋体" w:cs="宋体" w:eastAsia="宋体" w:hint="default"/>
                <w:sz w:val="18"/>
                <w:szCs w:val="18"/>
              </w:rPr>
              <w:t> </w:t>
            </w:r>
            <w:r>
              <w:rPr>
                <w:rFonts w:ascii="宋体" w:hAnsi="宋体" w:cs="宋体" w:eastAsia="宋体" w:hint="default"/>
                <w:spacing w:val="8"/>
                <w:sz w:val="18"/>
                <w:szCs w:val="18"/>
              </w:rPr>
              <w:t>动计入其他综合收益的</w:t>
            </w:r>
            <w:r>
              <w:rPr>
                <w:rFonts w:ascii="宋体" w:hAnsi="宋体" w:cs="宋体" w:eastAsia="宋体" w:hint="default"/>
                <w:sz w:val="18"/>
                <w:szCs w:val="18"/>
              </w:rPr>
              <w:t> 金融资产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贷款和应收款项</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46,845,184.54</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46,432,030.06</w:t>
            </w:r>
          </w:p>
        </w:tc>
      </w:tr>
      <w:tr>
        <w:trPr>
          <w:trHeight w:val="946"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2"/>
              <w:jc w:val="both"/>
              <w:rPr>
                <w:rFonts w:ascii="宋体" w:hAnsi="宋体" w:cs="宋体" w:eastAsia="宋体" w:hint="default"/>
                <w:sz w:val="18"/>
                <w:szCs w:val="18"/>
              </w:rPr>
            </w:pPr>
            <w:r>
              <w:rPr>
                <w:rFonts w:ascii="宋体" w:hAnsi="宋体" w:cs="宋体" w:eastAsia="宋体" w:hint="default"/>
                <w:spacing w:val="14"/>
                <w:sz w:val="18"/>
                <w:szCs w:val="18"/>
              </w:rPr>
              <w:t>以公允价值计量且其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4"/>
                <w:sz w:val="18"/>
                <w:szCs w:val="18"/>
              </w:rPr>
              <w:t>变动计入其他综合收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益的金融资产</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118,600,000.00</w:t>
            </w:r>
          </w:p>
        </w:tc>
        <w:tc>
          <w:tcPr>
            <w:tcW w:w="2103" w:type="dxa"/>
            <w:tcBorders>
              <w:top w:val="single" w:sz="4" w:space="0" w:color="000000"/>
              <w:left w:val="single" w:sz="4" w:space="0" w:color="000000"/>
              <w:bottom w:val="single" w:sz="4" w:space="0" w:color="000000"/>
              <w:right w:val="single" w:sz="4" w:space="0" w:color="000000"/>
            </w:tcBorders>
          </w:tcPr>
          <w:p>
            <w:pPr/>
          </w:p>
        </w:tc>
        <w:tc>
          <w:tcPr>
            <w:tcW w:w="181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贷款和应收款项</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15,000,000.00</w:t>
            </w:r>
          </w:p>
        </w:tc>
        <w:tc>
          <w:tcPr>
            <w:tcW w:w="2103" w:type="dxa"/>
            <w:tcBorders>
              <w:top w:val="single" w:sz="4" w:space="0" w:color="000000"/>
              <w:left w:val="single" w:sz="4" w:space="0" w:color="000000"/>
              <w:bottom w:val="single" w:sz="4" w:space="0" w:color="000000"/>
              <w:right w:val="single" w:sz="4" w:space="0" w:color="000000"/>
            </w:tcBorders>
          </w:tcPr>
          <w:p>
            <w:pPr/>
          </w:p>
        </w:tc>
        <w:tc>
          <w:tcPr>
            <w:tcW w:w="181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1973" w:type="dxa"/>
            <w:tcBorders>
              <w:top w:val="single" w:sz="4" w:space="0" w:color="000000"/>
              <w:left w:val="single" w:sz="4" w:space="0" w:color="000000"/>
              <w:bottom w:val="single" w:sz="4" w:space="0" w:color="000000"/>
              <w:right w:val="single" w:sz="4" w:space="0" w:color="000000"/>
            </w:tcBorders>
          </w:tcPr>
          <w:p>
            <w:pPr/>
          </w:p>
        </w:tc>
        <w:tc>
          <w:tcPr>
            <w:tcW w:w="1782"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946"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1973" w:type="dxa"/>
            <w:tcBorders>
              <w:top w:val="single" w:sz="4" w:space="0" w:color="000000"/>
              <w:left w:val="single" w:sz="4" w:space="0" w:color="000000"/>
              <w:bottom w:val="single" w:sz="4" w:space="0" w:color="000000"/>
              <w:right w:val="single" w:sz="4" w:space="0" w:color="000000"/>
            </w:tcBorders>
          </w:tcPr>
          <w:p>
            <w:pPr/>
          </w:p>
        </w:tc>
        <w:tc>
          <w:tcPr>
            <w:tcW w:w="1782"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2"/>
              <w:ind w:left="103" w:right="101"/>
              <w:jc w:val="both"/>
              <w:rPr>
                <w:rFonts w:ascii="宋体" w:hAnsi="宋体" w:cs="宋体" w:eastAsia="宋体" w:hint="default"/>
                <w:sz w:val="18"/>
                <w:szCs w:val="18"/>
              </w:rPr>
            </w:pPr>
            <w:r>
              <w:rPr>
                <w:rFonts w:ascii="宋体" w:hAnsi="宋体" w:cs="宋体" w:eastAsia="宋体" w:hint="default"/>
                <w:spacing w:val="8"/>
                <w:sz w:val="18"/>
                <w:szCs w:val="18"/>
              </w:rPr>
              <w:t>以公允价值计量且其变</w:t>
            </w:r>
            <w:r>
              <w:rPr>
                <w:rFonts w:ascii="宋体" w:hAnsi="宋体" w:cs="宋体" w:eastAsia="宋体" w:hint="default"/>
                <w:sz w:val="18"/>
                <w:szCs w:val="18"/>
              </w:rPr>
              <w:t> </w:t>
            </w:r>
            <w:r>
              <w:rPr>
                <w:rFonts w:ascii="宋体" w:hAnsi="宋体" w:cs="宋体" w:eastAsia="宋体" w:hint="default"/>
                <w:spacing w:val="8"/>
                <w:sz w:val="18"/>
                <w:szCs w:val="18"/>
              </w:rPr>
              <w:t>动计入其他综合收益的</w:t>
            </w:r>
            <w:r>
              <w:rPr>
                <w:rFonts w:ascii="宋体" w:hAnsi="宋体" w:cs="宋体" w:eastAsia="宋体" w:hint="default"/>
                <w:sz w:val="18"/>
                <w:szCs w:val="18"/>
              </w:rPr>
              <w:t> 金融资产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946"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1973" w:type="dxa"/>
            <w:tcBorders>
              <w:top w:val="single" w:sz="4" w:space="0" w:color="000000"/>
              <w:left w:val="single" w:sz="4" w:space="0" w:color="000000"/>
              <w:bottom w:val="single" w:sz="4" w:space="0" w:color="000000"/>
              <w:right w:val="single" w:sz="4" w:space="0" w:color="000000"/>
            </w:tcBorders>
          </w:tcPr>
          <w:p>
            <w:pPr/>
          </w:p>
        </w:tc>
        <w:tc>
          <w:tcPr>
            <w:tcW w:w="1782" w:type="dxa"/>
            <w:tcBorders>
              <w:top w:val="single" w:sz="4" w:space="0" w:color="000000"/>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both"/>
              <w:rPr>
                <w:rFonts w:ascii="宋体" w:hAnsi="宋体" w:cs="宋体" w:eastAsia="宋体" w:hint="default"/>
                <w:sz w:val="18"/>
                <w:szCs w:val="18"/>
              </w:rPr>
            </w:pPr>
            <w:r>
              <w:rPr>
                <w:rFonts w:ascii="宋体" w:hAnsi="宋体" w:cs="宋体" w:eastAsia="宋体" w:hint="default"/>
                <w:spacing w:val="8"/>
                <w:sz w:val="18"/>
                <w:szCs w:val="18"/>
              </w:rPr>
              <w:t>以公允价值计量且其变</w:t>
            </w:r>
            <w:r>
              <w:rPr>
                <w:rFonts w:ascii="宋体" w:hAnsi="宋体" w:cs="宋体" w:eastAsia="宋体" w:hint="default"/>
                <w:sz w:val="18"/>
                <w:szCs w:val="18"/>
              </w:rPr>
              <w:t> </w:t>
            </w:r>
            <w:r>
              <w:rPr>
                <w:rFonts w:ascii="宋体" w:hAnsi="宋体" w:cs="宋体" w:eastAsia="宋体" w:hint="default"/>
                <w:spacing w:val="8"/>
                <w:sz w:val="18"/>
                <w:szCs w:val="18"/>
              </w:rPr>
              <w:t>动计入当期损益的金融</w:t>
            </w:r>
            <w:r>
              <w:rPr>
                <w:rFonts w:ascii="宋体" w:hAnsi="宋体" w:cs="宋体" w:eastAsia="宋体" w:hint="default"/>
                <w:sz w:val="18"/>
                <w:szCs w:val="18"/>
              </w:rPr>
              <w:t> 资产</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8"/>
              <w:jc w:val="right"/>
              <w:rPr>
                <w:rFonts w:ascii="Times New Roman" w:hAnsi="Times New Roman" w:cs="Times New Roman" w:eastAsia="Times New Roman" w:hint="default"/>
                <w:sz w:val="18"/>
                <w:szCs w:val="18"/>
              </w:rPr>
            </w:pPr>
            <w:r>
              <w:rPr>
                <w:rFonts w:ascii="Times New Roman"/>
                <w:spacing w:val="-1"/>
                <w:sz w:val="18"/>
              </w:rPr>
              <w:t>110,100,000.00</w:t>
            </w: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02"/>
              <w:jc w:val="left"/>
              <w:rPr>
                <w:rFonts w:ascii="宋体" w:hAnsi="宋体" w:cs="宋体" w:eastAsia="宋体" w:hint="default"/>
                <w:sz w:val="18"/>
                <w:szCs w:val="18"/>
              </w:rPr>
            </w:pPr>
            <w:r>
              <w:rPr>
                <w:rFonts w:ascii="宋体" w:hAnsi="宋体" w:cs="宋体" w:eastAsia="宋体" w:hint="default"/>
                <w:spacing w:val="14"/>
                <w:sz w:val="18"/>
                <w:szCs w:val="18"/>
              </w:rPr>
              <w:t>以摊余成本计量的金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融负债</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7,249,126.60</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负债</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7,249,126.60</w:t>
            </w: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2"/>
              <w:jc w:val="left"/>
              <w:rPr>
                <w:rFonts w:ascii="宋体" w:hAnsi="宋体" w:cs="宋体" w:eastAsia="宋体" w:hint="default"/>
                <w:sz w:val="18"/>
                <w:szCs w:val="18"/>
              </w:rPr>
            </w:pPr>
            <w:r>
              <w:rPr>
                <w:rFonts w:ascii="宋体" w:hAnsi="宋体" w:cs="宋体" w:eastAsia="宋体" w:hint="default"/>
                <w:spacing w:val="14"/>
                <w:sz w:val="18"/>
                <w:szCs w:val="18"/>
              </w:rPr>
              <w:t>以摊余成本计量的金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融负债</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224,340,891.35</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负债</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224,340,891.35</w:t>
            </w:r>
          </w:p>
        </w:tc>
      </w:tr>
      <w:tr>
        <w:trPr>
          <w:trHeight w:val="634" w:hRule="exact"/>
        </w:trPr>
        <w:tc>
          <w:tcPr>
            <w:tcW w:w="2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2"/>
              <w:jc w:val="left"/>
              <w:rPr>
                <w:rFonts w:ascii="宋体" w:hAnsi="宋体" w:cs="宋体" w:eastAsia="宋体" w:hint="default"/>
                <w:sz w:val="18"/>
                <w:szCs w:val="18"/>
              </w:rPr>
            </w:pPr>
            <w:r>
              <w:rPr>
                <w:rFonts w:ascii="宋体" w:hAnsi="宋体" w:cs="宋体" w:eastAsia="宋体" w:hint="default"/>
                <w:spacing w:val="14"/>
                <w:sz w:val="18"/>
                <w:szCs w:val="18"/>
              </w:rPr>
              <w:t>以摊余成本计量的金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融负债</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59,760,398.83</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8"/>
                <w:sz w:val="18"/>
                <w:szCs w:val="18"/>
              </w:rPr>
              <w:t>以摊余成本计量的金融</w:t>
            </w:r>
            <w:r>
              <w:rPr>
                <w:rFonts w:ascii="宋体" w:hAnsi="宋体" w:cs="宋体" w:eastAsia="宋体" w:hint="default"/>
                <w:sz w:val="18"/>
                <w:szCs w:val="18"/>
              </w:rPr>
              <w:t> 负债</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59,760,398.83</w:t>
            </w:r>
          </w:p>
        </w:tc>
      </w:tr>
    </w:tbl>
    <w:p>
      <w:pPr>
        <w:pStyle w:val="BodyText"/>
        <w:spacing w:line="300" w:lineRule="auto" w:before="10"/>
        <w:ind w:left="212" w:right="1127" w:firstLine="360"/>
        <w:jc w:val="left"/>
      </w:pPr>
      <w:r>
        <w:rPr/>
        <w:t>③</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日，公司原金融资产和金融负债账面价值调整为按照新金融工具准则的规定进行分类和计量的新金融 资产和金融负债账面价值的调节表如下：</w:t>
      </w:r>
    </w:p>
    <w:tbl>
      <w:tblPr>
        <w:tblW w:w="0" w:type="auto"/>
        <w:jc w:val="left"/>
        <w:tblInd w:w="103" w:type="dxa"/>
        <w:tblLayout w:type="fixed"/>
        <w:tblCellMar>
          <w:top w:w="0" w:type="dxa"/>
          <w:left w:w="0" w:type="dxa"/>
          <w:bottom w:w="0" w:type="dxa"/>
          <w:right w:w="0" w:type="dxa"/>
        </w:tblCellMar>
        <w:tblLook w:val="01E0"/>
      </w:tblPr>
      <w:tblGrid>
        <w:gridCol w:w="2147"/>
        <w:gridCol w:w="2146"/>
        <w:gridCol w:w="1867"/>
        <w:gridCol w:w="1740"/>
        <w:gridCol w:w="1950"/>
      </w:tblGrid>
      <w:tr>
        <w:trPr>
          <w:trHeight w:val="946"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887"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2"/>
              <w:ind w:left="125" w:right="119" w:firstLine="1"/>
              <w:jc w:val="center"/>
              <w:rPr>
                <w:rFonts w:ascii="Times New Roman" w:hAnsi="Times New Roman" w:cs="Times New Roman" w:eastAsia="Times New Roman" w:hint="default"/>
                <w:sz w:val="18"/>
                <w:szCs w:val="18"/>
              </w:rPr>
            </w:pPr>
            <w:r>
              <w:rPr>
                <w:rFonts w:ascii="宋体" w:hAnsi="宋体" w:cs="宋体" w:eastAsia="宋体" w:hint="default"/>
                <w:sz w:val="18"/>
                <w:szCs w:val="18"/>
              </w:rPr>
              <w:t>按原金融工具准则列示 的账面价值（</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p>
          <w:p>
            <w:pPr>
              <w:pStyle w:val="TableParagraph"/>
              <w:spacing w:line="248" w:lineRule="exact"/>
              <w:ind w:left="5" w:right="0"/>
              <w:jc w:val="center"/>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60" w:right="0"/>
              <w:jc w:val="left"/>
              <w:rPr>
                <w:rFonts w:ascii="宋体" w:hAnsi="宋体" w:cs="宋体" w:eastAsia="宋体" w:hint="default"/>
                <w:sz w:val="18"/>
                <w:szCs w:val="18"/>
              </w:rPr>
            </w:pPr>
            <w:r>
              <w:rPr>
                <w:rFonts w:ascii="宋体" w:hAnsi="宋体" w:cs="宋体" w:eastAsia="宋体" w:hint="default"/>
                <w:sz w:val="18"/>
                <w:szCs w:val="18"/>
              </w:rPr>
              <w:t>重分类</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08"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12"/>
              <w:ind w:left="163" w:right="155"/>
              <w:jc w:val="center"/>
              <w:rPr>
                <w:rFonts w:ascii="宋体" w:hAnsi="宋体" w:cs="宋体" w:eastAsia="宋体" w:hint="default"/>
                <w:sz w:val="18"/>
                <w:szCs w:val="18"/>
              </w:rPr>
            </w:pPr>
            <w:r>
              <w:rPr>
                <w:rFonts w:ascii="宋体" w:hAnsi="宋体" w:cs="宋体" w:eastAsia="宋体" w:hint="default"/>
                <w:sz w:val="18"/>
                <w:szCs w:val="18"/>
              </w:rPr>
              <w:t>按新金融工具准则列 示的账面价值（</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金融资产</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摊余成本</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5"/>
              <w:jc w:val="right"/>
              <w:rPr>
                <w:rFonts w:ascii="Times New Roman" w:hAnsi="Times New Roman" w:cs="Times New Roman" w:eastAsia="Times New Roman" w:hint="default"/>
                <w:sz w:val="18"/>
                <w:szCs w:val="18"/>
              </w:rPr>
            </w:pPr>
            <w:r>
              <w:rPr>
                <w:rFonts w:ascii="Times New Roman"/>
                <w:spacing w:val="-1"/>
                <w:sz w:val="18"/>
              </w:rPr>
              <w:t>1,154,448.73</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5"/>
              <w:jc w:val="right"/>
              <w:rPr>
                <w:rFonts w:ascii="Times New Roman" w:hAnsi="Times New Roman" w:cs="Times New Roman" w:eastAsia="Times New Roman" w:hint="default"/>
                <w:sz w:val="18"/>
                <w:szCs w:val="18"/>
              </w:rPr>
            </w:pPr>
            <w:r>
              <w:rPr>
                <w:rFonts w:ascii="Times New Roman"/>
                <w:spacing w:val="-1"/>
                <w:sz w:val="18"/>
              </w:rPr>
              <w:t>579,520,829.00</w:t>
            </w:r>
          </w:p>
        </w:tc>
        <w:tc>
          <w:tcPr>
            <w:tcW w:w="1867" w:type="dxa"/>
            <w:tcBorders>
              <w:top w:val="single" w:sz="4" w:space="0" w:color="000000"/>
              <w:left w:val="single" w:sz="4" w:space="0" w:color="000000"/>
              <w:bottom w:val="single" w:sz="4" w:space="0" w:color="000000"/>
              <w:right w:val="single" w:sz="4" w:space="0" w:color="000000"/>
            </w:tcBorders>
          </w:tcPr>
          <w:p>
            <w:pP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12"/>
              <w:jc w:val="right"/>
              <w:rPr>
                <w:rFonts w:ascii="Times New Roman" w:hAnsi="Times New Roman" w:cs="Times New Roman" w:eastAsia="Times New Roman" w:hint="default"/>
                <w:sz w:val="18"/>
                <w:szCs w:val="18"/>
              </w:rPr>
            </w:pPr>
            <w:r>
              <w:rPr>
                <w:rFonts w:ascii="Times New Roman"/>
                <w:spacing w:val="-1"/>
                <w:sz w:val="18"/>
              </w:rPr>
              <w:t>-5,608,947.99</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573,911,881.01</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5"/>
              <w:jc w:val="right"/>
              <w:rPr>
                <w:rFonts w:ascii="Times New Roman" w:hAnsi="Times New Roman" w:cs="Times New Roman" w:eastAsia="Times New Roman" w:hint="default"/>
                <w:sz w:val="18"/>
                <w:szCs w:val="18"/>
              </w:rPr>
            </w:pPr>
            <w:r>
              <w:rPr>
                <w:rFonts w:ascii="Times New Roman"/>
                <w:spacing w:val="-1"/>
                <w:sz w:val="18"/>
              </w:rPr>
              <w:t>46,845,184.54</w:t>
            </w:r>
          </w:p>
        </w:tc>
        <w:tc>
          <w:tcPr>
            <w:tcW w:w="1867" w:type="dxa"/>
            <w:tcBorders>
              <w:top w:val="single" w:sz="4" w:space="0" w:color="000000"/>
              <w:left w:val="single" w:sz="4" w:space="0" w:color="000000"/>
              <w:bottom w:val="single" w:sz="4" w:space="0" w:color="000000"/>
              <w:right w:val="single" w:sz="4" w:space="0" w:color="000000"/>
            </w:tcBorders>
          </w:tcPr>
          <w:p>
            <w:pP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12"/>
              <w:jc w:val="right"/>
              <w:rPr>
                <w:rFonts w:ascii="Times New Roman" w:hAnsi="Times New Roman" w:cs="Times New Roman" w:eastAsia="Times New Roman" w:hint="default"/>
                <w:sz w:val="18"/>
                <w:szCs w:val="18"/>
              </w:rPr>
            </w:pPr>
            <w:r>
              <w:rPr>
                <w:rFonts w:ascii="Times New Roman"/>
                <w:spacing w:val="-1"/>
                <w:sz w:val="18"/>
              </w:rPr>
              <w:t>-413,154.48</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46,432,030.06</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5"/>
              <w:jc w:val="right"/>
              <w:rPr>
                <w:rFonts w:ascii="Times New Roman" w:hAnsi="Times New Roman" w:cs="Times New Roman" w:eastAsia="Times New Roman" w:hint="default"/>
                <w:sz w:val="18"/>
                <w:szCs w:val="18"/>
              </w:rPr>
            </w:pPr>
            <w:r>
              <w:rPr>
                <w:rFonts w:ascii="Times New Roman"/>
                <w:spacing w:val="-1"/>
                <w:sz w:val="18"/>
              </w:rPr>
              <w:t>15,000,000.00</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146" w:type="dxa"/>
            <w:tcBorders>
              <w:top w:val="single" w:sz="4" w:space="0" w:color="000000"/>
              <w:left w:val="single" w:sz="4" w:space="0" w:color="000000"/>
              <w:bottom w:val="single" w:sz="4" w:space="0" w:color="000000"/>
              <w:right w:val="single" w:sz="4" w:space="0" w:color="000000"/>
            </w:tcBorders>
          </w:tcPr>
          <w:p>
            <w:pP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634"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01"/>
              <w:jc w:val="left"/>
              <w:rPr>
                <w:rFonts w:ascii="宋体" w:hAnsi="宋体" w:cs="宋体" w:eastAsia="宋体" w:hint="default"/>
                <w:sz w:val="18"/>
                <w:szCs w:val="18"/>
              </w:rPr>
            </w:pPr>
            <w:r>
              <w:rPr>
                <w:rFonts w:ascii="宋体" w:hAnsi="宋体" w:cs="宋体" w:eastAsia="宋体" w:hint="default"/>
                <w:spacing w:val="12"/>
                <w:sz w:val="18"/>
                <w:szCs w:val="18"/>
              </w:rPr>
              <w:t>以摊余成本计量的总金</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融资产</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642,520,462.27</w:t>
            </w: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12"/>
              <w:jc w:val="right"/>
              <w:rPr>
                <w:rFonts w:ascii="Times New Roman" w:hAnsi="Times New Roman" w:cs="Times New Roman" w:eastAsia="Times New Roman" w:hint="default"/>
                <w:sz w:val="18"/>
                <w:szCs w:val="18"/>
              </w:rPr>
            </w:pPr>
            <w:r>
              <w:rPr>
                <w:rFonts w:ascii="Times New Roman"/>
                <w:spacing w:val="-1"/>
                <w:sz w:val="18"/>
              </w:rPr>
              <w:t>-6,022,102.47</w:t>
            </w: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635,343,911.07</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  </w:t>
            </w:r>
            <w:r>
              <w:rPr>
                <w:rFonts w:ascii="宋体" w:hAnsi="宋体" w:cs="宋体" w:eastAsia="宋体" w:hint="default"/>
                <w:sz w:val="18"/>
                <w:szCs w:val="18"/>
              </w:rPr>
              <w:t>以公允价值计量且其变动计入当期损益</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146" w:type="dxa"/>
            <w:tcBorders>
              <w:top w:val="single" w:sz="4" w:space="0" w:color="000000"/>
              <w:left w:val="single" w:sz="4" w:space="0" w:color="000000"/>
              <w:bottom w:val="single" w:sz="4" w:space="0" w:color="000000"/>
              <w:right w:val="single" w:sz="4" w:space="0" w:color="000000"/>
            </w:tcBorders>
          </w:tcPr>
          <w:p>
            <w:pP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110,100,000.00</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110,100,000.00</w:t>
            </w:r>
          </w:p>
        </w:tc>
      </w:tr>
      <w:tr>
        <w:trPr>
          <w:trHeight w:val="946"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both"/>
              <w:rPr>
                <w:rFonts w:ascii="宋体" w:hAnsi="宋体" w:cs="宋体" w:eastAsia="宋体" w:hint="default"/>
                <w:sz w:val="18"/>
                <w:szCs w:val="18"/>
              </w:rPr>
            </w:pPr>
            <w:r>
              <w:rPr>
                <w:rFonts w:ascii="宋体" w:hAnsi="宋体" w:cs="宋体" w:eastAsia="宋体" w:hint="default"/>
                <w:spacing w:val="12"/>
                <w:sz w:val="18"/>
                <w:szCs w:val="18"/>
              </w:rPr>
              <w:t>以公允价值计量且其变</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2"/>
                <w:sz w:val="18"/>
                <w:szCs w:val="18"/>
              </w:rPr>
              <w:t>动计入当期损益的总金</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融资产</w:t>
            </w:r>
          </w:p>
        </w:tc>
        <w:tc>
          <w:tcPr>
            <w:tcW w:w="2146" w:type="dxa"/>
            <w:tcBorders>
              <w:top w:val="single" w:sz="4" w:space="0" w:color="000000"/>
              <w:left w:val="single" w:sz="4" w:space="0" w:color="000000"/>
              <w:bottom w:val="single" w:sz="4" w:space="0" w:color="000000"/>
              <w:right w:val="single" w:sz="4" w:space="0" w:color="000000"/>
            </w:tcBorders>
          </w:tcPr>
          <w:p>
            <w:pPr/>
          </w:p>
        </w:tc>
        <w:tc>
          <w:tcPr>
            <w:tcW w:w="1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110,100,000.00</w:t>
            </w:r>
          </w:p>
        </w:tc>
        <w:tc>
          <w:tcPr>
            <w:tcW w:w="1740" w:type="dxa"/>
            <w:tcBorders>
              <w:top w:val="single" w:sz="4" w:space="0" w:color="000000"/>
              <w:left w:val="single" w:sz="4" w:space="0" w:color="000000"/>
              <w:bottom w:val="single" w:sz="4" w:space="0" w:color="000000"/>
              <w:right w:val="single" w:sz="4" w:space="0" w:color="000000"/>
            </w:tcBorders>
          </w:tcPr>
          <w:p>
            <w:pPr/>
          </w:p>
        </w:tc>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98"/>
              <w:jc w:val="right"/>
              <w:rPr>
                <w:rFonts w:ascii="Times New Roman" w:hAnsi="Times New Roman" w:cs="Times New Roman" w:eastAsia="Times New Roman" w:hint="default"/>
                <w:sz w:val="18"/>
                <w:szCs w:val="18"/>
              </w:rPr>
            </w:pPr>
            <w:r>
              <w:rPr>
                <w:rFonts w:ascii="Times New Roman"/>
                <w:spacing w:val="-1"/>
                <w:sz w:val="18"/>
              </w:rPr>
              <w:t>110,100,000.00</w:t>
            </w:r>
          </w:p>
        </w:tc>
      </w:tr>
      <w:tr>
        <w:trPr>
          <w:trHeight w:val="320"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以公允价值计量且其变动计入其他综合收益</w:t>
            </w:r>
          </w:p>
        </w:tc>
      </w:tr>
    </w:tbl>
    <w:p>
      <w:pPr>
        <w:spacing w:after="0" w:line="240" w:lineRule="auto"/>
        <w:jc w:val="left"/>
        <w:rPr>
          <w:rFonts w:ascii="宋体" w:hAnsi="宋体" w:cs="宋体" w:eastAsia="宋体" w:hint="default"/>
          <w:sz w:val="18"/>
          <w:szCs w:val="18"/>
        </w:rPr>
        <w:sectPr>
          <w:footerReference w:type="default" r:id="rId44"/>
          <w:pgSz w:w="11910" w:h="16840"/>
          <w:pgMar w:footer="1016" w:header="907" w:top="1100" w:bottom="1200" w:left="920" w:right="0"/>
          <w:pgNumType w:start="130"/>
        </w:sectPr>
      </w:pPr>
    </w:p>
    <w:p>
      <w:pPr>
        <w:spacing w:line="240" w:lineRule="auto" w:before="6"/>
        <w:rPr>
          <w:rFonts w:ascii="宋体" w:hAnsi="宋体" w:cs="宋体" w:eastAsia="宋体" w:hint="default"/>
          <w:sz w:val="25"/>
          <w:szCs w:val="25"/>
        </w:rPr>
      </w:pPr>
    </w:p>
    <w:tbl>
      <w:tblPr>
        <w:tblW w:w="0" w:type="auto"/>
        <w:jc w:val="left"/>
        <w:tblInd w:w="103" w:type="dxa"/>
        <w:tblLayout w:type="fixed"/>
        <w:tblCellMar>
          <w:top w:w="0" w:type="dxa"/>
          <w:left w:w="0" w:type="dxa"/>
          <w:bottom w:w="0" w:type="dxa"/>
          <w:right w:w="0" w:type="dxa"/>
        </w:tblCellMar>
        <w:tblLook w:val="01E0"/>
      </w:tblPr>
      <w:tblGrid>
        <w:gridCol w:w="2147"/>
        <w:gridCol w:w="2151"/>
        <w:gridCol w:w="1862"/>
        <w:gridCol w:w="1746"/>
        <w:gridCol w:w="1944"/>
      </w:tblGrid>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118,600,000.00</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-118,600,000.00</w:t>
            </w: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151" w:type="dxa"/>
            <w:tcBorders>
              <w:top w:val="single" w:sz="4" w:space="0" w:color="000000"/>
              <w:left w:val="single" w:sz="4" w:space="0" w:color="000000"/>
              <w:bottom w:val="single" w:sz="4" w:space="0" w:color="000000"/>
              <w:right w:val="single" w:sz="4" w:space="0" w:color="000000"/>
            </w:tcBorders>
          </w:tcPr>
          <w:p>
            <w:pP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151" w:type="dxa"/>
            <w:tcBorders>
              <w:top w:val="single" w:sz="4" w:space="0" w:color="000000"/>
              <w:left w:val="single" w:sz="4" w:space="0" w:color="000000"/>
              <w:bottom w:val="single" w:sz="4" w:space="0" w:color="000000"/>
              <w:right w:val="single" w:sz="4" w:space="0" w:color="000000"/>
            </w:tcBorders>
          </w:tcPr>
          <w:p>
            <w:pP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8,500,000.00</w:t>
            </w: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946"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both"/>
              <w:rPr>
                <w:rFonts w:ascii="宋体" w:hAnsi="宋体" w:cs="宋体" w:eastAsia="宋体" w:hint="default"/>
                <w:sz w:val="18"/>
                <w:szCs w:val="18"/>
              </w:rPr>
            </w:pPr>
            <w:r>
              <w:rPr>
                <w:rFonts w:ascii="宋体" w:hAnsi="宋体" w:cs="宋体" w:eastAsia="宋体" w:hint="default"/>
                <w:spacing w:val="12"/>
                <w:sz w:val="18"/>
                <w:szCs w:val="18"/>
              </w:rPr>
              <w:t>以公允价值计量且其变</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2"/>
                <w:sz w:val="18"/>
                <w:szCs w:val="18"/>
              </w:rPr>
              <w:t>动计入其他综合收益的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总金融资产</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1"/>
                <w:sz w:val="18"/>
              </w:rPr>
              <w:t>118,600,000.00</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-108,945,551.27</w:t>
            </w: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9,654,448.73</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  </w:t>
            </w:r>
            <w:r>
              <w:rPr>
                <w:rFonts w:ascii="宋体" w:hAnsi="宋体" w:cs="宋体" w:eastAsia="宋体" w:hint="default"/>
                <w:sz w:val="18"/>
                <w:szCs w:val="18"/>
              </w:rPr>
              <w:t>金融负债</w:t>
            </w:r>
          </w:p>
        </w:tc>
      </w:tr>
      <w:tr>
        <w:trPr>
          <w:trHeight w:val="322" w:hRule="exact"/>
        </w:trPr>
        <w:tc>
          <w:tcPr>
            <w:tcW w:w="98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摊余成本</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7,249,126.60</w:t>
            </w:r>
          </w:p>
        </w:tc>
        <w:tc>
          <w:tcPr>
            <w:tcW w:w="1862"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7,249,126.60</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224,340,891.35</w:t>
            </w:r>
          </w:p>
        </w:tc>
        <w:tc>
          <w:tcPr>
            <w:tcW w:w="1862"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224,340,891.35</w:t>
            </w:r>
          </w:p>
        </w:tc>
      </w:tr>
      <w:tr>
        <w:trPr>
          <w:trHeight w:val="322"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59,760,398.83</w:t>
            </w:r>
          </w:p>
        </w:tc>
        <w:tc>
          <w:tcPr>
            <w:tcW w:w="1862"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59,760,398.83</w:t>
            </w:r>
          </w:p>
        </w:tc>
      </w:tr>
      <w:tr>
        <w:trPr>
          <w:trHeight w:val="634" w:hRule="exact"/>
        </w:trPr>
        <w:tc>
          <w:tcPr>
            <w:tcW w:w="21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left"/>
              <w:rPr>
                <w:rFonts w:ascii="宋体" w:hAnsi="宋体" w:cs="宋体" w:eastAsia="宋体" w:hint="default"/>
                <w:sz w:val="18"/>
                <w:szCs w:val="18"/>
              </w:rPr>
            </w:pPr>
            <w:r>
              <w:rPr>
                <w:rFonts w:ascii="宋体" w:hAnsi="宋体" w:cs="宋体" w:eastAsia="宋体" w:hint="default"/>
                <w:spacing w:val="12"/>
                <w:sz w:val="18"/>
                <w:szCs w:val="18"/>
              </w:rPr>
              <w:t>以摊余成本计量的总金</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融负债</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291,350,416.78</w:t>
            </w:r>
          </w:p>
        </w:tc>
        <w:tc>
          <w:tcPr>
            <w:tcW w:w="1862"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291,350,416.78</w:t>
            </w:r>
          </w:p>
        </w:tc>
      </w:tr>
    </w:tbl>
    <w:p>
      <w:pPr>
        <w:pStyle w:val="BodyText"/>
        <w:spacing w:line="300" w:lineRule="auto" w:before="10"/>
        <w:ind w:left="212" w:right="1127" w:firstLine="360"/>
        <w:jc w:val="left"/>
      </w:pPr>
      <w:r>
        <w:rPr/>
        <w:t>④</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日，公司原金融资产减值准备期末金额调整为按照新金融工具准则的规定进行分类和计量的新损失准 备的调节表如下：</w:t>
      </w:r>
    </w:p>
    <w:tbl>
      <w:tblPr>
        <w:tblW w:w="0" w:type="auto"/>
        <w:jc w:val="left"/>
        <w:tblInd w:w="103" w:type="dxa"/>
        <w:tblLayout w:type="fixed"/>
        <w:tblCellMar>
          <w:top w:w="0" w:type="dxa"/>
          <w:left w:w="0" w:type="dxa"/>
          <w:bottom w:w="0" w:type="dxa"/>
          <w:right w:w="0" w:type="dxa"/>
        </w:tblCellMar>
        <w:tblLook w:val="01E0"/>
      </w:tblPr>
      <w:tblGrid>
        <w:gridCol w:w="2090"/>
        <w:gridCol w:w="2339"/>
        <w:gridCol w:w="1732"/>
        <w:gridCol w:w="1681"/>
        <w:gridCol w:w="2008"/>
      </w:tblGrid>
      <w:tr>
        <w:trPr>
          <w:trHeight w:val="1258"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2"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12"/>
              <w:ind w:left="129" w:right="128" w:firstLine="45"/>
              <w:jc w:val="both"/>
              <w:rPr>
                <w:rFonts w:ascii="Times New Roman" w:hAnsi="Times New Roman" w:cs="Times New Roman" w:eastAsia="Times New Roman" w:hint="default"/>
                <w:sz w:val="18"/>
                <w:szCs w:val="18"/>
              </w:rPr>
            </w:pPr>
            <w:r>
              <w:rPr>
                <w:rFonts w:ascii="宋体" w:hAnsi="宋体" w:cs="宋体" w:eastAsia="宋体" w:hint="default"/>
                <w:sz w:val="18"/>
                <w:szCs w:val="18"/>
              </w:rPr>
              <w:t>按原金融工具准则计提损 失准备</w:t>
            </w:r>
            <w:r>
              <w:rPr>
                <w:rFonts w:ascii="Times New Roman" w:hAnsi="Times New Roman" w:cs="Times New Roman" w:eastAsia="Times New Roman" w:hint="default"/>
                <w:sz w:val="18"/>
                <w:szCs w:val="18"/>
              </w:rPr>
              <w:t>/</w:t>
            </w:r>
            <w:r>
              <w:rPr>
                <w:rFonts w:ascii="宋体" w:hAnsi="宋体" w:cs="宋体" w:eastAsia="宋体" w:hint="default"/>
                <w:sz w:val="18"/>
                <w:szCs w:val="18"/>
              </w:rPr>
              <w:t>按或有事项准则确 认的预计负债（</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5"/>
              <w:ind w:left="75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重分类</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74" w:right="0"/>
              <w:jc w:val="left"/>
              <w:rPr>
                <w:rFonts w:ascii="宋体" w:hAnsi="宋体" w:cs="宋体" w:eastAsia="宋体" w:hint="default"/>
                <w:sz w:val="18"/>
                <w:szCs w:val="18"/>
              </w:rPr>
            </w:pPr>
            <w:r>
              <w:rPr>
                <w:rFonts w:ascii="宋体" w:hAnsi="宋体" w:cs="宋体" w:eastAsia="宋体" w:hint="default"/>
                <w:sz w:val="18"/>
                <w:szCs w:val="18"/>
              </w:rPr>
              <w:t>重新计量</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03" w:right="101" w:firstLine="1"/>
              <w:jc w:val="center"/>
              <w:rPr>
                <w:rFonts w:ascii="Times New Roman" w:hAnsi="Times New Roman" w:cs="Times New Roman" w:eastAsia="Times New Roman" w:hint="default"/>
                <w:sz w:val="18"/>
                <w:szCs w:val="18"/>
              </w:rPr>
            </w:pPr>
            <w:r>
              <w:rPr>
                <w:rFonts w:ascii="宋体" w:hAnsi="宋体" w:cs="宋体" w:eastAsia="宋体" w:hint="default"/>
                <w:sz w:val="18"/>
                <w:szCs w:val="18"/>
              </w:rPr>
              <w:t>按新金融工具准则计 提损失准备（</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2"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93,133,656.01</w:t>
            </w:r>
          </w:p>
        </w:tc>
        <w:tc>
          <w:tcPr>
            <w:tcW w:w="1732"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5,608,947.99</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98,742,604.00</w:t>
            </w:r>
          </w:p>
        </w:tc>
      </w:tr>
      <w:tr>
        <w:trPr>
          <w:trHeight w:val="322"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14,365,711.62</w:t>
            </w:r>
          </w:p>
        </w:tc>
        <w:tc>
          <w:tcPr>
            <w:tcW w:w="1732"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8"/>
                <w:szCs w:val="18"/>
              </w:rPr>
            </w:pPr>
            <w:r>
              <w:rPr>
                <w:rFonts w:ascii="Times New Roman"/>
                <w:spacing w:val="-1"/>
                <w:sz w:val="18"/>
              </w:rPr>
              <w:t>413,154.48</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14,778,866.10</w:t>
            </w:r>
          </w:p>
        </w:tc>
      </w:tr>
    </w:tbl>
    <w:p>
      <w:pPr>
        <w:pStyle w:val="BodyText"/>
        <w:spacing w:line="240" w:lineRule="auto" w:before="32"/>
        <w:ind w:left="572" w:right="1031"/>
        <w:jc w:val="left"/>
      </w:pPr>
      <w:r>
        <w:rPr>
          <w:rFonts w:ascii="Times New Roman" w:hAnsi="Times New Roman" w:cs="Times New Roman" w:eastAsia="Times New Roman" w:hint="default"/>
        </w:rPr>
        <w:t>3</w:t>
      </w:r>
      <w:r>
        <w:rPr/>
        <w:t>）本公司自</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日起执行经修订的《企业会计准则第</w:t>
      </w:r>
      <w:r>
        <w:rPr>
          <w:spacing w:val="-45"/>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非货币性资产交换》，自</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17</w:t>
      </w:r>
      <w:r>
        <w:rPr>
          <w:rFonts w:ascii="Times New Roman" w:hAnsi="Times New Roman" w:cs="Times New Roman" w:eastAsia="Times New Roman" w:hint="default"/>
          <w:spacing w:val="-1"/>
        </w:rPr>
        <w:t> </w:t>
      </w:r>
      <w:r>
        <w:rPr/>
        <w:t>日</w:t>
      </w:r>
    </w:p>
    <w:p>
      <w:pPr>
        <w:pStyle w:val="BodyText"/>
        <w:spacing w:line="240" w:lineRule="auto" w:before="63"/>
        <w:ind w:left="212" w:right="1031"/>
        <w:jc w:val="left"/>
      </w:pPr>
      <w:r>
        <w:rPr/>
        <w:t>起执行经修订的《企业会计准则第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债务重组》。该项会计政策变更采用未来适用法处理。</w:t>
      </w:r>
    </w:p>
    <w:p>
      <w:pPr>
        <w:spacing w:line="240" w:lineRule="auto" w:before="13"/>
        <w:rPr>
          <w:rFonts w:ascii="宋体" w:hAnsi="宋体" w:cs="宋体" w:eastAsia="宋体" w:hint="default"/>
          <w:sz w:val="25"/>
          <w:szCs w:val="25"/>
        </w:rPr>
      </w:pPr>
    </w:p>
    <w:p>
      <w:pPr>
        <w:pStyle w:val="Heading3"/>
        <w:spacing w:line="240" w:lineRule="auto"/>
        <w:ind w:left="212" w:right="1031"/>
        <w:jc w:val="left"/>
        <w:rPr>
          <w:b w:val="0"/>
          <w:bCs w:val="0"/>
        </w:rPr>
      </w:pPr>
      <w:bookmarkStart w:name="（2）重要会计估计变更" w:id="218"/>
      <w:bookmarkEnd w:id="218"/>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12" w:right="1031"/>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left="212" w:right="1031"/>
        <w:jc w:val="left"/>
        <w:rPr>
          <w:b w:val="0"/>
          <w:bCs w:val="0"/>
        </w:rPr>
      </w:pPr>
      <w:bookmarkStart w:name="（3）2019年起执行新金融工具准则、新收入准则或新租赁准则调整执行当年年初财务" w:id="219"/>
      <w:bookmarkEnd w:id="219"/>
      <w:r>
        <w:rPr>
          <w:b w:val="0"/>
          <w:bCs w:val="0"/>
        </w:rPr>
      </w: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20"/>
        </w:rPr>
        <w:t> </w:t>
      </w:r>
      <w:r>
        <w:rPr/>
        <w:t>年起执行新金融工具准则、新收入准则或新租赁准则调整执行当年年初财务报表相关项目情况</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7" w:footer="1016" w:top="1100" w:bottom="1200" w:left="920" w:right="0"/>
        </w:sectPr>
      </w:pPr>
    </w:p>
    <w:p>
      <w:pPr>
        <w:pStyle w:val="BodyText"/>
        <w:spacing w:line="360" w:lineRule="auto" w:before="44"/>
        <w:ind w:left="212" w:right="-18"/>
        <w:jc w:val="left"/>
      </w:pPr>
      <w:r>
        <w:rPr/>
        <w:t>√ 适用 □ 不适用 合并资产负债表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left="212" w:right="0"/>
        <w:jc w:val="left"/>
      </w:pPr>
      <w:r>
        <w:rPr/>
        <w:t>单位：元</w:t>
      </w:r>
    </w:p>
    <w:p>
      <w:pPr>
        <w:spacing w:after="0" w:line="240" w:lineRule="auto"/>
        <w:jc w:val="left"/>
        <w:sectPr>
          <w:type w:val="continuous"/>
          <w:pgSz w:w="11910" w:h="16840"/>
          <w:pgMar w:top="1100" w:bottom="1200" w:left="920" w:right="0"/>
          <w:cols w:num="2" w:equalWidth="0">
            <w:col w:w="1745" w:space="7174"/>
            <w:col w:w="2071"/>
          </w:cols>
        </w:sectPr>
      </w:pPr>
    </w:p>
    <w:p>
      <w:pPr>
        <w:spacing w:line="240" w:lineRule="auto" w:before="3"/>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215" w:right="0"/>
              <w:jc w:val="left"/>
              <w:rPr>
                <w:rFonts w:ascii="Times New Roman" w:hAnsi="Times New Roman" w:cs="Times New Roman" w:eastAsia="Times New Roman" w:hint="default"/>
                <w:sz w:val="18"/>
                <w:szCs w:val="18"/>
              </w:rPr>
            </w:pPr>
            <w:r>
              <w:rPr>
                <w:rFonts w:ascii="Times New Roman"/>
                <w:sz w:val="18"/>
              </w:rPr>
              <w:t>468,367,664.95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215" w:right="0"/>
              <w:jc w:val="left"/>
              <w:rPr>
                <w:rFonts w:ascii="Times New Roman" w:hAnsi="Times New Roman" w:cs="Times New Roman" w:eastAsia="Times New Roman" w:hint="default"/>
                <w:sz w:val="18"/>
                <w:szCs w:val="18"/>
              </w:rPr>
            </w:pPr>
            <w:r>
              <w:rPr>
                <w:rFonts w:ascii="Times New Roman"/>
                <w:sz w:val="18"/>
              </w:rPr>
              <w:t>468,367,664.95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9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12" w:firstLine="360"/>
              <w:jc w:val="both"/>
              <w:rPr>
                <w:rFonts w:ascii="宋体" w:hAnsi="宋体" w:cs="宋体" w:eastAsia="宋体" w:hint="default"/>
                <w:sz w:val="18"/>
                <w:szCs w:val="18"/>
              </w:rPr>
            </w:pPr>
            <w:r>
              <w:rPr>
                <w:rFonts w:ascii="宋体" w:hAnsi="宋体" w:cs="宋体" w:eastAsia="宋体" w:hint="default"/>
                <w:sz w:val="18"/>
                <w:szCs w:val="18"/>
              </w:rPr>
              <w:t>以公允价值计量且其 变动计入当期损益的金融 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1,154,448.73</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579,520,829.00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573,911,881.01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-5,608,947.99</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23,800,116.13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23,800,116.13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12"/>
              <w:jc w:val="righ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46,845,184.54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46,432,030.06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-413,154.48</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8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87,484,101.22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87,484,101.22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12" w:firstLine="360"/>
              <w:jc w:val="left"/>
              <w:rPr>
                <w:rFonts w:ascii="宋体" w:hAnsi="宋体" w:cs="宋体" w:eastAsia="宋体" w:hint="default"/>
                <w:sz w:val="18"/>
                <w:szCs w:val="18"/>
              </w:rPr>
            </w:pPr>
            <w:r>
              <w:rPr>
                <w:rFonts w:ascii="宋体" w:hAnsi="宋体" w:cs="宋体" w:eastAsia="宋体" w:hint="default"/>
                <w:sz w:val="18"/>
                <w:szCs w:val="18"/>
              </w:rPr>
              <w:t>一年内到期的非流动 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4,632,718.53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4,632,718.53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1,211,805,063.10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1,205,782,960.63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-6,022,102.47</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118,600,000.00</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-118,600,000.00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15,000,000.00</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174,191,056.66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174,191,056.66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8,500,000.00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12"/>
              <w:jc w:val="righ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110,100,000.00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110,100,000.00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3,469,909.40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3,469,909.40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300,209,659.68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300,209,659.68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59,837,374.74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59,837,374.74</w:t>
            </w: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53,662,512.60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53,662,512.60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4,795,473.91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4,795,473.91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1,108,004,441.03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1,108,004,441.03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19,119,574.04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19,119,574.04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9,853,267.74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10,387,211.91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533,944.17</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1,866,743,269.80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1,867,277,213.97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533,944.17</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3,078,548,332.90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3,073,060,174.60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-5,488,158.30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177,500,000.00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177,500,000.00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12" w:firstLine="360"/>
              <w:jc w:val="both"/>
              <w:rPr>
                <w:rFonts w:ascii="宋体" w:hAnsi="宋体" w:cs="宋体" w:eastAsia="宋体" w:hint="default"/>
                <w:sz w:val="18"/>
                <w:szCs w:val="18"/>
              </w:rPr>
            </w:pPr>
            <w:r>
              <w:rPr>
                <w:rFonts w:ascii="宋体" w:hAnsi="宋体" w:cs="宋体" w:eastAsia="宋体" w:hint="default"/>
                <w:sz w:val="18"/>
                <w:szCs w:val="18"/>
              </w:rPr>
              <w:t>以公允价值计量且其 变动计入当期损益的金融 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7,249,126.60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7,249,126.60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224,340,891.35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224,340,891.35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151,174,479.72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151,174,479.72</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12"/>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2"/>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45,089,388.06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45,089,388.06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45,649,502.65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45,649,502.65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59,760,398.83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59,760,398.83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263,113.28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263,113.28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8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380,001.60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380,001.60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2" w:firstLine="360"/>
              <w:jc w:val="left"/>
              <w:rPr>
                <w:rFonts w:ascii="宋体" w:hAnsi="宋体" w:cs="宋体" w:eastAsia="宋体" w:hint="default"/>
                <w:sz w:val="18"/>
                <w:szCs w:val="18"/>
              </w:rPr>
            </w:pPr>
            <w:r>
              <w:rPr>
                <w:rFonts w:ascii="宋体" w:hAnsi="宋体" w:cs="宋体" w:eastAsia="宋体" w:hint="default"/>
                <w:sz w:val="18"/>
                <w:szCs w:val="18"/>
              </w:rPr>
              <w:t>一年内到期的非流动 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710,763,787.21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710,763,787.21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8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9,786,967.28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9,786,967.28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9,786,967.28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9,786,967.28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720,550,754.49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720,550,754.49</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485,456,398.00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485,456,398.00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8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1,200,827,298.56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1,200,827,298.56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30,481,062.21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30,481,062.21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65,681,002.18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65,255,781.50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-425,220.68</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599,584,088.72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594,522,922.51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-5,061,166.21</w:t>
            </w: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2"/>
              <w:jc w:val="left"/>
              <w:rPr>
                <w:rFonts w:ascii="宋体" w:hAnsi="宋体" w:cs="宋体" w:eastAsia="宋体" w:hint="default"/>
                <w:sz w:val="18"/>
                <w:szCs w:val="18"/>
              </w:rPr>
            </w:pPr>
            <w:r>
              <w:rPr>
                <w:rFonts w:ascii="宋体" w:hAnsi="宋体" w:cs="宋体" w:eastAsia="宋体" w:hint="default"/>
                <w:sz w:val="18"/>
                <w:szCs w:val="18"/>
              </w:rPr>
              <w:t>归属于母公司所有者权益 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2,321,067,725.25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2,315,581,338.36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-5,486,386.89</w:t>
            </w:r>
          </w:p>
        </w:tc>
      </w:tr>
      <w:tr>
        <w:trPr>
          <w:trHeight w:val="400"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36,929,853.16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36,928,081.75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-1,771.41</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2,357,997,578.41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2,352,509,420.11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-5,488,158.30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3,078,548,332.90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3,073,060,174.60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-5,488,158.30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360" w:lineRule="auto" w:before="50"/>
        <w:ind w:right="-18"/>
        <w:jc w:val="left"/>
      </w:pPr>
      <w:r>
        <w:rPr/>
        <w:t>调整情况说明 详见（1）重要会计政策变更之说明。 母公司资产负债表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2"/>
          <w:szCs w:val="12"/>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3085" w:space="5834"/>
            <w:col w:w="1971"/>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调整数</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114,034,048.46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114,034,048.46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2" w:firstLine="360"/>
              <w:jc w:val="both"/>
              <w:rPr>
                <w:rFonts w:ascii="宋体" w:hAnsi="宋体" w:cs="宋体" w:eastAsia="宋体" w:hint="default"/>
                <w:sz w:val="18"/>
                <w:szCs w:val="18"/>
              </w:rPr>
            </w:pPr>
            <w:r>
              <w:rPr>
                <w:rFonts w:ascii="宋体" w:hAnsi="宋体" w:cs="宋体" w:eastAsia="宋体" w:hint="default"/>
                <w:sz w:val="18"/>
                <w:szCs w:val="18"/>
              </w:rPr>
              <w:t>以公允价值计量且其 变动计入当期损益的金融 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1,154,448.73</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449,196,171.05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444,415,797.69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-4,780,373.36</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应收款项融资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18,350,593.64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18,350,593.64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51,452,558.84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51,502,688.10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50,129.26</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92"/>
              <w:jc w:val="right"/>
              <w:rPr>
                <w:rFonts w:ascii="宋体" w:hAnsi="宋体" w:cs="宋体" w:eastAsia="宋体" w:hint="default"/>
                <w:sz w:val="18"/>
                <w:szCs w:val="18"/>
              </w:rPr>
            </w:pPr>
            <w:r>
              <w:rPr>
                <w:rFonts w:ascii="宋体" w:hAnsi="宋体" w:cs="宋体" w:eastAsia="宋体" w:hint="default"/>
                <w:sz w:val="18"/>
                <w:szCs w:val="18"/>
              </w:rPr>
              <w:t>其中：应收利息</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92"/>
              <w:jc w:val="right"/>
              <w:rPr>
                <w:rFonts w:ascii="宋体" w:hAnsi="宋体" w:cs="宋体" w:eastAsia="宋体" w:hint="default"/>
                <w:sz w:val="18"/>
                <w:szCs w:val="18"/>
              </w:rPr>
            </w:pPr>
            <w:r>
              <w:rPr>
                <w:rFonts w:ascii="宋体" w:hAnsi="宋体" w:cs="宋体" w:eastAsia="宋体" w:hint="default"/>
                <w:sz w:val="18"/>
                <w:szCs w:val="18"/>
              </w:rPr>
              <w:t>应收股利</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71,841,220.35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71,841,220.35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合同资产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2" w:firstLine="360"/>
              <w:jc w:val="left"/>
              <w:rPr>
                <w:rFonts w:ascii="宋体" w:hAnsi="宋体" w:cs="宋体" w:eastAsia="宋体" w:hint="default"/>
                <w:sz w:val="18"/>
                <w:szCs w:val="18"/>
              </w:rPr>
            </w:pPr>
            <w:r>
              <w:rPr>
                <w:rFonts w:ascii="宋体" w:hAnsi="宋体" w:cs="宋体" w:eastAsia="宋体" w:hint="default"/>
                <w:sz w:val="18"/>
                <w:szCs w:val="18"/>
              </w:rPr>
              <w:t>一年内到期的非流动 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706,029,041.07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701,298,796.97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-4,730,244.10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92"/>
              <w:jc w:val="righ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118,600,000.00</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-118,600,000.00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其他债权投资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15,000,000.00</w:t>
            </w: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0"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2"/>
                <w:sz w:val="18"/>
              </w:rPr>
              <w:t>1,713,891,111.02</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1,713,891,111.02</w:t>
            </w: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8,500,000.00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110,100,000.00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110,100,000.00</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214,581,651.51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214,581,651.51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60,573,272.67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60,573,272.67</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使用权资产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37,423,074.16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37,423,074.16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4,795,473.91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4,795,473.91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1,274,163.43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1,274,163.43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8,034,726.97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8,512,764.31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478,037.34</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2,174,173,473.67</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2,174,651,511.01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478,037.34</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2,880,202,514.74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2,875,950,307.98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-4,252,206.76</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177,500,000.00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177,500,000.00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2" w:firstLine="360"/>
              <w:jc w:val="both"/>
              <w:rPr>
                <w:rFonts w:ascii="宋体" w:hAnsi="宋体" w:cs="宋体" w:eastAsia="宋体" w:hint="default"/>
                <w:sz w:val="18"/>
                <w:szCs w:val="18"/>
              </w:rPr>
            </w:pPr>
            <w:r>
              <w:rPr>
                <w:rFonts w:ascii="宋体" w:hAnsi="宋体" w:cs="宋体" w:eastAsia="宋体" w:hint="default"/>
                <w:sz w:val="18"/>
                <w:szCs w:val="18"/>
              </w:rPr>
              <w:t>以公允价值计量且其 变动计入当期损益的金融 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7,249,126.60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7,249,126.60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Times New Roman" w:hAnsi="Times New Roman" w:cs="Times New Roman" w:eastAsia="Times New Roman" w:hint="default"/>
                <w:sz w:val="18"/>
                <w:szCs w:val="18"/>
              </w:rPr>
            </w:pPr>
            <w:r>
              <w:rPr>
                <w:rFonts w:ascii="Times New Roman"/>
                <w:spacing w:val="-1"/>
                <w:sz w:val="18"/>
              </w:rPr>
              <w:t>177,151,017.11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177,151,017.11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108,841,969.43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108,841,969.43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合同负债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27,692,509.44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27,692,509.44</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32,816,736.91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32,816,736.91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57,417,799.26</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57,417,799.26</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263,113.28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263,113.28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8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380,001.60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380,001.60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2" w:firstLine="360"/>
              <w:jc w:val="left"/>
              <w:rPr>
                <w:rFonts w:ascii="宋体" w:hAnsi="宋体" w:cs="宋体" w:eastAsia="宋体" w:hint="default"/>
                <w:sz w:val="18"/>
                <w:szCs w:val="18"/>
              </w:rPr>
            </w:pPr>
            <w:r>
              <w:rPr>
                <w:rFonts w:ascii="宋体" w:hAnsi="宋体" w:cs="宋体" w:eastAsia="宋体" w:hint="default"/>
                <w:sz w:val="18"/>
                <w:szCs w:val="18"/>
              </w:rPr>
              <w:t>一年内到期的非流动 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206"/>
        <w:gridCol w:w="2453"/>
        <w:gridCol w:w="2454"/>
        <w:gridCol w:w="2454"/>
      </w:tblGrid>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588,669,158.75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588,669,158.75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8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租赁负债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8,888,167.28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8,888,167.28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8,888,167.28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8,888,167.28</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597,557,326.03</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597,557,326.03</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4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485,456,398.00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485,456,398.00</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82"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1,240,114,143.15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1,240,114,143.15</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30,481,062.21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30,481,062.21</w:t>
            </w: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453"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c>
          <w:tcPr>
            <w:tcW w:w="245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65,681,002.18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65,255,781.50</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-425,220.68</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521,874,707.59</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518,047,721.51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-3,826,986.08</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2,282,645,188.71</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2,278,392,981.95</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-4,252,206.76</w:t>
            </w:r>
          </w:p>
        </w:tc>
      </w:tr>
      <w:tr>
        <w:trPr>
          <w:trHeight w:val="402" w:hRule="exact"/>
        </w:trPr>
        <w:tc>
          <w:tcPr>
            <w:tcW w:w="2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2,880,202,514.74</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2,875,950,307.98</w:t>
            </w:r>
          </w:p>
        </w:tc>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-4,252,206.76</w:t>
            </w:r>
          </w:p>
        </w:tc>
      </w:tr>
    </w:tbl>
    <w:p>
      <w:pPr>
        <w:pStyle w:val="BodyText"/>
        <w:spacing w:line="360" w:lineRule="auto" w:before="51"/>
        <w:ind w:right="7784"/>
        <w:jc w:val="left"/>
      </w:pPr>
      <w:r>
        <w:rPr/>
        <w:t>调整情况说明 详见（1）重要会计政策变更之说明。</w:t>
      </w:r>
    </w:p>
    <w:p>
      <w:pPr>
        <w:spacing w:line="240" w:lineRule="auto" w:before="12"/>
        <w:rPr>
          <w:rFonts w:ascii="宋体" w:hAnsi="宋体" w:cs="宋体" w:eastAsia="宋体" w:hint="default"/>
          <w:sz w:val="19"/>
          <w:szCs w:val="19"/>
        </w:rPr>
      </w:pPr>
    </w:p>
    <w:p>
      <w:pPr>
        <w:pStyle w:val="Heading3"/>
        <w:spacing w:line="240" w:lineRule="auto"/>
        <w:ind w:right="882"/>
        <w:jc w:val="left"/>
        <w:rPr>
          <w:b w:val="0"/>
          <w:bCs w:val="0"/>
        </w:rPr>
      </w:pPr>
      <w:bookmarkStart w:name="（4）2019年起执行新金融工具准则或新租赁准则追溯调整前期比较数据说明" w:id="220"/>
      <w:bookmarkEnd w:id="220"/>
      <w:r>
        <w:rPr>
          <w:b w:val="0"/>
          <w:bCs w:val="0"/>
        </w:rPr>
      </w: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0"/>
        </w:rPr>
        <w:t> </w:t>
      </w:r>
      <w:r>
        <w:rPr/>
        <w:t>年起执行新金融工具准则或新租赁准则追溯调整前期比较数据说明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spacing w:line="487" w:lineRule="auto" w:before="34"/>
        <w:ind w:left="112" w:right="8967" w:firstLine="0"/>
        <w:jc w:val="left"/>
        <w:rPr>
          <w:rFonts w:ascii="宋体" w:hAnsi="宋体" w:cs="宋体" w:eastAsia="宋体" w:hint="default"/>
          <w:sz w:val="21"/>
          <w:szCs w:val="21"/>
        </w:rPr>
      </w:pPr>
      <w:bookmarkStart w:name="27、其他" w:id="221"/>
      <w:bookmarkEnd w:id="221"/>
      <w:r>
        <w:rPr/>
      </w:r>
      <w:r>
        <w:rPr>
          <w:rFonts w:ascii="Times New Roman" w:hAnsi="Times New Roman" w:cs="Times New Roman" w:eastAsia="Times New Roman" w:hint="default"/>
          <w:b/>
          <w:bCs/>
          <w:sz w:val="21"/>
          <w:szCs w:val="21"/>
        </w:rPr>
        <w:t>27</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六、税项" w:id="222"/>
      <w:bookmarkEnd w:id="222"/>
      <w:r>
        <w:rPr>
          <w:rFonts w:ascii="宋体" w:hAnsi="宋体" w:cs="宋体" w:eastAsia="宋体" w:hint="default"/>
          <w:b/>
          <w:bCs/>
          <w:w w:val="99"/>
          <w:sz w:val="21"/>
          <w:szCs w:val="21"/>
        </w:rPr>
      </w:r>
      <w:r>
        <w:rPr>
          <w:rFonts w:ascii="宋体" w:hAnsi="宋体" w:cs="宋体" w:eastAsia="宋体" w:hint="default"/>
          <w:b/>
          <w:bCs/>
          <w:sz w:val="24"/>
          <w:szCs w:val="24"/>
        </w:rPr>
        <w:t>六、税项</w:t>
      </w:r>
      <w:r>
        <w:rPr>
          <w:rFonts w:ascii="宋体" w:hAnsi="宋体" w:cs="宋体" w:eastAsia="宋体" w:hint="default"/>
          <w:b/>
          <w:bCs/>
          <w:w w:val="99"/>
          <w:sz w:val="24"/>
          <w:szCs w:val="24"/>
        </w:rPr>
        <w:t> </w:t>
      </w:r>
      <w:bookmarkStart w:name="1、主要税种及税率" w:id="223"/>
      <w:bookmarkEnd w:id="223"/>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、主要税种及税率</w:t>
      </w:r>
      <w:r>
        <w:rPr>
          <w:rFonts w:ascii="宋体" w:hAnsi="宋体" w:cs="宋体" w:eastAsia="宋体" w:hint="default"/>
          <w:sz w:val="21"/>
          <w:szCs w:val="21"/>
        </w:rPr>
      </w:r>
    </w:p>
    <w:p>
      <w:pPr>
        <w:spacing w:line="240" w:lineRule="auto" w:before="6"/>
        <w:rPr>
          <w:rFonts w:ascii="宋体" w:hAnsi="宋体" w:cs="宋体" w:eastAsia="宋体" w:hint="default"/>
          <w:b/>
          <w:bCs/>
          <w:sz w:val="7"/>
          <w:szCs w:val="7"/>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销售货物或提供应税劳务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16%</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13%</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10%</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9%</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12.5%</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r>
        <w:trPr>
          <w:trHeight w:val="361" w:hRule="exact"/>
        </w:trPr>
        <w:tc>
          <w:tcPr>
            <w:tcW w:w="3189" w:type="dxa"/>
            <w:tcBorders>
              <w:top w:val="single" w:sz="4" w:space="0" w:color="000000"/>
              <w:left w:val="single" w:sz="4" w:space="0" w:color="000000"/>
              <w:bottom w:val="nil" w:sz="6" w:space="0" w:color="auto"/>
              <w:right w:val="single" w:sz="4" w:space="0" w:color="000000"/>
            </w:tcBorders>
          </w:tcPr>
          <w:p>
            <w:pPr/>
          </w:p>
        </w:tc>
        <w:tc>
          <w:tcPr>
            <w:tcW w:w="31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从价计征的</w:t>
            </w:r>
            <w:r>
              <w:rPr>
                <w:rFonts w:ascii="宋体" w:hAnsi="宋体" w:cs="宋体" w:eastAsia="宋体" w:hint="default"/>
                <w:spacing w:val="-89"/>
                <w:sz w:val="18"/>
                <w:szCs w:val="18"/>
              </w:rPr>
              <w:t>，</w:t>
            </w:r>
            <w:r>
              <w:rPr>
                <w:rFonts w:ascii="宋体" w:hAnsi="宋体" w:cs="宋体" w:eastAsia="宋体" w:hint="default"/>
                <w:sz w:val="18"/>
                <w:szCs w:val="18"/>
              </w:rPr>
              <w:t>按房产原值一次减除</w:t>
            </w:r>
            <w:r>
              <w:rPr>
                <w:rFonts w:ascii="宋体" w:hAnsi="宋体" w:cs="宋体" w:eastAsia="宋体" w:hint="default"/>
                <w:spacing w:val="-57"/>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31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后余值的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计缴；从租计征的，按</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12%</w:t>
            </w:r>
          </w:p>
        </w:tc>
      </w:tr>
      <w:tr>
        <w:trPr>
          <w:trHeight w:val="353" w:hRule="exact"/>
        </w:trPr>
        <w:tc>
          <w:tcPr>
            <w:tcW w:w="3189" w:type="dxa"/>
            <w:tcBorders>
              <w:top w:val="nil" w:sz="6" w:space="0" w:color="auto"/>
              <w:left w:val="single" w:sz="4" w:space="0" w:color="000000"/>
              <w:bottom w:val="single" w:sz="4" w:space="0" w:color="000000"/>
              <w:right w:val="single" w:sz="4" w:space="0" w:color="000000"/>
            </w:tcBorders>
          </w:tcPr>
          <w:p>
            <w:pPr/>
          </w:p>
        </w:tc>
        <w:tc>
          <w:tcPr>
            <w:tcW w:w="31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租金收入的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计缴</w:t>
            </w:r>
          </w:p>
        </w:tc>
        <w:tc>
          <w:tcPr>
            <w:tcW w:w="3190"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应缴流转税税额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2%</w:t>
            </w:r>
          </w:p>
        </w:tc>
      </w:tr>
    </w:tbl>
    <w:p>
      <w:pPr>
        <w:pStyle w:val="BodyText"/>
        <w:spacing w:line="240" w:lineRule="auto" w:before="49"/>
        <w:ind w:right="882"/>
        <w:jc w:val="left"/>
      </w:pPr>
      <w:r>
        <w:rPr/>
        <w:t>存在不同企业所得税税率纳税主体的，披露情况说明</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杭州惟勤科技有限公司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12.5%</w:t>
            </w:r>
          </w:p>
        </w:tc>
      </w:tr>
      <w:tr>
        <w:trPr>
          <w:trHeight w:val="714"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68"/>
              <w:jc w:val="left"/>
              <w:rPr>
                <w:rFonts w:ascii="宋体" w:hAnsi="宋体" w:cs="宋体" w:eastAsia="宋体" w:hint="default"/>
                <w:sz w:val="18"/>
                <w:szCs w:val="18"/>
              </w:rPr>
            </w:pPr>
            <w:r>
              <w:rPr>
                <w:rFonts w:ascii="宋体" w:hAnsi="宋体" w:cs="宋体" w:eastAsia="宋体" w:hint="default"/>
                <w:sz w:val="18"/>
                <w:szCs w:val="18"/>
              </w:rPr>
              <w:t>广东中拓信息技术有限公司、杭州慧康物联网科技有限公 司和杭州梅清数码科技有限公司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15%</w:t>
            </w:r>
          </w:p>
        </w:tc>
      </w:tr>
      <w:tr>
        <w:trPr>
          <w:trHeight w:val="196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2"/>
              <w:jc w:val="left"/>
              <w:rPr>
                <w:rFonts w:ascii="宋体" w:hAnsi="宋体" w:cs="宋体" w:eastAsia="宋体" w:hint="default"/>
                <w:sz w:val="18"/>
                <w:szCs w:val="18"/>
              </w:rPr>
            </w:pPr>
            <w:r>
              <w:rPr>
                <w:rFonts w:ascii="宋体" w:hAnsi="宋体" w:cs="宋体" w:eastAsia="宋体" w:hint="default"/>
                <w:spacing w:val="-1"/>
                <w:sz w:val="18"/>
                <w:szCs w:val="18"/>
              </w:rPr>
              <w:t>杭州美诺泰科科技有限公司、新疆创什信息科技有限公司、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苏州创业亿康信息科技有限公司、重庆创易康软件有限公 司、天津创津科技有限公司、创业软件南京有限公司、中 山市杭创科技有限公司、杭州合美物业管理有限公司、浙 江医康数据科技研究院有限公司、广州粤湾慧康科技有限 公司、浙江百利医药有限公司和自贡市杭创科技有限公司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除上述以外的其他纳税主体</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25%</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2、税收优惠" w:id="224"/>
      <w:bookmarkEnd w:id="224"/>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6"/>
        <w:rPr>
          <w:rFonts w:ascii="宋体" w:hAnsi="宋体" w:cs="宋体" w:eastAsia="宋体" w:hint="default"/>
          <w:b/>
          <w:bCs/>
          <w:sz w:val="26"/>
          <w:szCs w:val="26"/>
        </w:rPr>
      </w:pPr>
    </w:p>
    <w:p>
      <w:pPr>
        <w:pStyle w:val="BodyText"/>
        <w:spacing w:line="309" w:lineRule="auto"/>
        <w:ind w:right="1125" w:firstLine="420"/>
        <w:jc w:val="both"/>
      </w:pP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spacing w:val="-2"/>
        </w:rPr>
        <w:t>根据财政部、国家税务总局《关于软件产品增值税政策的通知》（财税〔</w:t>
      </w:r>
      <w:r>
        <w:rPr>
          <w:rFonts w:ascii="Times New Roman" w:hAnsi="Times New Roman" w:cs="Times New Roman" w:eastAsia="Times New Roman" w:hint="default"/>
          <w:spacing w:val="-2"/>
        </w:rPr>
        <w:t>2011</w:t>
      </w:r>
      <w:r>
        <w:rPr>
          <w:spacing w:val="-2"/>
        </w:rPr>
        <w:t>〕</w:t>
      </w:r>
      <w:r>
        <w:rPr>
          <w:rFonts w:ascii="Times New Roman" w:hAnsi="Times New Roman" w:cs="Times New Roman" w:eastAsia="Times New Roman" w:hint="default"/>
          <w:spacing w:val="-2"/>
        </w:rPr>
        <w:t>100</w:t>
      </w:r>
      <w:r>
        <w:rPr>
          <w:spacing w:val="-2"/>
        </w:rPr>
        <w:t>号），本公司、杭州惟勤科技有</w:t>
      </w:r>
      <w:r>
        <w:rPr/>
        <w:t> </w:t>
      </w:r>
      <w:r>
        <w:rPr>
          <w:spacing w:val="-2"/>
        </w:rPr>
        <w:t>限公司、广东中拓信息技术有限公司、杭州慧康物联网科技有限公司、杭州美诺泰科科技有限公司和杭州卓腾信息技术有限</w:t>
      </w:r>
      <w:r>
        <w:rPr>
          <w:spacing w:val="-63"/>
        </w:rPr>
        <w:t> </w:t>
      </w:r>
      <w:r>
        <w:rPr>
          <w:spacing w:val="-63"/>
        </w:rPr>
      </w:r>
      <w:r>
        <w:rPr/>
        <w:t>公司软件产品销售增值税实际税负超过</w:t>
      </w:r>
      <w:r>
        <w:rPr>
          <w:rFonts w:ascii="Times New Roman" w:hAnsi="Times New Roman" w:cs="Times New Roman" w:eastAsia="Times New Roman" w:hint="default"/>
        </w:rPr>
        <w:t>3%</w:t>
      </w:r>
      <w:r>
        <w:rPr/>
        <w:t>部分享受即征即退税收优惠政策。</w:t>
      </w:r>
    </w:p>
    <w:p>
      <w:pPr>
        <w:pStyle w:val="BodyText"/>
        <w:spacing w:line="309" w:lineRule="auto" w:before="5"/>
        <w:ind w:right="882" w:firstLine="42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1"/>
        </w:rPr>
        <w:t> </w:t>
      </w:r>
      <w:r>
        <w:rPr>
          <w:spacing w:val="-2"/>
        </w:rPr>
        <w:t>根据财政部、国家税务总局《关于全面推开营业税改征增值税试点的通知》（财税〔</w:t>
      </w:r>
      <w:r>
        <w:rPr>
          <w:rFonts w:ascii="Times New Roman" w:hAnsi="Times New Roman" w:cs="Times New Roman" w:eastAsia="Times New Roman" w:hint="default"/>
          <w:spacing w:val="-2"/>
        </w:rPr>
        <w:t>2016</w:t>
      </w:r>
      <w:r>
        <w:rPr>
          <w:spacing w:val="-2"/>
        </w:rPr>
        <w:t>〕</w:t>
      </w:r>
      <w:r>
        <w:rPr>
          <w:rFonts w:ascii="Times New Roman" w:hAnsi="Times New Roman" w:cs="Times New Roman" w:eastAsia="Times New Roman" w:hint="default"/>
          <w:spacing w:val="-2"/>
        </w:rPr>
        <w:t>36</w:t>
      </w:r>
      <w:r>
        <w:rPr>
          <w:spacing w:val="-2"/>
        </w:rPr>
        <w:t>号）的规定，本公司、</w:t>
      </w:r>
      <w:r>
        <w:rPr/>
        <w:t> </w:t>
      </w:r>
      <w:r>
        <w:rPr>
          <w:spacing w:val="-2"/>
        </w:rPr>
        <w:t>创业软件南京有限公司和杭州美诺泰科科技有限公司从事技术转让、技术开发业务和与之相关的技术咨询、技术服务业务取</w:t>
      </w:r>
      <w:r>
        <w:rPr>
          <w:spacing w:val="-64"/>
        </w:rPr>
        <w:t> </w:t>
      </w:r>
      <w:r>
        <w:rPr>
          <w:spacing w:val="-64"/>
        </w:rPr>
      </w:r>
      <w:r>
        <w:rPr/>
        <w:t>得的收入免缴增值税。</w:t>
      </w:r>
    </w:p>
    <w:p>
      <w:pPr>
        <w:pStyle w:val="BodyText"/>
        <w:spacing w:line="240" w:lineRule="auto" w:before="24"/>
        <w:ind w:left="532" w:right="882"/>
        <w:jc w:val="left"/>
      </w:pPr>
      <w:r>
        <w:rPr>
          <w:rFonts w:ascii="Times New Roman" w:hAnsi="Times New Roman" w:cs="Times New Roman" w:eastAsia="Times New Roman" w:hint="default"/>
          <w:spacing w:val="1"/>
        </w:rPr>
        <w:t>3</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根据财政部</w:t>
      </w:r>
      <w:r>
        <w:rPr>
          <w:spacing w:val="-46"/>
        </w:rPr>
        <w:t>、</w:t>
      </w:r>
      <w:r>
        <w:rPr/>
        <w:t>国家税务总</w:t>
      </w:r>
      <w:r>
        <w:rPr>
          <w:spacing w:val="-48"/>
        </w:rPr>
        <w:t>局</w:t>
      </w:r>
      <w:r>
        <w:rPr/>
        <w:t>《关于进一步鼓励软件产业和集成电路产业发展企业所得税政策的通知</w:t>
      </w:r>
      <w:r>
        <w:rPr>
          <w:spacing w:val="-92"/>
        </w:rPr>
        <w:t>》</w:t>
      </w:r>
      <w:r>
        <w:rPr>
          <w:spacing w:val="-3"/>
        </w:rPr>
        <w:t>（</w:t>
      </w:r>
      <w:r>
        <w:rPr/>
        <w:t>财税﹝</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2</w:t>
      </w:r>
      <w:r>
        <w:rPr/>
        <w:t>﹞</w:t>
      </w:r>
    </w:p>
    <w:p>
      <w:pPr>
        <w:pStyle w:val="BodyText"/>
        <w:spacing w:line="240" w:lineRule="auto" w:before="63"/>
        <w:ind w:right="882"/>
        <w:jc w:val="left"/>
      </w:pPr>
      <w:r>
        <w:rPr>
          <w:rFonts w:ascii="Times New Roman" w:hAnsi="Times New Roman" w:cs="Times New Roman" w:eastAsia="Times New Roman" w:hint="default"/>
        </w:rPr>
        <w:t>27</w:t>
      </w:r>
      <w:r>
        <w:rPr/>
        <w:t>号）的规定</w:t>
      </w:r>
      <w:r>
        <w:rPr>
          <w:rFonts w:ascii="Times New Roman" w:hAnsi="Times New Roman" w:cs="Times New Roman" w:eastAsia="Times New Roman" w:hint="default"/>
        </w:rPr>
        <w:t>,</w:t>
      </w:r>
      <w:r>
        <w:rPr/>
        <w:t>本公司为国家规划布局内重点软件企业，可减按</w:t>
      </w:r>
      <w:r>
        <w:rPr>
          <w:rFonts w:ascii="Times New Roman" w:hAnsi="Times New Roman" w:cs="Times New Roman" w:eastAsia="Times New Roman" w:hint="default"/>
        </w:rPr>
        <w:t>10%</w:t>
      </w:r>
      <w:r>
        <w:rPr/>
        <w:t>的税率计缴企业所得税。</w:t>
      </w:r>
    </w:p>
    <w:p>
      <w:pPr>
        <w:pStyle w:val="BodyText"/>
        <w:spacing w:line="240" w:lineRule="auto" w:before="63"/>
        <w:ind w:left="532" w:right="882"/>
        <w:jc w:val="left"/>
      </w:pPr>
      <w:r>
        <w:rPr>
          <w:rFonts w:ascii="Times New Roman" w:hAnsi="Times New Roman" w:cs="Times New Roman" w:eastAsia="Times New Roman" w:hint="default"/>
          <w:spacing w:val="1"/>
        </w:rPr>
        <w:t>4</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根据财政部</w:t>
      </w:r>
      <w:r>
        <w:rPr>
          <w:spacing w:val="-46"/>
        </w:rPr>
        <w:t>、</w:t>
      </w:r>
      <w:r>
        <w:rPr/>
        <w:t>国家税务总</w:t>
      </w:r>
      <w:r>
        <w:rPr>
          <w:spacing w:val="-48"/>
        </w:rPr>
        <w:t>局</w:t>
      </w:r>
      <w:r>
        <w:rPr/>
        <w:t>《关于进一步鼓励软件产业和集成电路产业发展企业所得税政策的通知</w:t>
      </w:r>
      <w:r>
        <w:rPr>
          <w:spacing w:val="-92"/>
        </w:rPr>
        <w:t>》</w:t>
      </w:r>
      <w:r>
        <w:rPr>
          <w:spacing w:val="-3"/>
        </w:rPr>
        <w:t>（</w:t>
      </w:r>
      <w:r>
        <w:rPr/>
        <w:t>财税﹝</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2</w:t>
      </w:r>
      <w:r>
        <w:rPr/>
        <w:t>﹞</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1116"/>
        <w:jc w:val="left"/>
      </w:pPr>
      <w:r>
        <w:rPr>
          <w:rFonts w:ascii="Times New Roman" w:hAnsi="Times New Roman" w:cs="Times New Roman" w:eastAsia="Times New Roman" w:hint="default"/>
        </w:rPr>
        <w:t>27</w:t>
      </w:r>
      <w:r>
        <w:rPr/>
        <w:t>号）的规定</w:t>
      </w:r>
      <w:r>
        <w:rPr>
          <w:rFonts w:ascii="Times New Roman" w:hAnsi="Times New Roman" w:cs="Times New Roman" w:eastAsia="Times New Roman" w:hint="default"/>
        </w:rPr>
        <w:t>,</w:t>
      </w:r>
      <w:r>
        <w:rPr>
          <w:rFonts w:ascii="Times New Roman" w:hAnsi="Times New Roman" w:cs="Times New Roman" w:eastAsia="Times New Roman" w:hint="default"/>
          <w:spacing w:val="8"/>
        </w:rPr>
        <w:t> </w:t>
      </w:r>
      <w:r>
        <w:rPr/>
        <w:t>在</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日前杭州惟勤科技有限公司自获利年度起享受企业所得税“两免三减半”的优惠政策。因杭 州惟勤科技有限公司</w:t>
      </w:r>
      <w:r>
        <w:rPr>
          <w:rFonts w:ascii="Times New Roman" w:hAnsi="Times New Roman" w:cs="Times New Roman" w:eastAsia="Times New Roman" w:hint="default"/>
        </w:rPr>
        <w:t>2015</w:t>
      </w:r>
      <w:r>
        <w:rPr/>
        <w:t>年度开始获利，故</w:t>
      </w:r>
      <w:r>
        <w:rPr>
          <w:rFonts w:ascii="Times New Roman" w:hAnsi="Times New Roman" w:cs="Times New Roman" w:eastAsia="Times New Roman" w:hint="default"/>
        </w:rPr>
        <w:t>2019</w:t>
      </w:r>
      <w:r>
        <w:rPr/>
        <w:t>年度减半即</w:t>
      </w:r>
      <w:r>
        <w:rPr>
          <w:rFonts w:ascii="Times New Roman" w:hAnsi="Times New Roman" w:cs="Times New Roman" w:eastAsia="Times New Roman" w:hint="default"/>
        </w:rPr>
        <w:t>12.5%</w:t>
      </w:r>
      <w:r>
        <w:rPr/>
        <w:t>的税率征收企业所得税。</w:t>
      </w:r>
    </w:p>
    <w:p>
      <w:pPr>
        <w:pStyle w:val="BodyText"/>
        <w:spacing w:line="240" w:lineRule="auto" w:before="13"/>
        <w:ind w:left="0" w:right="1039"/>
        <w:jc w:val="right"/>
      </w:pPr>
      <w:r>
        <w:rPr>
          <w:rFonts w:ascii="Times New Roman" w:hAnsi="Times New Roman" w:cs="Times New Roman" w:eastAsia="Times New Roman" w:hint="default"/>
        </w:rPr>
        <w:t>5. </w:t>
      </w:r>
      <w:r>
        <w:rPr>
          <w:rFonts w:ascii="Times New Roman" w:hAnsi="Times New Roman" w:cs="Times New Roman" w:eastAsia="Times New Roman" w:hint="default"/>
          <w:spacing w:val="11"/>
        </w:rPr>
        <w:t> </w:t>
      </w:r>
      <w:r>
        <w:rPr>
          <w:spacing w:val="-2"/>
        </w:rPr>
        <w:t>根据科学技术部火炬高技术产业开发中心《关于浙江省</w:t>
      </w:r>
      <w:r>
        <w:rPr>
          <w:rFonts w:ascii="Times New Roman" w:hAnsi="Times New Roman" w:cs="Times New Roman" w:eastAsia="Times New Roman" w:hint="default"/>
          <w:spacing w:val="-2"/>
        </w:rPr>
        <w:t>2017</w:t>
      </w:r>
      <w:r>
        <w:rPr>
          <w:spacing w:val="-2"/>
        </w:rPr>
        <w:t>年第一批高新技术企业备案的复函》（国科火字〔</w:t>
      </w:r>
      <w:r>
        <w:rPr>
          <w:rFonts w:ascii="Times New Roman" w:hAnsi="Times New Roman" w:cs="Times New Roman" w:eastAsia="Times New Roman" w:hint="default"/>
          <w:spacing w:val="-2"/>
        </w:rPr>
        <w:t>2017</w:t>
      </w:r>
      <w:r>
        <w:rPr>
          <w:spacing w:val="-2"/>
        </w:rPr>
        <w:t>〕</w:t>
      </w:r>
    </w:p>
    <w:p>
      <w:pPr>
        <w:pStyle w:val="BodyText"/>
        <w:spacing w:line="240" w:lineRule="auto" w:before="63"/>
        <w:ind w:right="882"/>
        <w:jc w:val="left"/>
        <w:rPr>
          <w:rFonts w:ascii="Times New Roman" w:hAnsi="Times New Roman" w:cs="Times New Roman" w:eastAsia="Times New Roman" w:hint="default"/>
        </w:rPr>
      </w:pPr>
      <w:r>
        <w:rPr>
          <w:rFonts w:ascii="Times New Roman" w:hAnsi="Times New Roman" w:cs="Times New Roman" w:eastAsia="Times New Roman" w:hint="default"/>
          <w:spacing w:val="-3"/>
        </w:rPr>
        <w:t>201</w:t>
      </w:r>
      <w:r>
        <w:rPr>
          <w:spacing w:val="-3"/>
        </w:rPr>
        <w:t>号），杭州慧康物联网科技有限公司和杭州梅清数码科技有限公司被评定为高新技术企业，故</w:t>
      </w:r>
      <w:r>
        <w:rPr>
          <w:rFonts w:ascii="Times New Roman" w:hAnsi="Times New Roman" w:cs="Times New Roman" w:eastAsia="Times New Roman" w:hint="default"/>
          <w:spacing w:val="-3"/>
        </w:rPr>
        <w:t>2019</w:t>
      </w:r>
      <w:r>
        <w:rPr>
          <w:spacing w:val="-3"/>
        </w:rPr>
        <w:t>年企业所得税减按</w:t>
      </w:r>
      <w:r>
        <w:rPr>
          <w:rFonts w:ascii="Times New Roman" w:hAnsi="Times New Roman" w:cs="Times New Roman" w:eastAsia="Times New Roman" w:hint="default"/>
          <w:spacing w:val="-3"/>
        </w:rPr>
        <w:t>15%</w:t>
      </w:r>
    </w:p>
    <w:p>
      <w:pPr>
        <w:pStyle w:val="BodyText"/>
        <w:spacing w:line="240" w:lineRule="auto" w:before="63"/>
        <w:ind w:right="882"/>
        <w:jc w:val="left"/>
      </w:pPr>
      <w:r>
        <w:rPr/>
        <w:t>的税率计缴。</w:t>
      </w:r>
    </w:p>
    <w:p>
      <w:pPr>
        <w:pStyle w:val="BodyText"/>
        <w:spacing w:line="240" w:lineRule="auto" w:before="76"/>
        <w:ind w:left="0" w:right="1039"/>
        <w:jc w:val="right"/>
      </w:pPr>
      <w:r>
        <w:rPr>
          <w:rFonts w:ascii="Times New Roman" w:hAnsi="Times New Roman" w:cs="Times New Roman" w:eastAsia="Times New Roman" w:hint="default"/>
        </w:rPr>
        <w:t>6. </w:t>
      </w:r>
      <w:r>
        <w:rPr>
          <w:rFonts w:ascii="Times New Roman" w:hAnsi="Times New Roman" w:cs="Times New Roman" w:eastAsia="Times New Roman" w:hint="default"/>
          <w:spacing w:val="11"/>
        </w:rPr>
        <w:t> </w:t>
      </w:r>
      <w:r>
        <w:rPr>
          <w:spacing w:val="-2"/>
        </w:rPr>
        <w:t>根据科学技术部火炬高技术产业开发中心《关于广东省</w:t>
      </w:r>
      <w:r>
        <w:rPr>
          <w:rFonts w:ascii="Times New Roman" w:hAnsi="Times New Roman" w:cs="Times New Roman" w:eastAsia="Times New Roman" w:hint="default"/>
          <w:spacing w:val="-2"/>
        </w:rPr>
        <w:t>2018</w:t>
      </w:r>
      <w:r>
        <w:rPr>
          <w:spacing w:val="-2"/>
        </w:rPr>
        <w:t>年第二批高新技术企业备案的复函》（国科火字〔</w:t>
      </w:r>
      <w:r>
        <w:rPr>
          <w:rFonts w:ascii="Times New Roman" w:hAnsi="Times New Roman" w:cs="Times New Roman" w:eastAsia="Times New Roman" w:hint="default"/>
          <w:spacing w:val="-2"/>
        </w:rPr>
        <w:t>2019</w:t>
      </w:r>
      <w:r>
        <w:rPr>
          <w:spacing w:val="-2"/>
        </w:rPr>
        <w:t>〕</w:t>
      </w:r>
    </w:p>
    <w:p>
      <w:pPr>
        <w:pStyle w:val="BodyText"/>
        <w:spacing w:line="240" w:lineRule="auto" w:before="63"/>
        <w:ind w:right="882"/>
        <w:jc w:val="left"/>
      </w:pPr>
      <w:r>
        <w:rPr>
          <w:rFonts w:ascii="Times New Roman" w:hAnsi="Times New Roman" w:cs="Times New Roman" w:eastAsia="Times New Roman" w:hint="default"/>
        </w:rPr>
        <w:t>86</w:t>
      </w:r>
      <w:r>
        <w:rPr/>
        <w:t>号），广东中拓信息技术有限公司被评定为高新技术企业，故</w:t>
      </w:r>
      <w:r>
        <w:rPr>
          <w:rFonts w:ascii="Times New Roman" w:hAnsi="Times New Roman" w:cs="Times New Roman" w:eastAsia="Times New Roman" w:hint="default"/>
        </w:rPr>
        <w:t>2019</w:t>
      </w:r>
      <w:r>
        <w:rPr/>
        <w:t>年企业所得税减按</w:t>
      </w:r>
      <w:r>
        <w:rPr>
          <w:rFonts w:ascii="Times New Roman" w:hAnsi="Times New Roman" w:cs="Times New Roman" w:eastAsia="Times New Roman" w:hint="default"/>
        </w:rPr>
        <w:t>15%</w:t>
      </w:r>
      <w:r>
        <w:rPr/>
        <w:t>的税率计缴。</w:t>
      </w:r>
    </w:p>
    <w:p>
      <w:pPr>
        <w:pStyle w:val="BodyText"/>
        <w:spacing w:line="307" w:lineRule="auto" w:before="63"/>
        <w:ind w:right="1129" w:firstLine="420"/>
        <w:jc w:val="both"/>
      </w:pPr>
      <w:r>
        <w:rPr>
          <w:rFonts w:ascii="Times New Roman" w:hAnsi="Times New Roman" w:cs="Times New Roman" w:eastAsia="Times New Roman" w:hint="default"/>
        </w:rPr>
        <w:t>7.</w:t>
      </w:r>
      <w:r>
        <w:rPr/>
        <w:t>根据财政部、国家税务总局《关于实施小微企业普惠性税收减免政策的通知》（财税〔</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13</w:t>
      </w:r>
      <w:r>
        <w:rPr/>
        <w:t>号），子公司杭州 </w:t>
      </w:r>
      <w:r>
        <w:rPr>
          <w:spacing w:val="-2"/>
        </w:rPr>
        <w:t>美诺泰科科技有限公司、新疆创什信息科技有限公司、苏州创业亿康信息科技有限公司、重庆创易康软件有限公司、天津创</w:t>
      </w:r>
      <w:r>
        <w:rPr>
          <w:spacing w:val="-64"/>
        </w:rPr>
        <w:t> </w:t>
      </w:r>
      <w:r>
        <w:rPr>
          <w:spacing w:val="-64"/>
        </w:rPr>
      </w:r>
      <w:r>
        <w:rPr>
          <w:spacing w:val="-2"/>
        </w:rPr>
        <w:t>津科技有限公司、创业软件南京有限公司、中山市杭创科技有限公司、杭州合美物业管理有限公司、浙江医康数据科技研究</w:t>
      </w:r>
      <w:r>
        <w:rPr>
          <w:spacing w:val="-64"/>
        </w:rPr>
        <w:t> </w:t>
      </w:r>
      <w:r>
        <w:rPr>
          <w:spacing w:val="-64"/>
        </w:rPr>
      </w:r>
      <w:r>
        <w:rPr>
          <w:spacing w:val="-2"/>
        </w:rPr>
        <w:t>院有限公司、广州粤湾慧康科技有限公司、浙江百利医药有限公司和自贡市杭创科技有限公司符合小型微利企业条件，</w:t>
      </w:r>
      <w:r>
        <w:rPr>
          <w:rFonts w:ascii="Times New Roman" w:hAnsi="Times New Roman" w:cs="Times New Roman" w:eastAsia="Times New Roman" w:hint="default"/>
          <w:spacing w:val="-2"/>
        </w:rPr>
        <w:t>2019</w:t>
      </w:r>
      <w:r>
        <w:rPr>
          <w:rFonts w:ascii="Times New Roman" w:hAnsi="Times New Roman" w:cs="Times New Roman" w:eastAsia="Times New Roman" w:hint="default"/>
          <w:spacing w:val="-14"/>
        </w:rPr>
        <w:t> </w:t>
      </w:r>
      <w:r>
        <w:rPr>
          <w:rFonts w:ascii="Times New Roman" w:hAnsi="Times New Roman" w:cs="Times New Roman" w:eastAsia="Times New Roman" w:hint="default"/>
          <w:spacing w:val="-14"/>
        </w:rPr>
      </w:r>
      <w:r>
        <w:rPr/>
        <w:t>年度企业年应纳税所得额不超过</w:t>
      </w:r>
      <w:r>
        <w:rPr>
          <w:rFonts w:ascii="Times New Roman" w:hAnsi="Times New Roman" w:cs="Times New Roman" w:eastAsia="Times New Roman" w:hint="default"/>
        </w:rPr>
        <w:t>100</w:t>
      </w:r>
      <w:r>
        <w:rPr/>
        <w:t>万元的部分，减按</w:t>
      </w:r>
      <w:r>
        <w:rPr>
          <w:rFonts w:ascii="Times New Roman" w:hAnsi="Times New Roman" w:cs="Times New Roman" w:eastAsia="Times New Roman" w:hint="default"/>
        </w:rPr>
        <w:t>25%</w:t>
      </w:r>
      <w:r>
        <w:rPr/>
        <w:t>计入应纳税所得额，按</w:t>
      </w:r>
      <w:r>
        <w:rPr>
          <w:rFonts w:ascii="Times New Roman" w:hAnsi="Times New Roman" w:cs="Times New Roman" w:eastAsia="Times New Roman" w:hint="default"/>
        </w:rPr>
        <w:t>20%</w:t>
      </w:r>
      <w:r>
        <w:rPr/>
        <w:t>的税率缴纳企业所得税；对年应纳税</w:t>
      </w:r>
      <w:r>
        <w:rPr>
          <w:spacing w:val="-35"/>
        </w:rPr>
        <w:t> </w:t>
      </w:r>
      <w:r>
        <w:rPr>
          <w:spacing w:val="-35"/>
        </w:rPr>
      </w:r>
      <w:r>
        <w:rPr/>
        <w:t>所得额超过</w:t>
      </w:r>
      <w:r>
        <w:rPr>
          <w:rFonts w:ascii="Times New Roman" w:hAnsi="Times New Roman" w:cs="Times New Roman" w:eastAsia="Times New Roman" w:hint="default"/>
        </w:rPr>
        <w:t>100</w:t>
      </w:r>
      <w:r>
        <w:rPr/>
        <w:t>万元但不超过</w:t>
      </w:r>
      <w:r>
        <w:rPr>
          <w:rFonts w:ascii="Times New Roman" w:hAnsi="Times New Roman" w:cs="Times New Roman" w:eastAsia="Times New Roman" w:hint="default"/>
        </w:rPr>
        <w:t>300</w:t>
      </w:r>
      <w:r>
        <w:rPr/>
        <w:t>万元的部分，减按</w:t>
      </w:r>
      <w:r>
        <w:rPr>
          <w:rFonts w:ascii="Times New Roman" w:hAnsi="Times New Roman" w:cs="Times New Roman" w:eastAsia="Times New Roman" w:hint="default"/>
        </w:rPr>
        <w:t>50%</w:t>
      </w:r>
      <w:r>
        <w:rPr/>
        <w:t>计入应纳税所得额，按</w:t>
      </w:r>
      <w:r>
        <w:rPr>
          <w:rFonts w:ascii="Times New Roman" w:hAnsi="Times New Roman" w:cs="Times New Roman" w:eastAsia="Times New Roman" w:hint="default"/>
        </w:rPr>
        <w:t>20%</w:t>
      </w:r>
      <w:r>
        <w:rPr/>
        <w:t>的税率缴纳企业所得税。</w:t>
      </w:r>
    </w:p>
    <w:p>
      <w:pPr>
        <w:pStyle w:val="BodyText"/>
        <w:spacing w:line="300" w:lineRule="auto" w:before="7"/>
        <w:ind w:right="882"/>
        <w:jc w:val="left"/>
      </w:pPr>
      <w:r>
        <w:rPr>
          <w:rFonts w:ascii="Times New Roman" w:hAnsi="Times New Roman" w:cs="Times New Roman" w:eastAsia="Times New Roman" w:hint="default"/>
        </w:rPr>
        <w:t>8. </w:t>
      </w:r>
      <w:r>
        <w:rPr/>
        <w:t>根据财政部、税务总局、海关总署公告</w:t>
      </w:r>
      <w:r>
        <w:rPr>
          <w:rFonts w:ascii="Times New Roman" w:hAnsi="Times New Roman" w:cs="Times New Roman" w:eastAsia="Times New Roman" w:hint="default"/>
        </w:rPr>
        <w:t>2019</w:t>
      </w:r>
      <w:r>
        <w:rPr/>
        <w:t>年第</w:t>
      </w:r>
      <w:r>
        <w:rPr>
          <w:rFonts w:ascii="Times New Roman" w:hAnsi="Times New Roman" w:cs="Times New Roman" w:eastAsia="Times New Roman" w:hint="default"/>
        </w:rPr>
        <w:t>39</w:t>
      </w:r>
      <w:r>
        <w:rPr/>
        <w:t>号规定，自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2021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日，允许生产、生活性服务</w:t>
      </w:r>
      <w:r>
        <w:rPr>
          <w:spacing w:val="-53"/>
        </w:rPr>
        <w:t> </w:t>
      </w:r>
      <w:r>
        <w:rPr>
          <w:spacing w:val="-53"/>
        </w:rPr>
      </w:r>
      <w:r>
        <w:rPr>
          <w:spacing w:val="-3"/>
        </w:rPr>
        <w:t>业纳税人按照当期可抵扣进项税额加计</w:t>
      </w:r>
      <w:r>
        <w:rPr>
          <w:rFonts w:ascii="Times New Roman" w:hAnsi="Times New Roman" w:cs="Times New Roman" w:eastAsia="Times New Roman" w:hint="default"/>
          <w:spacing w:val="-3"/>
        </w:rPr>
        <w:t>10%</w:t>
      </w:r>
      <w:r>
        <w:rPr>
          <w:spacing w:val="-3"/>
        </w:rPr>
        <w:t>，抵减应纳税额。本期，子公司杭州慧康物联网科技有限公司符合上述规定条件，</w:t>
      </w:r>
      <w:r>
        <w:rPr>
          <w:spacing w:val="-62"/>
        </w:rPr>
        <w:t> </w:t>
      </w:r>
      <w:r>
        <w:rPr>
          <w:spacing w:val="-62"/>
        </w:rPr>
      </w:r>
      <w:r>
        <w:rPr/>
        <w:t>享受进项税额加计抵减政策。</w:t>
      </w:r>
    </w:p>
    <w:p>
      <w:pPr>
        <w:spacing w:line="240" w:lineRule="auto" w:before="0"/>
        <w:rPr>
          <w:rFonts w:ascii="宋体" w:hAnsi="宋体" w:cs="宋体" w:eastAsia="宋体" w:hint="default"/>
          <w:sz w:val="18"/>
          <w:szCs w:val="18"/>
        </w:rPr>
      </w:pPr>
    </w:p>
    <w:p>
      <w:pPr>
        <w:pStyle w:val="BodyText"/>
        <w:spacing w:line="340" w:lineRule="auto" w:before="146"/>
        <w:ind w:right="1845"/>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 公司本期软件产品增值税即征即退金额详见财务报告合并财务报表项目注释政府补助之说明。</w:t>
      </w:r>
    </w:p>
    <w:p>
      <w:pPr>
        <w:spacing w:line="240" w:lineRule="auto" w:before="3"/>
        <w:rPr>
          <w:rFonts w:ascii="宋体" w:hAnsi="宋体" w:cs="宋体" w:eastAsia="宋体" w:hint="default"/>
          <w:sz w:val="21"/>
          <w:szCs w:val="21"/>
        </w:rPr>
      </w:pPr>
    </w:p>
    <w:p>
      <w:pPr>
        <w:spacing w:line="484" w:lineRule="auto" w:before="0"/>
        <w:ind w:left="112" w:right="7862" w:firstLine="0"/>
        <w:jc w:val="left"/>
        <w:rPr>
          <w:rFonts w:ascii="宋体" w:hAnsi="宋体" w:cs="宋体" w:eastAsia="宋体" w:hint="default"/>
          <w:sz w:val="21"/>
          <w:szCs w:val="21"/>
        </w:rPr>
      </w:pPr>
      <w:bookmarkStart w:name="3、其他" w:id="225"/>
      <w:bookmarkEnd w:id="225"/>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七、合并财务报表项目注释" w:id="226"/>
      <w:bookmarkEnd w:id="226"/>
      <w:r>
        <w:rPr>
          <w:rFonts w:ascii="宋体" w:hAnsi="宋体" w:cs="宋体" w:eastAsia="宋体" w:hint="default"/>
          <w:b/>
          <w:bCs/>
          <w:w w:val="99"/>
          <w:sz w:val="21"/>
          <w:szCs w:val="21"/>
        </w:rPr>
      </w:r>
      <w:r>
        <w:rPr>
          <w:rFonts w:ascii="宋体" w:hAnsi="宋体" w:cs="宋体" w:eastAsia="宋体" w:hint="default"/>
          <w:b/>
          <w:bCs/>
          <w:sz w:val="24"/>
          <w:szCs w:val="24"/>
        </w:rPr>
        <w:t>七、合并财务报表项目注释</w:t>
      </w:r>
      <w:r>
        <w:rPr>
          <w:rFonts w:ascii="宋体" w:hAnsi="宋体" w:cs="宋体" w:eastAsia="宋体" w:hint="default"/>
          <w:b/>
          <w:bCs/>
          <w:w w:val="99"/>
          <w:sz w:val="24"/>
          <w:szCs w:val="24"/>
        </w:rPr>
        <w:t> </w:t>
      </w:r>
      <w:bookmarkStart w:name="1、货币资金" w:id="227"/>
      <w:bookmarkEnd w:id="227"/>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pStyle w:val="BodyText"/>
        <w:spacing w:line="240" w:lineRule="auto" w:before="109"/>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266,535.88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90,489.28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531,858,883.91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465,583,754.01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1,755,354.99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2,693,421.66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533,880,774.78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468,367,664.95</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01"/>
              <w:jc w:val="left"/>
              <w:rPr>
                <w:rFonts w:ascii="宋体" w:hAnsi="宋体" w:cs="宋体" w:eastAsia="宋体" w:hint="default"/>
                <w:sz w:val="18"/>
                <w:szCs w:val="18"/>
              </w:rPr>
            </w:pPr>
            <w:r>
              <w:rPr>
                <w:rFonts w:ascii="宋体" w:hAnsi="宋体" w:cs="宋体" w:eastAsia="宋体" w:hint="default"/>
                <w:spacing w:val="-6"/>
                <w:sz w:val="18"/>
                <w:szCs w:val="18"/>
              </w:rPr>
              <w:t>因抵押、质押或冻结等对使用有限制的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款项总额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1,755,354.99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2,693,421.66</w:t>
            </w:r>
          </w:p>
        </w:tc>
      </w:tr>
    </w:tbl>
    <w:p>
      <w:pPr>
        <w:pStyle w:val="BodyText"/>
        <w:spacing w:line="240" w:lineRule="auto" w:before="50"/>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2、应收票据" w:id="228"/>
      <w:bookmarkEnd w:id="228"/>
      <w:r>
        <w:rPr>
          <w:b w:val="0"/>
          <w:bCs w:val="0"/>
        </w:rPr>
      </w:r>
      <w:r>
        <w:rPr>
          <w:rFonts w:ascii="Times New Roman" w:hAnsi="Times New Roman" w:cs="Times New Roman" w:eastAsia="Times New Roman" w:hint="default"/>
        </w:rPr>
        <w:t>2</w:t>
      </w:r>
      <w:r>
        <w:rPr/>
        <w:t>、应收票据</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应收票据分类列示" w:id="229"/>
      <w:bookmarkEnd w:id="229"/>
      <w:r>
        <w:rPr>
          <w:b w:val="0"/>
          <w:bCs w:val="0"/>
        </w:rPr>
      </w:r>
      <w:r>
        <w:rPr/>
        <w:t>（</w:t>
      </w:r>
      <w:r>
        <w:rPr>
          <w:rFonts w:ascii="Times New Roman" w:hAnsi="Times New Roman" w:cs="Times New Roman" w:eastAsia="Times New Roman" w:hint="default"/>
        </w:rPr>
        <w:t>1</w:t>
      </w:r>
      <w:r>
        <w:rPr/>
        <w:t>）应收票据分类列示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0"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419,140.00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419,140.00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5"/>
        <w:gridCol w:w="763"/>
        <w:gridCol w:w="762"/>
        <w:gridCol w:w="762"/>
        <w:gridCol w:w="763"/>
        <w:gridCol w:w="789"/>
        <w:gridCol w:w="776"/>
        <w:gridCol w:w="797"/>
        <w:gridCol w:w="930"/>
        <w:gridCol w:w="798"/>
        <w:gridCol w:w="792"/>
      </w:tblGrid>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9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298" w:right="118"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9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300"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86" w:right="105"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2D2D2"/>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04" w:right="122"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801"/>
              <w:jc w:val="righ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61"/>
              <w:jc w:val="left"/>
              <w:rPr>
                <w:rFonts w:ascii="宋体" w:hAnsi="宋体" w:cs="宋体" w:eastAsia="宋体" w:hint="default"/>
                <w:sz w:val="18"/>
                <w:szCs w:val="18"/>
              </w:rPr>
            </w:pPr>
            <w:r>
              <w:rPr>
                <w:rFonts w:ascii="宋体" w:hAnsi="宋体" w:cs="宋体" w:eastAsia="宋体" w:hint="default"/>
                <w:sz w:val="18"/>
                <w:szCs w:val="18"/>
              </w:rPr>
              <w:t>按组合计提坏账 准备的应收票据</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center"/>
              <w:rPr>
                <w:rFonts w:ascii="Times New Roman" w:hAnsi="Times New Roman" w:cs="Times New Roman" w:eastAsia="Times New Roman" w:hint="default"/>
                <w:sz w:val="18"/>
                <w:szCs w:val="18"/>
              </w:rPr>
            </w:pPr>
            <w:r>
              <w:rPr>
                <w:rFonts w:ascii="Times New Roman"/>
                <w:sz w:val="18"/>
              </w:rPr>
              <w:t>441,20</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10" w:right="0"/>
              <w:jc w:val="left"/>
              <w:rPr>
                <w:rFonts w:ascii="Times New Roman" w:hAnsi="Times New Roman" w:cs="Times New Roman" w:eastAsia="Times New Roman" w:hint="default"/>
                <w:sz w:val="18"/>
                <w:szCs w:val="18"/>
              </w:rPr>
            </w:pPr>
            <w:r>
              <w:rPr>
                <w:rFonts w:ascii="Times New Roman"/>
                <w:sz w:val="18"/>
              </w:rPr>
              <w:t>22,060.</w:t>
            </w:r>
          </w:p>
          <w:p>
            <w:pPr>
              <w:pStyle w:val="TableParagraph"/>
              <w:spacing w:line="240" w:lineRule="auto" w:before="105"/>
              <w:ind w:left="470" w:right="0"/>
              <w:jc w:val="left"/>
              <w:rPr>
                <w:rFonts w:ascii="Times New Roman" w:hAnsi="Times New Roman" w:cs="Times New Roman" w:eastAsia="Times New Roman" w:hint="default"/>
                <w:sz w:val="18"/>
                <w:szCs w:val="18"/>
              </w:rPr>
            </w:pPr>
            <w:r>
              <w:rPr>
                <w:rFonts w:ascii="Times New Roman"/>
                <w:sz w:val="18"/>
              </w:rPr>
              <w:t>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5.00%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8" w:right="0"/>
              <w:jc w:val="center"/>
              <w:rPr>
                <w:rFonts w:ascii="Times New Roman" w:hAnsi="Times New Roman" w:cs="Times New Roman" w:eastAsia="Times New Roman" w:hint="default"/>
                <w:sz w:val="18"/>
                <w:szCs w:val="18"/>
              </w:rPr>
            </w:pPr>
            <w:r>
              <w:rPr>
                <w:rFonts w:ascii="Times New Roman"/>
                <w:sz w:val="18"/>
              </w:rPr>
              <w:t>419,14</w:t>
            </w:r>
          </w:p>
          <w:p>
            <w:pPr>
              <w:pStyle w:val="TableParagraph"/>
              <w:spacing w:line="240" w:lineRule="auto" w:before="105"/>
              <w:ind w:left="258" w:right="0"/>
              <w:jc w:val="center"/>
              <w:rPr>
                <w:rFonts w:ascii="Times New Roman" w:hAnsi="Times New Roman" w:cs="Times New Roman" w:eastAsia="Times New Roman" w:hint="default"/>
                <w:sz w:val="18"/>
                <w:szCs w:val="18"/>
              </w:rPr>
            </w:pPr>
            <w:r>
              <w:rPr>
                <w:rFonts w:ascii="Times New Roman"/>
                <w:sz w:val="18"/>
              </w:rPr>
              <w:t>0.00</w:t>
            </w:r>
          </w:p>
        </w:tc>
        <w:tc>
          <w:tcPr>
            <w:tcW w:w="776"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801"/>
              <w:jc w:val="righ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61"/>
              <w:jc w:val="left"/>
              <w:rPr>
                <w:rFonts w:ascii="宋体" w:hAnsi="宋体" w:cs="宋体" w:eastAsia="宋体" w:hint="default"/>
                <w:sz w:val="18"/>
                <w:szCs w:val="18"/>
              </w:rPr>
            </w:pPr>
            <w:r>
              <w:rPr>
                <w:rFonts w:ascii="宋体" w:hAnsi="宋体" w:cs="宋体" w:eastAsia="宋体" w:hint="default"/>
                <w:sz w:val="18"/>
                <w:szCs w:val="18"/>
              </w:rPr>
              <w:t>商业承兑汇票组 合</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center"/>
              <w:rPr>
                <w:rFonts w:ascii="Times New Roman" w:hAnsi="Times New Roman" w:cs="Times New Roman" w:eastAsia="Times New Roman" w:hint="default"/>
                <w:sz w:val="18"/>
                <w:szCs w:val="18"/>
              </w:rPr>
            </w:pPr>
            <w:r>
              <w:rPr>
                <w:rFonts w:ascii="Times New Roman"/>
                <w:sz w:val="18"/>
              </w:rPr>
              <w:t>441,20</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10" w:right="0"/>
              <w:jc w:val="left"/>
              <w:rPr>
                <w:rFonts w:ascii="Times New Roman" w:hAnsi="Times New Roman" w:cs="Times New Roman" w:eastAsia="Times New Roman" w:hint="default"/>
                <w:sz w:val="18"/>
                <w:szCs w:val="18"/>
              </w:rPr>
            </w:pPr>
            <w:r>
              <w:rPr>
                <w:rFonts w:ascii="Times New Roman"/>
                <w:sz w:val="18"/>
              </w:rPr>
              <w:t>22,060.</w:t>
            </w:r>
          </w:p>
          <w:p>
            <w:pPr>
              <w:pStyle w:val="TableParagraph"/>
              <w:spacing w:line="240" w:lineRule="auto" w:before="105"/>
              <w:ind w:left="470" w:right="0"/>
              <w:jc w:val="left"/>
              <w:rPr>
                <w:rFonts w:ascii="Times New Roman" w:hAnsi="Times New Roman" w:cs="Times New Roman" w:eastAsia="Times New Roman" w:hint="default"/>
                <w:sz w:val="18"/>
                <w:szCs w:val="18"/>
              </w:rPr>
            </w:pPr>
            <w:r>
              <w:rPr>
                <w:rFonts w:ascii="Times New Roman"/>
                <w:sz w:val="18"/>
              </w:rPr>
              <w:t>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5.00%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8" w:right="0"/>
              <w:jc w:val="center"/>
              <w:rPr>
                <w:rFonts w:ascii="Times New Roman" w:hAnsi="Times New Roman" w:cs="Times New Roman" w:eastAsia="Times New Roman" w:hint="default"/>
                <w:sz w:val="18"/>
                <w:szCs w:val="18"/>
              </w:rPr>
            </w:pPr>
            <w:r>
              <w:rPr>
                <w:rFonts w:ascii="Times New Roman"/>
                <w:sz w:val="18"/>
              </w:rPr>
              <w:t>419,14</w:t>
            </w:r>
          </w:p>
          <w:p>
            <w:pPr>
              <w:pStyle w:val="TableParagraph"/>
              <w:spacing w:line="240" w:lineRule="auto" w:before="105"/>
              <w:ind w:left="258" w:right="0"/>
              <w:jc w:val="center"/>
              <w:rPr>
                <w:rFonts w:ascii="Times New Roman" w:hAnsi="Times New Roman" w:cs="Times New Roman" w:eastAsia="Times New Roman" w:hint="default"/>
                <w:sz w:val="18"/>
                <w:szCs w:val="18"/>
              </w:rPr>
            </w:pPr>
            <w:r>
              <w:rPr>
                <w:rFonts w:ascii="Times New Roman"/>
                <w:sz w:val="18"/>
              </w:rPr>
              <w:t>0.00</w:t>
            </w:r>
          </w:p>
        </w:tc>
        <w:tc>
          <w:tcPr>
            <w:tcW w:w="776"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0" w:right="0"/>
              <w:jc w:val="center"/>
              <w:rPr>
                <w:rFonts w:ascii="Times New Roman" w:hAnsi="Times New Roman" w:cs="Times New Roman" w:eastAsia="Times New Roman" w:hint="default"/>
                <w:sz w:val="18"/>
                <w:szCs w:val="18"/>
              </w:rPr>
            </w:pPr>
            <w:r>
              <w:rPr>
                <w:rFonts w:ascii="Times New Roman"/>
                <w:sz w:val="18"/>
              </w:rPr>
              <w:t>441,20</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0" w:right="0"/>
              <w:jc w:val="left"/>
              <w:rPr>
                <w:rFonts w:ascii="Times New Roman" w:hAnsi="Times New Roman" w:cs="Times New Roman" w:eastAsia="Times New Roman" w:hint="default"/>
                <w:sz w:val="18"/>
                <w:szCs w:val="18"/>
              </w:rPr>
            </w:pPr>
            <w:r>
              <w:rPr>
                <w:rFonts w:ascii="Times New Roman"/>
                <w:sz w:val="18"/>
              </w:rPr>
              <w:t>22,060.</w:t>
            </w:r>
          </w:p>
          <w:p>
            <w:pPr>
              <w:pStyle w:val="TableParagraph"/>
              <w:spacing w:line="240" w:lineRule="auto" w:before="105"/>
              <w:ind w:left="470" w:right="0"/>
              <w:jc w:val="left"/>
              <w:rPr>
                <w:rFonts w:ascii="Times New Roman" w:hAnsi="Times New Roman" w:cs="Times New Roman" w:eastAsia="Times New Roman" w:hint="default"/>
                <w:sz w:val="18"/>
                <w:szCs w:val="18"/>
              </w:rPr>
            </w:pPr>
            <w:r>
              <w:rPr>
                <w:rFonts w:ascii="Times New Roman"/>
                <w:sz w:val="18"/>
              </w:rPr>
              <w:t>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5.00%</w:t>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8" w:right="0"/>
              <w:jc w:val="center"/>
              <w:rPr>
                <w:rFonts w:ascii="Times New Roman" w:hAnsi="Times New Roman" w:cs="Times New Roman" w:eastAsia="Times New Roman" w:hint="default"/>
                <w:sz w:val="18"/>
                <w:szCs w:val="18"/>
              </w:rPr>
            </w:pPr>
            <w:r>
              <w:rPr>
                <w:rFonts w:ascii="Times New Roman"/>
                <w:sz w:val="18"/>
              </w:rPr>
              <w:t>419,14</w:t>
            </w:r>
          </w:p>
          <w:p>
            <w:pPr>
              <w:pStyle w:val="TableParagraph"/>
              <w:spacing w:line="240" w:lineRule="auto" w:before="105"/>
              <w:ind w:left="258" w:right="0"/>
              <w:jc w:val="center"/>
              <w:rPr>
                <w:rFonts w:ascii="Times New Roman" w:hAnsi="Times New Roman" w:cs="Times New Roman" w:eastAsia="Times New Roman" w:hint="default"/>
                <w:sz w:val="18"/>
                <w:szCs w:val="18"/>
              </w:rPr>
            </w:pPr>
            <w:r>
              <w:rPr>
                <w:rFonts w:ascii="Times New Roman"/>
                <w:sz w:val="18"/>
              </w:rPr>
              <w:t>0.00</w:t>
            </w:r>
          </w:p>
        </w:tc>
        <w:tc>
          <w:tcPr>
            <w:tcW w:w="776"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93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882"/>
        <w:jc w:val="left"/>
      </w:pPr>
      <w:r>
        <w:rPr/>
        <w:t>按单项计提坏账准备：</w:t>
      </w:r>
    </w:p>
    <w:p>
      <w:pPr>
        <w:pStyle w:val="BodyText"/>
        <w:spacing w:line="240" w:lineRule="auto" w:before="117"/>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pStyle w:val="BodyText"/>
        <w:spacing w:line="240" w:lineRule="auto" w:before="50"/>
        <w:ind w:right="882"/>
        <w:jc w:val="left"/>
      </w:pPr>
      <w:r>
        <w:rPr/>
        <w:t>按组合计提坏账准备：</w:t>
      </w:r>
    </w:p>
    <w:p>
      <w:pPr>
        <w:pStyle w:val="BodyText"/>
        <w:spacing w:line="240" w:lineRule="auto" w:before="117"/>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商业承兑汇票组合</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441,200.00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22,060.00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441,200.00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22,060.00</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footerReference w:type="default" r:id="rId45"/>
          <w:pgSz w:w="11910" w:h="16840"/>
          <w:pgMar w:footer="1016" w:header="907" w:top="1100" w:bottom="1200" w:left="1020" w:right="0"/>
          <w:pgNumType w:start="140"/>
        </w:sectPr>
      </w:pPr>
    </w:p>
    <w:p>
      <w:pPr>
        <w:pStyle w:val="BodyText"/>
        <w:spacing w:line="360" w:lineRule="auto" w:before="50"/>
        <w:ind w:right="-20"/>
        <w:jc w:val="left"/>
      </w:pPr>
      <w:r>
        <w:rPr/>
        <w:t>确定该组合依据的说明： 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right="0"/>
        <w:jc w:val="left"/>
      </w:pPr>
      <w:r>
        <w:rPr/>
        <w:t>单位：</w:t>
      </w:r>
      <w:r>
        <w:rPr>
          <w:spacing w:val="-2"/>
        </w:rPr>
        <w:t> </w:t>
      </w:r>
      <w:r>
        <w:rPr/>
        <w:t>元</w:t>
      </w:r>
    </w:p>
    <w:p>
      <w:pPr>
        <w:spacing w:after="0" w:line="240" w:lineRule="auto"/>
        <w:jc w:val="left"/>
        <w:sectPr>
          <w:type w:val="continuous"/>
          <w:pgSz w:w="11910" w:h="16840"/>
          <w:pgMar w:top="1100" w:bottom="1200" w:left="1020" w:right="0"/>
          <w:cols w:num="2" w:equalWidth="0">
            <w:col w:w="2093" w:space="6736"/>
            <w:col w:w="2061"/>
          </w:cols>
        </w:sectPr>
      </w:pP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pStyle w:val="BodyText"/>
        <w:spacing w:line="360" w:lineRule="auto" w:before="50"/>
        <w:ind w:right="1754"/>
        <w:jc w:val="left"/>
      </w:pPr>
      <w:r>
        <w:rPr/>
        <w:t>确定该组合依据的说明： 如是按照预期信用损失一般模型计提应收票据坏账准备，请参照其他应收款的披露方式披露坏账准备的相关信息：</w:t>
      </w:r>
    </w:p>
    <w:p>
      <w:pPr>
        <w:pStyle w:val="BodyText"/>
        <w:spacing w:line="360" w:lineRule="auto" w:before="25"/>
        <w:ind w:left="472" w:right="1034" w:hanging="360"/>
        <w:jc w:val="left"/>
      </w:pPr>
      <w:r>
        <w:rPr/>
        <w:t>√ 适用 □ 不适用 参考历史信用损失经验，结合当前状况以及对未来经济状况的预测，通过违约风险敞口和整个存续期预期信用损失率，</w:t>
      </w:r>
    </w:p>
    <w:p>
      <w:pPr>
        <w:pStyle w:val="BodyText"/>
        <w:spacing w:line="222" w:lineRule="exact"/>
        <w:ind w:right="882"/>
        <w:jc w:val="left"/>
      </w:pPr>
      <w:r>
        <w:rPr/>
        <w:t>计算预期信用损失。本公司认为对于商业承兑汇票，相同账龄的应收商业承兑票据具有类似的预期损失率。</w:t>
      </w:r>
    </w:p>
    <w:p>
      <w:pPr>
        <w:spacing w:after="0" w:line="222" w:lineRule="exact"/>
        <w:jc w:val="left"/>
        <w:sectPr>
          <w:type w:val="continuous"/>
          <w:pgSz w:w="11910" w:h="16840"/>
          <w:pgMar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2）本期计提、收回或转回的坏账准备情况" w:id="230"/>
      <w:bookmarkEnd w:id="230"/>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本期计提坏账准备情况：</w:t>
      </w:r>
    </w:p>
    <w:p>
      <w:pPr>
        <w:pStyle w:val="BodyText"/>
        <w:spacing w:line="240" w:lineRule="auto" w:before="117"/>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78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1"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22,060.00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22,060.00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22,060.00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22,060.00</w:t>
            </w:r>
          </w:p>
        </w:tc>
      </w:tr>
    </w:tbl>
    <w:p>
      <w:pPr>
        <w:pStyle w:val="BodyText"/>
        <w:spacing w:line="240" w:lineRule="auto" w:before="50"/>
        <w:ind w:right="882"/>
        <w:jc w:val="left"/>
      </w:pPr>
      <w:r>
        <w:rPr/>
        <w:t>其中本期坏账准备收回或转回金额重要的：</w:t>
      </w:r>
    </w:p>
    <w:p>
      <w:pPr>
        <w:pStyle w:val="BodyText"/>
        <w:spacing w:line="240" w:lineRule="auto" w:before="117"/>
        <w:ind w:right="882"/>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3）期末公司已质押的应收票据" w:id="231"/>
      <w:bookmarkEnd w:id="231"/>
      <w:r>
        <w:rPr>
          <w:b w:val="0"/>
          <w:bCs w:val="0"/>
        </w:rPr>
      </w:r>
      <w:r>
        <w:rPr/>
        <w:t>（</w:t>
      </w:r>
      <w:r>
        <w:rPr>
          <w:rFonts w:ascii="Times New Roman" w:hAnsi="Times New Roman" w:cs="Times New Roman" w:eastAsia="Times New Roman" w:hint="default"/>
        </w:rPr>
        <w:t>3</w:t>
      </w:r>
      <w:r>
        <w:rPr/>
        <w:t>）期末公司已质押的应收票据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1"/>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2;width:4779;height:397" coordorigin="13,12" coordsize="4779,397">
              <v:shape style="position:absolute;left:13;top:12;width:4779;height:397" coordorigin="13,12" coordsize="4779,397" path="m13,12l4792,12,4792,409,13,409,13,12xe" filled="true" fillcolor="#d2d2d2" stroked="false">
                <v:path arrowok="t"/>
                <v:fill type="solid"/>
              </v:shape>
            </v:group>
            <v:group style="position:absolute;left:4797;top:12;width:4779;height:397" coordorigin="4797,12" coordsize="4779,397">
              <v:shape style="position:absolute;left:4797;top:12;width:4779;height:397" coordorigin="4797,12" coordsize="4779,397" path="m4797,12l9576,12,9576,409,4797,409,4797,12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21;top:12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4;top:10;width:4784;height:402" type="#_x0000_t202" filled="false" stroked="false">
                <v:textbox inset="0,0,0,0">
                  <w:txbxContent>
                    <w:p>
                      <w:pPr>
                        <w:spacing w:before="55"/>
                        <w:ind w:left="0" w:right="0" w:firstLine="0"/>
                        <w:jc w:val="center"/>
                        <w:rPr>
                          <w:rFonts w:ascii="宋体" w:hAnsi="宋体" w:cs="宋体" w:eastAsia="宋体" w:hint="default"/>
                          <w:sz w:val="18"/>
                          <w:szCs w:val="18"/>
                        </w:rPr>
                      </w:pPr>
                      <w:r>
                        <w:rPr>
                          <w:rFonts w:ascii="宋体" w:hAnsi="宋体" w:cs="宋体" w:eastAsia="宋体" w:hint="default"/>
                          <w:sz w:val="18"/>
                          <w:szCs w:val="18"/>
                        </w:rPr>
                        <w:t>期末已质押金额</w:t>
                      </w:r>
                    </w:p>
                  </w:txbxContent>
                </v:textbox>
                <w10:wrap type="none"/>
              </v:shape>
            </v:group>
          </v:group>
        </w:pict>
      </w:r>
      <w:r>
        <w:rPr>
          <w:rFonts w:ascii="宋体" w:hAnsi="宋体" w:cs="宋体" w:eastAsia="宋体" w:hint="default"/>
          <w:position w:val="-7"/>
          <w:sz w:val="20"/>
          <w:szCs w:val="20"/>
        </w:rPr>
      </w:r>
    </w:p>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4）期末公司已背书或贴现且在资产负债表日尚未到期的应收票据" w:id="232"/>
      <w:bookmarkEnd w:id="232"/>
      <w:r>
        <w:rPr>
          <w:b w:val="0"/>
          <w:bCs w:val="0"/>
        </w:rPr>
      </w:r>
      <w:r>
        <w:rPr/>
        <w:t>（</w:t>
      </w:r>
      <w:r>
        <w:rPr>
          <w:rFonts w:ascii="Times New Roman" w:hAnsi="Times New Roman" w:cs="Times New Roman" w:eastAsia="Times New Roman" w:hint="default"/>
        </w:rPr>
        <w:t>4</w:t>
      </w:r>
      <w:r>
        <w:rPr/>
        <w:t>）期末公司已背书或贴现且在资产负债表日尚未到期的应收票据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8"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5）期末公司因出票人未履约而将其转应收账款的票据" w:id="233"/>
      <w:bookmarkEnd w:id="233"/>
      <w:r>
        <w:rPr>
          <w:b w:val="0"/>
          <w:bCs w:val="0"/>
        </w:rPr>
      </w:r>
      <w:r>
        <w:rPr/>
        <w:t>（</w:t>
      </w:r>
      <w:r>
        <w:rPr>
          <w:rFonts w:ascii="Times New Roman" w:hAnsi="Times New Roman" w:cs="Times New Roman" w:eastAsia="Times New Roman" w:hint="default"/>
        </w:rPr>
        <w:t>5</w:t>
      </w:r>
      <w:r>
        <w:rPr/>
        <w:t>）期末公司因出票人未履约而将其转应收账款的票据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0"/>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9;height:397" coordorigin="13,13" coordsize="4779,397">
              <v:shape style="position:absolute;left:13;top:13;width:4779;height:397" coordorigin="13,13" coordsize="4779,397" path="m13,13l4792,13,4792,410,13,410,13,13xe" filled="true" fillcolor="#d2d2d2" stroked="false">
                <v:path arrowok="t"/>
                <v:fill type="solid"/>
              </v:shape>
            </v:group>
            <v:group style="position:absolute;left:4797;top:13;width:4779;height:397" coordorigin="4797,13" coordsize="4779,397">
              <v:shape style="position:absolute;left:4797;top:13;width:4779;height:397" coordorigin="4797,13" coordsize="4779,397" path="m4797,13l9576,13,9576,410,4797,410,4797,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21;top:1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4;top:10;width:4784;height:402" type="#_x0000_t202" filled="false" stroked="false">
                <v:textbox inset="0,0,0,0">
                  <w:txbxContent>
                    <w:p>
                      <w:pPr>
                        <w:spacing w:before="56"/>
                        <w:ind w:left="1582" w:right="0" w:firstLine="0"/>
                        <w:jc w:val="left"/>
                        <w:rPr>
                          <w:rFonts w:ascii="宋体" w:hAnsi="宋体" w:cs="宋体" w:eastAsia="宋体" w:hint="default"/>
                          <w:sz w:val="18"/>
                          <w:szCs w:val="18"/>
                        </w:rPr>
                      </w:pPr>
                      <w:r>
                        <w:rPr>
                          <w:rFonts w:ascii="宋体" w:hAnsi="宋体" w:cs="宋体" w:eastAsia="宋体" w:hint="default"/>
                          <w:sz w:val="18"/>
                          <w:szCs w:val="18"/>
                        </w:rPr>
                        <w:t>期末转应收账款金额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6）本期实际核销的应收票据情况" w:id="234"/>
      <w:bookmarkEnd w:id="234"/>
      <w:r>
        <w:rPr>
          <w:b w:val="0"/>
          <w:bCs w:val="0"/>
        </w:rPr>
      </w:r>
      <w:r>
        <w:rPr/>
        <w:t>（</w:t>
      </w:r>
      <w:r>
        <w:rPr>
          <w:rFonts w:ascii="Times New Roman" w:hAnsi="Times New Roman" w:cs="Times New Roman" w:eastAsia="Times New Roman" w:hint="default"/>
        </w:rPr>
        <w:t>6</w:t>
      </w:r>
      <w:r>
        <w:rPr/>
        <w:t>）本期实际核销的应收票据情况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8"/>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9;height:397" coordorigin="13,13" coordsize="4779,397">
              <v:shape style="position:absolute;left:13;top:13;width:4779;height:397" coordorigin="13,13" coordsize="4779,397" path="m13,13l4792,13,4792,410,13,410,13,13xe" filled="true" fillcolor="#d2d2d2" stroked="false">
                <v:path arrowok="t"/>
                <v:fill type="solid"/>
              </v:shape>
            </v:group>
            <v:group style="position:absolute;left:4797;top:13;width:4779;height:397" coordorigin="4797,13" coordsize="4779,397">
              <v:shape style="position:absolute;left:4797;top:13;width:4779;height:397" coordorigin="4797,13" coordsize="4779,397" path="m4797,13l9576,13,9576,410,4797,410,4797,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21;top:12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4;top:10;width:4784;height:402" type="#_x0000_t202" filled="false" stroked="false">
                <v:textbox inset="0,0,0,0">
                  <w:txbxContent>
                    <w:p>
                      <w:pPr>
                        <w:spacing w:before="55"/>
                        <w:ind w:left="0" w:right="0"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2"/>
        <w:ind w:right="882"/>
        <w:jc w:val="left"/>
      </w:pPr>
      <w:r>
        <w:rPr/>
        <w:t>其中重要的应收票据核销情况：</w:t>
      </w:r>
    </w:p>
    <w:p>
      <w:pPr>
        <w:pStyle w:val="BodyText"/>
        <w:spacing w:line="240" w:lineRule="auto" w:before="115"/>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应收票据性质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1" w:right="159" w:hanging="269"/>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pStyle w:val="BodyText"/>
        <w:spacing w:line="240" w:lineRule="auto" w:before="50"/>
        <w:ind w:right="882"/>
        <w:jc w:val="left"/>
      </w:pPr>
      <w:r>
        <w:rPr/>
        <w:t>应收票据核销说明：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3、应收账款" w:id="235"/>
      <w:bookmarkEnd w:id="235"/>
      <w:r>
        <w:rPr>
          <w:b w:val="0"/>
          <w:bCs w:val="0"/>
        </w:rPr>
      </w:r>
      <w:r>
        <w:rPr>
          <w:rFonts w:ascii="Times New Roman" w:hAnsi="Times New Roman" w:cs="Times New Roman" w:eastAsia="Times New Roman" w:hint="default"/>
        </w:rPr>
        <w:t>3</w:t>
      </w:r>
      <w:r>
        <w:rPr/>
        <w:t>、应收账款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应收账款分类披露" w:id="236"/>
      <w:bookmarkEnd w:id="236"/>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5"/>
        <w:gridCol w:w="763"/>
        <w:gridCol w:w="762"/>
        <w:gridCol w:w="762"/>
        <w:gridCol w:w="763"/>
        <w:gridCol w:w="789"/>
        <w:gridCol w:w="776"/>
        <w:gridCol w:w="797"/>
        <w:gridCol w:w="798"/>
        <w:gridCol w:w="790"/>
        <w:gridCol w:w="932"/>
      </w:tblGrid>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298" w:right="118"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371" w:right="189"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86" w:right="105"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2D2D2"/>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99" w:right="119"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261"/>
              <w:jc w:val="left"/>
              <w:rPr>
                <w:rFonts w:ascii="宋体" w:hAnsi="宋体" w:cs="宋体" w:eastAsia="宋体" w:hint="default"/>
                <w:sz w:val="18"/>
                <w:szCs w:val="18"/>
              </w:rPr>
            </w:pPr>
            <w:r>
              <w:rPr>
                <w:rFonts w:ascii="宋体" w:hAnsi="宋体" w:cs="宋体" w:eastAsia="宋体" w:hint="default"/>
                <w:sz w:val="18"/>
                <w:szCs w:val="18"/>
              </w:rPr>
              <w:t>按单项计提坏账 准备的应收账款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center"/>
              <w:rPr>
                <w:rFonts w:ascii="Times New Roman" w:hAnsi="Times New Roman" w:cs="Times New Roman" w:eastAsia="Times New Roman" w:hint="default"/>
                <w:sz w:val="18"/>
                <w:szCs w:val="18"/>
              </w:rPr>
            </w:pPr>
            <w:r>
              <w:rPr>
                <w:rFonts w:ascii="Times New Roman"/>
                <w:sz w:val="18"/>
              </w:rPr>
              <w:t>617,75</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4.72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5" w:right="0"/>
              <w:jc w:val="left"/>
              <w:rPr>
                <w:rFonts w:ascii="Times New Roman" w:hAnsi="Times New Roman" w:cs="Times New Roman" w:eastAsia="Times New Roman" w:hint="default"/>
                <w:sz w:val="18"/>
                <w:szCs w:val="18"/>
              </w:rPr>
            </w:pPr>
            <w:r>
              <w:rPr>
                <w:rFonts w:ascii="Times New Roman"/>
                <w:sz w:val="18"/>
              </w:rPr>
              <w:t>0.06%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center"/>
              <w:rPr>
                <w:rFonts w:ascii="Times New Roman" w:hAnsi="Times New Roman" w:cs="Times New Roman" w:eastAsia="Times New Roman" w:hint="default"/>
                <w:sz w:val="18"/>
                <w:szCs w:val="18"/>
              </w:rPr>
            </w:pPr>
            <w:r>
              <w:rPr>
                <w:rFonts w:ascii="Times New Roman"/>
                <w:sz w:val="18"/>
              </w:rPr>
              <w:t>617,75</w:t>
            </w:r>
          </w:p>
          <w:p>
            <w:pPr>
              <w:pStyle w:val="TableParagraph"/>
              <w:spacing w:line="240" w:lineRule="auto" w:before="105"/>
              <w:ind w:left="229" w:right="0"/>
              <w:jc w:val="center"/>
              <w:rPr>
                <w:rFonts w:ascii="Times New Roman" w:hAnsi="Times New Roman" w:cs="Times New Roman" w:eastAsia="Times New Roman" w:hint="default"/>
                <w:sz w:val="18"/>
                <w:szCs w:val="18"/>
              </w:rPr>
            </w:pPr>
            <w:r>
              <w:rPr>
                <w:rFonts w:ascii="Times New Roman"/>
                <w:sz w:val="18"/>
              </w:rPr>
              <w:t>4.72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
        </w:tc>
        <w:tc>
          <w:tcPr>
            <w:tcW w:w="776"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01" w:right="261"/>
              <w:jc w:val="left"/>
              <w:rPr>
                <w:rFonts w:ascii="宋体" w:hAnsi="宋体" w:cs="宋体" w:eastAsia="宋体" w:hint="default"/>
                <w:sz w:val="18"/>
                <w:szCs w:val="18"/>
              </w:rPr>
            </w:pPr>
            <w:r>
              <w:rPr>
                <w:rFonts w:ascii="宋体" w:hAnsi="宋体" w:cs="宋体" w:eastAsia="宋体" w:hint="default"/>
                <w:sz w:val="18"/>
                <w:szCs w:val="18"/>
              </w:rPr>
              <w:t>按组合计提坏账 准备的应收账款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8" w:right="0"/>
              <w:jc w:val="left"/>
              <w:rPr>
                <w:rFonts w:ascii="Times New Roman" w:hAnsi="Times New Roman" w:cs="Times New Roman" w:eastAsia="Times New Roman" w:hint="default"/>
                <w:sz w:val="18"/>
                <w:szCs w:val="18"/>
              </w:rPr>
            </w:pPr>
            <w:r>
              <w:rPr>
                <w:rFonts w:ascii="Times New Roman"/>
                <w:sz w:val="18"/>
              </w:rPr>
              <w:t>1,011,5</w:t>
            </w:r>
          </w:p>
          <w:p>
            <w:pPr>
              <w:pStyle w:val="TableParagraph"/>
              <w:spacing w:line="240" w:lineRule="auto" w:before="105"/>
              <w:ind w:left="111" w:right="0"/>
              <w:jc w:val="left"/>
              <w:rPr>
                <w:rFonts w:ascii="Times New Roman" w:hAnsi="Times New Roman" w:cs="Times New Roman" w:eastAsia="Times New Roman" w:hint="default"/>
                <w:sz w:val="18"/>
                <w:szCs w:val="18"/>
              </w:rPr>
            </w:pPr>
            <w:r>
              <w:rPr>
                <w:rFonts w:ascii="Times New Roman"/>
                <w:sz w:val="18"/>
              </w:rPr>
              <w:t>07,612.</w:t>
            </w:r>
          </w:p>
          <w:p>
            <w:pPr>
              <w:pStyle w:val="TableParagraph"/>
              <w:spacing w:line="240" w:lineRule="auto" w:before="105"/>
              <w:ind w:left="471" w:right="0"/>
              <w:jc w:val="left"/>
              <w:rPr>
                <w:rFonts w:ascii="Times New Roman" w:hAnsi="Times New Roman" w:cs="Times New Roman" w:eastAsia="Times New Roman" w:hint="default"/>
                <w:sz w:val="18"/>
                <w:szCs w:val="18"/>
              </w:rPr>
            </w:pPr>
            <w:r>
              <w:rPr>
                <w:rFonts w:ascii="Times New Roman"/>
                <w:sz w:val="18"/>
              </w:rPr>
              <w:t>68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3" w:right="0"/>
              <w:jc w:val="left"/>
              <w:rPr>
                <w:rFonts w:ascii="Times New Roman" w:hAnsi="Times New Roman" w:cs="Times New Roman" w:eastAsia="Times New Roman" w:hint="default"/>
                <w:sz w:val="18"/>
                <w:szCs w:val="18"/>
              </w:rPr>
            </w:pPr>
            <w:r>
              <w:rPr>
                <w:rFonts w:ascii="Times New Roman"/>
                <w:sz w:val="18"/>
              </w:rPr>
              <w:t>99.94</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140,89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4,438.6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5" w:right="0"/>
              <w:jc w:val="left"/>
              <w:rPr>
                <w:rFonts w:ascii="Times New Roman" w:hAnsi="Times New Roman" w:cs="Times New Roman" w:eastAsia="Times New Roman" w:hint="default"/>
                <w:sz w:val="18"/>
                <w:szCs w:val="18"/>
              </w:rPr>
            </w:pPr>
            <w:r>
              <w:rPr>
                <w:rFonts w:ascii="Times New Roman"/>
                <w:sz w:val="18"/>
              </w:rPr>
              <w:t>13.93</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870,61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3,174.0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7</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672,65</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4,485.0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98,742,</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604.00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14.68%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573,911,8</w:t>
            </w:r>
          </w:p>
          <w:p>
            <w:pPr>
              <w:pStyle w:val="TableParagraph"/>
              <w:spacing w:line="240" w:lineRule="auto" w:before="105"/>
              <w:ind w:left="414" w:right="0"/>
              <w:jc w:val="left"/>
              <w:rPr>
                <w:rFonts w:ascii="Times New Roman" w:hAnsi="Times New Roman" w:cs="Times New Roman" w:eastAsia="Times New Roman" w:hint="default"/>
                <w:sz w:val="18"/>
                <w:szCs w:val="18"/>
              </w:rPr>
            </w:pPr>
            <w:r>
              <w:rPr>
                <w:rFonts w:ascii="Times New Roman"/>
                <w:sz w:val="18"/>
              </w:rPr>
              <w:t>81.01</w:t>
            </w: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1" w:right="0"/>
              <w:jc w:val="left"/>
              <w:rPr>
                <w:rFonts w:ascii="Times New Roman" w:hAnsi="Times New Roman" w:cs="Times New Roman" w:eastAsia="Times New Roman" w:hint="default"/>
                <w:sz w:val="18"/>
                <w:szCs w:val="18"/>
              </w:rPr>
            </w:pPr>
            <w:r>
              <w:rPr>
                <w:rFonts w:ascii="Times New Roman"/>
                <w:sz w:val="18"/>
              </w:rPr>
              <w:t>1,012,1</w:t>
            </w:r>
          </w:p>
          <w:p>
            <w:pPr>
              <w:pStyle w:val="TableParagraph"/>
              <w:spacing w:line="240" w:lineRule="auto" w:before="105"/>
              <w:ind w:left="111" w:right="0"/>
              <w:jc w:val="left"/>
              <w:rPr>
                <w:rFonts w:ascii="Times New Roman" w:hAnsi="Times New Roman" w:cs="Times New Roman" w:eastAsia="Times New Roman" w:hint="default"/>
                <w:sz w:val="18"/>
                <w:szCs w:val="18"/>
              </w:rPr>
            </w:pPr>
            <w:r>
              <w:rPr>
                <w:rFonts w:ascii="Times New Roman"/>
                <w:sz w:val="18"/>
              </w:rPr>
              <w:t>25,367.</w:t>
            </w:r>
          </w:p>
          <w:p>
            <w:pPr>
              <w:pStyle w:val="TableParagraph"/>
              <w:spacing w:line="240" w:lineRule="auto" w:before="105"/>
              <w:ind w:left="471" w:right="0"/>
              <w:jc w:val="left"/>
              <w:rPr>
                <w:rFonts w:ascii="Times New Roman" w:hAnsi="Times New Roman" w:cs="Times New Roman" w:eastAsia="Times New Roman" w:hint="default"/>
                <w:sz w:val="18"/>
                <w:szCs w:val="18"/>
              </w:rPr>
            </w:pPr>
            <w:r>
              <w:rPr>
                <w:rFonts w:ascii="Times New Roman"/>
                <w:sz w:val="18"/>
              </w:rPr>
              <w:t>40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141,51</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2,193.3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5" w:right="0"/>
              <w:jc w:val="left"/>
              <w:rPr>
                <w:rFonts w:ascii="Times New Roman" w:hAnsi="Times New Roman" w:cs="Times New Roman" w:eastAsia="Times New Roman" w:hint="default"/>
                <w:sz w:val="18"/>
                <w:szCs w:val="18"/>
              </w:rPr>
            </w:pPr>
            <w:r>
              <w:rPr>
                <w:rFonts w:ascii="Times New Roman"/>
                <w:sz w:val="18"/>
              </w:rPr>
              <w:t>13.98</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870,61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3,174.0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7</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672,65</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4,485.0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98,742,</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604.00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14.68%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573,911,8</w:t>
            </w:r>
          </w:p>
          <w:p>
            <w:pPr>
              <w:pStyle w:val="TableParagraph"/>
              <w:spacing w:line="240" w:lineRule="auto" w:before="105"/>
              <w:ind w:left="414" w:right="0"/>
              <w:jc w:val="left"/>
              <w:rPr>
                <w:rFonts w:ascii="Times New Roman" w:hAnsi="Times New Roman" w:cs="Times New Roman" w:eastAsia="Times New Roman" w:hint="default"/>
                <w:sz w:val="18"/>
                <w:szCs w:val="18"/>
              </w:rPr>
            </w:pPr>
            <w:r>
              <w:rPr>
                <w:rFonts w:ascii="Times New Roman"/>
                <w:sz w:val="18"/>
              </w:rPr>
              <w:t>81.01</w:t>
            </w:r>
          </w:p>
        </w:tc>
      </w:tr>
    </w:tbl>
    <w:p>
      <w:pPr>
        <w:pStyle w:val="BodyText"/>
        <w:spacing w:line="240" w:lineRule="auto" w:before="50"/>
        <w:ind w:right="882"/>
        <w:jc w:val="left"/>
        <w:rPr>
          <w:rFonts w:ascii="Times New Roman" w:hAnsi="Times New Roman" w:cs="Times New Roman" w:eastAsia="Times New Roman" w:hint="default"/>
        </w:rPr>
      </w:pPr>
      <w:r>
        <w:rPr/>
        <w:t>按单项计提坏账准备：</w:t>
      </w:r>
      <w:r>
        <w:rPr>
          <w:rFonts w:ascii="Times New Roman" w:hAnsi="Times New Roman" w:cs="Times New Roman" w:eastAsia="Times New Roman" w:hint="default"/>
        </w:rPr>
        <w:t>617,754.72</w:t>
      </w:r>
    </w:p>
    <w:p>
      <w:pPr>
        <w:pStyle w:val="BodyText"/>
        <w:spacing w:line="240" w:lineRule="auto" w:before="103"/>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356" w:hRule="exact"/>
        </w:trPr>
        <w:tc>
          <w:tcPr>
            <w:tcW w:w="1913" w:type="dxa"/>
            <w:tcBorders>
              <w:top w:val="single" w:sz="4" w:space="0" w:color="000000"/>
              <w:left w:val="single" w:sz="4" w:space="0" w:color="000000"/>
              <w:bottom w:val="nil" w:sz="6" w:space="0" w:color="auto"/>
              <w:right w:val="single" w:sz="4" w:space="0" w:color="000000"/>
            </w:tcBorders>
          </w:tcPr>
          <w:p>
            <w:pPr/>
          </w:p>
        </w:tc>
        <w:tc>
          <w:tcPr>
            <w:tcW w:w="1915" w:type="dxa"/>
            <w:tcBorders>
              <w:top w:val="single" w:sz="4" w:space="0" w:color="000000"/>
              <w:left w:val="single" w:sz="4" w:space="0" w:color="000000"/>
              <w:bottom w:val="nil" w:sz="6" w:space="0" w:color="auto"/>
              <w:right w:val="single" w:sz="4" w:space="0" w:color="000000"/>
            </w:tcBorders>
          </w:tcPr>
          <w:p>
            <w:pPr/>
          </w:p>
        </w:tc>
        <w:tc>
          <w:tcPr>
            <w:tcW w:w="1914" w:type="dxa"/>
            <w:tcBorders>
              <w:top w:val="single" w:sz="4" w:space="0" w:color="000000"/>
              <w:left w:val="single" w:sz="4" w:space="0" w:color="000000"/>
              <w:bottom w:val="nil" w:sz="6" w:space="0" w:color="auto"/>
              <w:right w:val="single" w:sz="4" w:space="0" w:color="000000"/>
            </w:tcBorders>
          </w:tcPr>
          <w:p>
            <w:pPr/>
          </w:p>
        </w:tc>
        <w:tc>
          <w:tcPr>
            <w:tcW w:w="1914" w:type="dxa"/>
            <w:tcBorders>
              <w:top w:val="single" w:sz="4" w:space="0" w:color="000000"/>
              <w:left w:val="single" w:sz="4" w:space="0" w:color="000000"/>
              <w:bottom w:val="nil" w:sz="6" w:space="0" w:color="auto"/>
              <w:right w:val="single" w:sz="4" w:space="0" w:color="000000"/>
            </w:tcBorders>
          </w:tcPr>
          <w:p>
            <w:pPr/>
          </w:p>
        </w:tc>
        <w:tc>
          <w:tcPr>
            <w:tcW w:w="191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与该公司涉及诉讼，</w:t>
            </w:r>
          </w:p>
        </w:tc>
      </w:tr>
      <w:tr>
        <w:trPr>
          <w:trHeight w:val="317" w:hRule="exact"/>
        </w:trPr>
        <w:tc>
          <w:tcPr>
            <w:tcW w:w="191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杭州萧山恒福医院</w:t>
            </w:r>
          </w:p>
        </w:tc>
        <w:tc>
          <w:tcPr>
            <w:tcW w:w="191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617,754.72</w:t>
            </w:r>
          </w:p>
        </w:tc>
        <w:tc>
          <w:tcPr>
            <w:tcW w:w="191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617,754.72</w:t>
            </w:r>
          </w:p>
        </w:tc>
        <w:tc>
          <w:tcPr>
            <w:tcW w:w="191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156" w:right="0"/>
              <w:jc w:val="left"/>
              <w:rPr>
                <w:rFonts w:ascii="Times New Roman" w:hAnsi="Times New Roman" w:cs="Times New Roman" w:eastAsia="Times New Roman" w:hint="default"/>
                <w:sz w:val="18"/>
                <w:szCs w:val="18"/>
              </w:rPr>
            </w:pPr>
            <w:r>
              <w:rPr>
                <w:rFonts w:ascii="Times New Roman"/>
                <w:sz w:val="18"/>
              </w:rPr>
              <w:t>100.00%</w:t>
            </w:r>
          </w:p>
        </w:tc>
        <w:tc>
          <w:tcPr>
            <w:tcW w:w="1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预计款项很可能无法</w:t>
            </w:r>
          </w:p>
        </w:tc>
      </w:tr>
      <w:tr>
        <w:trPr>
          <w:trHeight w:val="353" w:hRule="exact"/>
        </w:trPr>
        <w:tc>
          <w:tcPr>
            <w:tcW w:w="1913" w:type="dxa"/>
            <w:tcBorders>
              <w:top w:val="nil" w:sz="6" w:space="0" w:color="auto"/>
              <w:left w:val="single" w:sz="4" w:space="0" w:color="000000"/>
              <w:bottom w:val="single" w:sz="4" w:space="0" w:color="000000"/>
              <w:right w:val="single" w:sz="4" w:space="0" w:color="000000"/>
            </w:tcBorders>
          </w:tcPr>
          <w:p>
            <w:pPr/>
          </w:p>
        </w:tc>
        <w:tc>
          <w:tcPr>
            <w:tcW w:w="1915" w:type="dxa"/>
            <w:tcBorders>
              <w:top w:val="nil" w:sz="6" w:space="0" w:color="auto"/>
              <w:left w:val="single" w:sz="4" w:space="0" w:color="000000"/>
              <w:bottom w:val="single" w:sz="4" w:space="0" w:color="000000"/>
              <w:right w:val="single" w:sz="4" w:space="0" w:color="000000"/>
            </w:tcBorders>
          </w:tcPr>
          <w:p>
            <w:pPr/>
          </w:p>
        </w:tc>
        <w:tc>
          <w:tcPr>
            <w:tcW w:w="1914" w:type="dxa"/>
            <w:tcBorders>
              <w:top w:val="nil" w:sz="6" w:space="0" w:color="auto"/>
              <w:left w:val="single" w:sz="4" w:space="0" w:color="000000"/>
              <w:bottom w:val="single" w:sz="4" w:space="0" w:color="000000"/>
              <w:right w:val="single" w:sz="4" w:space="0" w:color="000000"/>
            </w:tcBorders>
          </w:tcPr>
          <w:p>
            <w:pPr/>
          </w:p>
        </w:tc>
        <w:tc>
          <w:tcPr>
            <w:tcW w:w="1914" w:type="dxa"/>
            <w:tcBorders>
              <w:top w:val="nil" w:sz="6" w:space="0" w:color="auto"/>
              <w:left w:val="single" w:sz="4" w:space="0" w:color="000000"/>
              <w:bottom w:val="single" w:sz="4" w:space="0" w:color="000000"/>
              <w:right w:val="single" w:sz="4" w:space="0" w:color="000000"/>
            </w:tcBorders>
          </w:tcPr>
          <w:p>
            <w:pPr/>
          </w:p>
        </w:tc>
        <w:tc>
          <w:tcPr>
            <w:tcW w:w="191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收回</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617,754.72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617,754.72</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left="3"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882"/>
        <w:jc w:val="left"/>
      </w:pPr>
      <w:r>
        <w:rPr/>
        <w:t>按单项计提坏账准备：</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pStyle w:val="BodyText"/>
        <w:spacing w:line="240" w:lineRule="auto" w:before="49"/>
        <w:ind w:right="882"/>
        <w:jc w:val="left"/>
        <w:rPr>
          <w:rFonts w:ascii="Times New Roman" w:hAnsi="Times New Roman" w:cs="Times New Roman" w:eastAsia="Times New Roman" w:hint="default"/>
        </w:rPr>
      </w:pPr>
      <w:r>
        <w:rPr/>
        <w:t>按组合计提坏账准备：</w:t>
      </w:r>
      <w:r>
        <w:rPr>
          <w:rFonts w:ascii="Times New Roman" w:hAnsi="Times New Roman" w:cs="Times New Roman" w:eastAsia="Times New Roman" w:hint="default"/>
        </w:rPr>
        <w:t>140,894,438.61</w:t>
      </w:r>
    </w:p>
    <w:p>
      <w:pPr>
        <w:pStyle w:val="BodyText"/>
        <w:spacing w:line="240" w:lineRule="auto" w:before="103"/>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pacing w:val="-1"/>
                <w:sz w:val="18"/>
              </w:rPr>
              <w:t>715,270,050.11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35,763,502.51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5.00%</w:t>
            </w:r>
          </w:p>
        </w:tc>
      </w:tr>
      <w:tr>
        <w:trPr>
          <w:trHeight w:val="400"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167,783,556.77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33,556,711.35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20.00%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52,441,612.49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15,732,483.75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30,604,947.36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15,302,473.68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24,340,893.13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19,472,714.50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  </w:t>
            </w:r>
            <w:r>
              <w:rPr>
                <w:rFonts w:ascii="宋体" w:hAnsi="宋体" w:cs="宋体" w:eastAsia="宋体" w:hint="default"/>
                <w:sz w:val="18"/>
                <w:szCs w:val="18"/>
              </w:rPr>
              <w:t>年以上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21,066,552.82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21,066,552.82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1,011,507,612.68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140,894,438.61</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360" w:lineRule="auto" w:before="51"/>
        <w:ind w:right="-20"/>
        <w:jc w:val="left"/>
      </w:pPr>
      <w:r>
        <w:rPr/>
        <w:t>确定该组合依据的说明： 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right="0"/>
        <w:jc w:val="left"/>
      </w:pPr>
      <w:r>
        <w:rPr/>
        <w:t>单位：</w:t>
      </w:r>
      <w:r>
        <w:rPr>
          <w:spacing w:val="-2"/>
        </w:rPr>
        <w:t> </w:t>
      </w:r>
      <w:r>
        <w:rPr/>
        <w:t>元</w:t>
      </w:r>
    </w:p>
    <w:p>
      <w:pPr>
        <w:spacing w:after="0" w:line="240" w:lineRule="auto"/>
        <w:jc w:val="left"/>
        <w:sectPr>
          <w:type w:val="continuous"/>
          <w:pgSz w:w="11910" w:h="16840"/>
          <w:pgMar w:top="1100" w:bottom="1200" w:left="1020" w:right="0"/>
          <w:cols w:num="2" w:equalWidth="0">
            <w:col w:w="2093" w:space="6736"/>
            <w:col w:w="2061"/>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pStyle w:val="BodyText"/>
        <w:spacing w:line="357" w:lineRule="auto" w:before="51"/>
        <w:ind w:right="1754"/>
        <w:jc w:val="left"/>
      </w:pPr>
      <w:r>
        <w:rPr/>
        <w:t>确定该组合依据的说明： 如是按照预期信用损失一般模型计提应收账款坏账准备，请参照其他应收款的披露方式披露坏账准备的相关信息：</w:t>
      </w:r>
    </w:p>
    <w:p>
      <w:pPr>
        <w:pStyle w:val="BodyText"/>
        <w:spacing w:line="360" w:lineRule="auto" w:before="29"/>
        <w:ind w:left="472" w:right="1034" w:hanging="360"/>
        <w:jc w:val="left"/>
      </w:pPr>
      <w:r>
        <w:rPr/>
        <w:t>√ 适用 □ 不适用 参考历史信用损失经验，结合当前状况以及对未来经济状况的预测，通过违约风险敞口和整个存续期预期信用损失率，</w:t>
      </w:r>
    </w:p>
    <w:p>
      <w:pPr>
        <w:pStyle w:val="BodyText"/>
        <w:spacing w:line="222" w:lineRule="exact"/>
        <w:ind w:right="882"/>
        <w:jc w:val="left"/>
      </w:pPr>
      <w:r>
        <w:rPr/>
        <w:t>计算预期信用损失。对于应收外部客户账款组合，本公司认为相同账龄的客户具有类似预期损失率。</w:t>
      </w:r>
    </w:p>
    <w:p>
      <w:pPr>
        <w:pStyle w:val="BodyText"/>
        <w:spacing w:line="240" w:lineRule="auto" w:before="115"/>
        <w:ind w:right="882"/>
        <w:jc w:val="left"/>
      </w:pPr>
      <w:r>
        <w:rPr/>
        <w:t>按账龄披露</w:t>
      </w:r>
    </w:p>
    <w:p>
      <w:pPr>
        <w:pStyle w:val="BodyText"/>
        <w:spacing w:line="240" w:lineRule="auto" w:before="117"/>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715,279,930.11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168,391,431.49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52,441,612.49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76,012,393.31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30,604,947.36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24,340,893.13</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21,066,552.82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1,012,125,367.40</w:t>
            </w:r>
          </w:p>
        </w:tc>
      </w:tr>
    </w:tbl>
    <w:p>
      <w:pPr>
        <w:pStyle w:val="BodyText"/>
        <w:spacing w:line="240" w:lineRule="auto" w:before="50"/>
        <w:ind w:right="882"/>
        <w:jc w:val="left"/>
      </w:pPr>
      <w:r>
        <w:rPr/>
        <w:t>公司需要遵守《深圳证券交易所行业信息披露指引第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spacing w:line="240" w:lineRule="auto" w:before="13"/>
        <w:rPr>
          <w:rFonts w:ascii="宋体" w:hAnsi="宋体" w:cs="宋体" w:eastAsia="宋体" w:hint="default"/>
          <w:sz w:val="25"/>
          <w:szCs w:val="25"/>
        </w:rPr>
      </w:pPr>
    </w:p>
    <w:p>
      <w:pPr>
        <w:pStyle w:val="Heading3"/>
        <w:spacing w:line="240" w:lineRule="auto"/>
        <w:ind w:right="882"/>
        <w:jc w:val="left"/>
        <w:rPr>
          <w:b w:val="0"/>
          <w:bCs w:val="0"/>
        </w:rPr>
      </w:pPr>
      <w:bookmarkStart w:name="（2）本期计提、收回或转回的坏账准备情况" w:id="237"/>
      <w:bookmarkEnd w:id="237"/>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本期计提坏账准备情况：</w:t>
      </w:r>
    </w:p>
    <w:p>
      <w:pPr>
        <w:pStyle w:val="BodyText"/>
        <w:spacing w:line="240" w:lineRule="auto" w:before="115"/>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78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41"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22"/>
              <w:jc w:val="left"/>
              <w:rPr>
                <w:rFonts w:ascii="宋体" w:hAnsi="宋体" w:cs="宋体" w:eastAsia="宋体" w:hint="default"/>
                <w:sz w:val="18"/>
                <w:szCs w:val="18"/>
              </w:rPr>
            </w:pPr>
            <w:r>
              <w:rPr>
                <w:rFonts w:ascii="宋体" w:hAnsi="宋体" w:cs="宋体" w:eastAsia="宋体" w:hint="default"/>
                <w:sz w:val="18"/>
                <w:szCs w:val="18"/>
              </w:rPr>
              <w:t>按组合计提坏账 准备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98,742,604.00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47,943,996.38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5,174,407.05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141,512,193.33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98,742,604.00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47,943,996.38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5,174,407.05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141,512,193.33</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882"/>
        <w:jc w:val="left"/>
      </w:pPr>
      <w:r>
        <w:rPr/>
        <w:t>其中本期坏账准备收回或转回金额重要的：</w:t>
      </w:r>
    </w:p>
    <w:p>
      <w:pPr>
        <w:pStyle w:val="BodyText"/>
        <w:spacing w:line="240" w:lineRule="auto" w:before="115"/>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59"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3）本期实际核销的应收账款情况" w:id="238"/>
      <w:bookmarkEnd w:id="238"/>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5,174,407.05</w:t>
            </w:r>
          </w:p>
        </w:tc>
      </w:tr>
    </w:tbl>
    <w:p>
      <w:pPr>
        <w:pStyle w:val="BodyText"/>
        <w:spacing w:line="240" w:lineRule="auto" w:before="52"/>
        <w:ind w:right="882"/>
        <w:jc w:val="left"/>
      </w:pPr>
      <w:r>
        <w:rPr/>
        <w:t>其中重要的应收账款核销情况：</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pStyle w:val="BodyText"/>
        <w:spacing w:line="240" w:lineRule="auto"/>
        <w:ind w:right="882"/>
        <w:jc w:val="left"/>
      </w:pPr>
      <w:r>
        <w:rPr/>
        <w:t>应收账款核销说明：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4）按欠款方归集的期末余额前五名的应收账款情况" w:id="239"/>
      <w:bookmarkEnd w:id="239"/>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81"/>
        <w:gridCol w:w="2529"/>
        <w:gridCol w:w="2529"/>
        <w:gridCol w:w="2528"/>
      </w:tblGrid>
      <w:tr>
        <w:trPr>
          <w:trHeight w:val="714" w:hRule="exact"/>
        </w:trPr>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25"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40"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989" w:right="179" w:hanging="812"/>
              <w:jc w:val="left"/>
              <w:rPr>
                <w:rFonts w:ascii="宋体" w:hAnsi="宋体" w:cs="宋体" w:eastAsia="宋体" w:hint="default"/>
                <w:sz w:val="18"/>
                <w:szCs w:val="18"/>
              </w:rPr>
            </w:pPr>
            <w:r>
              <w:rPr>
                <w:rFonts w:ascii="宋体" w:hAnsi="宋体" w:cs="宋体" w:eastAsia="宋体" w:hint="default"/>
                <w:sz w:val="18"/>
                <w:szCs w:val="18"/>
              </w:rPr>
              <w:t>占应收账款期末余额合计数 的比例</w:t>
            </w:r>
          </w:p>
        </w:tc>
        <w:tc>
          <w:tcPr>
            <w:tcW w:w="25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38"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2"/>
                <w:sz w:val="18"/>
              </w:rPr>
              <w:t>110,116,650.60</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10.87%</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8,909,129.39</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50,963,023.69</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5.04%</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2,548,151.18</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24,611,125.00</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2.43%</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2,130,556.25</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19,532,252.19</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1.93%</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976,612.61</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15,348,884.30</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1.52%</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767,444.22</w:t>
            </w:r>
          </w:p>
        </w:tc>
      </w:tr>
      <w:tr>
        <w:trPr>
          <w:trHeight w:val="402" w:hRule="exact"/>
        </w:trPr>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220,571,935.78</w:t>
            </w:r>
          </w:p>
        </w:tc>
        <w:tc>
          <w:tcPr>
            <w:tcW w:w="2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21.79%</w:t>
            </w:r>
          </w:p>
        </w:tc>
        <w:tc>
          <w:tcPr>
            <w:tcW w:w="2528"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5）因金融资产转移而终止确认的应收账款" w:id="240"/>
      <w:bookmarkEnd w:id="240"/>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6）转移应收账款且继续涉入形成的资产、负债金额" w:id="241"/>
      <w:bookmarkEnd w:id="241"/>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4、应收款项融资" w:id="242"/>
      <w:bookmarkEnd w:id="242"/>
      <w:r>
        <w:rPr>
          <w:b w:val="0"/>
          <w:bCs w:val="0"/>
        </w:rPr>
      </w:r>
      <w:r>
        <w:rPr>
          <w:rFonts w:ascii="Times New Roman" w:hAnsi="Times New Roman" w:cs="Times New Roman" w:eastAsia="Times New Roman" w:hint="default"/>
        </w:rPr>
        <w:t>4</w:t>
      </w:r>
      <w:r>
        <w:rPr/>
        <w:t>、应收款项融资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407"/>
              <w:jc w:val="right"/>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1,981,455.00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407"/>
              <w:jc w:val="righ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1,981,455.00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1,154,448.73</w:t>
            </w:r>
          </w:p>
        </w:tc>
      </w:tr>
    </w:tbl>
    <w:p>
      <w:pPr>
        <w:pStyle w:val="BodyText"/>
        <w:spacing w:line="240" w:lineRule="auto" w:before="50"/>
        <w:ind w:right="882"/>
        <w:jc w:val="left"/>
      </w:pPr>
      <w:r>
        <w:rPr/>
        <w:t>应收款项融资本期增减变动及公允价值变动情况</w:t>
      </w:r>
    </w:p>
    <w:p>
      <w:pPr>
        <w:pStyle w:val="BodyText"/>
        <w:spacing w:line="240" w:lineRule="auto" w:before="117"/>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882"/>
        <w:jc w:val="left"/>
      </w:pPr>
      <w:r>
        <w:rPr/>
        <w:t>如是按照预期信用损失一般模型计提应收款项融资减值准备，请参照其他应收款的披露方式披露减值准备的相关信息：</w:t>
      </w:r>
    </w:p>
    <w:p>
      <w:pPr>
        <w:pStyle w:val="BodyText"/>
        <w:spacing w:line="360" w:lineRule="auto" w:before="115"/>
        <w:ind w:right="9224"/>
        <w:jc w:val="left"/>
      </w:pPr>
      <w:r>
        <w:rPr/>
        <w:t>□ 适用 √ 不适用 其他说明：</w:t>
      </w:r>
    </w:p>
    <w:p>
      <w:pPr>
        <w:spacing w:line="240" w:lineRule="auto" w:before="2"/>
        <w:rPr>
          <w:rFonts w:ascii="宋体" w:hAnsi="宋体" w:cs="宋体" w:eastAsia="宋体" w:hint="default"/>
          <w:sz w:val="20"/>
          <w:szCs w:val="20"/>
        </w:rPr>
      </w:pPr>
    </w:p>
    <w:p>
      <w:pPr>
        <w:pStyle w:val="Heading3"/>
        <w:spacing w:line="240" w:lineRule="auto"/>
        <w:ind w:right="882"/>
        <w:jc w:val="left"/>
        <w:rPr>
          <w:b w:val="0"/>
          <w:bCs w:val="0"/>
        </w:rPr>
      </w:pPr>
      <w:bookmarkStart w:name="5、预付款项" w:id="243"/>
      <w:bookmarkEnd w:id="243"/>
      <w:r>
        <w:rPr>
          <w:b w:val="0"/>
          <w:bCs w:val="0"/>
        </w:rPr>
      </w:r>
      <w:r>
        <w:rPr>
          <w:rFonts w:ascii="Times New Roman" w:hAnsi="Times New Roman" w:cs="Times New Roman" w:eastAsia="Times New Roman" w:hint="default"/>
        </w:rPr>
        <w:t>5</w:t>
      </w:r>
      <w:r>
        <w:rPr/>
        <w:t>、预付款项</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预付款项按账龄列示" w:id="244"/>
      <w:bookmarkEnd w:id="244"/>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5"/>
        <w:gridCol w:w="1914"/>
        <w:gridCol w:w="1914"/>
        <w:gridCol w:w="1915"/>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30,977,588.61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85.31%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18,895,862.94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79.40%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2,633,432.96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7.25%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3,482,268.89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14.63%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1,590,408.96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4.38%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362,089.88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1,109,987.38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3.06%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1,059,894.42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4.45%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36,311,417.91</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23,800,116.13</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0"/>
        <w:ind w:right="882"/>
        <w:jc w:val="left"/>
      </w:pPr>
      <w:r>
        <w:rPr/>
        <w:t>账龄超过</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年且金额重要的预付款项未及时结算原因的说明：</w:t>
      </w:r>
    </w:p>
    <w:p>
      <w:pPr>
        <w:spacing w:line="240" w:lineRule="auto" w:before="10"/>
        <w:rPr>
          <w:rFonts w:ascii="宋体" w:hAnsi="宋体" w:cs="宋体" w:eastAsia="宋体" w:hint="default"/>
          <w:sz w:val="25"/>
          <w:szCs w:val="25"/>
        </w:rPr>
      </w:pPr>
    </w:p>
    <w:p>
      <w:pPr>
        <w:pStyle w:val="Heading3"/>
        <w:spacing w:line="240" w:lineRule="auto"/>
        <w:ind w:right="882"/>
        <w:jc w:val="left"/>
        <w:rPr>
          <w:b w:val="0"/>
          <w:bCs w:val="0"/>
        </w:rPr>
      </w:pPr>
      <w:bookmarkStart w:name="（2）按预付对象归集的期末余额前五名的预付款情况" w:id="245"/>
      <w:bookmarkEnd w:id="245"/>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3044"/>
        <w:jc w:val="left"/>
      </w:pPr>
      <w:r>
        <w:rPr/>
        <w:t>期末余额前</w:t>
      </w:r>
      <w:r>
        <w:rPr>
          <w:rFonts w:ascii="Times New Roman" w:hAnsi="Times New Roman" w:cs="Times New Roman" w:eastAsia="Times New Roman" w:hint="default"/>
        </w:rPr>
        <w:t>5</w:t>
      </w:r>
      <w:r>
        <w:rPr/>
        <w:t>名的预付款项合计数为</w:t>
      </w:r>
      <w:r>
        <w:rPr>
          <w:rFonts w:ascii="Times New Roman" w:hAnsi="Times New Roman" w:cs="Times New Roman" w:eastAsia="Times New Roman" w:hint="default"/>
        </w:rPr>
        <w:t>7,897,204.10</w:t>
      </w:r>
      <w:r>
        <w:rPr/>
        <w:t>元，占预付款项期末余额合计数的比例为</w:t>
      </w:r>
      <w:r>
        <w:rPr>
          <w:rFonts w:ascii="Times New Roman" w:hAnsi="Times New Roman" w:cs="Times New Roman" w:eastAsia="Times New Roman" w:hint="default"/>
        </w:rPr>
        <w:t>21.75%</w:t>
      </w:r>
      <w:r>
        <w:rPr/>
        <w:t>。 其他说明：</w:t>
      </w:r>
    </w:p>
    <w:p>
      <w:pPr>
        <w:spacing w:line="240" w:lineRule="auto" w:before="1"/>
        <w:rPr>
          <w:rFonts w:ascii="宋体" w:hAnsi="宋体" w:cs="宋体" w:eastAsia="宋体" w:hint="default"/>
          <w:sz w:val="21"/>
          <w:szCs w:val="21"/>
        </w:rPr>
      </w:pPr>
    </w:p>
    <w:p>
      <w:pPr>
        <w:pStyle w:val="Heading3"/>
        <w:spacing w:line="240" w:lineRule="auto"/>
        <w:ind w:right="882"/>
        <w:jc w:val="left"/>
        <w:rPr>
          <w:b w:val="0"/>
          <w:bCs w:val="0"/>
        </w:rPr>
      </w:pPr>
      <w:bookmarkStart w:name="6、其他应收款" w:id="246"/>
      <w:bookmarkEnd w:id="246"/>
      <w:r>
        <w:rPr>
          <w:b w:val="0"/>
          <w:bCs w:val="0"/>
        </w:rPr>
      </w:r>
      <w:r>
        <w:rPr>
          <w:rFonts w:ascii="Times New Roman" w:hAnsi="Times New Roman" w:cs="Times New Roman" w:eastAsia="Times New Roman" w:hint="default"/>
        </w:rPr>
        <w:t>6</w:t>
      </w:r>
      <w:r>
        <w:rPr/>
        <w:t>、其他应收款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50,468,946.77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46,432,030.06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50,468,946.77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46,432,030.06</w:t>
            </w:r>
          </w:p>
        </w:tc>
      </w:tr>
    </w:tbl>
    <w:p>
      <w:pPr>
        <w:spacing w:line="240" w:lineRule="auto" w:before="5"/>
        <w:rPr>
          <w:rFonts w:ascii="宋体" w:hAnsi="宋体" w:cs="宋体" w:eastAsia="宋体" w:hint="default"/>
          <w:sz w:val="19"/>
          <w:szCs w:val="19"/>
        </w:rPr>
      </w:pPr>
    </w:p>
    <w:p>
      <w:pPr>
        <w:pStyle w:val="Heading3"/>
        <w:spacing w:line="240" w:lineRule="auto" w:before="34"/>
        <w:ind w:right="882"/>
        <w:jc w:val="left"/>
        <w:rPr>
          <w:b w:val="0"/>
          <w:bCs w:val="0"/>
        </w:rPr>
      </w:pPr>
      <w:bookmarkStart w:name="（1）应收利息" w:id="247"/>
      <w:bookmarkEnd w:id="247"/>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应收利息分类" w:id="248"/>
      <w:bookmarkEnd w:id="248"/>
      <w:r>
        <w:rPr>
          <w:b w:val="0"/>
          <w:bCs w:val="0"/>
        </w:rPr>
      </w:r>
      <w:r>
        <w:rPr>
          <w:rFonts w:ascii="Times New Roman" w:hAnsi="Times New Roman" w:cs="Times New Roman" w:eastAsia="Times New Roman" w:hint="default"/>
        </w:rPr>
        <w:t>1</w:t>
      </w:r>
      <w:r>
        <w:rPr/>
        <w:t>）应收利息分类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2）重要逾期利息" w:id="249"/>
      <w:bookmarkEnd w:id="249"/>
      <w:r>
        <w:rPr>
          <w:b w:val="0"/>
          <w:bCs w:val="0"/>
        </w:rPr>
      </w:r>
      <w:r>
        <w:rPr>
          <w:rFonts w:ascii="Times New Roman" w:hAnsi="Times New Roman" w:cs="Times New Roman" w:eastAsia="Times New Roman" w:hint="default"/>
        </w:rPr>
        <w:t>2</w:t>
      </w:r>
      <w:r>
        <w:rPr/>
        <w:t>）重要逾期利息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682" w:right="139"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3）坏账准备计提情况" w:id="250"/>
      <w:bookmarkEnd w:id="250"/>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应收股利" w:id="251"/>
      <w:bookmarkEnd w:id="251"/>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应收股利分类" w:id="252"/>
      <w:bookmarkEnd w:id="252"/>
      <w:r>
        <w:rPr>
          <w:b w:val="0"/>
          <w:bCs w:val="0"/>
        </w:rPr>
      </w:r>
      <w:r>
        <w:rPr>
          <w:rFonts w:ascii="Times New Roman" w:hAnsi="Times New Roman" w:cs="Times New Roman" w:eastAsia="Times New Roman" w:hint="default"/>
        </w:rPr>
        <w:t>1</w:t>
      </w:r>
      <w:r>
        <w:rPr/>
        <w:t>）应收股利分类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89" w:right="0"/>
              <w:jc w:val="left"/>
              <w:rPr>
                <w:rFonts w:ascii="宋体" w:hAnsi="宋体" w:cs="宋体" w:eastAsia="宋体" w:hint="default"/>
                <w:sz w:val="18"/>
                <w:szCs w:val="18"/>
              </w:rPr>
            </w:pPr>
            <w:r>
              <w:rPr>
                <w:rFonts w:ascii="宋体" w:hAnsi="宋体" w:cs="宋体" w:eastAsia="宋体" w:hint="default"/>
                <w:sz w:val="18"/>
                <w:szCs w:val="18"/>
              </w:rPr>
              <w:t>项目（或被投资单位）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重要的账龄超过1年的应收股利" w:id="253"/>
      <w:bookmarkEnd w:id="253"/>
      <w:r>
        <w:rPr>
          <w:b w:val="0"/>
          <w:bCs w:val="0"/>
        </w:rPr>
      </w:r>
      <w:r>
        <w:rPr>
          <w:rFonts w:ascii="Times New Roman" w:hAnsi="Times New Roman" w:cs="Times New Roman" w:eastAsia="Times New Roman" w:hint="default"/>
        </w:rPr>
        <w:t>2</w:t>
      </w:r>
      <w:r>
        <w:rPr/>
        <w:t>）重要的账龄超过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年的应收股利</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项目（或被投资单位）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82" w:right="139"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3）坏账准备计提情况" w:id="254"/>
      <w:bookmarkEnd w:id="254"/>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9224"/>
        <w:jc w:val="left"/>
      </w:pPr>
      <w:r>
        <w:rPr/>
        <w:t>□ 适用 √ 不适用 其他说明：</w:t>
      </w:r>
    </w:p>
    <w:p>
      <w:pPr>
        <w:spacing w:line="240" w:lineRule="auto" w:before="12"/>
        <w:rPr>
          <w:rFonts w:ascii="宋体" w:hAnsi="宋体" w:cs="宋体" w:eastAsia="宋体" w:hint="default"/>
          <w:sz w:val="19"/>
          <w:szCs w:val="19"/>
        </w:rPr>
      </w:pPr>
    </w:p>
    <w:p>
      <w:pPr>
        <w:pStyle w:val="Heading3"/>
        <w:spacing w:line="240" w:lineRule="auto"/>
        <w:ind w:right="882"/>
        <w:jc w:val="left"/>
        <w:rPr>
          <w:b w:val="0"/>
          <w:bCs w:val="0"/>
        </w:rPr>
      </w:pPr>
      <w:bookmarkStart w:name="（3）其他应收款" w:id="255"/>
      <w:bookmarkEnd w:id="255"/>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其他应收款按款项性质分类情况" w:id="256"/>
      <w:bookmarkEnd w:id="256"/>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57,850,572.80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52,141,891.46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2,524,943.87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3,324,008.12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5,292,742.69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5,744,996.58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65,668,259.36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61,210,896.16</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2）坏账准备计提情况" w:id="257"/>
      <w:bookmarkEnd w:id="257"/>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0"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1"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83" w:right="0"/>
              <w:jc w:val="left"/>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84" w:right="0"/>
              <w:jc w:val="left"/>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461" w:right="142" w:hanging="317"/>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 信用损失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43" w:right="144"/>
              <w:jc w:val="left"/>
              <w:rPr>
                <w:rFonts w:ascii="宋体" w:hAnsi="宋体" w:cs="宋体" w:eastAsia="宋体" w:hint="default"/>
                <w:sz w:val="18"/>
                <w:szCs w:val="18"/>
              </w:rPr>
            </w:pPr>
            <w:r>
              <w:rPr>
                <w:rFonts w:ascii="宋体" w:hAnsi="宋体" w:cs="宋体" w:eastAsia="宋体" w:hint="default"/>
                <w:sz w:val="18"/>
                <w:szCs w:val="18"/>
              </w:rPr>
              <w:t>整个存续期预期信用损 失（未发生信用减值）</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44" w:right="143"/>
              <w:jc w:val="left"/>
              <w:rPr>
                <w:rFonts w:ascii="宋体" w:hAnsi="宋体" w:cs="宋体" w:eastAsia="宋体" w:hint="default"/>
                <w:sz w:val="18"/>
                <w:szCs w:val="18"/>
              </w:rPr>
            </w:pPr>
            <w:r>
              <w:rPr>
                <w:rFonts w:ascii="宋体" w:hAnsi="宋体" w:cs="宋体" w:eastAsia="宋体" w:hint="default"/>
                <w:sz w:val="18"/>
                <w:szCs w:val="18"/>
              </w:rPr>
              <w:t>整个存续期预期信用损 失（已发生信用减值）</w:t>
            </w:r>
          </w:p>
        </w:tc>
        <w:tc>
          <w:tcPr>
            <w:tcW w:w="180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14,778,866.10</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14,778,866.10</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 在本期</w:t>
            </w:r>
          </w:p>
        </w:tc>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419,929.99</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419,929.99</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516.50</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516.50</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 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15,199,312.59</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15,199,312.59</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240" w:lineRule="auto" w:before="50"/>
        <w:ind w:right="-20"/>
        <w:jc w:val="left"/>
      </w:pPr>
      <w:r>
        <w:rPr/>
        <w:t>损失准备本期变动金额重大的账面余额变动情况</w:t>
      </w:r>
    </w:p>
    <w:p>
      <w:pPr>
        <w:pStyle w:val="BodyText"/>
        <w:spacing w:line="360" w:lineRule="auto" w:before="117"/>
        <w:ind w:right="2230"/>
        <w:jc w:val="left"/>
      </w:pPr>
      <w:r>
        <w:rPr/>
        <w:t>□ 适用 √ 不适用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2"/>
          <w:szCs w:val="12"/>
        </w:rPr>
      </w:pPr>
    </w:p>
    <w:p>
      <w:pPr>
        <w:pStyle w:val="BodyText"/>
        <w:spacing w:line="240" w:lineRule="auto"/>
        <w:ind w:right="0"/>
        <w:jc w:val="left"/>
      </w:pPr>
      <w:r>
        <w:rPr/>
        <w:t>单位：</w:t>
      </w:r>
      <w:r>
        <w:rPr>
          <w:spacing w:val="-2"/>
        </w:rPr>
        <w:t> </w:t>
      </w:r>
      <w:r>
        <w:rPr/>
        <w:t>元</w:t>
      </w:r>
    </w:p>
    <w:p>
      <w:pPr>
        <w:spacing w:after="0" w:line="240" w:lineRule="auto"/>
        <w:jc w:val="left"/>
        <w:sectPr>
          <w:type w:val="continuous"/>
          <w:pgSz w:w="11910" w:h="16840"/>
          <w:pgMar w:top="1100" w:bottom="1200" w:left="1020" w:right="0"/>
          <w:cols w:num="2" w:equalWidth="0">
            <w:col w:w="3893" w:space="4936"/>
            <w:col w:w="2061"/>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34,062,359.17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9,962,521.35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7,231,935.79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14,411,443.05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9,396,904.29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1,894,406.47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3,120,132.29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65,668,259.36</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3）本期计提、收回或转回的坏账准备情况" w:id="258"/>
      <w:bookmarkEnd w:id="258"/>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本期计提坏账准备情况：</w:t>
      </w:r>
    </w:p>
    <w:p>
      <w:pPr>
        <w:pStyle w:val="BodyText"/>
        <w:spacing w:line="240" w:lineRule="auto" w:before="117"/>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720"/>
        <w:gridCol w:w="1342"/>
        <w:gridCol w:w="1458"/>
        <w:gridCol w:w="1592"/>
        <w:gridCol w:w="1335"/>
        <w:gridCol w:w="2121"/>
      </w:tblGrid>
      <w:tr>
        <w:trPr>
          <w:trHeight w:val="402" w:hRule="exact"/>
        </w:trPr>
        <w:tc>
          <w:tcPr>
            <w:tcW w:w="172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3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0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38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21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69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720" w:type="dxa"/>
            <w:vMerge/>
            <w:tcBorders>
              <w:left w:val="single" w:sz="4" w:space="0" w:color="000000"/>
              <w:bottom w:val="single" w:sz="4" w:space="0" w:color="000000"/>
              <w:right w:val="single" w:sz="4" w:space="0" w:color="000000"/>
            </w:tcBorders>
            <w:shd w:val="clear" w:color="auto" w:fill="D2D2D2"/>
          </w:tcPr>
          <w:p>
            <w:pPr/>
          </w:p>
        </w:tc>
        <w:tc>
          <w:tcPr>
            <w:tcW w:w="1342" w:type="dxa"/>
            <w:vMerge/>
            <w:tcBorders>
              <w:left w:val="single" w:sz="4" w:space="0" w:color="000000"/>
              <w:bottom w:val="single" w:sz="4" w:space="0" w:color="000000"/>
              <w:right w:val="single" w:sz="4" w:space="0" w:color="000000"/>
            </w:tcBorders>
            <w:shd w:val="clear" w:color="auto" w:fill="D2D2D2"/>
          </w:tcPr>
          <w:p>
            <w:pPr/>
          </w:p>
        </w:tc>
        <w:tc>
          <w:tcPr>
            <w:tcW w:w="14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3"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1"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核销</w:t>
            </w:r>
          </w:p>
        </w:tc>
        <w:tc>
          <w:tcPr>
            <w:tcW w:w="2121"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14,778,866.10</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34" w:right="0"/>
              <w:jc w:val="left"/>
              <w:rPr>
                <w:rFonts w:ascii="Times New Roman" w:hAnsi="Times New Roman" w:cs="Times New Roman" w:eastAsia="Times New Roman" w:hint="default"/>
                <w:sz w:val="18"/>
                <w:szCs w:val="18"/>
              </w:rPr>
            </w:pPr>
            <w:r>
              <w:rPr>
                <w:rFonts w:ascii="Times New Roman"/>
                <w:sz w:val="18"/>
              </w:rPr>
              <w:t>420,446.49</w:t>
            </w:r>
          </w:p>
        </w:tc>
        <w:tc>
          <w:tcPr>
            <w:tcW w:w="1592"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2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15,199,312.59</w:t>
            </w:r>
          </w:p>
        </w:tc>
      </w:tr>
      <w:tr>
        <w:trPr>
          <w:trHeight w:val="402" w:hRule="exact"/>
        </w:trPr>
        <w:tc>
          <w:tcPr>
            <w:tcW w:w="1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14,778,866.10</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4" w:right="0"/>
              <w:jc w:val="left"/>
              <w:rPr>
                <w:rFonts w:ascii="Times New Roman" w:hAnsi="Times New Roman" w:cs="Times New Roman" w:eastAsia="Times New Roman" w:hint="default"/>
                <w:sz w:val="18"/>
                <w:szCs w:val="18"/>
              </w:rPr>
            </w:pPr>
            <w:r>
              <w:rPr>
                <w:rFonts w:ascii="Times New Roman"/>
                <w:sz w:val="18"/>
              </w:rPr>
              <w:t>420,446.49</w:t>
            </w:r>
          </w:p>
        </w:tc>
        <w:tc>
          <w:tcPr>
            <w:tcW w:w="1592"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2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15,199,312.59</w:t>
            </w:r>
          </w:p>
        </w:tc>
      </w:tr>
    </w:tbl>
    <w:p>
      <w:pPr>
        <w:pStyle w:val="BodyText"/>
        <w:spacing w:line="240" w:lineRule="auto" w:before="50"/>
        <w:ind w:right="882"/>
        <w:jc w:val="left"/>
      </w:pPr>
      <w:r>
        <w:rPr/>
        <w:t>其中本期坏账准备转回或收回金额重要的：</w:t>
      </w:r>
    </w:p>
    <w:p>
      <w:pPr>
        <w:pStyle w:val="BodyText"/>
        <w:spacing w:line="240" w:lineRule="auto" w:before="117"/>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58"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after="0" w:line="240" w:lineRule="auto"/>
        <w:jc w:val="center"/>
        <w:rPr>
          <w:rFonts w:ascii="宋体" w:hAnsi="宋体" w:cs="宋体" w:eastAsia="宋体" w:hint="default"/>
          <w:sz w:val="18"/>
          <w:szCs w:val="18"/>
        </w:rPr>
        <w:sectPr>
          <w:type w:val="continuous"/>
          <w:pgSz w:w="11910" w:h="16840"/>
          <w:pgMar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4）本期实际核销的其他应收款情况" w:id="259"/>
      <w:bookmarkEnd w:id="259"/>
      <w:r>
        <w:rPr>
          <w:b w:val="0"/>
          <w:bCs w:val="0"/>
        </w:rPr>
      </w:r>
      <w:r>
        <w:rPr>
          <w:rFonts w:ascii="Times New Roman" w:hAnsi="Times New Roman" w:cs="Times New Roman" w:eastAsia="Times New Roman" w:hint="default"/>
        </w:rPr>
        <w:t>4</w:t>
      </w:r>
      <w:r>
        <w:rPr/>
        <w:t>）本期实际核销的其他应收款情况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9"/>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5;height:397" coordorigin="13,13" coordsize="4775,397">
              <v:shape style="position:absolute;left:13;top:13;width:4775;height:397" coordorigin="13,13" coordsize="4775,397" path="m13,13l4788,13,4788,410,13,410,13,13xe" filled="true" fillcolor="#d2d2d2" stroked="false">
                <v:path arrowok="t"/>
                <v:fill type="solid"/>
              </v:shape>
            </v:group>
            <v:group style="position:absolute;left:4793;top:13;width:4783;height:397" coordorigin="4793,13" coordsize="4783,397">
              <v:shape style="position:absolute;left:4793;top:13;width:4783;height:397" coordorigin="4793,13" coordsize="4783,397" path="m4793,13l9576,13,9576,410,4793,410,4793,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0;top:5;width:2;height:402" coordorigin="4790,5" coordsize="2,402">
              <v:shape style="position:absolute;left:4790;top:5;width:2;height:402" coordorigin="4790,5" coordsize="0,402" path="m4790,5l4790,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19;top:1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0;top:10;width:4788;height:402" type="#_x0000_t202" filled="false" stroked="false">
                <v:textbox inset="0,0,0,0">
                  <w:txbxContent>
                    <w:p>
                      <w:pPr>
                        <w:spacing w:before="57"/>
                        <w:ind w:left="1" w:right="0"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1"/>
        <w:ind w:right="882"/>
        <w:jc w:val="left"/>
      </w:pPr>
      <w:r>
        <w:rPr/>
        <w:t>其中重要的其他应收款核销情况：</w:t>
      </w:r>
    </w:p>
    <w:p>
      <w:pPr>
        <w:pStyle w:val="BodyText"/>
        <w:spacing w:line="240" w:lineRule="auto" w:before="117"/>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5"/>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61"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432" w:right="162" w:hanging="272"/>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pStyle w:val="BodyText"/>
        <w:spacing w:line="240" w:lineRule="auto" w:before="51"/>
        <w:ind w:right="882"/>
        <w:jc w:val="left"/>
      </w:pPr>
      <w:r>
        <w:rPr/>
        <w:t>其他应收款核销说明：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5）按欠款方归集的期末余额前五名的其他应收款情况" w:id="260"/>
      <w:bookmarkEnd w:id="260"/>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5"/>
        <w:gridCol w:w="1595"/>
      </w:tblGrid>
      <w:tr>
        <w:trPr>
          <w:trHeight w:val="1026"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43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34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2" w:right="160"/>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01" w:right="162"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220"/>
              <w:jc w:val="left"/>
              <w:rPr>
                <w:rFonts w:ascii="宋体" w:hAnsi="宋体" w:cs="宋体" w:eastAsia="宋体" w:hint="default"/>
                <w:sz w:val="18"/>
                <w:szCs w:val="18"/>
              </w:rPr>
            </w:pPr>
            <w:r>
              <w:rPr>
                <w:rFonts w:ascii="宋体" w:hAnsi="宋体" w:cs="宋体" w:eastAsia="宋体" w:hint="default"/>
                <w:sz w:val="18"/>
                <w:szCs w:val="18"/>
              </w:rPr>
              <w:t>福建医科大学附 属协和医院</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7,367,787.75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11.22%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368,389.39</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20"/>
              <w:jc w:val="left"/>
              <w:rPr>
                <w:rFonts w:ascii="宋体" w:hAnsi="宋体" w:cs="宋体" w:eastAsia="宋体" w:hint="default"/>
                <w:sz w:val="18"/>
                <w:szCs w:val="18"/>
              </w:rPr>
            </w:pPr>
            <w:r>
              <w:rPr>
                <w:rFonts w:ascii="宋体" w:hAnsi="宋体" w:cs="宋体" w:eastAsia="宋体" w:hint="default"/>
                <w:sz w:val="18"/>
                <w:szCs w:val="18"/>
              </w:rPr>
              <w:t>中国人民解放军 第八五医院</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4,474,000.00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6.81%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2,237,000.00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220"/>
              <w:jc w:val="left"/>
              <w:rPr>
                <w:rFonts w:ascii="宋体" w:hAnsi="宋体" w:cs="宋体" w:eastAsia="宋体" w:hint="default"/>
                <w:sz w:val="18"/>
                <w:szCs w:val="18"/>
              </w:rPr>
            </w:pPr>
            <w:r>
              <w:rPr>
                <w:rFonts w:ascii="宋体" w:hAnsi="宋体" w:cs="宋体" w:eastAsia="宋体" w:hint="default"/>
                <w:sz w:val="18"/>
                <w:szCs w:val="18"/>
              </w:rPr>
              <w:t>新疆国恒投资发 展集团有限公司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4,257,000.00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6.48%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212,850.00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20"/>
              <w:jc w:val="left"/>
              <w:rPr>
                <w:rFonts w:ascii="宋体" w:hAnsi="宋体" w:cs="宋体" w:eastAsia="宋体" w:hint="default"/>
                <w:sz w:val="18"/>
                <w:szCs w:val="18"/>
              </w:rPr>
            </w:pPr>
            <w:r>
              <w:rPr>
                <w:rFonts w:ascii="宋体" w:hAnsi="宋体" w:cs="宋体" w:eastAsia="宋体" w:hint="default"/>
                <w:sz w:val="18"/>
                <w:szCs w:val="18"/>
              </w:rPr>
              <w:t>长寿健康保险股 份有限公司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3.20%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1,050,000.00</w:t>
            </w:r>
          </w:p>
        </w:tc>
      </w:tr>
      <w:tr>
        <w:trPr>
          <w:trHeight w:val="196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101" w:right="220"/>
              <w:jc w:val="left"/>
              <w:rPr>
                <w:rFonts w:ascii="宋体" w:hAnsi="宋体" w:cs="宋体" w:eastAsia="宋体" w:hint="default"/>
                <w:sz w:val="18"/>
                <w:szCs w:val="18"/>
              </w:rPr>
            </w:pPr>
            <w:r>
              <w:rPr>
                <w:rFonts w:ascii="宋体" w:hAnsi="宋体" w:cs="宋体" w:eastAsia="宋体" w:hint="default"/>
                <w:sz w:val="18"/>
                <w:szCs w:val="18"/>
              </w:rPr>
              <w:t>杭州迪佛通信股 份有限公司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103"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1,149,654.70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322,984.00</w:t>
            </w:r>
            <w:r>
              <w:rPr>
                <w:rFonts w:ascii="宋体" w:hAnsi="宋体" w:cs="宋体" w:eastAsia="宋体" w:hint="default"/>
                <w:sz w:val="18"/>
                <w:szCs w:val="18"/>
              </w:rPr>
              <w:t>，</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430,000.00</w:t>
            </w:r>
            <w:r>
              <w:rPr>
                <w:rFonts w:ascii="宋体" w:hAnsi="宋体" w:cs="宋体" w:eastAsia="宋体" w:hint="default"/>
                <w:sz w:val="18"/>
                <w:szCs w:val="18"/>
              </w:rPr>
              <w:t>，</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130,000.00</w:t>
            </w:r>
            <w:r>
              <w:rPr>
                <w:rFonts w:ascii="宋体" w:hAnsi="宋体" w:cs="宋体" w:eastAsia="宋体" w:hint="default"/>
                <w:sz w:val="18"/>
                <w:szCs w:val="18"/>
              </w:rPr>
              <w:t>，</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50,935.00</w:t>
            </w:r>
            <w:r>
              <w:rPr>
                <w:rFonts w:ascii="宋体" w:hAnsi="宋体" w:cs="宋体" w:eastAsia="宋体" w:hint="default"/>
                <w:sz w:val="18"/>
                <w:szCs w:val="18"/>
              </w:rPr>
              <w:t>，</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215,735.70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1.75%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515,080.50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19,348,442.45</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29.46%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4,383,319.89</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6）涉及政府补助的应收款项" w:id="261"/>
      <w:bookmarkEnd w:id="261"/>
      <w:r>
        <w:rPr>
          <w:b w:val="0"/>
          <w:bCs w:val="0"/>
        </w:rPr>
      </w:r>
      <w:r>
        <w:rPr>
          <w:rFonts w:ascii="Times New Roman" w:hAnsi="Times New Roman" w:cs="Times New Roman" w:eastAsia="Times New Roman" w:hint="default"/>
        </w:rPr>
        <w:t>6</w:t>
      </w:r>
      <w:r>
        <w:rPr/>
        <w:t>）涉及政府补助的应收款项</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4"/>
        <w:gridCol w:w="1914"/>
        <w:gridCol w:w="1914"/>
        <w:gridCol w:w="1916"/>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3" w:right="142" w:hanging="452"/>
              <w:jc w:val="left"/>
              <w:rPr>
                <w:rFonts w:ascii="宋体" w:hAnsi="宋体" w:cs="宋体" w:eastAsia="宋体" w:hint="default"/>
                <w:sz w:val="18"/>
                <w:szCs w:val="18"/>
              </w:rPr>
            </w:pPr>
            <w:r>
              <w:rPr>
                <w:rFonts w:ascii="宋体" w:hAnsi="宋体" w:cs="宋体" w:eastAsia="宋体" w:hint="default"/>
                <w:sz w:val="18"/>
                <w:szCs w:val="18"/>
              </w:rPr>
              <w:t>预计收取的时间、金 额及依据</w:t>
            </w:r>
          </w:p>
        </w:tc>
      </w:tr>
    </w:tbl>
    <w:p>
      <w:pPr>
        <w:spacing w:after="0" w:line="316"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7）因金融资产转移而终止确认的其他应收款" w:id="262"/>
      <w:bookmarkEnd w:id="262"/>
      <w:r>
        <w:rPr>
          <w:b w:val="0"/>
          <w:bCs w:val="0"/>
        </w:rPr>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8）转移其他应收款且继续涉入形成的资产、负债金额" w:id="263"/>
      <w:bookmarkEnd w:id="263"/>
      <w:r>
        <w:rPr>
          <w:b w:val="0"/>
          <w:bCs w:val="0"/>
        </w:rPr>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7、存货" w:id="264"/>
      <w:bookmarkEnd w:id="264"/>
      <w:r>
        <w:rPr>
          <w:b w:val="0"/>
          <w:bCs w:val="0"/>
        </w:rPr>
      </w:r>
      <w:r>
        <w:rPr>
          <w:rFonts w:ascii="Times New Roman" w:hAnsi="Times New Roman" w:cs="Times New Roman" w:eastAsia="Times New Roman" w:hint="default"/>
        </w:rPr>
        <w:t>7</w:t>
      </w:r>
      <w:r>
        <w:rPr/>
        <w:t>、存货</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是否已执行新收入准则</w:t>
      </w:r>
    </w:p>
    <w:p>
      <w:pPr>
        <w:pStyle w:val="BodyText"/>
        <w:spacing w:line="240" w:lineRule="auto" w:before="117"/>
        <w:ind w:right="882"/>
        <w:jc w:val="left"/>
      </w:pPr>
      <w:r>
        <w:rPr/>
        <w:t>□ 是 √ 否</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1）存货分类" w:id="265"/>
      <w:bookmarkEnd w:id="265"/>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8,428,456.29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8,428,456.29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4,523,242.59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4,523,242.59</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304,379.01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304,379.01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521,518.26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521,518.26</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135,756,369.21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861,358.13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134,895,011.08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82,597,871.47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158,531.10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82,439,340.37</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144,489,204.51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861,358.13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143,627,846.38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87,642,632.32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158,531.10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87,484,101.22</w:t>
            </w:r>
          </w:p>
        </w:tc>
      </w:tr>
    </w:tbl>
    <w:p>
      <w:pPr>
        <w:spacing w:line="240" w:lineRule="auto" w:before="5"/>
        <w:rPr>
          <w:rFonts w:ascii="宋体" w:hAnsi="宋体" w:cs="宋体" w:eastAsia="宋体" w:hint="default"/>
          <w:sz w:val="19"/>
          <w:szCs w:val="19"/>
        </w:rPr>
      </w:pPr>
    </w:p>
    <w:p>
      <w:pPr>
        <w:pStyle w:val="Heading3"/>
        <w:spacing w:line="240" w:lineRule="auto" w:before="34"/>
        <w:ind w:right="882"/>
        <w:jc w:val="left"/>
        <w:rPr>
          <w:b w:val="0"/>
          <w:bCs w:val="0"/>
        </w:rPr>
      </w:pPr>
      <w:bookmarkStart w:name="（2）存货跌价准备" w:id="266"/>
      <w:bookmarkEnd w:id="266"/>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2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21"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7"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8"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158,531.10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744,086.01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41,258.98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861,358.13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158,531.10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445" w:right="0"/>
              <w:jc w:val="left"/>
              <w:rPr>
                <w:rFonts w:ascii="Times New Roman" w:hAnsi="Times New Roman" w:cs="Times New Roman" w:eastAsia="Times New Roman" w:hint="default"/>
                <w:sz w:val="18"/>
                <w:szCs w:val="18"/>
              </w:rPr>
            </w:pPr>
            <w:r>
              <w:rPr>
                <w:rFonts w:ascii="Times New Roman"/>
                <w:sz w:val="18"/>
              </w:rPr>
              <w:t>744,086.01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41,258.98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861,358.13</w:t>
            </w:r>
          </w:p>
        </w:tc>
      </w:tr>
    </w:tbl>
    <w:p>
      <w:pPr>
        <w:pStyle w:val="BodyText"/>
        <w:spacing w:line="316" w:lineRule="auto" w:before="9"/>
        <w:ind w:right="882" w:firstLine="360"/>
        <w:jc w:val="left"/>
      </w:pPr>
      <w:r>
        <w:rPr>
          <w:spacing w:val="-2"/>
        </w:rPr>
        <w:t>资产负债表日，存货采用成本与可变现净值孰低计量，按照单个存货成本高于可变现净值的差额计提存货跌价准备。库</w:t>
      </w:r>
      <w:r>
        <w:rPr/>
        <w:t> 存商品以该存货的估计售价减去估计的销售费用和相关税费后的金额确定其可变现净值。</w:t>
      </w:r>
    </w:p>
    <w:p>
      <w:pPr>
        <w:spacing w:line="240" w:lineRule="auto" w:before="8"/>
        <w:rPr>
          <w:rFonts w:ascii="宋体" w:hAnsi="宋体" w:cs="宋体" w:eastAsia="宋体" w:hint="default"/>
          <w:sz w:val="22"/>
          <w:szCs w:val="22"/>
        </w:rPr>
      </w:pPr>
    </w:p>
    <w:p>
      <w:pPr>
        <w:pStyle w:val="Heading3"/>
        <w:spacing w:line="240" w:lineRule="auto"/>
        <w:ind w:right="882"/>
        <w:jc w:val="left"/>
        <w:rPr>
          <w:b w:val="0"/>
          <w:bCs w:val="0"/>
        </w:rPr>
      </w:pPr>
      <w:bookmarkStart w:name="（3）存货期末余额含有借款费用资本化金额的说明" w:id="267"/>
      <w:bookmarkEnd w:id="267"/>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4）期末建造合同形成的已完工未结算资产情况" w:id="268"/>
      <w:bookmarkEnd w:id="268"/>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9"/>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8;height:397" coordorigin="13,13" coordsize="4778,397">
              <v:shape style="position:absolute;left:13;top:13;width:4778;height:397" coordorigin="13,13" coordsize="4778,397" path="m13,13l4791,13,4791,410,13,410,13,13xe" filled="true" fillcolor="#d2d2d2" stroked="false">
                <v:path arrowok="t"/>
                <v:fill type="solid"/>
              </v:shape>
            </v:group>
            <v:group style="position:absolute;left:4796;top:13;width:4780;height:397" coordorigin="4796,13" coordsize="4780,397">
              <v:shape style="position:absolute;left:4796;top:13;width:4780;height:397" coordorigin="4796,13" coordsize="4780,397" path="m4796,13l9576,13,9576,410,4796,410,4796,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3;top:5;width:2;height:402" coordorigin="4793,5" coordsize="2,402">
              <v:shape style="position:absolute;left:4793;top:5;width:2;height:402" coordorigin="4793,5" coordsize="0,402" path="m4793,5l4793,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21;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7004;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2"/>
        <w:ind w:right="882"/>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8、其他流动资产" w:id="269"/>
      <w:bookmarkEnd w:id="269"/>
      <w:r>
        <w:rPr>
          <w:b w:val="0"/>
          <w:bCs w:val="0"/>
        </w:rPr>
      </w:r>
      <w:r>
        <w:rPr>
          <w:rFonts w:ascii="Times New Roman" w:hAnsi="Times New Roman" w:cs="Times New Roman" w:eastAsia="Times New Roman" w:hint="default"/>
        </w:rPr>
        <w:t>8</w:t>
      </w:r>
      <w:r>
        <w:rPr/>
        <w:t>、其他流动资产</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footerReference w:type="default" r:id="rId46"/>
          <w:pgSz w:w="11910" w:h="16840"/>
          <w:pgMar w:footer="1016" w:header="907" w:top="1100" w:bottom="1200" w:left="1020" w:right="0"/>
          <w:pgNumType w:start="150"/>
        </w:sectPr>
      </w:pPr>
    </w:p>
    <w:p>
      <w:pPr>
        <w:pStyle w:val="BodyText"/>
        <w:spacing w:line="240" w:lineRule="auto" w:before="44"/>
        <w:ind w:right="-20"/>
        <w:jc w:val="left"/>
      </w:pPr>
      <w:r>
        <w:rPr/>
        <w:t>是否已执行新收入准则</w:t>
      </w:r>
    </w:p>
    <w:p>
      <w:pPr>
        <w:pStyle w:val="BodyText"/>
        <w:spacing w:line="240" w:lineRule="auto" w:before="117"/>
        <w:ind w:right="-20"/>
        <w:jc w:val="left"/>
      </w:pPr>
      <w:r>
        <w:rPr/>
        <w:t>□ 是 √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2"/>
        </w:rPr>
        <w:t> </w:t>
      </w:r>
      <w:r>
        <w:rPr/>
        <w:t>元</w:t>
      </w:r>
    </w:p>
    <w:p>
      <w:pPr>
        <w:spacing w:after="0" w:line="240" w:lineRule="auto"/>
        <w:jc w:val="left"/>
        <w:sectPr>
          <w:type w:val="continuous"/>
          <w:pgSz w:w="11910" w:h="16840"/>
          <w:pgMar w:top="1100" w:bottom="1200" w:left="1020" w:right="0"/>
          <w:cols w:num="2" w:equalWidth="0">
            <w:col w:w="1913" w:space="6916"/>
            <w:col w:w="2061"/>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待抵扣增值税进项税额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2,528,510.65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2,277,778.07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1,075,350.79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2,298,772.02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56,168.44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3,603,861.44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4,632,718.53</w:t>
            </w:r>
          </w:p>
        </w:tc>
      </w:tr>
    </w:tbl>
    <w:p>
      <w:pPr>
        <w:pStyle w:val="BodyText"/>
        <w:spacing w:line="240" w:lineRule="auto" w:before="5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9、债权投资" w:id="270"/>
      <w:bookmarkEnd w:id="270"/>
      <w:r>
        <w:rPr>
          <w:b w:val="0"/>
          <w:bCs w:val="0"/>
        </w:rPr>
      </w:r>
      <w:r>
        <w:rPr>
          <w:rFonts w:ascii="Times New Roman" w:hAnsi="Times New Roman" w:cs="Times New Roman" w:eastAsia="Times New Roman" w:hint="default"/>
        </w:rPr>
        <w:t>9</w:t>
      </w:r>
      <w:r>
        <w:rPr/>
        <w:t>、债权投资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债权投资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4" w:right="0"/>
              <w:jc w:val="center"/>
              <w:rPr>
                <w:rFonts w:ascii="Times New Roman" w:hAnsi="Times New Roman" w:cs="Times New Roman" w:eastAsia="Times New Roman" w:hint="default"/>
                <w:sz w:val="18"/>
                <w:szCs w:val="18"/>
              </w:rPr>
            </w:pPr>
            <w:r>
              <w:rPr>
                <w:rFonts w:ascii="Times New Roman"/>
                <w:sz w:val="18"/>
              </w:rPr>
              <w:t>15,000,000.00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6" w:right="0"/>
              <w:jc w:val="center"/>
              <w:rPr>
                <w:rFonts w:ascii="Times New Roman" w:hAnsi="Times New Roman" w:cs="Times New Roman" w:eastAsia="Times New Roman" w:hint="default"/>
                <w:sz w:val="18"/>
                <w:szCs w:val="18"/>
              </w:rPr>
            </w:pPr>
            <w:r>
              <w:rPr>
                <w:rFonts w:ascii="Times New Roman"/>
                <w:sz w:val="18"/>
              </w:rPr>
              <w:t>15,000,000.00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center"/>
              <w:rPr>
                <w:rFonts w:ascii="Times New Roman" w:hAnsi="Times New Roman" w:cs="Times New Roman" w:eastAsia="Times New Roman" w:hint="default"/>
                <w:sz w:val="18"/>
                <w:szCs w:val="18"/>
              </w:rPr>
            </w:pPr>
            <w:r>
              <w:rPr>
                <w:rFonts w:ascii="Times New Roman"/>
                <w:sz w:val="18"/>
              </w:rPr>
              <w:t>15,000,000.00</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15,000,000.00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14" w:right="0"/>
              <w:jc w:val="center"/>
              <w:rPr>
                <w:rFonts w:ascii="Times New Roman" w:hAnsi="Times New Roman" w:cs="Times New Roman" w:eastAsia="Times New Roman" w:hint="default"/>
                <w:sz w:val="18"/>
                <w:szCs w:val="18"/>
              </w:rPr>
            </w:pPr>
            <w:r>
              <w:rPr>
                <w:rFonts w:ascii="Times New Roman"/>
                <w:sz w:val="18"/>
              </w:rPr>
              <w:t>15,000,000.00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16" w:right="0"/>
              <w:jc w:val="center"/>
              <w:rPr>
                <w:rFonts w:ascii="Times New Roman" w:hAnsi="Times New Roman" w:cs="Times New Roman" w:eastAsia="Times New Roman" w:hint="default"/>
                <w:sz w:val="18"/>
                <w:szCs w:val="18"/>
              </w:rPr>
            </w:pPr>
            <w:r>
              <w:rPr>
                <w:rFonts w:ascii="Times New Roman"/>
                <w:sz w:val="18"/>
              </w:rPr>
              <w:t>15,000,000.00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15" w:right="0"/>
              <w:jc w:val="center"/>
              <w:rPr>
                <w:rFonts w:ascii="Times New Roman" w:hAnsi="Times New Roman" w:cs="Times New Roman" w:eastAsia="Times New Roman" w:hint="default"/>
                <w:sz w:val="18"/>
                <w:szCs w:val="18"/>
              </w:rPr>
            </w:pPr>
            <w:r>
              <w:rPr>
                <w:rFonts w:ascii="Times New Roman"/>
                <w:sz w:val="18"/>
              </w:rPr>
              <w:t>15,000,000.00</w:t>
            </w:r>
          </w:p>
        </w:tc>
      </w:tr>
    </w:tbl>
    <w:p>
      <w:pPr>
        <w:pStyle w:val="BodyText"/>
        <w:spacing w:line="240" w:lineRule="auto" w:before="49"/>
        <w:ind w:right="882"/>
        <w:jc w:val="left"/>
      </w:pPr>
      <w:r>
        <w:rPr/>
        <w:t>重要的债权投资</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957"/>
        <w:gridCol w:w="958"/>
        <w:gridCol w:w="956"/>
        <w:gridCol w:w="957"/>
        <w:gridCol w:w="956"/>
        <w:gridCol w:w="957"/>
        <w:gridCol w:w="956"/>
        <w:gridCol w:w="957"/>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93" w:right="0"/>
              <w:jc w:val="left"/>
              <w:rPr>
                <w:rFonts w:ascii="宋体" w:hAnsi="宋体" w:cs="宋体" w:eastAsia="宋体" w:hint="default"/>
                <w:sz w:val="18"/>
                <w:szCs w:val="18"/>
              </w:rPr>
            </w:pPr>
            <w:r>
              <w:rPr>
                <w:rFonts w:ascii="宋体" w:hAnsi="宋体" w:cs="宋体" w:eastAsia="宋体" w:hint="default"/>
                <w:sz w:val="18"/>
                <w:szCs w:val="18"/>
              </w:rPr>
              <w:t>债权项目</w:t>
            </w:r>
          </w:p>
        </w:tc>
        <w:tc>
          <w:tcPr>
            <w:tcW w:w="382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3"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3"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3"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2"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12"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03" w:right="0"/>
              <w:jc w:val="left"/>
              <w:rPr>
                <w:rFonts w:ascii="宋体" w:hAnsi="宋体" w:cs="宋体" w:eastAsia="宋体" w:hint="default"/>
                <w:sz w:val="18"/>
                <w:szCs w:val="18"/>
              </w:rPr>
            </w:pPr>
            <w:r>
              <w:rPr>
                <w:rFonts w:ascii="宋体" w:hAnsi="宋体" w:cs="宋体" w:eastAsia="宋体" w:hint="default"/>
                <w:sz w:val="18"/>
                <w:szCs w:val="18"/>
              </w:rPr>
              <w:t>到期日</w:t>
            </w:r>
          </w:p>
        </w:tc>
      </w:tr>
    </w:tbl>
    <w:p>
      <w:pPr>
        <w:pStyle w:val="BodyText"/>
        <w:spacing w:line="240" w:lineRule="auto" w:before="49"/>
        <w:ind w:right="882"/>
        <w:jc w:val="left"/>
      </w:pPr>
      <w:r>
        <w:rPr/>
        <w:t>减值准备计提情况</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59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461" w:right="142" w:hanging="317"/>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 信用损失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43" w:right="144"/>
              <w:jc w:val="left"/>
              <w:rPr>
                <w:rFonts w:ascii="宋体" w:hAnsi="宋体" w:cs="宋体" w:eastAsia="宋体" w:hint="default"/>
                <w:sz w:val="18"/>
                <w:szCs w:val="18"/>
              </w:rPr>
            </w:pPr>
            <w:r>
              <w:rPr>
                <w:rFonts w:ascii="宋体" w:hAnsi="宋体" w:cs="宋体" w:eastAsia="宋体" w:hint="default"/>
                <w:sz w:val="18"/>
                <w:szCs w:val="18"/>
              </w:rPr>
              <w:t>整个存续期预期信用损 失（未发生信用减值）</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44" w:right="143"/>
              <w:jc w:val="left"/>
              <w:rPr>
                <w:rFonts w:ascii="宋体" w:hAnsi="宋体" w:cs="宋体" w:eastAsia="宋体" w:hint="default"/>
                <w:sz w:val="18"/>
                <w:szCs w:val="18"/>
              </w:rPr>
            </w:pPr>
            <w:r>
              <w:rPr>
                <w:rFonts w:ascii="宋体" w:hAnsi="宋体" w:cs="宋体" w:eastAsia="宋体" w:hint="default"/>
                <w:sz w:val="18"/>
                <w:szCs w:val="18"/>
              </w:rPr>
              <w:t>整个存续期预期信用损 失（已发生信用减值）</w:t>
            </w:r>
          </w:p>
        </w:tc>
        <w:tc>
          <w:tcPr>
            <w:tcW w:w="1804"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 在本期</w:t>
            </w:r>
          </w:p>
        </w:tc>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BodyText"/>
        <w:spacing w:line="240" w:lineRule="auto" w:before="49"/>
        <w:ind w:right="882"/>
        <w:jc w:val="left"/>
      </w:pPr>
      <w:r>
        <w:rPr/>
        <w:t>损失准备本期变动金额重大的账面余额变动情况</w:t>
      </w:r>
    </w:p>
    <w:p>
      <w:pPr>
        <w:pStyle w:val="BodyText"/>
        <w:spacing w:line="357" w:lineRule="auto" w:before="117"/>
        <w:ind w:right="9224"/>
        <w:jc w:val="left"/>
      </w:pPr>
      <w:r>
        <w:rPr/>
        <w:t>□ 适用 √ 不适用 其他说明：</w:t>
      </w:r>
    </w:p>
    <w:p>
      <w:pPr>
        <w:pStyle w:val="BodyText"/>
        <w:spacing w:line="300" w:lineRule="auto" w:before="29"/>
        <w:ind w:right="882" w:firstLine="360"/>
        <w:jc w:val="left"/>
      </w:pPr>
      <w:r>
        <w:rPr>
          <w:spacing w:val="-1"/>
        </w:rPr>
        <w:t>公司作为有限合伙人于</w:t>
      </w:r>
      <w:r>
        <w:rPr>
          <w:rFonts w:ascii="Times New Roman" w:hAnsi="Times New Roman" w:cs="Times New Roman" w:eastAsia="Times New Roman" w:hint="default"/>
          <w:spacing w:val="-1"/>
        </w:rPr>
        <w:t>2016</w:t>
      </w:r>
      <w:r>
        <w:rPr>
          <w:spacing w:val="-1"/>
        </w:rPr>
        <w:t>年对义乌钱塘体育文化投资合伙企业（有限合伙）进行投资，约定每年可以获得</w:t>
      </w:r>
      <w:r>
        <w:rPr>
          <w:rFonts w:ascii="Times New Roman" w:hAnsi="Times New Roman" w:cs="Times New Roman" w:eastAsia="Times New Roman" w:hint="default"/>
          <w:spacing w:val="-1"/>
        </w:rPr>
        <w:t>4.75%</w:t>
      </w:r>
      <w:r>
        <w:rPr>
          <w:spacing w:val="-1"/>
        </w:rPr>
        <w:t>的固</w:t>
      </w:r>
      <w:r>
        <w:rPr/>
        <w:t> 定回报，投资三年后进入退出期。</w:t>
      </w:r>
    </w:p>
    <w:p>
      <w:pPr>
        <w:spacing w:after="0" w:line="300" w:lineRule="auto"/>
        <w:jc w:val="left"/>
        <w:sectPr>
          <w:type w:val="continuous"/>
          <w:pgSz w:w="11910" w:h="16840"/>
          <w:pgMar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10、长期股权投资" w:id="271"/>
      <w:bookmarkEnd w:id="271"/>
      <w:r>
        <w:rPr>
          <w:b w:val="0"/>
          <w:bCs w:val="0"/>
        </w:rPr>
      </w:r>
      <w:r>
        <w:rPr>
          <w:rFonts w:ascii="Times New Roman" w:hAnsi="Times New Roman" w:cs="Times New Roman" w:eastAsia="Times New Roman" w:hint="default"/>
        </w:rPr>
        <w:t>10</w:t>
      </w:r>
      <w:r>
        <w:rPr/>
        <w:t>、长期股权投资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302" w:hRule="exact"/>
        </w:trPr>
        <w:tc>
          <w:tcPr>
            <w:tcW w:w="796"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383" w:type="dxa"/>
            <w:gridSpan w:val="8"/>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00" w:hRule="exact"/>
        </w:trPr>
        <w:tc>
          <w:tcPr>
            <w:tcW w:w="7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0"/>
                <w:szCs w:val="20"/>
              </w:rPr>
            </w:pPr>
          </w:p>
          <w:p>
            <w:pPr>
              <w:pStyle w:val="TableParagraph"/>
              <w:spacing w:line="316" w:lineRule="auto"/>
              <w:ind w:left="212" w:right="120" w:hanging="89"/>
              <w:jc w:val="left"/>
              <w:rPr>
                <w:rFonts w:ascii="宋体" w:hAnsi="宋体" w:cs="宋体" w:eastAsia="宋体" w:hint="default"/>
                <w:sz w:val="18"/>
                <w:szCs w:val="18"/>
              </w:rPr>
            </w:pPr>
            <w:r>
              <w:rPr>
                <w:rFonts w:ascii="宋体" w:hAnsi="宋体" w:cs="宋体" w:eastAsia="宋体" w:hint="default"/>
                <w:sz w:val="18"/>
                <w:szCs w:val="18"/>
              </w:rPr>
              <w:t>被投资 单位</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190" w:lineRule="exact"/>
              <w:ind w:left="122" w:right="0"/>
              <w:jc w:val="left"/>
              <w:rPr>
                <w:rFonts w:ascii="宋体" w:hAnsi="宋体" w:cs="宋体" w:eastAsia="宋体" w:hint="default"/>
                <w:sz w:val="18"/>
                <w:szCs w:val="18"/>
              </w:rPr>
            </w:pPr>
            <w:r>
              <w:rPr>
                <w:rFonts w:ascii="宋体" w:hAnsi="宋体" w:cs="宋体" w:eastAsia="宋体" w:hint="default"/>
                <w:sz w:val="18"/>
                <w:szCs w:val="18"/>
              </w:rPr>
              <w:t>期初余</w:t>
            </w:r>
          </w:p>
          <w:p>
            <w:pPr>
              <w:pStyle w:val="TableParagraph"/>
              <w:spacing w:line="316" w:lineRule="auto" w:before="76"/>
              <w:ind w:left="213" w:right="123" w:hanging="92"/>
              <w:jc w:val="left"/>
              <w:rPr>
                <w:rFonts w:ascii="宋体" w:hAnsi="宋体" w:cs="宋体" w:eastAsia="宋体" w:hint="default"/>
                <w:sz w:val="18"/>
                <w:szCs w:val="18"/>
              </w:rPr>
            </w:pPr>
            <w:r>
              <w:rPr>
                <w:rFonts w:ascii="宋体" w:hAnsi="宋体" w:cs="宋体" w:eastAsia="宋体" w:hint="default"/>
                <w:sz w:val="18"/>
                <w:szCs w:val="18"/>
              </w:rPr>
              <w:t>额（账 面价 值）</w:t>
            </w:r>
          </w:p>
        </w:tc>
        <w:tc>
          <w:tcPr>
            <w:tcW w:w="6383" w:type="dxa"/>
            <w:gridSpan w:val="8"/>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190" w:lineRule="exact"/>
              <w:ind w:left="125" w:right="0"/>
              <w:jc w:val="left"/>
              <w:rPr>
                <w:rFonts w:ascii="宋体" w:hAnsi="宋体" w:cs="宋体" w:eastAsia="宋体" w:hint="default"/>
                <w:sz w:val="18"/>
                <w:szCs w:val="18"/>
              </w:rPr>
            </w:pPr>
            <w:r>
              <w:rPr>
                <w:rFonts w:ascii="宋体" w:hAnsi="宋体" w:cs="宋体" w:eastAsia="宋体" w:hint="default"/>
                <w:sz w:val="18"/>
                <w:szCs w:val="18"/>
              </w:rPr>
              <w:t>期末余</w:t>
            </w:r>
          </w:p>
          <w:p>
            <w:pPr>
              <w:pStyle w:val="TableParagraph"/>
              <w:spacing w:line="316" w:lineRule="auto" w:before="76"/>
              <w:ind w:left="213" w:right="121" w:hanging="89"/>
              <w:jc w:val="left"/>
              <w:rPr>
                <w:rFonts w:ascii="宋体" w:hAnsi="宋体" w:cs="宋体" w:eastAsia="宋体" w:hint="default"/>
                <w:sz w:val="18"/>
                <w:szCs w:val="18"/>
              </w:rPr>
            </w:pPr>
            <w:r>
              <w:rPr>
                <w:rFonts w:ascii="宋体" w:hAnsi="宋体" w:cs="宋体" w:eastAsia="宋体" w:hint="default"/>
                <w:sz w:val="18"/>
                <w:szCs w:val="18"/>
              </w:rPr>
              <w:t>额（账 面价 值）</w:t>
            </w: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110"/>
              <w:ind w:left="123"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338"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304" w:right="121"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303"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5" w:right="121"/>
              <w:jc w:val="both"/>
              <w:rPr>
                <w:rFonts w:ascii="宋体" w:hAnsi="宋体" w:cs="宋体" w:eastAsia="宋体" w:hint="default"/>
                <w:sz w:val="18"/>
                <w:szCs w:val="18"/>
              </w:rPr>
            </w:pPr>
            <w:r>
              <w:rPr>
                <w:rFonts w:ascii="宋体" w:hAnsi="宋体" w:cs="宋体" w:eastAsia="宋体" w:hint="default"/>
                <w:sz w:val="18"/>
                <w:szCs w:val="18"/>
              </w:rPr>
              <w:t>权益法 下确认 的投资 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25" w:right="121"/>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3" w:right="122"/>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25" w:right="121"/>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359"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北京童</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康医疗 信息技 术有限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3,506,0</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47.34</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-579,45</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7.87</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2,926,5</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89.47</w:t>
            </w:r>
          </w:p>
        </w:tc>
        <w:tc>
          <w:tcPr>
            <w:tcW w:w="798" w:type="dxa"/>
            <w:vMerge/>
            <w:tcBorders>
              <w:left w:val="single" w:sz="4" w:space="0" w:color="000000"/>
              <w:right w:val="single" w:sz="4" w:space="0" w:color="000000"/>
            </w:tcBorders>
          </w:tcPr>
          <w:p>
            <w:pPr/>
          </w:p>
        </w:tc>
      </w:tr>
      <w:tr>
        <w:trPr>
          <w:trHeight w:val="355"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7"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浙江美</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康网新</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1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云健康</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2,606,0</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-255,59</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2,350,4</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科技股</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z w:val="18"/>
              </w:rPr>
              <w:t>47.45</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5.53</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51.92</w:t>
            </w:r>
          </w:p>
        </w:tc>
        <w:tc>
          <w:tcPr>
            <w:tcW w:w="798" w:type="dxa"/>
            <w:vMerge/>
            <w:tcBorders>
              <w:left w:val="single" w:sz="4" w:space="0" w:color="000000"/>
              <w:right w:val="single" w:sz="4" w:space="0" w:color="000000"/>
            </w:tcBorders>
          </w:tcPr>
          <w:p>
            <w:pPr/>
          </w:p>
        </w:tc>
      </w:tr>
      <w:tr>
        <w:trPr>
          <w:trHeight w:val="30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份有限</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7"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9"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浙江创</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源环境 科技股 份有限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44,014,</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827.71</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6,029,2</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40.46</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50,044,</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068.17</w:t>
            </w:r>
          </w:p>
        </w:tc>
        <w:tc>
          <w:tcPr>
            <w:tcW w:w="798" w:type="dxa"/>
            <w:vMerge/>
            <w:tcBorders>
              <w:left w:val="single" w:sz="4" w:space="0" w:color="000000"/>
              <w:right w:val="single" w:sz="4" w:space="0" w:color="000000"/>
            </w:tcBorders>
          </w:tcPr>
          <w:p>
            <w:pPr/>
          </w:p>
        </w:tc>
      </w:tr>
      <w:tr>
        <w:trPr>
          <w:trHeight w:val="355"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7"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浙江大</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健康产</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业股权 投资基 金（有</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49,332,</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010.64</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-753,30</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9.28</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-3,717,</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376.91</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44,861,</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324.45</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限合</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7"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伙）</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9"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舟山创</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融投资</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31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管理合</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50,000,</w:t>
            </w:r>
          </w:p>
        </w:tc>
        <w:tc>
          <w:tcPr>
            <w:tcW w:w="797"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-49,997</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-3,455.</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伙企业</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pacing w:val="-1"/>
                <w:sz w:val="18"/>
              </w:rPr>
              <w:t>486.82</w:t>
            </w:r>
          </w:p>
        </w:tc>
        <w:tc>
          <w:tcPr>
            <w:tcW w:w="797"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9"/>
              <w:jc w:val="right"/>
              <w:rPr>
                <w:rFonts w:ascii="Times New Roman" w:hAnsi="Times New Roman" w:cs="Times New Roman" w:eastAsia="Times New Roman" w:hint="default"/>
                <w:sz w:val="18"/>
                <w:szCs w:val="18"/>
              </w:rPr>
            </w:pPr>
            <w:r>
              <w:rPr>
                <w:rFonts w:ascii="Times New Roman"/>
                <w:spacing w:val="-1"/>
                <w:sz w:val="18"/>
              </w:rPr>
              <w:t>,030.85</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z w:val="18"/>
              </w:rPr>
              <w:t>97</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308"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353"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杭州安</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丰创健</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创业投 资合伙 企业</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24,012,</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300.98</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-1,871,</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323.31</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22,140,</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977.67</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8"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成都米</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索信息</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719,33</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-273,13</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446,20</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技术有</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5.72</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4.93</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0.79</w:t>
            </w:r>
          </w:p>
        </w:tc>
        <w:tc>
          <w:tcPr>
            <w:tcW w:w="798" w:type="dxa"/>
            <w:vMerge/>
            <w:tcBorders>
              <w:left w:val="single" w:sz="4" w:space="0" w:color="000000"/>
              <w:right w:val="single" w:sz="4" w:space="0" w:color="000000"/>
            </w:tcBorders>
          </w:tcPr>
          <w:p>
            <w:pPr/>
          </w:p>
        </w:tc>
      </w:tr>
      <w:tr>
        <w:trPr>
          <w:trHeight w:val="352"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2"/>
              <w:ind w:left="101" w:right="114"/>
              <w:jc w:val="left"/>
              <w:rPr>
                <w:rFonts w:ascii="Times New Roman" w:hAnsi="Times New Roman" w:cs="Times New Roman" w:eastAsia="Times New Roman" w:hint="default"/>
                <w:sz w:val="18"/>
                <w:szCs w:val="18"/>
              </w:rPr>
            </w:pPr>
            <w:r>
              <w:rPr>
                <w:rFonts w:ascii="Times New Roman"/>
                <w:sz w:val="18"/>
              </w:rPr>
              <w:t>Odin Health Limited</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12,000,</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000.00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37" w:right="0"/>
              <w:jc w:val="left"/>
              <w:rPr>
                <w:rFonts w:ascii="Times New Roman" w:hAnsi="Times New Roman" w:cs="Times New Roman" w:eastAsia="Times New Roman" w:hint="default"/>
                <w:sz w:val="18"/>
                <w:szCs w:val="18"/>
              </w:rPr>
            </w:pPr>
            <w:r>
              <w:rPr>
                <w:rFonts w:ascii="Times New Roman"/>
                <w:sz w:val="18"/>
              </w:rPr>
              <w:t>-687,11</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6.86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11,312,</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883.14</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虹润风</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云（上</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629"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left"/>
              <w:rPr>
                <w:rFonts w:ascii="宋体" w:hAnsi="宋体" w:cs="宋体" w:eastAsia="宋体" w:hint="default"/>
                <w:sz w:val="18"/>
                <w:szCs w:val="18"/>
              </w:rPr>
            </w:pPr>
            <w:r>
              <w:rPr>
                <w:rFonts w:ascii="宋体" w:hAnsi="宋体" w:cs="宋体" w:eastAsia="宋体" w:hint="default"/>
                <w:sz w:val="18"/>
                <w:szCs w:val="18"/>
              </w:rPr>
              <w:t>海）医 疗管理</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43" w:right="0"/>
              <w:jc w:val="left"/>
              <w:rPr>
                <w:rFonts w:ascii="Times New Roman" w:hAnsi="Times New Roman" w:cs="Times New Roman" w:eastAsia="Times New Roman" w:hint="default"/>
                <w:sz w:val="18"/>
                <w:szCs w:val="18"/>
              </w:rPr>
            </w:pPr>
            <w:r>
              <w:rPr>
                <w:rFonts w:ascii="Times New Roman"/>
                <w:sz w:val="18"/>
              </w:rPr>
              <w:t>14,623,</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200.00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350.74</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44" w:right="0"/>
              <w:jc w:val="left"/>
              <w:rPr>
                <w:rFonts w:ascii="Times New Roman" w:hAnsi="Times New Roman" w:cs="Times New Roman" w:eastAsia="Times New Roman" w:hint="default"/>
                <w:sz w:val="18"/>
                <w:szCs w:val="18"/>
              </w:rPr>
            </w:pPr>
            <w:r>
              <w:rPr>
                <w:rFonts w:ascii="Times New Roman"/>
                <w:sz w:val="18"/>
              </w:rPr>
              <w:t>14,623,</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550.74</w:t>
            </w:r>
          </w:p>
        </w:tc>
        <w:tc>
          <w:tcPr>
            <w:tcW w:w="798" w:type="dxa"/>
            <w:vMerge/>
            <w:tcBorders>
              <w:left w:val="single" w:sz="4" w:space="0" w:color="000000"/>
              <w:right w:val="single" w:sz="4" w:space="0" w:color="000000"/>
            </w:tcBorders>
          </w:tcPr>
          <w:p>
            <w:pPr/>
          </w:p>
        </w:tc>
      </w:tr>
      <w:tr>
        <w:trPr>
          <w:trHeight w:val="30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股份有</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6"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浙江精</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锐智能</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30,000,</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30,000,</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卡有限</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000.00</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000.00</w:t>
            </w:r>
          </w:p>
        </w:tc>
        <w:tc>
          <w:tcPr>
            <w:tcW w:w="798" w:type="dxa"/>
            <w:vMerge/>
            <w:tcBorders>
              <w:left w:val="single" w:sz="4" w:space="0" w:color="000000"/>
              <w:right w:val="single" w:sz="4" w:space="0" w:color="000000"/>
            </w:tcBorders>
          </w:tcPr>
          <w:p>
            <w:pPr/>
          </w:p>
        </w:tc>
      </w:tr>
      <w:tr>
        <w:trPr>
          <w:trHeight w:val="353"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174,19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1,056.6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56,623,</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200.00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31" w:right="0"/>
              <w:jc w:val="left"/>
              <w:rPr>
                <w:rFonts w:ascii="Times New Roman" w:hAnsi="Times New Roman" w:cs="Times New Roman" w:eastAsia="Times New Roman" w:hint="default"/>
                <w:sz w:val="18"/>
                <w:szCs w:val="18"/>
              </w:rPr>
            </w:pPr>
            <w:r>
              <w:rPr>
                <w:rFonts w:ascii="Times New Roman"/>
                <w:sz w:val="18"/>
              </w:rPr>
              <w:t>-49,997</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,030.85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1,606,1</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97.45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-3,717,</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376.91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178,70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6,046.3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174,19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1,056.6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56,623,</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200.00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31" w:right="0"/>
              <w:jc w:val="left"/>
              <w:rPr>
                <w:rFonts w:ascii="Times New Roman" w:hAnsi="Times New Roman" w:cs="Times New Roman" w:eastAsia="Times New Roman" w:hint="default"/>
                <w:sz w:val="18"/>
                <w:szCs w:val="18"/>
              </w:rPr>
            </w:pPr>
            <w:r>
              <w:rPr>
                <w:rFonts w:ascii="Times New Roman"/>
                <w:sz w:val="18"/>
              </w:rPr>
              <w:t>-49,997</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,030.85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1,606,1</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97.45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-3,717,</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376.91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178,70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6,046.3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11、其他权益工具投资" w:id="272"/>
      <w:bookmarkEnd w:id="272"/>
      <w:r>
        <w:rPr>
          <w:b w:val="0"/>
          <w:bCs w:val="0"/>
        </w:rPr>
      </w:r>
      <w:r>
        <w:rPr>
          <w:rFonts w:ascii="Times New Roman" w:hAnsi="Times New Roman" w:cs="Times New Roman" w:eastAsia="Times New Roman" w:hint="default"/>
        </w:rPr>
        <w:t>11</w:t>
      </w:r>
      <w:r>
        <w:rPr/>
        <w:t>、其他权益工具投资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531"/>
        <w:gridCol w:w="2847"/>
        <w:gridCol w:w="3191"/>
      </w:tblGrid>
      <w:tr>
        <w:trPr>
          <w:trHeight w:val="402" w:hRule="exact"/>
        </w:trPr>
        <w:tc>
          <w:tcPr>
            <w:tcW w:w="3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上海卫生信息工程技术研究中心有限公司</w:t>
            </w:r>
          </w:p>
        </w:tc>
        <w:tc>
          <w:tcPr>
            <w:tcW w:w="2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402" w:hRule="exact"/>
        </w:trPr>
        <w:tc>
          <w:tcPr>
            <w:tcW w:w="3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杭州吾桐树信息科技有限公司</w:t>
            </w:r>
          </w:p>
        </w:tc>
        <w:tc>
          <w:tcPr>
            <w:tcW w:w="2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402" w:hRule="exact"/>
        </w:trPr>
        <w:tc>
          <w:tcPr>
            <w:tcW w:w="3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杭州中福投资管理有限公司</w:t>
            </w:r>
          </w:p>
        </w:tc>
        <w:tc>
          <w:tcPr>
            <w:tcW w:w="2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402" w:hRule="exact"/>
        </w:trPr>
        <w:tc>
          <w:tcPr>
            <w:tcW w:w="3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8,500,000.00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8,500,000.00</w:t>
            </w:r>
          </w:p>
        </w:tc>
      </w:tr>
    </w:tbl>
    <w:p>
      <w:pPr>
        <w:pStyle w:val="BodyText"/>
        <w:spacing w:line="240" w:lineRule="auto" w:before="50"/>
        <w:ind w:right="882"/>
        <w:jc w:val="left"/>
      </w:pPr>
      <w:r>
        <w:rPr/>
        <w:t>分项披露本期非交易性权益工具投资</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357" w:hRule="exact"/>
        </w:trPr>
        <w:tc>
          <w:tcPr>
            <w:tcW w:w="1369"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left="138" w:right="0"/>
              <w:jc w:val="left"/>
              <w:rPr>
                <w:rFonts w:ascii="宋体" w:hAnsi="宋体" w:cs="宋体" w:eastAsia="宋体" w:hint="default"/>
                <w:sz w:val="18"/>
                <w:szCs w:val="18"/>
              </w:rPr>
            </w:pPr>
            <w:r>
              <w:rPr>
                <w:rFonts w:ascii="宋体" w:hAnsi="宋体" w:cs="宋体" w:eastAsia="宋体" w:hint="default"/>
                <w:sz w:val="18"/>
                <w:szCs w:val="18"/>
              </w:rPr>
              <w:t>指定为以公允</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936" w:hRule="exact"/>
        </w:trPr>
        <w:tc>
          <w:tcPr>
            <w:tcW w:w="136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588" w:right="138" w:hanging="452"/>
              <w:jc w:val="left"/>
              <w:rPr>
                <w:rFonts w:ascii="宋体" w:hAnsi="宋体" w:cs="宋体" w:eastAsia="宋体" w:hint="default"/>
                <w:sz w:val="18"/>
                <w:szCs w:val="18"/>
              </w:rPr>
            </w:pPr>
            <w:r>
              <w:rPr>
                <w:rFonts w:ascii="宋体" w:hAnsi="宋体" w:cs="宋体" w:eastAsia="宋体" w:hint="default"/>
                <w:sz w:val="18"/>
                <w:szCs w:val="18"/>
              </w:rPr>
              <w:t>确认的股利收 入</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累计利得</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累计损失</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37" w:right="137"/>
              <w:jc w:val="center"/>
              <w:rPr>
                <w:rFonts w:ascii="宋体" w:hAnsi="宋体" w:cs="宋体" w:eastAsia="宋体" w:hint="default"/>
                <w:sz w:val="18"/>
                <w:szCs w:val="18"/>
              </w:rPr>
            </w:pPr>
            <w:r>
              <w:rPr>
                <w:rFonts w:ascii="宋体" w:hAnsi="宋体" w:cs="宋体" w:eastAsia="宋体" w:hint="default"/>
                <w:sz w:val="18"/>
                <w:szCs w:val="18"/>
              </w:rPr>
              <w:t>其他综合收益 转入留存收益 的金额</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38" w:right="136"/>
              <w:jc w:val="both"/>
              <w:rPr>
                <w:rFonts w:ascii="宋体" w:hAnsi="宋体" w:cs="宋体" w:eastAsia="宋体" w:hint="default"/>
                <w:sz w:val="18"/>
                <w:szCs w:val="18"/>
              </w:rPr>
            </w:pPr>
            <w:r>
              <w:rPr>
                <w:rFonts w:ascii="宋体" w:hAnsi="宋体" w:cs="宋体" w:eastAsia="宋体" w:hint="default"/>
                <w:sz w:val="18"/>
                <w:szCs w:val="18"/>
              </w:rPr>
              <w:t>价值计量且其 变动计入其他 综合收益的原</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37" w:right="138"/>
              <w:jc w:val="center"/>
              <w:rPr>
                <w:rFonts w:ascii="宋体" w:hAnsi="宋体" w:cs="宋体" w:eastAsia="宋体" w:hint="default"/>
                <w:sz w:val="18"/>
                <w:szCs w:val="18"/>
              </w:rPr>
            </w:pPr>
            <w:r>
              <w:rPr>
                <w:rFonts w:ascii="宋体" w:hAnsi="宋体" w:cs="宋体" w:eastAsia="宋体" w:hint="default"/>
                <w:sz w:val="18"/>
                <w:szCs w:val="18"/>
              </w:rPr>
              <w:t>其他综合收益 转入留存收益 的原因</w:t>
            </w:r>
          </w:p>
        </w:tc>
      </w:tr>
      <w:tr>
        <w:trPr>
          <w:trHeight w:val="357" w:hRule="exact"/>
        </w:trPr>
        <w:tc>
          <w:tcPr>
            <w:tcW w:w="1369"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因</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026"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175"/>
              <w:jc w:val="both"/>
              <w:rPr>
                <w:rFonts w:ascii="宋体" w:hAnsi="宋体" w:cs="宋体" w:eastAsia="宋体" w:hint="default"/>
                <w:sz w:val="18"/>
                <w:szCs w:val="18"/>
              </w:rPr>
            </w:pPr>
            <w:r>
              <w:rPr>
                <w:rFonts w:ascii="宋体" w:hAnsi="宋体" w:cs="宋体" w:eastAsia="宋体" w:hint="default"/>
                <w:sz w:val="18"/>
                <w:szCs w:val="18"/>
              </w:rPr>
              <w:t>上海卫生信息 工程技术研究 中心有限公司</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2" w:right="172"/>
              <w:jc w:val="left"/>
              <w:rPr>
                <w:rFonts w:ascii="宋体" w:hAnsi="宋体" w:cs="宋体" w:eastAsia="宋体" w:hint="default"/>
                <w:sz w:val="18"/>
                <w:szCs w:val="18"/>
              </w:rPr>
            </w:pPr>
            <w:r>
              <w:rPr>
                <w:rFonts w:ascii="宋体" w:hAnsi="宋体" w:cs="宋体" w:eastAsia="宋体" w:hint="default"/>
                <w:sz w:val="18"/>
                <w:szCs w:val="18"/>
              </w:rPr>
              <w:t>为非交易性权 益工具投资</w:t>
            </w: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5"/>
              <w:jc w:val="both"/>
              <w:rPr>
                <w:rFonts w:ascii="宋体" w:hAnsi="宋体" w:cs="宋体" w:eastAsia="宋体" w:hint="default"/>
                <w:sz w:val="18"/>
                <w:szCs w:val="18"/>
              </w:rPr>
            </w:pPr>
            <w:r>
              <w:rPr>
                <w:rFonts w:ascii="宋体" w:hAnsi="宋体" w:cs="宋体" w:eastAsia="宋体" w:hint="default"/>
                <w:sz w:val="18"/>
                <w:szCs w:val="18"/>
              </w:rPr>
              <w:t>杭州吾桐树信 息科技有限公 司</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2" w:right="172"/>
              <w:jc w:val="left"/>
              <w:rPr>
                <w:rFonts w:ascii="宋体" w:hAnsi="宋体" w:cs="宋体" w:eastAsia="宋体" w:hint="default"/>
                <w:sz w:val="18"/>
                <w:szCs w:val="18"/>
              </w:rPr>
            </w:pPr>
            <w:r>
              <w:rPr>
                <w:rFonts w:ascii="宋体" w:hAnsi="宋体" w:cs="宋体" w:eastAsia="宋体" w:hint="default"/>
                <w:sz w:val="18"/>
                <w:szCs w:val="18"/>
              </w:rPr>
              <w:t>为非交易性权 益工具投资</w:t>
            </w: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358" w:hRule="exact"/>
        </w:trPr>
        <w:tc>
          <w:tcPr>
            <w:tcW w:w="136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right="73"/>
              <w:jc w:val="center"/>
              <w:rPr>
                <w:rFonts w:ascii="宋体" w:hAnsi="宋体" w:cs="宋体" w:eastAsia="宋体" w:hint="default"/>
                <w:sz w:val="18"/>
                <w:szCs w:val="18"/>
              </w:rPr>
            </w:pPr>
            <w:r>
              <w:rPr>
                <w:rFonts w:ascii="宋体" w:hAnsi="宋体" w:cs="宋体" w:eastAsia="宋体" w:hint="default"/>
                <w:sz w:val="18"/>
                <w:szCs w:val="18"/>
              </w:rPr>
              <w:t>杭州中福投资</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为非交易性权</w:t>
            </w:r>
          </w:p>
        </w:tc>
        <w:tc>
          <w:tcPr>
            <w:tcW w:w="1367" w:type="dxa"/>
            <w:vMerge w:val="restart"/>
            <w:tcBorders>
              <w:top w:val="single" w:sz="4" w:space="0" w:color="000000"/>
              <w:left w:val="single" w:sz="4" w:space="0" w:color="000000"/>
              <w:right w:val="single" w:sz="4" w:space="0" w:color="000000"/>
            </w:tcBorders>
          </w:tcPr>
          <w:p>
            <w:pPr/>
          </w:p>
        </w:tc>
      </w:tr>
      <w:tr>
        <w:trPr>
          <w:trHeight w:val="356" w:hRule="exact"/>
        </w:trPr>
        <w:tc>
          <w:tcPr>
            <w:tcW w:w="13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73"/>
              <w:jc w:val="center"/>
              <w:rPr>
                <w:rFonts w:ascii="宋体" w:hAnsi="宋体" w:cs="宋体" w:eastAsia="宋体" w:hint="default"/>
                <w:sz w:val="18"/>
                <w:szCs w:val="18"/>
              </w:rPr>
            </w:pPr>
            <w:r>
              <w:rPr>
                <w:rFonts w:ascii="宋体" w:hAnsi="宋体" w:cs="宋体" w:eastAsia="宋体" w:hint="default"/>
                <w:sz w:val="18"/>
                <w:szCs w:val="18"/>
              </w:rPr>
              <w:t>管理有限公司</w:t>
            </w: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益工具投资</w:t>
            </w:r>
          </w:p>
        </w:tc>
        <w:tc>
          <w:tcPr>
            <w:tcW w:w="1367" w:type="dxa"/>
            <w:vMerge/>
            <w:tcBorders>
              <w:left w:val="single" w:sz="4" w:space="0" w:color="000000"/>
              <w:bottom w:val="single" w:sz="4" w:space="0" w:color="000000"/>
              <w:right w:val="single" w:sz="4" w:space="0" w:color="000000"/>
            </w:tcBorders>
          </w:tcPr>
          <w:p>
            <w:pPr/>
          </w:p>
        </w:tc>
      </w:tr>
    </w:tbl>
    <w:p>
      <w:pPr>
        <w:pStyle w:val="BodyText"/>
        <w:spacing w:line="240" w:lineRule="auto" w:before="5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12、其他非流动金融资产" w:id="273"/>
      <w:bookmarkEnd w:id="273"/>
      <w:r>
        <w:rPr>
          <w:b w:val="0"/>
          <w:bCs w:val="0"/>
        </w:rPr>
      </w:r>
      <w:r>
        <w:rPr>
          <w:rFonts w:ascii="Times New Roman" w:hAnsi="Times New Roman" w:cs="Times New Roman" w:eastAsia="Times New Roman" w:hint="default"/>
        </w:rPr>
        <w:t>12</w:t>
      </w:r>
      <w:r>
        <w:rPr/>
        <w:t>、其他非流动金融资产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4253"/>
        <w:gridCol w:w="2878"/>
        <w:gridCol w:w="2438"/>
      </w:tblGrid>
      <w:tr>
        <w:trPr>
          <w:trHeight w:val="402" w:hRule="exact"/>
        </w:trPr>
        <w:tc>
          <w:tcPr>
            <w:tcW w:w="4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杭州安丰上盈创业投资合伙企业（有限合伙）</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2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浙江浙商产融股权投资基金合伙企业（有限合伙）</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100,000,000.00</w:t>
            </w:r>
          </w:p>
        </w:tc>
        <w:tc>
          <w:tcPr>
            <w:tcW w:w="2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杭州枫业医疗科技有限公司</w:t>
            </w:r>
          </w:p>
        </w:tc>
        <w:tc>
          <w:tcPr>
            <w:tcW w:w="2878" w:type="dxa"/>
            <w:tcBorders>
              <w:top w:val="single" w:sz="4" w:space="0" w:color="000000"/>
              <w:left w:val="single" w:sz="4" w:space="0" w:color="000000"/>
              <w:bottom w:val="single" w:sz="4" w:space="0" w:color="000000"/>
              <w:right w:val="single" w:sz="4" w:space="0" w:color="000000"/>
            </w:tcBorders>
          </w:tcPr>
          <w:p>
            <w:pPr/>
          </w:p>
        </w:tc>
        <w:tc>
          <w:tcPr>
            <w:tcW w:w="2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2" w:hRule="exact"/>
        </w:trPr>
        <w:tc>
          <w:tcPr>
            <w:tcW w:w="4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110,000,000.00</w:t>
            </w:r>
          </w:p>
        </w:tc>
        <w:tc>
          <w:tcPr>
            <w:tcW w:w="2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110,100,000.00</w:t>
            </w:r>
          </w:p>
        </w:tc>
      </w:tr>
    </w:tbl>
    <w:p>
      <w:pPr>
        <w:pStyle w:val="BodyText"/>
        <w:spacing w:line="240" w:lineRule="auto" w:before="52"/>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13、投资性房地产" w:id="274"/>
      <w:bookmarkEnd w:id="274"/>
      <w:r>
        <w:rPr>
          <w:b w:val="0"/>
          <w:bCs w:val="0"/>
        </w:rPr>
      </w:r>
      <w:r>
        <w:rPr>
          <w:rFonts w:ascii="Times New Roman" w:hAnsi="Times New Roman" w:cs="Times New Roman" w:eastAsia="Times New Roman" w:hint="default"/>
        </w:rPr>
        <w:t>13</w:t>
      </w:r>
      <w:r>
        <w:rPr/>
        <w:t>、投资性房地产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采用成本计量模式的投资性房地产" w:id="275"/>
      <w:bookmarkEnd w:id="275"/>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882"/>
        <w:jc w:val="left"/>
      </w:pPr>
      <w:r>
        <w:rPr/>
        <w:t>√ 适用 □ 不适用</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8" w:right="0"/>
              <w:jc w:val="left"/>
              <w:rPr>
                <w:rFonts w:ascii="Times New Roman" w:hAnsi="Times New Roman" w:cs="Times New Roman" w:eastAsia="Times New Roman" w:hint="default"/>
                <w:sz w:val="18"/>
                <w:szCs w:val="18"/>
              </w:rPr>
            </w:pPr>
            <w:r>
              <w:rPr>
                <w:rFonts w:ascii="Times New Roman"/>
                <w:sz w:val="18"/>
              </w:rPr>
              <w:t>4,669,984.15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5" w:right="0"/>
              <w:jc w:val="left"/>
              <w:rPr>
                <w:rFonts w:ascii="Times New Roman" w:hAnsi="Times New Roman" w:cs="Times New Roman" w:eastAsia="Times New Roman" w:hint="default"/>
                <w:sz w:val="18"/>
                <w:szCs w:val="18"/>
              </w:rPr>
            </w:pPr>
            <w:r>
              <w:rPr>
                <w:rFonts w:ascii="Times New Roman"/>
                <w:sz w:val="18"/>
              </w:rPr>
              <w:t>4,669,984.15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01" w:firstLine="328"/>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）存货</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固定资</w:t>
            </w:r>
            <w:r>
              <w:rPr>
                <w:rFonts w:ascii="宋体" w:hAnsi="宋体" w:cs="宋体" w:eastAsia="宋体" w:hint="default"/>
                <w:sz w:val="18"/>
                <w:szCs w:val="18"/>
              </w:rPr>
              <w:t> 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5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加</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4,669,984.15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4,669,984.15</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78"/>
              <w:jc w:val="left"/>
              <w:rPr>
                <w:rFonts w:ascii="宋体" w:hAnsi="宋体" w:cs="宋体" w:eastAsia="宋体" w:hint="default"/>
                <w:sz w:val="18"/>
                <w:szCs w:val="18"/>
              </w:rPr>
            </w:pPr>
            <w:r>
              <w:rPr>
                <w:rFonts w:ascii="宋体" w:hAnsi="宋体" w:cs="宋体" w:eastAsia="宋体" w:hint="default"/>
                <w:sz w:val="18"/>
                <w:szCs w:val="18"/>
              </w:rPr>
              <w:t>二、累计折旧和累计 摊销</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1,200,074.75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1,200,074.75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221,925.24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221,925.24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01"/>
              <w:jc w:val="righ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）计提或摊销</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221,925.24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221,925.24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1,421,999.99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1,421,999.99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01"/>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3,247,984.16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3,247,984.16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3,469,909.40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3,469,909.40</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采用公允价值计量模式的投资性房地产" w:id="276"/>
      <w:bookmarkEnd w:id="276"/>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3）未办妥产权证书的投资性房地产情况" w:id="277"/>
      <w:bookmarkEnd w:id="277"/>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14、固定资产" w:id="278"/>
      <w:bookmarkEnd w:id="278"/>
      <w:r>
        <w:rPr>
          <w:b w:val="0"/>
          <w:bCs w:val="0"/>
        </w:rPr>
      </w:r>
      <w:r>
        <w:rPr>
          <w:rFonts w:ascii="Times New Roman" w:hAnsi="Times New Roman" w:cs="Times New Roman" w:eastAsia="Times New Roman" w:hint="default"/>
        </w:rPr>
        <w:t>14</w:t>
      </w:r>
      <w:r>
        <w:rPr/>
        <w:t>、固定资产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290,194,928.57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300,209,659.68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290,194,928.57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300,209,659.68</w:t>
            </w:r>
          </w:p>
        </w:tc>
      </w:tr>
    </w:tbl>
    <w:p>
      <w:pPr>
        <w:spacing w:line="240" w:lineRule="auto" w:before="2"/>
        <w:rPr>
          <w:rFonts w:ascii="宋体" w:hAnsi="宋体" w:cs="宋体" w:eastAsia="宋体" w:hint="default"/>
          <w:sz w:val="19"/>
          <w:szCs w:val="19"/>
        </w:rPr>
      </w:pPr>
    </w:p>
    <w:p>
      <w:pPr>
        <w:pStyle w:val="Heading3"/>
        <w:spacing w:line="240" w:lineRule="auto" w:before="34"/>
        <w:ind w:right="882"/>
        <w:jc w:val="left"/>
        <w:rPr>
          <w:b w:val="0"/>
          <w:bCs w:val="0"/>
        </w:rPr>
      </w:pPr>
      <w:bookmarkStart w:name="（1）固定资产情况" w:id="279"/>
      <w:bookmarkEnd w:id="279"/>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298,925,758.67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3,454,483.84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2"/>
                <w:sz w:val="18"/>
              </w:rPr>
              <w:t>30,119,825.39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38,179,254.84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370,679,322.74</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1,722,241.44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265,192.02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2,659,913.75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5,539,177.20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10,186,524.41</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141,097.91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182,264.27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2,601,478.30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4,526,755.71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7,451,596.19</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 程转入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1,581,143.53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82,927.75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1,664,071.28</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 并增加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58,435.45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1,012,421.49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1,070,856.94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362,985.89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1,872,254.85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2,235,240.74</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 报废</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362,985.89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1,872,254.85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2,235,240.74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pacing w:val="-1"/>
                <w:sz w:val="18"/>
              </w:rPr>
              <w:t>300,648,000.11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3,719,675.86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32,416,753.25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41,846,177.19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378,630,606.41</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35,261,826.14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1,202,839.61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15,940,437.90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18,064,559.41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70,469,663.06</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9,305,948.01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354,281.41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2,838,705.69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7,601,603.19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20,100,538.30</w:t>
            </w:r>
          </w:p>
        </w:tc>
      </w:tr>
      <w:tr>
        <w:trPr>
          <w:trHeight w:val="400"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9,305,948.01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354,281.41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2,780,418.09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6,647,986.44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19,088,633.95</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企业合并增加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58,287.60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953,616.75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1,011,904.35</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348,836.76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1,785,686.76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2,134,523.52</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 报废</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348,836.76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1,785,686.76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2,134,523.52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44,567,774.15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1,557,121.02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18,430,306.83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23,880,475.84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88,435,677.84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 报废</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256,080,225.96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2,162,554.84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13,986,446.42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17,965,701.35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290,194,928.57</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263,663,932.53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2,251,644.23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14,179,387.49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20,114,695.43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300,209,659.68</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2）暂时闲置的固定资产情况" w:id="280"/>
      <w:bookmarkEnd w:id="280"/>
      <w:r>
        <w:rPr>
          <w:b w:val="0"/>
          <w:bCs w:val="0"/>
        </w:rPr>
      </w: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5"/>
        <w:rPr>
          <w:rFonts w:ascii="宋体" w:hAnsi="宋体" w:cs="宋体" w:eastAsia="宋体" w:hint="default"/>
          <w:sz w:val="19"/>
          <w:szCs w:val="19"/>
        </w:rPr>
      </w:pPr>
    </w:p>
    <w:p>
      <w:pPr>
        <w:pStyle w:val="Heading3"/>
        <w:spacing w:line="240" w:lineRule="auto" w:before="34"/>
        <w:ind w:right="882"/>
        <w:jc w:val="left"/>
        <w:rPr>
          <w:b w:val="0"/>
          <w:bCs w:val="0"/>
        </w:rPr>
      </w:pPr>
      <w:bookmarkStart w:name="（3）通过融资租赁租入的固定资产情况" w:id="281"/>
      <w:bookmarkEnd w:id="281"/>
      <w:r>
        <w:rPr>
          <w:b w:val="0"/>
          <w:bCs w:val="0"/>
        </w:rPr>
      </w: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2"/>
        <w:rPr>
          <w:rFonts w:ascii="宋体" w:hAnsi="宋体" w:cs="宋体" w:eastAsia="宋体" w:hint="default"/>
          <w:sz w:val="19"/>
          <w:szCs w:val="19"/>
        </w:rPr>
      </w:pPr>
    </w:p>
    <w:p>
      <w:pPr>
        <w:pStyle w:val="Heading3"/>
        <w:spacing w:line="240" w:lineRule="auto" w:before="34"/>
        <w:ind w:right="882"/>
        <w:jc w:val="left"/>
        <w:rPr>
          <w:b w:val="0"/>
          <w:bCs w:val="0"/>
        </w:rPr>
      </w:pPr>
      <w:bookmarkStart w:name="（4）通过经营租赁租出的固定资产" w:id="282"/>
      <w:bookmarkEnd w:id="282"/>
      <w:r>
        <w:rPr>
          <w:b w:val="0"/>
          <w:bCs w:val="0"/>
        </w:rPr>
      </w: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25,211,503.78</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5）未办妥产权证书的固定资产情况" w:id="283"/>
      <w:bookmarkEnd w:id="283"/>
      <w:r>
        <w:rPr>
          <w:b w:val="0"/>
          <w:bCs w:val="0"/>
        </w:rPr>
      </w: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公寓</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2,011,194.59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正在办理相关手续</w:t>
            </w:r>
          </w:p>
        </w:tc>
      </w:tr>
    </w:tbl>
    <w:p>
      <w:pPr>
        <w:pStyle w:val="BodyText"/>
        <w:spacing w:line="240" w:lineRule="auto" w:before="51"/>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6）固定资产清理" w:id="284"/>
      <w:bookmarkEnd w:id="284"/>
      <w:r>
        <w:rPr>
          <w:b w:val="0"/>
          <w:bCs w:val="0"/>
        </w:rPr>
      </w:r>
      <w:r>
        <w:rPr/>
        <w:t>（</w:t>
      </w:r>
      <w:r>
        <w:rPr>
          <w:rFonts w:ascii="Times New Roman" w:hAnsi="Times New Roman" w:cs="Times New Roman" w:eastAsia="Times New Roman" w:hint="default"/>
        </w:rPr>
        <w:t>6</w:t>
      </w:r>
      <w:r>
        <w:rPr/>
        <w:t>）固定资产清理</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15、在建工程" w:id="285"/>
      <w:bookmarkEnd w:id="285"/>
      <w:r>
        <w:rPr>
          <w:b w:val="0"/>
          <w:bCs w:val="0"/>
        </w:rPr>
      </w:r>
      <w:r>
        <w:rPr>
          <w:rFonts w:ascii="Times New Roman" w:hAnsi="Times New Roman" w:cs="Times New Roman" w:eastAsia="Times New Roman" w:hint="default"/>
        </w:rPr>
        <w:t>15</w:t>
      </w:r>
      <w:r>
        <w:rPr/>
        <w:t>、在建工程</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2,891,000.00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59,837,374.74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2,891,000.00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59,837,374.74</w:t>
            </w:r>
          </w:p>
        </w:tc>
      </w:tr>
    </w:tbl>
    <w:p>
      <w:pPr>
        <w:spacing w:line="240" w:lineRule="auto" w:before="2"/>
        <w:rPr>
          <w:rFonts w:ascii="宋体" w:hAnsi="宋体" w:cs="宋体" w:eastAsia="宋体" w:hint="default"/>
          <w:sz w:val="19"/>
          <w:szCs w:val="19"/>
        </w:rPr>
      </w:pPr>
    </w:p>
    <w:p>
      <w:pPr>
        <w:pStyle w:val="Heading3"/>
        <w:spacing w:line="240" w:lineRule="auto" w:before="34"/>
        <w:ind w:right="882"/>
        <w:jc w:val="left"/>
        <w:rPr>
          <w:b w:val="0"/>
          <w:bCs w:val="0"/>
        </w:rPr>
      </w:pPr>
      <w:bookmarkStart w:name="（1）在建工程情况" w:id="286"/>
      <w:bookmarkEnd w:id="286"/>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57" w:hRule="exact"/>
        </w:trPr>
        <w:tc>
          <w:tcPr>
            <w:tcW w:w="13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中山市区域卫</w:t>
            </w:r>
          </w:p>
        </w:tc>
        <w:tc>
          <w:tcPr>
            <w:tcW w:w="1368"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生信息平台建</w:t>
            </w:r>
          </w:p>
        </w:tc>
        <w:tc>
          <w:tcPr>
            <w:tcW w:w="136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57,216,475.81</w:t>
            </w:r>
          </w:p>
        </w:tc>
        <w:tc>
          <w:tcPr>
            <w:tcW w:w="1367" w:type="dxa"/>
            <w:vMerge/>
            <w:tcBorders>
              <w:left w:val="single" w:sz="4" w:space="0" w:color="000000"/>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57,216,475.81</w:t>
            </w:r>
          </w:p>
        </w:tc>
      </w:tr>
      <w:tr>
        <w:trPr>
          <w:trHeight w:val="352" w:hRule="exact"/>
        </w:trPr>
        <w:tc>
          <w:tcPr>
            <w:tcW w:w="13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设运营项目</w:t>
            </w:r>
          </w:p>
        </w:tc>
        <w:tc>
          <w:tcPr>
            <w:tcW w:w="136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零星工程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0" w:right="0"/>
              <w:jc w:val="left"/>
              <w:rPr>
                <w:rFonts w:ascii="Times New Roman" w:hAnsi="Times New Roman" w:cs="Times New Roman" w:eastAsia="Times New Roman" w:hint="default"/>
                <w:sz w:val="18"/>
                <w:szCs w:val="18"/>
              </w:rPr>
            </w:pPr>
            <w:r>
              <w:rPr>
                <w:rFonts w:ascii="Times New Roman"/>
                <w:sz w:val="18"/>
              </w:rPr>
              <w:t>2,891,000.00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9" w:right="0"/>
              <w:jc w:val="left"/>
              <w:rPr>
                <w:rFonts w:ascii="Times New Roman" w:hAnsi="Times New Roman" w:cs="Times New Roman" w:eastAsia="Times New Roman" w:hint="default"/>
                <w:sz w:val="18"/>
                <w:szCs w:val="18"/>
              </w:rPr>
            </w:pPr>
            <w:r>
              <w:rPr>
                <w:rFonts w:ascii="Times New Roman"/>
                <w:sz w:val="18"/>
              </w:rPr>
              <w:t>2,891,000.00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2,620,898.93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2,620,898.93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10" w:right="0"/>
              <w:jc w:val="left"/>
              <w:rPr>
                <w:rFonts w:ascii="Times New Roman" w:hAnsi="Times New Roman" w:cs="Times New Roman" w:eastAsia="Times New Roman" w:hint="default"/>
                <w:sz w:val="18"/>
                <w:szCs w:val="18"/>
              </w:rPr>
            </w:pPr>
            <w:r>
              <w:rPr>
                <w:rFonts w:ascii="Times New Roman"/>
                <w:sz w:val="18"/>
              </w:rPr>
              <w:t>2,891,000.00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09" w:right="0"/>
              <w:jc w:val="left"/>
              <w:rPr>
                <w:rFonts w:ascii="Times New Roman" w:hAnsi="Times New Roman" w:cs="Times New Roman" w:eastAsia="Times New Roman" w:hint="default"/>
                <w:sz w:val="18"/>
                <w:szCs w:val="18"/>
              </w:rPr>
            </w:pPr>
            <w:r>
              <w:rPr>
                <w:rFonts w:ascii="Times New Roman"/>
                <w:sz w:val="18"/>
              </w:rPr>
              <w:t>2,891,000.00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59,837,374.74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59,837,374.74</w:t>
            </w:r>
          </w:p>
        </w:tc>
      </w:tr>
    </w:tbl>
    <w:p>
      <w:pPr>
        <w:spacing w:line="240" w:lineRule="auto" w:before="5"/>
        <w:rPr>
          <w:rFonts w:ascii="宋体" w:hAnsi="宋体" w:cs="宋体" w:eastAsia="宋体" w:hint="default"/>
          <w:sz w:val="19"/>
          <w:szCs w:val="19"/>
        </w:rPr>
      </w:pPr>
    </w:p>
    <w:p>
      <w:pPr>
        <w:pStyle w:val="Heading3"/>
        <w:spacing w:line="240" w:lineRule="auto" w:before="34"/>
        <w:ind w:right="882"/>
        <w:jc w:val="left"/>
        <w:rPr>
          <w:b w:val="0"/>
          <w:bCs w:val="0"/>
        </w:rPr>
      </w:pPr>
      <w:bookmarkStart w:name="（2）重要在建工程项目本期变动情况" w:id="287"/>
      <w:bookmarkEnd w:id="287"/>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732"/>
        <w:gridCol w:w="736"/>
        <w:gridCol w:w="736"/>
        <w:gridCol w:w="736"/>
        <w:gridCol w:w="736"/>
        <w:gridCol w:w="736"/>
        <w:gridCol w:w="736"/>
        <w:gridCol w:w="736"/>
        <w:gridCol w:w="736"/>
        <w:gridCol w:w="736"/>
        <w:gridCol w:w="736"/>
        <w:gridCol w:w="736"/>
        <w:gridCol w:w="736"/>
      </w:tblGrid>
      <w:tr>
        <w:trPr>
          <w:trHeight w:val="1962"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1" w:right="179"/>
              <w:jc w:val="left"/>
              <w:rPr>
                <w:rFonts w:ascii="宋体" w:hAnsi="宋体" w:cs="宋体" w:eastAsia="宋体" w:hint="default"/>
                <w:sz w:val="18"/>
                <w:szCs w:val="18"/>
              </w:rPr>
            </w:pPr>
            <w:r>
              <w:rPr>
                <w:rFonts w:ascii="宋体" w:hAnsi="宋体" w:cs="宋体" w:eastAsia="宋体" w:hint="default"/>
                <w:sz w:val="18"/>
                <w:szCs w:val="18"/>
              </w:rPr>
              <w:t>项目 名称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272" w:right="180" w:hanging="89"/>
              <w:jc w:val="left"/>
              <w:rPr>
                <w:rFonts w:ascii="宋体" w:hAnsi="宋体" w:cs="宋体" w:eastAsia="宋体" w:hint="default"/>
                <w:sz w:val="18"/>
                <w:szCs w:val="18"/>
              </w:rPr>
            </w:pPr>
            <w:r>
              <w:rPr>
                <w:rFonts w:ascii="宋体" w:hAnsi="宋体" w:cs="宋体" w:eastAsia="宋体" w:hint="default"/>
                <w:sz w:val="18"/>
                <w:szCs w:val="18"/>
              </w:rPr>
              <w:t>预算 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1" w:right="182"/>
              <w:jc w:val="left"/>
              <w:rPr>
                <w:rFonts w:ascii="宋体" w:hAnsi="宋体" w:cs="宋体" w:eastAsia="宋体" w:hint="default"/>
                <w:sz w:val="18"/>
                <w:szCs w:val="18"/>
              </w:rPr>
            </w:pPr>
            <w:r>
              <w:rPr>
                <w:rFonts w:ascii="宋体" w:hAnsi="宋体" w:cs="宋体" w:eastAsia="宋体" w:hint="default"/>
                <w:sz w:val="18"/>
                <w:szCs w:val="18"/>
              </w:rPr>
              <w:t>期初 余额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82" w:right="181"/>
              <w:jc w:val="both"/>
              <w:rPr>
                <w:rFonts w:ascii="宋体" w:hAnsi="宋体" w:cs="宋体" w:eastAsia="宋体" w:hint="default"/>
                <w:sz w:val="18"/>
                <w:szCs w:val="18"/>
              </w:rPr>
            </w:pPr>
            <w:r>
              <w:rPr>
                <w:rFonts w:ascii="宋体" w:hAnsi="宋体" w:cs="宋体" w:eastAsia="宋体" w:hint="default"/>
                <w:sz w:val="18"/>
                <w:szCs w:val="18"/>
              </w:rPr>
              <w:t>本期 增加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83" w:right="180"/>
              <w:jc w:val="both"/>
              <w:rPr>
                <w:rFonts w:ascii="宋体" w:hAnsi="宋体" w:cs="宋体" w:eastAsia="宋体" w:hint="default"/>
                <w:sz w:val="18"/>
                <w:szCs w:val="18"/>
              </w:rPr>
            </w:pPr>
            <w:r>
              <w:rPr>
                <w:rFonts w:ascii="宋体" w:hAnsi="宋体" w:cs="宋体" w:eastAsia="宋体" w:hint="default"/>
                <w:sz w:val="18"/>
                <w:szCs w:val="18"/>
              </w:rPr>
              <w:t>本期 转入 固定 资产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81" w:right="182"/>
              <w:jc w:val="both"/>
              <w:rPr>
                <w:rFonts w:ascii="宋体" w:hAnsi="宋体" w:cs="宋体" w:eastAsia="宋体" w:hint="default"/>
                <w:sz w:val="18"/>
                <w:szCs w:val="18"/>
              </w:rPr>
            </w:pPr>
            <w:r>
              <w:rPr>
                <w:rFonts w:ascii="宋体" w:hAnsi="宋体" w:cs="宋体" w:eastAsia="宋体" w:hint="default"/>
                <w:sz w:val="18"/>
                <w:szCs w:val="18"/>
              </w:rPr>
              <w:t>本期 其他 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期末 余额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83" w:right="180"/>
              <w:jc w:val="both"/>
              <w:rPr>
                <w:rFonts w:ascii="宋体" w:hAnsi="宋体" w:cs="宋体" w:eastAsia="宋体" w:hint="default"/>
                <w:sz w:val="18"/>
                <w:szCs w:val="18"/>
              </w:rPr>
            </w:pPr>
            <w:r>
              <w:rPr>
                <w:rFonts w:ascii="宋体" w:hAnsi="宋体" w:cs="宋体" w:eastAsia="宋体" w:hint="default"/>
                <w:sz w:val="18"/>
                <w:szCs w:val="18"/>
              </w:rPr>
              <w:t>工程 累计 投入 占预 算比 例</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2" w:right="182"/>
              <w:jc w:val="left"/>
              <w:rPr>
                <w:rFonts w:ascii="宋体" w:hAnsi="宋体" w:cs="宋体" w:eastAsia="宋体" w:hint="default"/>
                <w:sz w:val="18"/>
                <w:szCs w:val="18"/>
              </w:rPr>
            </w:pPr>
            <w:r>
              <w:rPr>
                <w:rFonts w:ascii="宋体" w:hAnsi="宋体" w:cs="宋体" w:eastAsia="宋体" w:hint="default"/>
                <w:sz w:val="18"/>
                <w:szCs w:val="18"/>
              </w:rPr>
              <w:t>工程 进度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82" w:right="181"/>
              <w:jc w:val="both"/>
              <w:rPr>
                <w:rFonts w:ascii="宋体" w:hAnsi="宋体" w:cs="宋体" w:eastAsia="宋体" w:hint="default"/>
                <w:sz w:val="18"/>
                <w:szCs w:val="18"/>
              </w:rPr>
            </w:pPr>
            <w:r>
              <w:rPr>
                <w:rFonts w:ascii="宋体" w:hAnsi="宋体" w:cs="宋体" w:eastAsia="宋体" w:hint="default"/>
                <w:sz w:val="18"/>
                <w:szCs w:val="18"/>
              </w:rPr>
              <w:t>利息 资本 化累 计金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83" w:right="82" w:hanging="82"/>
              <w:jc w:val="left"/>
              <w:rPr>
                <w:rFonts w:ascii="宋体" w:hAnsi="宋体" w:cs="宋体" w:eastAsia="宋体" w:hint="default"/>
                <w:sz w:val="18"/>
                <w:szCs w:val="18"/>
              </w:rPr>
            </w:pPr>
            <w:r>
              <w:rPr>
                <w:rFonts w:ascii="宋体" w:hAnsi="宋体" w:cs="宋体" w:eastAsia="宋体" w:hint="default"/>
                <w:sz w:val="18"/>
                <w:szCs w:val="18"/>
              </w:rPr>
              <w:t>其中： 本期 利息 资本 化金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81" w:right="182"/>
              <w:jc w:val="both"/>
              <w:rPr>
                <w:rFonts w:ascii="宋体" w:hAnsi="宋体" w:cs="宋体" w:eastAsia="宋体" w:hint="default"/>
                <w:sz w:val="18"/>
                <w:szCs w:val="18"/>
              </w:rPr>
            </w:pPr>
            <w:r>
              <w:rPr>
                <w:rFonts w:ascii="宋体" w:hAnsi="宋体" w:cs="宋体" w:eastAsia="宋体" w:hint="default"/>
                <w:sz w:val="18"/>
                <w:szCs w:val="18"/>
              </w:rPr>
              <w:t>本期 利息 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资金 来源</w:t>
            </w:r>
          </w:p>
        </w:tc>
      </w:tr>
      <w:tr>
        <w:trPr>
          <w:trHeight w:val="358" w:hRule="exact"/>
        </w:trPr>
        <w:tc>
          <w:tcPr>
            <w:tcW w:w="7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市区</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域卫</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941"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58"/>
              <w:jc w:val="both"/>
              <w:rPr>
                <w:rFonts w:ascii="宋体" w:hAnsi="宋体" w:cs="宋体" w:eastAsia="宋体" w:hint="default"/>
                <w:sz w:val="18"/>
                <w:szCs w:val="18"/>
              </w:rPr>
            </w:pPr>
            <w:r>
              <w:rPr>
                <w:rFonts w:ascii="宋体" w:hAnsi="宋体" w:cs="宋体" w:eastAsia="宋体" w:hint="default"/>
                <w:sz w:val="18"/>
                <w:szCs w:val="18"/>
              </w:rPr>
              <w:t>生信 息平 台建</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83,500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57,216</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,475.8</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1</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10,317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,490.8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67,533</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,966.6</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9</w:t>
            </w: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7" w:right="0"/>
              <w:jc w:val="left"/>
              <w:rPr>
                <w:rFonts w:ascii="Times New Roman" w:hAnsi="Times New Roman" w:cs="Times New Roman" w:eastAsia="Times New Roman" w:hint="default"/>
                <w:sz w:val="18"/>
                <w:szCs w:val="18"/>
              </w:rPr>
            </w:pPr>
            <w:r>
              <w:rPr>
                <w:rFonts w:ascii="Times New Roman"/>
                <w:sz w:val="18"/>
              </w:rPr>
              <w:t>80.88</w:t>
            </w:r>
          </w:p>
          <w:p>
            <w:pPr>
              <w:pStyle w:val="TableParagraph"/>
              <w:spacing w:line="240" w:lineRule="auto" w:before="105"/>
              <w:ind w:left="47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7"/>
              <w:jc w:val="center"/>
              <w:rPr>
                <w:rFonts w:ascii="Times New Roman" w:hAnsi="Times New Roman" w:cs="Times New Roman" w:eastAsia="Times New Roman" w:hint="default"/>
                <w:sz w:val="18"/>
                <w:szCs w:val="18"/>
              </w:rPr>
            </w:pPr>
            <w:r>
              <w:rPr>
                <w:rFonts w:ascii="Times New Roman"/>
                <w:sz w:val="18"/>
              </w:rPr>
              <w:t>100%</w:t>
            </w: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60"/>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307"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设运</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营项</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356" w:hRule="exact"/>
        </w:trPr>
        <w:tc>
          <w:tcPr>
            <w:tcW w:w="7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目</w:t>
            </w: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r>
      <w:tr>
        <w:trPr>
          <w:trHeight w:val="714"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8"/>
              <w:jc w:val="left"/>
              <w:rPr>
                <w:rFonts w:ascii="宋体" w:hAnsi="宋体" w:cs="宋体" w:eastAsia="宋体" w:hint="default"/>
                <w:sz w:val="18"/>
                <w:szCs w:val="18"/>
              </w:rPr>
            </w:pPr>
            <w:r>
              <w:rPr>
                <w:rFonts w:ascii="宋体" w:hAnsi="宋体" w:cs="宋体" w:eastAsia="宋体" w:hint="default"/>
                <w:sz w:val="18"/>
                <w:szCs w:val="18"/>
              </w:rPr>
              <w:t>零星 工程</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2" w:right="0"/>
              <w:jc w:val="left"/>
              <w:rPr>
                <w:rFonts w:ascii="Times New Roman" w:hAnsi="Times New Roman" w:cs="Times New Roman" w:eastAsia="Times New Roman" w:hint="default"/>
                <w:sz w:val="18"/>
                <w:szCs w:val="18"/>
              </w:rPr>
            </w:pPr>
            <w:r>
              <w:rPr>
                <w:rFonts w:ascii="Times New Roman"/>
                <w:sz w:val="18"/>
              </w:rPr>
              <w:t>2,620,</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898.93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3" w:right="0"/>
              <w:jc w:val="left"/>
              <w:rPr>
                <w:rFonts w:ascii="Times New Roman" w:hAnsi="Times New Roman" w:cs="Times New Roman" w:eastAsia="Times New Roman" w:hint="default"/>
                <w:sz w:val="18"/>
                <w:szCs w:val="18"/>
              </w:rPr>
            </w:pPr>
            <w:r>
              <w:rPr>
                <w:rFonts w:ascii="Times New Roman"/>
                <w:sz w:val="18"/>
              </w:rPr>
              <w:t>1,934,</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172.35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3" w:right="0"/>
              <w:jc w:val="left"/>
              <w:rPr>
                <w:rFonts w:ascii="Times New Roman" w:hAnsi="Times New Roman" w:cs="Times New Roman" w:eastAsia="Times New Roman" w:hint="default"/>
                <w:sz w:val="18"/>
                <w:szCs w:val="18"/>
              </w:rPr>
            </w:pPr>
            <w:r>
              <w:rPr>
                <w:rFonts w:ascii="Times New Roman"/>
                <w:sz w:val="18"/>
              </w:rPr>
              <w:t>1,664,</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071.28</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3" w:right="0"/>
              <w:jc w:val="left"/>
              <w:rPr>
                <w:rFonts w:ascii="Times New Roman" w:hAnsi="Times New Roman" w:cs="Times New Roman" w:eastAsia="Times New Roman" w:hint="default"/>
                <w:sz w:val="18"/>
                <w:szCs w:val="18"/>
              </w:rPr>
            </w:pPr>
            <w:r>
              <w:rPr>
                <w:rFonts w:ascii="Times New Roman"/>
                <w:sz w:val="18"/>
              </w:rPr>
              <w:t>2,891,</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000.00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60"/>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1026"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83,500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59,837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,374.7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12,251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,663.2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1,664,</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071.28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67,533</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,966.6</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9</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2,891,</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000.00</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99"/>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3）本期计提在建工程减值准备情况" w:id="288"/>
      <w:bookmarkEnd w:id="288"/>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49"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pStyle w:val="BodyText"/>
        <w:spacing w:line="240" w:lineRule="auto" w:before="5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4）工程物资" w:id="289"/>
      <w:bookmarkEnd w:id="289"/>
      <w:r>
        <w:rPr>
          <w:b w:val="0"/>
          <w:bCs w:val="0"/>
        </w:rPr>
      </w:r>
      <w:r>
        <w:rPr/>
        <w:t>（</w:t>
      </w:r>
      <w:r>
        <w:rPr>
          <w:rFonts w:ascii="Times New Roman" w:hAnsi="Times New Roman" w:cs="Times New Roman" w:eastAsia="Times New Roman" w:hint="default"/>
        </w:rPr>
        <w:t>4</w:t>
      </w:r>
      <w:r>
        <w:rPr/>
        <w:t>）工程物资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132"/>
        <w:gridCol w:w="1329"/>
        <w:gridCol w:w="1328"/>
        <w:gridCol w:w="1196"/>
        <w:gridCol w:w="1196"/>
        <w:gridCol w:w="1196"/>
        <w:gridCol w:w="1191"/>
      </w:tblGrid>
      <w:tr>
        <w:trPr>
          <w:trHeight w:val="402" w:hRule="exact"/>
        </w:trPr>
        <w:tc>
          <w:tcPr>
            <w:tcW w:w="21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5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8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132" w:type="dxa"/>
            <w:vMerge/>
            <w:tcBorders>
              <w:left w:val="single" w:sz="4" w:space="0" w:color="000000"/>
              <w:bottom w:val="single" w:sz="4" w:space="0" w:color="000000"/>
              <w:right w:val="single" w:sz="4" w:space="0" w:color="000000"/>
            </w:tcBorders>
            <w:shd w:val="clear" w:color="auto" w:fill="D2D2D2"/>
          </w:tcPr>
          <w:p>
            <w:pPr/>
          </w:p>
        </w:tc>
        <w:tc>
          <w:tcPr>
            <w:tcW w:w="1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240" w:lineRule="auto" w:before="49"/>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16、无形资产" w:id="290"/>
      <w:bookmarkEnd w:id="290"/>
      <w:r>
        <w:rPr>
          <w:b w:val="0"/>
          <w:bCs w:val="0"/>
        </w:rPr>
      </w:r>
      <w:r>
        <w:rPr>
          <w:rFonts w:ascii="Times New Roman" w:hAnsi="Times New Roman" w:cs="Times New Roman" w:eastAsia="Times New Roman" w:hint="default"/>
        </w:rPr>
        <w:t>16</w:t>
      </w:r>
      <w:r>
        <w:rPr/>
        <w:t>、无形资产</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无形资产情况" w:id="291"/>
      <w:bookmarkEnd w:id="291"/>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7"/>
        <w:gridCol w:w="1367"/>
        <w:gridCol w:w="1367"/>
        <w:gridCol w:w="1367"/>
        <w:gridCol w:w="1367"/>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7"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8"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7"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软件</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7" w:right="0"/>
              <w:jc w:val="left"/>
              <w:rPr>
                <w:rFonts w:ascii="宋体" w:hAnsi="宋体" w:cs="宋体" w:eastAsia="宋体" w:hint="default"/>
                <w:sz w:val="18"/>
                <w:szCs w:val="18"/>
              </w:rPr>
            </w:pPr>
            <w:r>
              <w:rPr>
                <w:rFonts w:ascii="宋体" w:hAnsi="宋体" w:cs="宋体" w:eastAsia="宋体" w:hint="default"/>
                <w:sz w:val="18"/>
                <w:szCs w:val="18"/>
              </w:rPr>
              <w:t>特许经营权</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0"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71"/>
              <w:jc w:val="center"/>
              <w:rPr>
                <w:rFonts w:ascii="宋体" w:hAnsi="宋体" w:cs="宋体" w:eastAsia="宋体" w:hint="default"/>
                <w:sz w:val="18"/>
                <w:szCs w:val="18"/>
              </w:rPr>
            </w:pPr>
            <w:r>
              <w:rPr>
                <w:rFonts w:ascii="宋体" w:hAnsi="宋体" w:cs="宋体" w:eastAsia="宋体" w:hint="default"/>
                <w:sz w:val="18"/>
                <w:szCs w:val="18"/>
              </w:rPr>
              <w:t>一、账面原值</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7"/>
        <w:gridCol w:w="1367"/>
        <w:gridCol w:w="1367"/>
        <w:gridCol w:w="1367"/>
        <w:gridCol w:w="1367"/>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3,797,541.36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67,769,028.33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72,066,569.69</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1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 加金额</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59,823,320.96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67,533,966.69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127,357,287.65</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34"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）购</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3,362,041.48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3,362,041.48</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01" w:firstLine="532"/>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）内</w:t>
            </w:r>
            <w:r>
              <w:rPr>
                <w:rFonts w:ascii="宋体" w:hAnsi="宋体" w:cs="宋体" w:eastAsia="宋体" w:hint="default"/>
                <w:sz w:val="18"/>
                <w:szCs w:val="18"/>
              </w:rPr>
              <w:t> 部研发</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56,327,946.15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56,327,946.15</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01" w:firstLine="532"/>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）企</w:t>
            </w:r>
            <w:r>
              <w:rPr>
                <w:rFonts w:ascii="宋体" w:hAnsi="宋体" w:cs="宋体" w:eastAsia="宋体" w:hint="default"/>
                <w:sz w:val="18"/>
                <w:szCs w:val="18"/>
              </w:rPr>
              <w:t> 业合并增加</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133,333.33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133,333.33</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）在建工程</w:t>
            </w:r>
            <w:r>
              <w:rPr>
                <w:rFonts w:ascii="宋体" w:hAnsi="宋体" w:cs="宋体" w:eastAsia="宋体" w:hint="default"/>
                <w:sz w:val="18"/>
                <w:szCs w:val="18"/>
              </w:rPr>
              <w:t> 转入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67,533,966.69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67,533,966.69</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1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34"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）处</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3,797,541.36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127,592,349.29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67,533,966.69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199,423,857.34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386,083.64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262,500.12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17,755,473.33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18,404,057.09</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1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75,950.88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11,066,018.17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562,783.05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11,754,752.10</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75,950.88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10,941,135.97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562,783.05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11,629,869.90</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7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宋体" w:hAnsi="宋体" w:cs="宋体" w:eastAsia="宋体" w:hint="default"/>
                <w:spacing w:val="-2"/>
                <w:sz w:val="18"/>
                <w:szCs w:val="18"/>
              </w:rPr>
              <w:t> </w:t>
            </w:r>
            <w:r>
              <w:rPr>
                <w:rFonts w:ascii="宋体" w:hAnsi="宋体" w:cs="宋体" w:eastAsia="宋体" w:hint="default"/>
                <w:sz w:val="18"/>
                <w:szCs w:val="18"/>
              </w:rPr>
              <w:t>企业合</w:t>
            </w:r>
            <w:r>
              <w:rPr>
                <w:rFonts w:ascii="宋体" w:hAnsi="宋体" w:cs="宋体" w:eastAsia="宋体" w:hint="default"/>
                <w:sz w:val="18"/>
                <w:szCs w:val="18"/>
              </w:rPr>
              <w:t> 并增加</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124,882.20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124,882.20</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1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 少金额</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462,034.52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312,500.12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28,821,491.50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562,783.05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30,158,809.19</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1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7"/>
        <w:gridCol w:w="1367"/>
        <w:gridCol w:w="1367"/>
        <w:gridCol w:w="1367"/>
        <w:gridCol w:w="1367"/>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1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1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 面价值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3,335,506.84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187,499.88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15" w:right="0"/>
              <w:jc w:val="center"/>
              <w:rPr>
                <w:rFonts w:ascii="Times New Roman" w:hAnsi="Times New Roman" w:cs="Times New Roman" w:eastAsia="Times New Roman" w:hint="default"/>
                <w:sz w:val="18"/>
                <w:szCs w:val="18"/>
              </w:rPr>
            </w:pPr>
            <w:r>
              <w:rPr>
                <w:rFonts w:ascii="Times New Roman"/>
                <w:sz w:val="18"/>
              </w:rPr>
              <w:t>98,770,857.79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66,971,183.64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169,265,048.15</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1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 面价值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3,411,457.72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237,499.88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15" w:right="0"/>
              <w:jc w:val="center"/>
              <w:rPr>
                <w:rFonts w:ascii="Times New Roman" w:hAnsi="Times New Roman" w:cs="Times New Roman" w:eastAsia="Times New Roman" w:hint="default"/>
                <w:sz w:val="18"/>
                <w:szCs w:val="18"/>
              </w:rPr>
            </w:pPr>
            <w:r>
              <w:rPr>
                <w:rFonts w:ascii="Times New Roman"/>
                <w:sz w:val="18"/>
              </w:rPr>
              <w:t>50,013,555.00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53,662,512.60</w:t>
            </w:r>
          </w:p>
        </w:tc>
      </w:tr>
    </w:tbl>
    <w:p>
      <w:pPr>
        <w:pStyle w:val="BodyText"/>
        <w:spacing w:line="240" w:lineRule="auto" w:before="51"/>
        <w:ind w:right="882"/>
        <w:jc w:val="left"/>
      </w:pPr>
      <w:r>
        <w:rPr/>
        <w:t>本期末通过公司内部研发形成的无形资产占无形资产余额的比例</w:t>
      </w:r>
      <w:r>
        <w:rPr>
          <w:spacing w:val="-49"/>
        </w:rPr>
        <w:t> </w:t>
      </w:r>
      <w:r>
        <w:rPr>
          <w:rFonts w:ascii="Times New Roman" w:hAnsi="Times New Roman" w:cs="Times New Roman" w:eastAsia="Times New Roman" w:hint="default"/>
        </w:rPr>
        <w:t>42.32%</w:t>
      </w:r>
      <w:r>
        <w:rPr/>
        <w:t>。</w:t>
      </w:r>
    </w:p>
    <w:p>
      <w:pPr>
        <w:spacing w:line="240" w:lineRule="auto" w:before="13"/>
        <w:rPr>
          <w:rFonts w:ascii="宋体" w:hAnsi="宋体" w:cs="宋体" w:eastAsia="宋体" w:hint="default"/>
          <w:sz w:val="25"/>
          <w:szCs w:val="25"/>
        </w:rPr>
      </w:pPr>
    </w:p>
    <w:p>
      <w:pPr>
        <w:pStyle w:val="Heading3"/>
        <w:spacing w:line="240" w:lineRule="auto"/>
        <w:ind w:right="882"/>
        <w:jc w:val="left"/>
        <w:rPr>
          <w:b w:val="0"/>
          <w:bCs w:val="0"/>
        </w:rPr>
      </w:pPr>
      <w:bookmarkStart w:name="（2）未办妥产权证书的土地使用权情况" w:id="292"/>
      <w:bookmarkEnd w:id="292"/>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pStyle w:val="BodyText"/>
        <w:spacing w:line="240" w:lineRule="auto" w:before="5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17、开发支出" w:id="293"/>
      <w:bookmarkEnd w:id="293"/>
      <w:r>
        <w:rPr>
          <w:b w:val="0"/>
          <w:bCs w:val="0"/>
        </w:rPr>
      </w:r>
      <w:r>
        <w:rPr>
          <w:rFonts w:ascii="Times New Roman" w:hAnsi="Times New Roman" w:cs="Times New Roman" w:eastAsia="Times New Roman" w:hint="default"/>
        </w:rPr>
        <w:t>17</w:t>
      </w:r>
      <w:r>
        <w:rPr/>
        <w:t>、开发支出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3"/>
        <w:gridCol w:w="1063"/>
        <w:gridCol w:w="1063"/>
        <w:gridCol w:w="1063"/>
        <w:gridCol w:w="1063"/>
        <w:gridCol w:w="1063"/>
        <w:gridCol w:w="1063"/>
        <w:gridCol w:w="1063"/>
        <w:gridCol w:w="1063"/>
      </w:tblGrid>
      <w:tr>
        <w:trPr>
          <w:trHeight w:val="402" w:hRule="exact"/>
        </w:trPr>
        <w:tc>
          <w:tcPr>
            <w:tcW w:w="10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7"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063" w:type="dxa"/>
            <w:vMerge/>
            <w:tcBorders>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47" w:right="164" w:hanging="180"/>
              <w:jc w:val="left"/>
              <w:rPr>
                <w:rFonts w:ascii="宋体" w:hAnsi="宋体" w:cs="宋体" w:eastAsia="宋体" w:hint="default"/>
                <w:sz w:val="18"/>
                <w:szCs w:val="18"/>
              </w:rPr>
            </w:pPr>
            <w:r>
              <w:rPr>
                <w:rFonts w:ascii="宋体" w:hAnsi="宋体" w:cs="宋体" w:eastAsia="宋体" w:hint="default"/>
                <w:sz w:val="18"/>
                <w:szCs w:val="18"/>
              </w:rPr>
              <w:t>内部开发 支出</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4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56" w:right="166" w:hanging="92"/>
              <w:jc w:val="left"/>
              <w:rPr>
                <w:rFonts w:ascii="宋体" w:hAnsi="宋体" w:cs="宋体" w:eastAsia="宋体" w:hint="default"/>
                <w:sz w:val="18"/>
                <w:szCs w:val="18"/>
              </w:rPr>
            </w:pPr>
            <w:r>
              <w:rPr>
                <w:rFonts w:ascii="宋体" w:hAnsi="宋体" w:cs="宋体" w:eastAsia="宋体" w:hint="default"/>
                <w:sz w:val="18"/>
                <w:szCs w:val="18"/>
              </w:rPr>
              <w:t>确认为无 形资产</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45" w:right="165" w:hanging="180"/>
              <w:jc w:val="left"/>
              <w:rPr>
                <w:rFonts w:ascii="宋体" w:hAnsi="宋体" w:cs="宋体" w:eastAsia="宋体" w:hint="default"/>
                <w:sz w:val="18"/>
                <w:szCs w:val="18"/>
              </w:rPr>
            </w:pPr>
            <w:r>
              <w:rPr>
                <w:rFonts w:ascii="宋体" w:hAnsi="宋体" w:cs="宋体" w:eastAsia="宋体" w:hint="default"/>
                <w:sz w:val="18"/>
                <w:szCs w:val="18"/>
              </w:rPr>
              <w:t>转入当期 损益</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27"/>
              <w:jc w:val="center"/>
              <w:rPr>
                <w:rFonts w:ascii="宋体" w:hAnsi="宋体" w:cs="宋体" w:eastAsia="宋体" w:hint="default"/>
                <w:sz w:val="18"/>
                <w:szCs w:val="18"/>
              </w:rPr>
            </w:pPr>
            <w:r>
              <w:rPr>
                <w:rFonts w:ascii="宋体" w:hAnsi="宋体" w:cs="宋体" w:eastAsia="宋体" w:hint="default"/>
                <w:sz w:val="18"/>
                <w:szCs w:val="18"/>
              </w:rPr>
              <w:t>软件系统</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4,795,473.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74,401,167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.74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56,327,946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.15</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22,868,695</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.50</w:t>
            </w:r>
          </w:p>
        </w:tc>
      </w:tr>
      <w:tr>
        <w:trPr>
          <w:trHeight w:val="714" w:hRule="exact"/>
        </w:trPr>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4,795,473.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74,401,167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.74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56,327,946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.15</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22,868,695</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.50</w:t>
            </w:r>
          </w:p>
        </w:tc>
      </w:tr>
    </w:tbl>
    <w:p>
      <w:pPr>
        <w:pStyle w:val="BodyText"/>
        <w:spacing w:line="338" w:lineRule="auto" w:before="49"/>
        <w:ind w:right="882"/>
        <w:jc w:val="left"/>
      </w:pPr>
      <w:r>
        <w:rPr/>
        <w:t>其他说明 </w:t>
      </w:r>
      <w:r>
        <w:rPr>
          <w:spacing w:val="-2"/>
        </w:rPr>
        <w:t>上述开发项目经前期论证，其完成项目开发并销售具有技术可行性；经市场需求分析，产品存在一定的市场并能够为企业带</w:t>
      </w:r>
      <w:r>
        <w:rPr>
          <w:spacing w:val="-65"/>
        </w:rPr>
        <w:t> </w:t>
      </w:r>
      <w:r>
        <w:rPr>
          <w:spacing w:val="-65"/>
        </w:rPr>
      </w:r>
      <w:r>
        <w:rPr>
          <w:spacing w:val="-2"/>
        </w:rPr>
        <w:t>来相应的效益；公司有足够的研发能力、资金能力等资源，来完成项目的开发和产品的销售。因此，以上项目在立项并确定</w:t>
      </w:r>
    </w:p>
    <w:p>
      <w:pPr>
        <w:pStyle w:val="BodyText"/>
        <w:spacing w:line="316" w:lineRule="auto" w:before="2"/>
        <w:ind w:right="882"/>
        <w:jc w:val="left"/>
      </w:pPr>
      <w:r>
        <w:rPr>
          <w:spacing w:val="-2"/>
        </w:rPr>
        <w:t>研发项目开发方案后，已进入开发阶段，符合《企业会计准则第6号-无形资产》中各项研发资本化要求，及公司内部阶段性</w:t>
      </w:r>
      <w:r>
        <w:rPr>
          <w:spacing w:val="-64"/>
        </w:rPr>
        <w:t> </w:t>
      </w:r>
      <w:r>
        <w:rPr>
          <w:spacing w:val="-64"/>
        </w:rPr>
      </w:r>
      <w:r>
        <w:rPr/>
        <w:t>要求，开始进行资本化。截至期末，上述开发项目均在开发中。</w:t>
      </w:r>
    </w:p>
    <w:p>
      <w:pPr>
        <w:spacing w:line="240" w:lineRule="auto" w:before="8"/>
        <w:rPr>
          <w:rFonts w:ascii="宋体" w:hAnsi="宋体" w:cs="宋体" w:eastAsia="宋体" w:hint="default"/>
          <w:sz w:val="22"/>
          <w:szCs w:val="22"/>
        </w:rPr>
      </w:pPr>
    </w:p>
    <w:p>
      <w:pPr>
        <w:pStyle w:val="Heading3"/>
        <w:spacing w:line="240" w:lineRule="auto"/>
        <w:ind w:right="882"/>
        <w:jc w:val="left"/>
        <w:rPr>
          <w:b w:val="0"/>
          <w:bCs w:val="0"/>
        </w:rPr>
      </w:pPr>
      <w:bookmarkStart w:name="18、商誉" w:id="294"/>
      <w:bookmarkEnd w:id="294"/>
      <w:r>
        <w:rPr>
          <w:b w:val="0"/>
          <w:bCs w:val="0"/>
        </w:rPr>
      </w:r>
      <w:r>
        <w:rPr>
          <w:rFonts w:ascii="Times New Roman" w:hAnsi="Times New Roman" w:cs="Times New Roman" w:eastAsia="Times New Roman" w:hint="default"/>
        </w:rPr>
        <w:t>18</w:t>
      </w:r>
      <w:r>
        <w:rPr/>
        <w:t>、商誉</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商誉账面原值" w:id="295"/>
      <w:bookmarkEnd w:id="295"/>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2734"/>
        <w:gridCol w:w="2734"/>
        <w:gridCol w:w="1367"/>
      </w:tblGrid>
      <w:tr>
        <w:trPr>
          <w:trHeight w:val="400"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37" w:right="0"/>
              <w:jc w:val="left"/>
              <w:rPr>
                <w:rFonts w:ascii="宋体" w:hAnsi="宋体" w:cs="宋体" w:eastAsia="宋体" w:hint="default"/>
                <w:sz w:val="18"/>
                <w:szCs w:val="18"/>
              </w:rPr>
            </w:pPr>
            <w:r>
              <w:rPr>
                <w:rFonts w:ascii="宋体" w:hAnsi="宋体" w:cs="宋体" w:eastAsia="宋体" w:hint="default"/>
                <w:sz w:val="18"/>
                <w:szCs w:val="18"/>
              </w:rPr>
              <w:t>被投资单位名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footerReference w:type="default" r:id="rId47"/>
          <w:pgSz w:w="11910" w:h="16840"/>
          <w:pgMar w:footer="1016" w:header="907" w:top="1100" w:bottom="1200" w:left="1020" w:right="0"/>
          <w:pgNumType w:start="160"/>
        </w:sectPr>
      </w:pPr>
    </w:p>
    <w:p>
      <w:pPr>
        <w:spacing w:line="240" w:lineRule="auto" w:before="6"/>
        <w:rPr>
          <w:rFonts w:ascii="宋体" w:hAnsi="宋体" w:cs="宋体" w:eastAsia="宋体" w:hint="default"/>
          <w:sz w:val="25"/>
          <w:szCs w:val="25"/>
        </w:rPr>
      </w:pPr>
    </w:p>
    <w:tbl>
      <w:tblPr>
        <w:tblW w:w="0" w:type="auto"/>
        <w:jc w:val="left"/>
        <w:tblInd w:w="209" w:type="dxa"/>
        <w:tblLayout w:type="fixed"/>
        <w:tblCellMar>
          <w:top w:w="0" w:type="dxa"/>
          <w:left w:w="0" w:type="dxa"/>
          <w:bottom w:w="0" w:type="dxa"/>
          <w:right w:w="0" w:type="dxa"/>
        </w:tblCellMar>
        <w:tblLook w:val="01E0"/>
      </w:tblPr>
      <w:tblGrid>
        <w:gridCol w:w="1367"/>
        <w:gridCol w:w="1367"/>
        <w:gridCol w:w="1367"/>
        <w:gridCol w:w="1367"/>
        <w:gridCol w:w="1367"/>
        <w:gridCol w:w="1367"/>
        <w:gridCol w:w="1367"/>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409" w:right="137" w:hanging="272"/>
              <w:jc w:val="left"/>
              <w:rPr>
                <w:rFonts w:ascii="宋体" w:hAnsi="宋体" w:cs="宋体" w:eastAsia="宋体" w:hint="default"/>
                <w:sz w:val="18"/>
                <w:szCs w:val="18"/>
              </w:rPr>
            </w:pPr>
            <w:r>
              <w:rPr>
                <w:rFonts w:ascii="宋体" w:hAnsi="宋体" w:cs="宋体" w:eastAsia="宋体" w:hint="default"/>
                <w:sz w:val="18"/>
                <w:szCs w:val="18"/>
              </w:rPr>
              <w:t>称或形成商誉 的事项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588" w:right="137" w:hanging="452"/>
              <w:jc w:val="left"/>
              <w:rPr>
                <w:rFonts w:ascii="宋体" w:hAnsi="宋体" w:cs="宋体" w:eastAsia="宋体" w:hint="default"/>
                <w:sz w:val="18"/>
                <w:szCs w:val="18"/>
              </w:rPr>
            </w:pPr>
            <w:r>
              <w:rPr>
                <w:rFonts w:ascii="宋体" w:hAnsi="宋体" w:cs="宋体" w:eastAsia="宋体" w:hint="default"/>
                <w:sz w:val="18"/>
                <w:szCs w:val="18"/>
              </w:rPr>
              <w:t>企业合并形成 的</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处置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73"/>
              <w:jc w:val="left"/>
              <w:rPr>
                <w:rFonts w:ascii="宋体" w:hAnsi="宋体" w:cs="宋体" w:eastAsia="宋体" w:hint="default"/>
                <w:sz w:val="18"/>
                <w:szCs w:val="18"/>
              </w:rPr>
            </w:pPr>
            <w:r>
              <w:rPr>
                <w:rFonts w:ascii="宋体" w:hAnsi="宋体" w:cs="宋体" w:eastAsia="宋体" w:hint="default"/>
                <w:sz w:val="18"/>
                <w:szCs w:val="18"/>
              </w:rPr>
              <w:t>杭州惟勤科技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1,121,977.72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1,121,977.72</w:t>
            </w:r>
          </w:p>
        </w:tc>
      </w:tr>
      <w:tr>
        <w:trPr>
          <w:trHeight w:val="1338"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73"/>
              <w:jc w:val="both"/>
              <w:rPr>
                <w:rFonts w:ascii="宋体" w:hAnsi="宋体" w:cs="宋体" w:eastAsia="宋体" w:hint="default"/>
                <w:sz w:val="18"/>
                <w:szCs w:val="18"/>
              </w:rPr>
            </w:pPr>
            <w:r>
              <w:rPr>
                <w:rFonts w:ascii="宋体" w:hAnsi="宋体" w:cs="宋体" w:eastAsia="宋体" w:hint="default"/>
                <w:sz w:val="18"/>
                <w:szCs w:val="18"/>
              </w:rPr>
              <w:t>广东中拓信息 技术有限公司 和中山市蓝天 电脑有限公司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19,965,281.29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19,965,281.29</w:t>
            </w:r>
          </w:p>
        </w:tc>
      </w:tr>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73"/>
              <w:jc w:val="both"/>
              <w:rPr>
                <w:rFonts w:ascii="宋体" w:hAnsi="宋体" w:cs="宋体" w:eastAsia="宋体" w:hint="default"/>
                <w:sz w:val="18"/>
                <w:szCs w:val="18"/>
              </w:rPr>
            </w:pPr>
            <w:r>
              <w:rPr>
                <w:rFonts w:ascii="宋体" w:hAnsi="宋体" w:cs="宋体" w:eastAsia="宋体" w:hint="default"/>
                <w:sz w:val="18"/>
                <w:szCs w:val="18"/>
              </w:rPr>
              <w:t>杭州慧康物联 网科技有限公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1,021,541,839.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57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1,021,541,839.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57</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73"/>
              <w:jc w:val="left"/>
              <w:rPr>
                <w:rFonts w:ascii="宋体" w:hAnsi="宋体" w:cs="宋体" w:eastAsia="宋体" w:hint="default"/>
                <w:sz w:val="18"/>
                <w:szCs w:val="18"/>
              </w:rPr>
            </w:pPr>
            <w:r>
              <w:rPr>
                <w:rFonts w:ascii="宋体" w:hAnsi="宋体" w:cs="宋体" w:eastAsia="宋体" w:hint="default"/>
                <w:sz w:val="18"/>
                <w:szCs w:val="18"/>
              </w:rPr>
              <w:t>杭州卓腾信息 技术有限公司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15,989,472.27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15,989,472.27</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73"/>
              <w:jc w:val="left"/>
              <w:rPr>
                <w:rFonts w:ascii="宋体" w:hAnsi="宋体" w:cs="宋体" w:eastAsia="宋体" w:hint="default"/>
                <w:sz w:val="18"/>
                <w:szCs w:val="18"/>
              </w:rPr>
            </w:pPr>
            <w:r>
              <w:rPr>
                <w:rFonts w:ascii="宋体" w:hAnsi="宋体" w:cs="宋体" w:eastAsia="宋体" w:hint="default"/>
                <w:sz w:val="18"/>
                <w:szCs w:val="18"/>
              </w:rPr>
              <w:t>杭州梅清数码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14,733,850.83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14,733,850.83</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73"/>
              <w:jc w:val="left"/>
              <w:rPr>
                <w:rFonts w:ascii="宋体" w:hAnsi="宋体" w:cs="宋体" w:eastAsia="宋体" w:hint="default"/>
                <w:sz w:val="18"/>
                <w:szCs w:val="18"/>
              </w:rPr>
            </w:pPr>
            <w:r>
              <w:rPr>
                <w:rFonts w:ascii="宋体" w:hAnsi="宋体" w:cs="宋体" w:eastAsia="宋体" w:hint="default"/>
                <w:sz w:val="18"/>
                <w:szCs w:val="18"/>
              </w:rPr>
              <w:t>杭州美诺泰科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34,652,019.35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34,652,019.35</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1,108,004,441.</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1,108,004,441.</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03</w:t>
            </w:r>
          </w:p>
        </w:tc>
      </w:tr>
    </w:tbl>
    <w:p>
      <w:pPr>
        <w:spacing w:line="240" w:lineRule="auto" w:before="3"/>
        <w:rPr>
          <w:rFonts w:ascii="宋体" w:hAnsi="宋体" w:cs="宋体" w:eastAsia="宋体" w:hint="default"/>
          <w:sz w:val="19"/>
          <w:szCs w:val="19"/>
        </w:rPr>
      </w:pPr>
    </w:p>
    <w:p>
      <w:pPr>
        <w:pStyle w:val="Heading3"/>
        <w:spacing w:line="240" w:lineRule="auto" w:before="34"/>
        <w:ind w:left="212" w:right="1031"/>
        <w:jc w:val="left"/>
        <w:rPr>
          <w:b w:val="0"/>
          <w:bCs w:val="0"/>
        </w:rPr>
      </w:pPr>
      <w:bookmarkStart w:name="（2）商誉减值准备" w:id="296"/>
      <w:bookmarkEnd w:id="296"/>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1367"/>
        <w:gridCol w:w="1367"/>
        <w:gridCol w:w="1367"/>
        <w:gridCol w:w="1367"/>
        <w:gridCol w:w="1367"/>
        <w:gridCol w:w="1367"/>
        <w:gridCol w:w="1367"/>
      </w:tblGrid>
      <w:tr>
        <w:trPr>
          <w:trHeight w:val="402" w:hRule="exact"/>
        </w:trPr>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37" w:right="137"/>
              <w:jc w:val="center"/>
              <w:rPr>
                <w:rFonts w:ascii="宋体" w:hAnsi="宋体" w:cs="宋体" w:eastAsia="宋体" w:hint="default"/>
                <w:sz w:val="18"/>
                <w:szCs w:val="18"/>
              </w:rPr>
            </w:pPr>
            <w:r>
              <w:rPr>
                <w:rFonts w:ascii="宋体" w:hAnsi="宋体" w:cs="宋体" w:eastAsia="宋体" w:hint="default"/>
                <w:sz w:val="18"/>
                <w:szCs w:val="18"/>
              </w:rPr>
              <w:t>被投资单位名 称或形成商誉 的事项</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24" w:hRule="exact"/>
        </w:trPr>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right="2"/>
              <w:jc w:val="center"/>
              <w:rPr>
                <w:rFonts w:ascii="宋体" w:hAnsi="宋体" w:cs="宋体" w:eastAsia="宋体" w:hint="default"/>
                <w:sz w:val="18"/>
                <w:szCs w:val="18"/>
              </w:rPr>
            </w:pPr>
            <w:r>
              <w:rPr>
                <w:rFonts w:ascii="宋体" w:hAnsi="宋体" w:cs="宋体" w:eastAsia="宋体" w:hint="default"/>
                <w:sz w:val="18"/>
                <w:szCs w:val="18"/>
              </w:rPr>
              <w:t>处置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73"/>
              <w:jc w:val="left"/>
              <w:rPr>
                <w:rFonts w:ascii="宋体" w:hAnsi="宋体" w:cs="宋体" w:eastAsia="宋体" w:hint="default"/>
                <w:sz w:val="18"/>
                <w:szCs w:val="18"/>
              </w:rPr>
            </w:pPr>
            <w:r>
              <w:rPr>
                <w:rFonts w:ascii="宋体" w:hAnsi="宋体" w:cs="宋体" w:eastAsia="宋体" w:hint="default"/>
                <w:sz w:val="18"/>
                <w:szCs w:val="18"/>
              </w:rPr>
              <w:t>杭州美诺泰科 科技有限公司</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5,352,736.80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5,352,736.80</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5,352,736.80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5,352,736.80</w:t>
            </w:r>
          </w:p>
        </w:tc>
      </w:tr>
    </w:tbl>
    <w:p>
      <w:pPr>
        <w:pStyle w:val="BodyText"/>
        <w:spacing w:line="240" w:lineRule="auto" w:before="50"/>
        <w:ind w:left="212" w:right="1031"/>
        <w:jc w:val="left"/>
      </w:pPr>
      <w:r>
        <w:rPr/>
        <w:t>商誉所在资产组或资产组组合的相关信息</w:t>
      </w:r>
    </w:p>
    <w:p>
      <w:pPr>
        <w:spacing w:line="240" w:lineRule="auto" w:before="2"/>
        <w:rPr>
          <w:rFonts w:ascii="宋体" w:hAnsi="宋体" w:cs="宋体" w:eastAsia="宋体" w:hint="default"/>
          <w:sz w:val="8"/>
          <w:szCs w:val="8"/>
        </w:rPr>
      </w:pPr>
    </w:p>
    <w:tbl>
      <w:tblPr>
        <w:tblW w:w="0" w:type="auto"/>
        <w:jc w:val="left"/>
        <w:tblInd w:w="103" w:type="dxa"/>
        <w:tblLayout w:type="fixed"/>
        <w:tblCellMar>
          <w:top w:w="0" w:type="dxa"/>
          <w:left w:w="0" w:type="dxa"/>
          <w:bottom w:w="0" w:type="dxa"/>
          <w:right w:w="0" w:type="dxa"/>
        </w:tblCellMar>
        <w:tblLook w:val="01E0"/>
      </w:tblPr>
      <w:tblGrid>
        <w:gridCol w:w="2851"/>
        <w:gridCol w:w="2333"/>
        <w:gridCol w:w="2333"/>
        <w:gridCol w:w="2333"/>
      </w:tblGrid>
      <w:tr>
        <w:trPr>
          <w:trHeight w:val="1026" w:hRule="exact"/>
        </w:trPr>
        <w:tc>
          <w:tcPr>
            <w:tcW w:w="2851"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40" w:right="0"/>
              <w:jc w:val="left"/>
              <w:rPr>
                <w:rFonts w:ascii="宋体" w:hAnsi="宋体" w:cs="宋体" w:eastAsia="宋体" w:hint="default"/>
                <w:sz w:val="18"/>
                <w:szCs w:val="18"/>
              </w:rPr>
            </w:pPr>
            <w:r>
              <w:rPr>
                <w:rFonts w:ascii="宋体" w:hAnsi="宋体" w:cs="宋体" w:eastAsia="宋体" w:hint="default"/>
                <w:color w:val="333333"/>
                <w:sz w:val="18"/>
                <w:szCs w:val="18"/>
              </w:rPr>
              <w:t>资产组或资产组组合的构成</w:t>
            </w:r>
            <w:r>
              <w:rPr>
                <w:rFonts w:ascii="宋体" w:hAnsi="宋体" w:cs="宋体" w:eastAsia="宋体" w:hint="default"/>
                <w:sz w:val="18"/>
                <w:szCs w:val="18"/>
              </w:rPr>
            </w:r>
          </w:p>
        </w:tc>
        <w:tc>
          <w:tcPr>
            <w:tcW w:w="2333"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81" w:right="68" w:hanging="989"/>
              <w:jc w:val="left"/>
              <w:rPr>
                <w:rFonts w:ascii="宋体" w:hAnsi="宋体" w:cs="宋体" w:eastAsia="宋体" w:hint="default"/>
                <w:sz w:val="18"/>
                <w:szCs w:val="18"/>
              </w:rPr>
            </w:pPr>
            <w:r>
              <w:rPr>
                <w:rFonts w:ascii="宋体" w:hAnsi="宋体" w:cs="宋体" w:eastAsia="宋体" w:hint="default"/>
                <w:sz w:val="18"/>
                <w:szCs w:val="18"/>
              </w:rPr>
              <w:t>杭州惟勤科技有限公司资产 组</w:t>
            </w:r>
          </w:p>
        </w:tc>
        <w:tc>
          <w:tcPr>
            <w:tcW w:w="2333"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316" w:lineRule="auto" w:before="51"/>
              <w:ind w:left="92" w:right="68"/>
              <w:jc w:val="center"/>
              <w:rPr>
                <w:rFonts w:ascii="宋体" w:hAnsi="宋体" w:cs="宋体" w:eastAsia="宋体" w:hint="default"/>
                <w:sz w:val="18"/>
                <w:szCs w:val="18"/>
              </w:rPr>
            </w:pPr>
            <w:r>
              <w:rPr>
                <w:rFonts w:ascii="宋体" w:hAnsi="宋体" w:cs="宋体" w:eastAsia="宋体" w:hint="default"/>
                <w:sz w:val="18"/>
                <w:szCs w:val="18"/>
              </w:rPr>
              <w:t>广东中拓信息技术有限公司 和中山市蓝天电脑有限公司 资产组</w:t>
            </w:r>
          </w:p>
        </w:tc>
        <w:tc>
          <w:tcPr>
            <w:tcW w:w="2333"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812" w:right="68" w:hanging="720"/>
              <w:jc w:val="left"/>
              <w:rPr>
                <w:rFonts w:ascii="宋体" w:hAnsi="宋体" w:cs="宋体" w:eastAsia="宋体" w:hint="default"/>
                <w:sz w:val="18"/>
                <w:szCs w:val="18"/>
              </w:rPr>
            </w:pPr>
            <w:r>
              <w:rPr>
                <w:rFonts w:ascii="宋体" w:hAnsi="宋体" w:cs="宋体" w:eastAsia="宋体" w:hint="default"/>
                <w:sz w:val="18"/>
                <w:szCs w:val="18"/>
              </w:rPr>
              <w:t>杭州慧康物联网科技有限公 司资产组</w:t>
            </w:r>
          </w:p>
        </w:tc>
      </w:tr>
      <w:tr>
        <w:trPr>
          <w:trHeight w:val="558"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2" w:right="0"/>
              <w:jc w:val="left"/>
              <w:rPr>
                <w:rFonts w:ascii="宋体" w:hAnsi="宋体" w:cs="宋体" w:eastAsia="宋体" w:hint="default"/>
                <w:sz w:val="18"/>
                <w:szCs w:val="18"/>
              </w:rPr>
            </w:pPr>
            <w:r>
              <w:rPr>
                <w:rFonts w:ascii="宋体" w:hAnsi="宋体" w:cs="宋体" w:eastAsia="宋体" w:hint="default"/>
                <w:sz w:val="18"/>
                <w:szCs w:val="18"/>
              </w:rPr>
              <w:t>资产组的账面价值</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5,740,635.60</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26,385,140.38</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117,512,523.49</w:t>
            </w:r>
          </w:p>
        </w:tc>
      </w:tr>
      <w:tr>
        <w:trPr>
          <w:trHeight w:val="71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pacing w:val="7"/>
                <w:sz w:val="18"/>
                <w:szCs w:val="18"/>
              </w:rPr>
              <w:t>分摊至本资产组的商誉账面价值</w:t>
            </w:r>
          </w:p>
          <w:p>
            <w:pPr>
              <w:pStyle w:val="TableParagraph"/>
              <w:spacing w:line="240" w:lineRule="auto" w:before="76"/>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（包含少数股东商誉</w:t>
            </w:r>
            <w:r>
              <w:rPr>
                <w:rFonts w:ascii="Times New Roman" w:hAnsi="Times New Roman" w:cs="Times New Roman" w:eastAsia="Times New Roman" w:hint="default"/>
                <w:sz w:val="18"/>
                <w:szCs w:val="18"/>
              </w:rPr>
              <w:t>)</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2,199,956.31</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24,956,601.61</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1,021,541,839.57</w:t>
            </w:r>
          </w:p>
        </w:tc>
      </w:tr>
      <w:tr>
        <w:trPr>
          <w:trHeight w:val="402"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包含商誉的资产组的账面价值</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7,940,591.91</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51,341,741.99</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1,139,054,363.06</w:t>
            </w:r>
          </w:p>
        </w:tc>
      </w:tr>
      <w:tr>
        <w:trPr>
          <w:trHeight w:val="682"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01"/>
              <w:jc w:val="left"/>
              <w:rPr>
                <w:rFonts w:ascii="宋体" w:hAnsi="宋体" w:cs="宋体" w:eastAsia="宋体" w:hint="default"/>
                <w:sz w:val="18"/>
                <w:szCs w:val="18"/>
              </w:rPr>
            </w:pPr>
            <w:r>
              <w:rPr>
                <w:rFonts w:ascii="宋体" w:hAnsi="宋体" w:cs="宋体" w:eastAsia="宋体" w:hint="default"/>
                <w:spacing w:val="7"/>
                <w:sz w:val="18"/>
                <w:szCs w:val="18"/>
              </w:rPr>
              <w:t>资产组或资产组组合是否与购买</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5"/>
                <w:sz w:val="18"/>
                <w:szCs w:val="18"/>
              </w:rPr>
              <w:t>日、以前年度商誉减值测试时所确</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center"/>
        <w:rPr>
          <w:rFonts w:ascii="宋体" w:hAnsi="宋体" w:cs="宋体" w:eastAsia="宋体" w:hint="default"/>
          <w:sz w:val="18"/>
          <w:szCs w:val="18"/>
        </w:rPr>
        <w:sectPr>
          <w:pgSz w:w="11910" w:h="16840"/>
          <w:pgMar w:header="907" w:footer="1016" w:top="1100" w:bottom="1200" w:left="920" w:right="0"/>
        </w:sectPr>
      </w:pPr>
    </w:p>
    <w:p>
      <w:pPr>
        <w:spacing w:line="240" w:lineRule="auto" w:before="6"/>
        <w:rPr>
          <w:rFonts w:ascii="宋体" w:hAnsi="宋体" w:cs="宋体" w:eastAsia="宋体" w:hint="default"/>
          <w:sz w:val="25"/>
          <w:szCs w:val="25"/>
        </w:rPr>
      </w:pPr>
    </w:p>
    <w:tbl>
      <w:tblPr>
        <w:tblW w:w="0" w:type="auto"/>
        <w:jc w:val="left"/>
        <w:tblInd w:w="103" w:type="dxa"/>
        <w:tblLayout w:type="fixed"/>
        <w:tblCellMar>
          <w:top w:w="0" w:type="dxa"/>
          <w:left w:w="0" w:type="dxa"/>
          <w:bottom w:w="0" w:type="dxa"/>
          <w:right w:w="0" w:type="dxa"/>
        </w:tblCellMar>
        <w:tblLook w:val="01E0"/>
      </w:tblPr>
      <w:tblGrid>
        <w:gridCol w:w="2851"/>
        <w:gridCol w:w="2333"/>
        <w:gridCol w:w="2333"/>
        <w:gridCol w:w="2333"/>
      </w:tblGrid>
      <w:tr>
        <w:trPr>
          <w:trHeight w:val="362"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定的资产组或资产组组合一致</w:t>
            </w:r>
          </w:p>
        </w:tc>
        <w:tc>
          <w:tcPr>
            <w:tcW w:w="233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6"/>
          <w:szCs w:val="6"/>
        </w:rPr>
      </w:pPr>
    </w:p>
    <w:p>
      <w:pPr>
        <w:pStyle w:val="BodyText"/>
        <w:spacing w:line="240" w:lineRule="auto" w:before="44"/>
        <w:ind w:left="572" w:right="1031"/>
        <w:jc w:val="left"/>
      </w:pPr>
      <w:r>
        <w:rPr/>
        <w:t>（续上表）</w:t>
      </w:r>
    </w:p>
    <w:p>
      <w:pPr>
        <w:spacing w:line="240" w:lineRule="auto" w:before="0"/>
        <w:rPr>
          <w:rFonts w:ascii="宋体" w:hAnsi="宋体" w:cs="宋体" w:eastAsia="宋体" w:hint="default"/>
          <w:sz w:val="14"/>
          <w:szCs w:val="14"/>
        </w:rPr>
      </w:pPr>
    </w:p>
    <w:tbl>
      <w:tblPr>
        <w:tblW w:w="0" w:type="auto"/>
        <w:jc w:val="left"/>
        <w:tblInd w:w="103" w:type="dxa"/>
        <w:tblLayout w:type="fixed"/>
        <w:tblCellMar>
          <w:top w:w="0" w:type="dxa"/>
          <w:left w:w="0" w:type="dxa"/>
          <w:bottom w:w="0" w:type="dxa"/>
          <w:right w:w="0" w:type="dxa"/>
        </w:tblCellMar>
        <w:tblLook w:val="01E0"/>
      </w:tblPr>
      <w:tblGrid>
        <w:gridCol w:w="2851"/>
        <w:gridCol w:w="2333"/>
        <w:gridCol w:w="2333"/>
        <w:gridCol w:w="2333"/>
      </w:tblGrid>
      <w:tr>
        <w:trPr>
          <w:trHeight w:val="714" w:hRule="exact"/>
        </w:trPr>
        <w:tc>
          <w:tcPr>
            <w:tcW w:w="2851"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color w:val="333333"/>
                <w:sz w:val="18"/>
                <w:szCs w:val="18"/>
              </w:rPr>
              <w:t>资产组或资产组组合的构成</w:t>
            </w:r>
            <w:r>
              <w:rPr>
                <w:rFonts w:ascii="宋体" w:hAnsi="宋体" w:cs="宋体" w:eastAsia="宋体" w:hint="default"/>
                <w:sz w:val="18"/>
                <w:szCs w:val="18"/>
              </w:rPr>
            </w:r>
          </w:p>
        </w:tc>
        <w:tc>
          <w:tcPr>
            <w:tcW w:w="2333"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316" w:lineRule="auto" w:before="51"/>
              <w:ind w:left="901" w:right="68" w:hanging="809"/>
              <w:jc w:val="left"/>
              <w:rPr>
                <w:rFonts w:ascii="宋体" w:hAnsi="宋体" w:cs="宋体" w:eastAsia="宋体" w:hint="default"/>
                <w:sz w:val="18"/>
                <w:szCs w:val="18"/>
              </w:rPr>
            </w:pPr>
            <w:r>
              <w:rPr>
                <w:rFonts w:ascii="宋体" w:hAnsi="宋体" w:cs="宋体" w:eastAsia="宋体" w:hint="default"/>
                <w:sz w:val="18"/>
                <w:szCs w:val="18"/>
              </w:rPr>
              <w:t>杭州卓腾信息技术有限公司 资产组</w:t>
            </w:r>
          </w:p>
        </w:tc>
        <w:tc>
          <w:tcPr>
            <w:tcW w:w="2333"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316" w:lineRule="auto" w:before="51"/>
              <w:ind w:left="901" w:right="68" w:hanging="809"/>
              <w:jc w:val="left"/>
              <w:rPr>
                <w:rFonts w:ascii="宋体" w:hAnsi="宋体" w:cs="宋体" w:eastAsia="宋体" w:hint="default"/>
                <w:sz w:val="18"/>
                <w:szCs w:val="18"/>
              </w:rPr>
            </w:pPr>
            <w:r>
              <w:rPr>
                <w:rFonts w:ascii="宋体" w:hAnsi="宋体" w:cs="宋体" w:eastAsia="宋体" w:hint="default"/>
                <w:sz w:val="18"/>
                <w:szCs w:val="18"/>
              </w:rPr>
              <w:t>杭州梅清数码科技有限公司 资产组</w:t>
            </w:r>
          </w:p>
        </w:tc>
        <w:tc>
          <w:tcPr>
            <w:tcW w:w="2333" w:type="dxa"/>
            <w:tcBorders>
              <w:top w:val="single" w:sz="4" w:space="0" w:color="000000"/>
              <w:left w:val="single" w:sz="4" w:space="0" w:color="000000"/>
              <w:bottom w:val="single" w:sz="4" w:space="0" w:color="000000"/>
              <w:right w:val="single" w:sz="4" w:space="0" w:color="000000"/>
            </w:tcBorders>
            <w:shd w:val="clear" w:color="auto" w:fill="D6D6D6"/>
          </w:tcPr>
          <w:p>
            <w:pPr>
              <w:pStyle w:val="TableParagraph"/>
              <w:spacing w:line="316" w:lineRule="auto" w:before="51"/>
              <w:ind w:left="901" w:right="68" w:hanging="809"/>
              <w:jc w:val="left"/>
              <w:rPr>
                <w:rFonts w:ascii="宋体" w:hAnsi="宋体" w:cs="宋体" w:eastAsia="宋体" w:hint="default"/>
                <w:sz w:val="18"/>
                <w:szCs w:val="18"/>
              </w:rPr>
            </w:pPr>
            <w:r>
              <w:rPr>
                <w:rFonts w:ascii="宋体" w:hAnsi="宋体" w:cs="宋体" w:eastAsia="宋体" w:hint="default"/>
                <w:sz w:val="18"/>
                <w:szCs w:val="18"/>
              </w:rPr>
              <w:t>杭州美诺泰科科技有限公司 资产组</w:t>
            </w:r>
          </w:p>
        </w:tc>
      </w:tr>
      <w:tr>
        <w:trPr>
          <w:trHeight w:val="558"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2" w:right="0"/>
              <w:jc w:val="left"/>
              <w:rPr>
                <w:rFonts w:ascii="宋体" w:hAnsi="宋体" w:cs="宋体" w:eastAsia="宋体" w:hint="default"/>
                <w:sz w:val="18"/>
                <w:szCs w:val="18"/>
              </w:rPr>
            </w:pPr>
            <w:r>
              <w:rPr>
                <w:rFonts w:ascii="宋体" w:hAnsi="宋体" w:cs="宋体" w:eastAsia="宋体" w:hint="default"/>
                <w:sz w:val="18"/>
                <w:szCs w:val="18"/>
              </w:rPr>
              <w:t>资产组的账面价值</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18,887,819.72</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43,890,245.85</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14,207,600.82</w:t>
            </w:r>
          </w:p>
        </w:tc>
      </w:tr>
      <w:tr>
        <w:trPr>
          <w:trHeight w:val="714"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pacing w:val="7"/>
                <w:sz w:val="18"/>
                <w:szCs w:val="18"/>
              </w:rPr>
              <w:t>分摊至本资产组的商誉账面价值</w:t>
            </w:r>
          </w:p>
          <w:p>
            <w:pPr>
              <w:pStyle w:val="TableParagraph"/>
              <w:spacing w:line="240" w:lineRule="auto" w:before="76"/>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（包含少数股东商誉</w:t>
            </w:r>
            <w:r>
              <w:rPr>
                <w:rFonts w:ascii="Times New Roman" w:hAnsi="Times New Roman" w:cs="Times New Roman" w:eastAsia="Times New Roman" w:hint="default"/>
                <w:sz w:val="18"/>
                <w:szCs w:val="18"/>
              </w:rPr>
              <w:t>)</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17,987,931.45</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28,889,903.59</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67,945,135.98</w:t>
            </w:r>
          </w:p>
        </w:tc>
      </w:tr>
      <w:tr>
        <w:trPr>
          <w:trHeight w:val="402"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包含商誉的资产组的账面价值</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36,875,751.17</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72,780,149.44</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82,152,736.80</w:t>
            </w:r>
          </w:p>
        </w:tc>
      </w:tr>
      <w:tr>
        <w:trPr>
          <w:trHeight w:val="1026" w:hRule="exact"/>
        </w:trPr>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01"/>
              <w:jc w:val="both"/>
              <w:rPr>
                <w:rFonts w:ascii="宋体" w:hAnsi="宋体" w:cs="宋体" w:eastAsia="宋体" w:hint="default"/>
                <w:sz w:val="18"/>
                <w:szCs w:val="18"/>
              </w:rPr>
            </w:pPr>
            <w:r>
              <w:rPr>
                <w:rFonts w:ascii="宋体" w:hAnsi="宋体" w:cs="宋体" w:eastAsia="宋体" w:hint="default"/>
                <w:spacing w:val="7"/>
                <w:sz w:val="18"/>
                <w:szCs w:val="18"/>
              </w:rPr>
              <w:t>资产组或资产组组合是否与购买</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5"/>
                <w:sz w:val="18"/>
                <w:szCs w:val="18"/>
              </w:rPr>
              <w:t>日、以前年度商誉减值测试时所确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定的资产组或资产组组合一致</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0"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9"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9"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pStyle w:val="BodyText"/>
        <w:spacing w:line="316" w:lineRule="auto" w:before="50"/>
        <w:ind w:left="212" w:right="1031" w:firstLine="360"/>
        <w:jc w:val="left"/>
      </w:pPr>
      <w:r>
        <w:rPr>
          <w:spacing w:val="-2"/>
        </w:rPr>
        <w:t>说明商誉减值测试过程、关键参数（如预计未来现金流量现值时的预测期增长率、稳定期增长率、利润率、折现率、预</w:t>
      </w:r>
      <w:r>
        <w:rPr/>
        <w:t> 测期等）及商誉减值损失的确认方法：</w:t>
      </w:r>
    </w:p>
    <w:p>
      <w:pPr>
        <w:pStyle w:val="BodyText"/>
        <w:spacing w:line="309" w:lineRule="auto" w:before="59"/>
        <w:ind w:left="212" w:right="1051" w:firstLine="420"/>
        <w:jc w:val="left"/>
      </w:pPr>
      <w:r>
        <w:rPr/>
        <w:t>期末，公司对杭州惟勤科技有限公司、广东中拓信息技术有限公司和中山市蓝天电脑有限公司、杭州慧康物联网科技 有限公司、杭州卓腾信息技术有限公司、杭州梅清数码科技有限公司、杭州美诺泰科科技有限公司的商誉进行了减值测试。 商誉的可收回金额按照上述公司的预计未来现金流量的现值计算，其预计现金流量根据公司</w:t>
      </w:r>
      <w:r>
        <w:rPr>
          <w:rFonts w:ascii="Times New Roman" w:hAnsi="Times New Roman" w:cs="Times New Roman" w:eastAsia="Times New Roman" w:hint="default"/>
        </w:rPr>
        <w:t>5</w:t>
      </w:r>
      <w:r>
        <w:rPr/>
        <w:t>年期现金流量预测为基础，现</w:t>
      </w:r>
      <w:r>
        <w:rPr>
          <w:spacing w:val="-85"/>
        </w:rPr>
        <w:t> </w:t>
      </w:r>
      <w:r>
        <w:rPr>
          <w:spacing w:val="-85"/>
        </w:rPr>
      </w:r>
      <w:r>
        <w:rPr/>
        <w:t>金流量预测使用的折现率为</w:t>
      </w:r>
      <w:r>
        <w:rPr>
          <w:rFonts w:ascii="Times New Roman" w:hAnsi="Times New Roman" w:cs="Times New Roman" w:eastAsia="Times New Roman" w:hint="default"/>
        </w:rPr>
        <w:t>12.55%-14.82%</w:t>
      </w:r>
      <w:r>
        <w:rPr/>
        <w:t>，根据历史实际经营数据、行业发展趋势、预期收入增长率、毛利率等指标编制</w:t>
      </w:r>
      <w:r>
        <w:rPr>
          <w:spacing w:val="-86"/>
        </w:rPr>
        <w:t> </w:t>
      </w:r>
      <w:r>
        <w:rPr>
          <w:spacing w:val="-86"/>
        </w:rPr>
      </w:r>
      <w:r>
        <w:rPr/>
        <w:t>预测未来</w:t>
      </w:r>
      <w:r>
        <w:rPr>
          <w:spacing w:val="-1"/>
        </w:rPr>
        <w:t> </w:t>
      </w:r>
      <w:r>
        <w:rPr>
          <w:rFonts w:ascii="Times New Roman" w:hAnsi="Times New Roman" w:cs="Times New Roman" w:eastAsia="Times New Roman" w:hint="default"/>
        </w:rPr>
        <w:t>5</w:t>
      </w:r>
      <w:r>
        <w:rPr/>
        <w:t>年现金流量，预测期以后的现金流量维持不变。</w:t>
      </w:r>
    </w:p>
    <w:p>
      <w:pPr>
        <w:pStyle w:val="BodyText"/>
        <w:spacing w:line="316" w:lineRule="auto" w:before="5"/>
        <w:ind w:left="212" w:right="1031" w:firstLine="420"/>
        <w:jc w:val="left"/>
      </w:pPr>
      <w:r>
        <w:rPr/>
        <w:t>减值测试中采用的其他关键数据包括：产品预计售价、销量、生产成本及其他相关费用。 </w:t>
      </w:r>
      <w:r>
        <w:rPr>
          <w:spacing w:val="-2"/>
        </w:rPr>
        <w:t>公司根据历史经验及对市场发展的预测确定上述关键数据。公司采用的折现率是反映当前市场货币时间价值和相关资产组特</w:t>
      </w:r>
      <w:r>
        <w:rPr>
          <w:spacing w:val="-64"/>
        </w:rPr>
        <w:t> </w:t>
      </w:r>
      <w:r>
        <w:rPr>
          <w:spacing w:val="-64"/>
        </w:rPr>
      </w:r>
      <w:r>
        <w:rPr/>
        <w:t>定风险的税前利率。</w:t>
      </w:r>
    </w:p>
    <w:p>
      <w:pPr>
        <w:pStyle w:val="BodyText"/>
        <w:spacing w:line="312" w:lineRule="auto" w:before="19"/>
        <w:ind w:left="212" w:right="1130" w:firstLine="360"/>
        <w:jc w:val="both"/>
      </w:pPr>
      <w:r>
        <w:rPr>
          <w:spacing w:val="-2"/>
        </w:rPr>
        <w:t>期末，经测试，上述包含对杭州惟勤科技有限公司、广东中拓信息技术有限公司和中山市蓝天电脑有限公司、杭州慧康</w:t>
      </w:r>
      <w:r>
        <w:rPr/>
        <w:t> </w:t>
      </w:r>
      <w:r>
        <w:rPr>
          <w:spacing w:val="-2"/>
        </w:rPr>
        <w:t>物联网科技有限公司、杭州卓腾信息技术有限公司、杭州梅清数码科技有限公司商誉的资产组的可收回金额均高于其账面价</w:t>
      </w:r>
      <w:r>
        <w:rPr>
          <w:spacing w:val="-64"/>
        </w:rPr>
        <w:t> </w:t>
      </w:r>
      <w:r>
        <w:rPr>
          <w:spacing w:val="-64"/>
        </w:rPr>
      </w:r>
      <w:r>
        <w:rPr>
          <w:spacing w:val="-1"/>
        </w:rPr>
        <w:t>值，商誉并未出现减值损失；包含对杭州美诺泰科科技有限公司商誉的资产组的可收回金额为</w:t>
      </w:r>
      <w:r>
        <w:rPr>
          <w:rFonts w:ascii="Times New Roman" w:hAnsi="Times New Roman" w:cs="Times New Roman" w:eastAsia="Times New Roman" w:hint="default"/>
          <w:spacing w:val="-1"/>
        </w:rPr>
        <w:t>76,800,000.00</w:t>
      </w:r>
      <w:r>
        <w:rPr>
          <w:spacing w:val="-1"/>
        </w:rPr>
        <w:t>元，低于账面价</w:t>
      </w:r>
      <w:r>
        <w:rPr>
          <w:spacing w:val="-70"/>
        </w:rPr>
        <w:t> </w:t>
      </w:r>
      <w:r>
        <w:rPr>
          <w:spacing w:val="-70"/>
        </w:rPr>
      </w:r>
      <w:r>
        <w:rPr/>
        <w:t>值</w:t>
      </w:r>
      <w:r>
        <w:rPr>
          <w:rFonts w:ascii="Times New Roman" w:hAnsi="Times New Roman" w:cs="Times New Roman" w:eastAsia="Times New Roman" w:hint="default"/>
        </w:rPr>
        <w:t>5,352,736.80</w:t>
      </w:r>
      <w:r>
        <w:rPr/>
        <w:t>元，本期应确认商誉减值损失</w:t>
      </w:r>
      <w:r>
        <w:rPr>
          <w:rFonts w:ascii="Times New Roman" w:hAnsi="Times New Roman" w:cs="Times New Roman" w:eastAsia="Times New Roman" w:hint="default"/>
        </w:rPr>
        <w:t>5,352,736.80</w:t>
      </w:r>
      <w:r>
        <w:rPr/>
        <w:t>元，其中归属于本公司应确认的商誉减值损失</w:t>
      </w:r>
      <w:r>
        <w:rPr>
          <w:rFonts w:ascii="Times New Roman" w:hAnsi="Times New Roman" w:cs="Times New Roman" w:eastAsia="Times New Roman" w:hint="default"/>
        </w:rPr>
        <w:t>5,352,736.80</w:t>
      </w:r>
      <w:r>
        <w:rPr/>
        <w:t>元。</w:t>
      </w:r>
    </w:p>
    <w:p>
      <w:pPr>
        <w:spacing w:line="240" w:lineRule="auto" w:before="0"/>
        <w:rPr>
          <w:rFonts w:ascii="宋体" w:hAnsi="宋体" w:cs="宋体" w:eastAsia="宋体" w:hint="default"/>
          <w:sz w:val="18"/>
          <w:szCs w:val="18"/>
        </w:rPr>
      </w:pPr>
    </w:p>
    <w:p>
      <w:pPr>
        <w:pStyle w:val="BodyText"/>
        <w:spacing w:line="357" w:lineRule="auto" w:before="120"/>
        <w:ind w:left="212" w:right="8454"/>
        <w:jc w:val="left"/>
      </w:pPr>
      <w:r>
        <w:rPr/>
        <w:t>商誉减值测试的影响 其他说明</w:t>
      </w:r>
    </w:p>
    <w:p>
      <w:pPr>
        <w:spacing w:line="240" w:lineRule="auto" w:before="3"/>
        <w:rPr>
          <w:rFonts w:ascii="宋体" w:hAnsi="宋体" w:cs="宋体" w:eastAsia="宋体" w:hint="default"/>
          <w:sz w:val="20"/>
          <w:szCs w:val="20"/>
        </w:rPr>
      </w:pPr>
    </w:p>
    <w:p>
      <w:pPr>
        <w:pStyle w:val="Heading3"/>
        <w:spacing w:line="240" w:lineRule="auto"/>
        <w:ind w:left="212" w:right="1031"/>
        <w:jc w:val="left"/>
        <w:rPr>
          <w:b w:val="0"/>
          <w:bCs w:val="0"/>
        </w:rPr>
      </w:pPr>
      <w:bookmarkStart w:name="19、长期待摊费用" w:id="297"/>
      <w:bookmarkEnd w:id="297"/>
      <w:r>
        <w:rPr>
          <w:b w:val="0"/>
          <w:bCs w:val="0"/>
        </w:rPr>
      </w:r>
      <w:r>
        <w:rPr>
          <w:rFonts w:ascii="Times New Roman" w:hAnsi="Times New Roman" w:cs="Times New Roman" w:eastAsia="Times New Roman" w:hint="default"/>
        </w:rPr>
        <w:t>19</w:t>
      </w:r>
      <w:r>
        <w:rPr/>
        <w:t>、长期待摊费用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2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20"/>
              <w:jc w:val="left"/>
              <w:rPr>
                <w:rFonts w:ascii="宋体" w:hAnsi="宋体" w:cs="宋体" w:eastAsia="宋体" w:hint="default"/>
                <w:sz w:val="18"/>
                <w:szCs w:val="18"/>
              </w:rPr>
            </w:pPr>
            <w:r>
              <w:rPr>
                <w:rFonts w:ascii="宋体" w:hAnsi="宋体" w:cs="宋体" w:eastAsia="宋体" w:hint="default"/>
                <w:sz w:val="18"/>
                <w:szCs w:val="18"/>
              </w:rPr>
              <w:t>租入固定资产改 良支出</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1,527,903.68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2,333,599.86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676,998.35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3,184,505.19</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20"/>
              <w:jc w:val="left"/>
              <w:rPr>
                <w:rFonts w:ascii="宋体" w:hAnsi="宋体" w:cs="宋体" w:eastAsia="宋体" w:hint="default"/>
                <w:sz w:val="18"/>
                <w:szCs w:val="18"/>
              </w:rPr>
            </w:pPr>
            <w:r>
              <w:rPr>
                <w:rFonts w:ascii="宋体" w:hAnsi="宋体" w:cs="宋体" w:eastAsia="宋体" w:hint="default"/>
                <w:sz w:val="18"/>
                <w:szCs w:val="18"/>
              </w:rPr>
              <w:t>医院投放设备摊 销</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17,591,670.36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13,721,910.06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4,326,795.99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26,986,784.43</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19,119,574.04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16,055,509.92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5,003,794.34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30,171,289.62</w:t>
            </w:r>
          </w:p>
        </w:tc>
      </w:tr>
    </w:tbl>
    <w:p>
      <w:pPr>
        <w:pStyle w:val="BodyText"/>
        <w:spacing w:line="240" w:lineRule="auto" w:before="50"/>
        <w:ind w:left="212" w:right="1031"/>
        <w:jc w:val="left"/>
      </w:pPr>
      <w:r>
        <w:rPr/>
        <w:t>其他说明</w:t>
      </w:r>
    </w:p>
    <w:p>
      <w:pPr>
        <w:spacing w:after="0" w:line="240" w:lineRule="auto"/>
        <w:jc w:val="left"/>
        <w:sectPr>
          <w:pgSz w:w="11910" w:h="16840"/>
          <w:pgMar w:header="907" w:footer="1016" w:top="1100" w:bottom="1200" w:left="9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20、递延所得税资产/递延所得税负债" w:id="298"/>
      <w:bookmarkEnd w:id="298"/>
      <w:r>
        <w:rPr>
          <w:b w:val="0"/>
          <w:bCs w:val="0"/>
        </w:rPr>
      </w:r>
      <w:r>
        <w:rPr>
          <w:rFonts w:ascii="Times New Roman" w:hAnsi="Times New Roman" w:cs="Times New Roman" w:eastAsia="Times New Roman" w:hint="default"/>
        </w:rPr>
        <w:t>20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未经抵销的递延所得税资产" w:id="299"/>
      <w:bookmarkEnd w:id="299"/>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140,972,854.77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14,486,481.26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95,923,791.84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10,387,211.91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6,307,806.21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772,128.92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147,280,660.98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15,258,610.18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95,923,791.84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10,387,211.91</w:t>
            </w:r>
          </w:p>
        </w:tc>
      </w:tr>
    </w:tbl>
    <w:p>
      <w:pPr>
        <w:spacing w:line="240" w:lineRule="auto" w:before="2"/>
        <w:rPr>
          <w:rFonts w:ascii="宋体" w:hAnsi="宋体" w:cs="宋体" w:eastAsia="宋体" w:hint="default"/>
          <w:sz w:val="19"/>
          <w:szCs w:val="19"/>
        </w:rPr>
      </w:pPr>
    </w:p>
    <w:p>
      <w:pPr>
        <w:pStyle w:val="Heading3"/>
        <w:spacing w:line="240" w:lineRule="auto" w:before="34"/>
        <w:ind w:right="882"/>
        <w:jc w:val="left"/>
        <w:rPr>
          <w:b w:val="0"/>
          <w:bCs w:val="0"/>
        </w:rPr>
      </w:pPr>
      <w:bookmarkStart w:name="（2）未经抵销的递延所得税负债" w:id="300"/>
      <w:bookmarkEnd w:id="300"/>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3）以抵销后净额列示的递延所得税资产或负债" w:id="301"/>
      <w:bookmarkEnd w:id="301"/>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23" w:right="140"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债期末互抵金额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31" w:right="139" w:hanging="89"/>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21" w:right="140"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债期初互抵金额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31" w:right="139" w:hanging="89"/>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产或负债期初余额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6" w:right="0"/>
              <w:jc w:val="left"/>
              <w:rPr>
                <w:rFonts w:ascii="Times New Roman" w:hAnsi="Times New Roman" w:cs="Times New Roman" w:eastAsia="Times New Roman" w:hint="default"/>
                <w:sz w:val="18"/>
                <w:szCs w:val="18"/>
              </w:rPr>
            </w:pPr>
            <w:r>
              <w:rPr>
                <w:rFonts w:ascii="Times New Roman"/>
                <w:sz w:val="18"/>
              </w:rPr>
              <w:t>15,258,610.18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3" w:right="0"/>
              <w:jc w:val="left"/>
              <w:rPr>
                <w:rFonts w:ascii="Times New Roman" w:hAnsi="Times New Roman" w:cs="Times New Roman" w:eastAsia="Times New Roman" w:hint="default"/>
                <w:sz w:val="18"/>
                <w:szCs w:val="18"/>
              </w:rPr>
            </w:pPr>
            <w:r>
              <w:rPr>
                <w:rFonts w:ascii="Times New Roman"/>
                <w:sz w:val="18"/>
              </w:rPr>
              <w:t>10,387,211.91</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4）未确认递延所得税资产明细" w:id="302"/>
      <w:bookmarkEnd w:id="302"/>
      <w:r>
        <w:rPr>
          <w:b w:val="0"/>
          <w:bCs w:val="0"/>
        </w:rPr>
      </w: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21,974,446.08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19,556,209.36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21,974,446.08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19,556,209.36</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5）未确认递延所得税资产的可抵扣亏损将于以下年度到期" w:id="303"/>
      <w:bookmarkEnd w:id="303"/>
      <w:r>
        <w:rPr>
          <w:b w:val="0"/>
          <w:bCs w:val="0"/>
        </w:rPr>
      </w: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pStyle w:val="BodyText"/>
        <w:spacing w:line="240" w:lineRule="auto" w:before="50"/>
        <w:ind w:right="882"/>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21、短期借款" w:id="304"/>
      <w:bookmarkEnd w:id="304"/>
      <w:r>
        <w:rPr>
          <w:b w:val="0"/>
          <w:bCs w:val="0"/>
        </w:rPr>
      </w:r>
      <w:r>
        <w:rPr>
          <w:rFonts w:ascii="Times New Roman" w:hAnsi="Times New Roman" w:cs="Times New Roman" w:eastAsia="Times New Roman" w:hint="default"/>
        </w:rPr>
        <w:t>21</w:t>
      </w:r>
      <w:r>
        <w:rPr/>
        <w:t>、短期借款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短期借款分类" w:id="305"/>
      <w:bookmarkEnd w:id="305"/>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202,900,000.00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177,500,000.00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短期借款利息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265,094.81</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203,165,094.81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177,500,000.00</w:t>
            </w:r>
          </w:p>
        </w:tc>
      </w:tr>
    </w:tbl>
    <w:p>
      <w:pPr>
        <w:pStyle w:val="BodyText"/>
        <w:spacing w:line="240" w:lineRule="auto" w:before="50"/>
        <w:ind w:right="882"/>
        <w:jc w:val="left"/>
      </w:pPr>
      <w:r>
        <w:rPr/>
        <w:t>短期借款分类的说明：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已逾期未偿还的短期借款情况" w:id="306"/>
      <w:bookmarkEnd w:id="306"/>
      <w:r>
        <w:rPr>
          <w:b w:val="0"/>
          <w:bCs w:val="0"/>
        </w:rPr>
      </w: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882"/>
        <w:jc w:val="left"/>
      </w:pPr>
      <w:r>
        <w:rPr/>
        <w:t>本期末已逾期未偿还的短期借款总额为元，其中重要的已逾期未偿还的短期借款情况如下：</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借款利率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逾期利率</w:t>
            </w:r>
          </w:p>
        </w:tc>
      </w:tr>
    </w:tbl>
    <w:p>
      <w:pPr>
        <w:pStyle w:val="BodyText"/>
        <w:spacing w:line="240" w:lineRule="auto" w:before="5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2、应付票据" w:id="307"/>
      <w:bookmarkEnd w:id="307"/>
      <w:r>
        <w:rPr>
          <w:b w:val="0"/>
          <w:bCs w:val="0"/>
        </w:rPr>
      </w:r>
      <w:r>
        <w:rPr>
          <w:rFonts w:ascii="Times New Roman" w:hAnsi="Times New Roman" w:cs="Times New Roman" w:eastAsia="Times New Roman" w:hint="default"/>
        </w:rPr>
        <w:t>22</w:t>
      </w:r>
      <w:r>
        <w:rPr/>
        <w:t>、应付票据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14,967,649.90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7,249,126.60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14,967,649.90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7,249,126.60</w:t>
            </w:r>
          </w:p>
        </w:tc>
      </w:tr>
    </w:tbl>
    <w:p>
      <w:pPr>
        <w:pStyle w:val="BodyText"/>
        <w:spacing w:line="240" w:lineRule="auto" w:before="51"/>
        <w:ind w:right="882"/>
        <w:jc w:val="left"/>
      </w:pPr>
      <w:r>
        <w:rPr/>
        <w:t>本期末已到期未支付的应付票据总额为元。</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23、应付账款" w:id="308"/>
      <w:bookmarkEnd w:id="308"/>
      <w:r>
        <w:rPr>
          <w:b w:val="0"/>
          <w:bCs w:val="0"/>
        </w:rPr>
      </w:r>
      <w:r>
        <w:rPr>
          <w:rFonts w:ascii="Times New Roman" w:hAnsi="Times New Roman" w:cs="Times New Roman" w:eastAsia="Times New Roman" w:hint="default"/>
        </w:rPr>
        <w:t>23</w:t>
      </w:r>
      <w:r>
        <w:rPr/>
        <w:t>、应付账款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应付账款列示" w:id="309"/>
      <w:bookmarkEnd w:id="309"/>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243,828,528.47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206,054,550.66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工程款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5,649,448.27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6,744,403.06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16,750,832.95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11,541,937.63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266,228,809.69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224,340,891.35</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2）账龄超过1年的重要应付账款" w:id="310"/>
      <w:bookmarkEnd w:id="310"/>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年的重要应付账款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77"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4、预收款项" w:id="311"/>
      <w:bookmarkEnd w:id="311"/>
      <w:r>
        <w:rPr>
          <w:b w:val="0"/>
          <w:bCs w:val="0"/>
        </w:rPr>
      </w:r>
      <w:r>
        <w:rPr>
          <w:rFonts w:ascii="Times New Roman" w:hAnsi="Times New Roman" w:cs="Times New Roman" w:eastAsia="Times New Roman" w:hint="default"/>
        </w:rPr>
        <w:t>24</w:t>
      </w:r>
      <w:r>
        <w:rPr/>
        <w:t>、预收款项</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882"/>
        <w:jc w:val="left"/>
      </w:pPr>
      <w:r>
        <w:rPr/>
        <w:t>是否已执行新收入准则</w:t>
      </w:r>
    </w:p>
    <w:p>
      <w:pPr>
        <w:pStyle w:val="BodyText"/>
        <w:spacing w:line="240" w:lineRule="auto" w:before="117"/>
        <w:ind w:right="882"/>
        <w:jc w:val="left"/>
      </w:pPr>
      <w:r>
        <w:rPr/>
        <w:t>□ 是 √ 否</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1）预收款项列示" w:id="312"/>
      <w:bookmarkEnd w:id="312"/>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157,844,244.10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150,543,651.20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392,850.67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630,828.52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158,237,094.77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151,174,479.72</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账龄超过1年的重要预收款项" w:id="313"/>
      <w:bookmarkEnd w:id="313"/>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年的重要预收款项</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7"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3）期末建造合同形成的已结算未完工项目情况" w:id="314"/>
      <w:bookmarkEnd w:id="314"/>
      <w:r>
        <w:rPr>
          <w:b w:val="0"/>
          <w:bCs w:val="0"/>
        </w:rPr>
      </w: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9"/>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4;height:397" coordorigin="13,13" coordsize="4774,397">
              <v:shape style="position:absolute;left:13;top:13;width:4774;height:397" coordorigin="13,13" coordsize="4774,397" path="m13,13l4787,13,4787,410,13,410,13,13xe" filled="true" fillcolor="#d2d2d2" stroked="false">
                <v:path arrowok="t"/>
                <v:fill type="solid"/>
              </v:shape>
            </v:group>
            <v:group style="position:absolute;left:4792;top:13;width:4784;height:397" coordorigin="4792,13" coordsize="4784,397">
              <v:shape style="position:absolute;left:4792;top:13;width:4784;height:397" coordorigin="4792,13" coordsize="4784,397" path="m4792,13l9576,13,9576,410,4792,410,4792,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89;top:5;width:2;height:402" coordorigin="4789,5" coordsize="2,402">
              <v:shape style="position:absolute;left:4789;top:5;width:2;height:402" coordorigin="4789,5" coordsize="0,402" path="m4789,5l4789,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19;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7002;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1"/>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25、应付职工薪酬" w:id="315"/>
      <w:bookmarkEnd w:id="315"/>
      <w:r>
        <w:rPr>
          <w:b w:val="0"/>
          <w:bCs w:val="0"/>
        </w:rPr>
      </w:r>
      <w:r>
        <w:rPr>
          <w:rFonts w:ascii="Times New Roman" w:hAnsi="Times New Roman" w:cs="Times New Roman" w:eastAsia="Times New Roman" w:hint="default"/>
        </w:rPr>
        <w:t>25</w:t>
      </w:r>
      <w:r>
        <w:rPr/>
        <w:t>、应付职工薪酬</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应付职工薪酬列示" w:id="316"/>
      <w:bookmarkEnd w:id="316"/>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43,649,714.61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508,559,532.22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505,443,774.06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46,765,472.77</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01" w:right="118"/>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 提存计划</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1,439,673.45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31,124,802.76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30,426,590.17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2,137,886.04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923,645.50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923,645.50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45,089,388.06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540,607,980.48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536,794,009.73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48,903,358.81</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2）短期薪酬列示" w:id="317"/>
      <w:bookmarkEnd w:id="317"/>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、工资、奖金、津贴</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和补贴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41,408,995.21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434,064,196.11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431,077,326.09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44,395,865.23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Times New Roman" w:hAnsi="Times New Roman" w:cs="Times New Roman" w:eastAsia="Times New Roman" w:hint="default"/>
                <w:sz w:val="18"/>
                <w:szCs w:val="18"/>
              </w:rPr>
            </w:pPr>
            <w:r>
              <w:rPr>
                <w:rFonts w:ascii="Times New Roman"/>
                <w:spacing w:val="-1"/>
                <w:sz w:val="18"/>
              </w:rPr>
              <w:t>31,280,548.11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31,280,548.11</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1,282,819.20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20,890,374.57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20,254,654.39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1,918,539.38</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其中：医疗保险</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1,143,979.46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18,727,359.30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18,156,639.50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1,714,699.26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38"/>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44,669.15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398,637.66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387,550.55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55,756.26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38"/>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94,170.59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1,764,377.61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1,710,464.34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148,083.86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117,360.00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21,527,837.60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21,525,435.40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119,762.20</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1"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、工会经费和职工教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育经费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840,540.20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796,575.83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1,305,810.07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331,305.96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43,649,714.61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508,559,532.22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505,443,774.06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46,765,472.77</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3）设定提存计划列示" w:id="318"/>
      <w:bookmarkEnd w:id="318"/>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1,393,274.28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30,124,237.08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29,452,941.53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2,064,569.83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46,399.17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1,000,565.68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973,648.64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73,316.21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1,439,673.45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31,124,802.76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30,426,590.17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2,137,886.04</w:t>
            </w:r>
          </w:p>
        </w:tc>
      </w:tr>
    </w:tbl>
    <w:p>
      <w:pPr>
        <w:pStyle w:val="BodyText"/>
        <w:spacing w:line="240" w:lineRule="auto" w:before="50"/>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26、应交税费" w:id="319"/>
      <w:bookmarkEnd w:id="319"/>
      <w:r>
        <w:rPr>
          <w:b w:val="0"/>
          <w:bCs w:val="0"/>
        </w:rPr>
      </w:r>
      <w:r>
        <w:rPr>
          <w:rFonts w:ascii="Times New Roman" w:hAnsi="Times New Roman" w:cs="Times New Roman" w:eastAsia="Times New Roman" w:hint="default"/>
        </w:rPr>
        <w:t>26</w:t>
      </w:r>
      <w:r>
        <w:rPr/>
        <w:t>、应交税费</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39,258,292.41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28,556,414.94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29,203,167.10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11,866,841.44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5,286,055.98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176,437.87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3,097,228.82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2,352,045.72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1,345,979.71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1,027,460.17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879,999.90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673,434.10</w:t>
            </w:r>
          </w:p>
        </w:tc>
      </w:tr>
      <w:tr>
        <w:trPr>
          <w:trHeight w:val="400"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1,110,433.65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727,075.30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32.96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13,630.23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129,384.61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180,006.48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残疾人保障金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42,768.07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75,956.45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水利建设专项基金</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199.95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80,353,343.21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45,649,502.65</w:t>
            </w: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7、其他应付款" w:id="320"/>
      <w:bookmarkEnd w:id="320"/>
      <w:r>
        <w:rPr>
          <w:b w:val="0"/>
          <w:bCs w:val="0"/>
        </w:rPr>
      </w:r>
      <w:r>
        <w:rPr>
          <w:rFonts w:ascii="Times New Roman" w:hAnsi="Times New Roman" w:cs="Times New Roman" w:eastAsia="Times New Roman" w:hint="default"/>
        </w:rPr>
        <w:t>27</w:t>
      </w:r>
      <w:r>
        <w:rPr/>
        <w:t>、其他应付款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263,113.28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380,001.60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185,679,377.21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59,117,283.95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185,679,377.21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59,760,398.83</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1）应付利息" w:id="321"/>
      <w:bookmarkEnd w:id="321"/>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263,113.28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263,113.28</w:t>
            </w:r>
          </w:p>
        </w:tc>
      </w:tr>
    </w:tbl>
    <w:p>
      <w:pPr>
        <w:pStyle w:val="BodyText"/>
        <w:spacing w:line="240" w:lineRule="auto" w:before="49"/>
        <w:ind w:right="882"/>
        <w:jc w:val="left"/>
      </w:pPr>
      <w:r>
        <w:rPr/>
        <w:t>重要的已逾期未支付的利息情况：</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pStyle w:val="BodyText"/>
        <w:spacing w:line="240" w:lineRule="auto" w:before="50"/>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2）应付股利" w:id="322"/>
      <w:bookmarkEnd w:id="322"/>
      <w:r>
        <w:rPr>
          <w:b w:val="0"/>
          <w:bCs w:val="0"/>
        </w:rPr>
      </w:r>
      <w:r>
        <w:rPr/>
        <w:t>（</w:t>
      </w:r>
      <w:r>
        <w:rPr>
          <w:rFonts w:ascii="Times New Roman" w:hAnsi="Times New Roman" w:cs="Times New Roman" w:eastAsia="Times New Roman" w:hint="default"/>
        </w:rPr>
        <w:t>2</w:t>
      </w:r>
      <w:r>
        <w:rPr/>
        <w:t>）应付股利</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380,001.60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380,001.60</w:t>
            </w:r>
          </w:p>
        </w:tc>
      </w:tr>
    </w:tbl>
    <w:p>
      <w:pPr>
        <w:pStyle w:val="BodyText"/>
        <w:spacing w:line="240" w:lineRule="auto" w:before="49"/>
        <w:ind w:right="882"/>
        <w:jc w:val="left"/>
      </w:pPr>
      <w:r>
        <w:rPr/>
        <w:t>其他说明，包括重要的超过</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年未支付的应付股利，应披露未支付原因：</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3）其他应付款" w:id="323"/>
      <w:bookmarkEnd w:id="323"/>
      <w:r>
        <w:rPr>
          <w:b w:val="0"/>
          <w:bCs w:val="0"/>
        </w:rPr>
      </w:r>
      <w:r>
        <w:rPr/>
        <w:t>（</w:t>
      </w:r>
      <w:r>
        <w:rPr>
          <w:rFonts w:ascii="Times New Roman" w:hAnsi="Times New Roman" w:cs="Times New Roman" w:eastAsia="Times New Roman" w:hint="default"/>
        </w:rPr>
        <w:t>3</w:t>
      </w:r>
      <w:r>
        <w:rPr/>
        <w:t>）其他应付款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按款项性质列示其他应付款" w:id="324"/>
      <w:bookmarkEnd w:id="324"/>
      <w:r>
        <w:rPr>
          <w:b w:val="0"/>
          <w:bCs w:val="0"/>
        </w:rPr>
      </w:r>
      <w:r>
        <w:rPr>
          <w:rFonts w:ascii="Times New Roman" w:hAnsi="Times New Roman" w:cs="Times New Roman" w:eastAsia="Times New Roman" w:hint="default"/>
        </w:rPr>
        <w:t>1</w:t>
      </w:r>
      <w:r>
        <w:rPr/>
        <w:t>）按款项性质列示其他应付款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24,280,667.55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15,628,719.82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应付报销款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10,521,420.95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7,462,928.79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89,900,000.00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29,968,333.46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暂借款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11,120,000.00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应付股权款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41,000,000.00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8,857,288.71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6,057,301.88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185,679,377.21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59,117,283.95</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账龄超过1年的重要其他应付款" w:id="325"/>
      <w:bookmarkEnd w:id="325"/>
      <w:r>
        <w:rPr>
          <w:b w:val="0"/>
          <w:bCs w:val="0"/>
        </w:rPr>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年的重要其他应付款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7"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pStyle w:val="BodyText"/>
        <w:spacing w:line="240" w:lineRule="auto" w:before="50"/>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28、递延收益" w:id="326"/>
      <w:bookmarkEnd w:id="326"/>
      <w:r>
        <w:rPr>
          <w:b w:val="0"/>
          <w:bCs w:val="0"/>
        </w:rPr>
      </w:r>
      <w:r>
        <w:rPr>
          <w:rFonts w:ascii="Times New Roman" w:hAnsi="Times New Roman" w:cs="Times New Roman" w:eastAsia="Times New Roman" w:hint="default"/>
        </w:rPr>
        <w:t>28</w:t>
      </w:r>
      <w:r>
        <w:rPr/>
        <w:t>、递延收益</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9,786,967.28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3,035,916.36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6,751,050.92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219"/>
              <w:jc w:val="left"/>
              <w:rPr>
                <w:rFonts w:ascii="宋体" w:hAnsi="宋体" w:cs="宋体" w:eastAsia="宋体" w:hint="default"/>
                <w:sz w:val="18"/>
                <w:szCs w:val="18"/>
              </w:rPr>
            </w:pPr>
            <w:r>
              <w:rPr>
                <w:rFonts w:ascii="宋体" w:hAnsi="宋体" w:cs="宋体" w:eastAsia="宋体" w:hint="default"/>
                <w:sz w:val="18"/>
                <w:szCs w:val="18"/>
              </w:rPr>
              <w:t>政府给予的无偿 补助</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9,786,967.28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3,035,916.36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6,751,050.92</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3"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2"/>
        <w:ind w:right="882"/>
        <w:jc w:val="left"/>
      </w:pPr>
      <w:r>
        <w:rPr/>
        <w:t>涉及政府补助的项目：</w:t>
      </w:r>
    </w:p>
    <w:p>
      <w:pPr>
        <w:pStyle w:val="BodyText"/>
        <w:spacing w:line="240" w:lineRule="auto" w:before="115"/>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12"/>
        <w:gridCol w:w="1249"/>
        <w:gridCol w:w="1010"/>
        <w:gridCol w:w="1010"/>
        <w:gridCol w:w="1010"/>
        <w:gridCol w:w="1010"/>
        <w:gridCol w:w="1010"/>
        <w:gridCol w:w="1248"/>
        <w:gridCol w:w="1010"/>
      </w:tblGrid>
      <w:tr>
        <w:trPr>
          <w:trHeight w:val="1026" w:hRule="exact"/>
        </w:trPr>
        <w:tc>
          <w:tcPr>
            <w:tcW w:w="1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40"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2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40" w:right="138"/>
              <w:jc w:val="left"/>
              <w:rPr>
                <w:rFonts w:ascii="宋体" w:hAnsi="宋体" w:cs="宋体" w:eastAsia="宋体" w:hint="default"/>
                <w:sz w:val="18"/>
                <w:szCs w:val="18"/>
              </w:rPr>
            </w:pPr>
            <w:r>
              <w:rPr>
                <w:rFonts w:ascii="宋体" w:hAnsi="宋体" w:cs="宋体" w:eastAsia="宋体" w:hint="default"/>
                <w:sz w:val="18"/>
                <w:szCs w:val="18"/>
              </w:rPr>
              <w:t>本期新增 补助金额</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40" w:right="137"/>
              <w:jc w:val="both"/>
              <w:rPr>
                <w:rFonts w:ascii="宋体" w:hAnsi="宋体" w:cs="宋体" w:eastAsia="宋体" w:hint="default"/>
                <w:sz w:val="18"/>
                <w:szCs w:val="18"/>
              </w:rPr>
            </w:pPr>
            <w:r>
              <w:rPr>
                <w:rFonts w:ascii="宋体" w:hAnsi="宋体" w:cs="宋体" w:eastAsia="宋体" w:hint="default"/>
                <w:sz w:val="18"/>
                <w:szCs w:val="18"/>
              </w:rPr>
              <w:t>本期计入 营业外收 入金额</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41" w:right="137"/>
              <w:jc w:val="center"/>
              <w:rPr>
                <w:rFonts w:ascii="宋体" w:hAnsi="宋体" w:cs="宋体" w:eastAsia="宋体" w:hint="default"/>
                <w:sz w:val="18"/>
                <w:szCs w:val="18"/>
              </w:rPr>
            </w:pPr>
            <w:r>
              <w:rPr>
                <w:rFonts w:ascii="宋体" w:hAnsi="宋体" w:cs="宋体" w:eastAsia="宋体" w:hint="default"/>
                <w:sz w:val="18"/>
                <w:szCs w:val="18"/>
              </w:rPr>
              <w:t>本期计入 其他收益 金额</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38" w:right="139"/>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9"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5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5" w:right="112" w:hanging="3"/>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r>
        <w:trPr>
          <w:trHeight w:val="357"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高端软件</w:t>
            </w:r>
          </w:p>
        </w:tc>
        <w:tc>
          <w:tcPr>
            <w:tcW w:w="1249"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78"/>
              <w:jc w:val="both"/>
              <w:rPr>
                <w:rFonts w:ascii="宋体" w:hAnsi="宋体" w:cs="宋体" w:eastAsia="宋体" w:hint="default"/>
                <w:sz w:val="18"/>
                <w:szCs w:val="18"/>
              </w:rPr>
            </w:pPr>
            <w:r>
              <w:rPr>
                <w:rFonts w:ascii="宋体" w:hAnsi="宋体" w:cs="宋体" w:eastAsia="宋体" w:hint="default"/>
                <w:sz w:val="18"/>
                <w:szCs w:val="18"/>
              </w:rPr>
              <w:t>及应用系 统集聚发 展实施项</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90" w:right="0"/>
              <w:jc w:val="center"/>
              <w:rPr>
                <w:rFonts w:ascii="Times New Roman" w:hAnsi="Times New Roman" w:cs="Times New Roman" w:eastAsia="Times New Roman" w:hint="default"/>
                <w:sz w:val="18"/>
                <w:szCs w:val="18"/>
              </w:rPr>
            </w:pPr>
            <w:r>
              <w:rPr>
                <w:rFonts w:ascii="Times New Roman"/>
                <w:sz w:val="18"/>
              </w:rPr>
              <w:t>3,240,000.00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90" w:right="0"/>
              <w:jc w:val="left"/>
              <w:rPr>
                <w:rFonts w:ascii="Times New Roman" w:hAnsi="Times New Roman" w:cs="Times New Roman" w:eastAsia="Times New Roman" w:hint="default"/>
                <w:sz w:val="18"/>
                <w:szCs w:val="18"/>
              </w:rPr>
            </w:pPr>
            <w:r>
              <w:rPr>
                <w:rFonts w:ascii="Times New Roman"/>
                <w:sz w:val="18"/>
              </w:rPr>
              <w:t>3,240,000.00</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174"/>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5"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目</w:t>
            </w:r>
          </w:p>
        </w:tc>
        <w:tc>
          <w:tcPr>
            <w:tcW w:w="1249"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012"/>
        <w:gridCol w:w="1249"/>
        <w:gridCol w:w="1010"/>
        <w:gridCol w:w="1010"/>
        <w:gridCol w:w="1010"/>
        <w:gridCol w:w="1010"/>
        <w:gridCol w:w="1010"/>
        <w:gridCol w:w="1248"/>
        <w:gridCol w:w="1010"/>
      </w:tblGrid>
      <w:tr>
        <w:trPr>
          <w:trHeight w:val="356"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基于移动</w:t>
            </w:r>
          </w:p>
        </w:tc>
        <w:tc>
          <w:tcPr>
            <w:tcW w:w="1249"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vMerge w:val="restart"/>
            <w:tcBorders>
              <w:top w:val="single" w:sz="4" w:space="0" w:color="000000"/>
              <w:left w:val="single" w:sz="4" w:space="0" w:color="000000"/>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78"/>
              <w:jc w:val="both"/>
              <w:rPr>
                <w:rFonts w:ascii="宋体" w:hAnsi="宋体" w:cs="宋体" w:eastAsia="宋体" w:hint="default"/>
                <w:sz w:val="18"/>
                <w:szCs w:val="18"/>
              </w:rPr>
            </w:pPr>
            <w:r>
              <w:rPr>
                <w:rFonts w:ascii="宋体" w:hAnsi="宋体" w:cs="宋体" w:eastAsia="宋体" w:hint="default"/>
                <w:sz w:val="18"/>
                <w:szCs w:val="18"/>
              </w:rPr>
              <w:t>互联网的 网络医院 云服务平</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2,980,000.00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2,980,000.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174"/>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8"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台</w:t>
            </w:r>
          </w:p>
        </w:tc>
        <w:tc>
          <w:tcPr>
            <w:tcW w:w="1249"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创业智慧</w:t>
            </w:r>
          </w:p>
        </w:tc>
        <w:tc>
          <w:tcPr>
            <w:tcW w:w="1249"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78"/>
              <w:jc w:val="both"/>
              <w:rPr>
                <w:rFonts w:ascii="宋体" w:hAnsi="宋体" w:cs="宋体" w:eastAsia="宋体" w:hint="default"/>
                <w:sz w:val="18"/>
                <w:szCs w:val="18"/>
              </w:rPr>
            </w:pPr>
            <w:r>
              <w:rPr>
                <w:rFonts w:ascii="宋体" w:hAnsi="宋体" w:cs="宋体" w:eastAsia="宋体" w:hint="default"/>
                <w:sz w:val="18"/>
                <w:szCs w:val="18"/>
              </w:rPr>
              <w:t>医疗软件 生产基地 建设工程</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1,382,400.00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1"/>
                <w:sz w:val="18"/>
              </w:rPr>
              <w:t>28,800.00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1,353,600.00</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174"/>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356"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开工奖励</w:t>
            </w:r>
          </w:p>
        </w:tc>
        <w:tc>
          <w:tcPr>
            <w:tcW w:w="1249"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创业智慧</w:t>
            </w:r>
          </w:p>
        </w:tc>
        <w:tc>
          <w:tcPr>
            <w:tcW w:w="1249"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78"/>
              <w:jc w:val="both"/>
              <w:rPr>
                <w:rFonts w:ascii="宋体" w:hAnsi="宋体" w:cs="宋体" w:eastAsia="宋体" w:hint="default"/>
                <w:sz w:val="18"/>
                <w:szCs w:val="18"/>
              </w:rPr>
            </w:pPr>
            <w:r>
              <w:rPr>
                <w:rFonts w:ascii="宋体" w:hAnsi="宋体" w:cs="宋体" w:eastAsia="宋体" w:hint="default"/>
                <w:sz w:val="18"/>
                <w:szCs w:val="18"/>
              </w:rPr>
              <w:t>医疗软件 生产基地 建设工程</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1,285,767.28</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2"/>
                <w:sz w:val="18"/>
              </w:rPr>
              <w:t>27,116.36</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1,258,650.92</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174"/>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358"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竣工奖励</w:t>
            </w:r>
          </w:p>
        </w:tc>
        <w:tc>
          <w:tcPr>
            <w:tcW w:w="1249"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基于电子</w:t>
            </w:r>
          </w:p>
        </w:tc>
        <w:tc>
          <w:tcPr>
            <w:tcW w:w="1249"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78"/>
              <w:jc w:val="both"/>
              <w:rPr>
                <w:rFonts w:ascii="宋体" w:hAnsi="宋体" w:cs="宋体" w:eastAsia="宋体" w:hint="default"/>
                <w:sz w:val="18"/>
                <w:szCs w:val="18"/>
              </w:rPr>
            </w:pPr>
            <w:r>
              <w:rPr>
                <w:rFonts w:ascii="宋体" w:hAnsi="宋体" w:cs="宋体" w:eastAsia="宋体" w:hint="default"/>
                <w:sz w:val="18"/>
                <w:szCs w:val="18"/>
              </w:rPr>
              <w:t>健康档案 的智能社 区医疗服</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600,000.00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600,000.00</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174"/>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6"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务系统</w:t>
            </w:r>
          </w:p>
        </w:tc>
        <w:tc>
          <w:tcPr>
            <w:tcW w:w="1249"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基于有源</w:t>
            </w:r>
          </w:p>
        </w:tc>
        <w:tc>
          <w:tcPr>
            <w:tcW w:w="1249" w:type="dxa"/>
            <w:tcBorders>
              <w:top w:val="single" w:sz="4" w:space="0" w:color="000000"/>
              <w:left w:val="single" w:sz="4" w:space="0" w:color="000000"/>
              <w:bottom w:val="nil" w:sz="6" w:space="0" w:color="auto"/>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010" w:type="dxa"/>
            <w:vMerge w:val="restart"/>
            <w:tcBorders>
              <w:top w:val="single" w:sz="4" w:space="0" w:color="000000"/>
              <w:left w:val="single" w:sz="4" w:space="0" w:color="000000"/>
              <w:right w:val="single" w:sz="4" w:space="0" w:color="000000"/>
            </w:tcBorders>
          </w:tcPr>
          <w:p>
            <w:pPr/>
          </w:p>
        </w:tc>
        <w:tc>
          <w:tcPr>
            <w:tcW w:w="1248" w:type="dxa"/>
            <w:tcBorders>
              <w:top w:val="single" w:sz="4" w:space="0" w:color="000000"/>
              <w:left w:val="single" w:sz="4" w:space="0" w:color="000000"/>
              <w:bottom w:val="nil" w:sz="6" w:space="0" w:color="auto"/>
              <w:right w:val="single" w:sz="4" w:space="0" w:color="000000"/>
            </w:tcBorders>
          </w:tcPr>
          <w:p>
            <w:pPr/>
          </w:p>
        </w:tc>
        <w:tc>
          <w:tcPr>
            <w:tcW w:w="101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射频识别</w:t>
            </w:r>
          </w:p>
        </w:tc>
        <w:tc>
          <w:tcPr>
            <w:tcW w:w="1249"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r>
      <w:tr>
        <w:trPr>
          <w:trHeight w:val="629"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技术</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RFID</w:t>
            </w:r>
            <w:r>
              <w:rPr>
                <w:rFonts w:ascii="宋体" w:hAnsi="宋体" w:cs="宋体" w:eastAsia="宋体" w:hint="default"/>
                <w:sz w:val="18"/>
                <w:szCs w:val="18"/>
              </w:rPr>
              <w:t>）</w:t>
            </w:r>
          </w:p>
        </w:tc>
        <w:tc>
          <w:tcPr>
            <w:tcW w:w="124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298,800.00</w:t>
            </w: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298,800.00</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74"/>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07" w:hRule="exact"/>
        </w:trPr>
        <w:tc>
          <w:tcPr>
            <w:tcW w:w="101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婴儿智能</w:t>
            </w:r>
          </w:p>
        </w:tc>
        <w:tc>
          <w:tcPr>
            <w:tcW w:w="1249" w:type="dxa"/>
            <w:tcBorders>
              <w:top w:val="nil" w:sz="6" w:space="0" w:color="auto"/>
              <w:left w:val="single" w:sz="4" w:space="0" w:color="000000"/>
              <w:bottom w:val="nil" w:sz="6" w:space="0" w:color="auto"/>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010" w:type="dxa"/>
            <w:vMerge/>
            <w:tcBorders>
              <w:left w:val="single" w:sz="4" w:space="0" w:color="000000"/>
              <w:right w:val="single" w:sz="4" w:space="0" w:color="000000"/>
            </w:tcBorders>
          </w:tcPr>
          <w:p>
            <w:pPr/>
          </w:p>
        </w:tc>
        <w:tc>
          <w:tcPr>
            <w:tcW w:w="1248"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防盗系统</w:t>
            </w:r>
          </w:p>
        </w:tc>
        <w:tc>
          <w:tcPr>
            <w:tcW w:w="1249" w:type="dxa"/>
            <w:tcBorders>
              <w:top w:val="nil" w:sz="6" w:space="0" w:color="auto"/>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010" w:type="dxa"/>
            <w:vMerge/>
            <w:tcBorders>
              <w:left w:val="single" w:sz="4" w:space="0" w:color="000000"/>
              <w:bottom w:val="single" w:sz="4" w:space="0" w:color="000000"/>
              <w:right w:val="single" w:sz="4" w:space="0" w:color="000000"/>
            </w:tcBorders>
          </w:tcPr>
          <w:p>
            <w:pPr/>
          </w:p>
        </w:tc>
        <w:tc>
          <w:tcPr>
            <w:tcW w:w="1248" w:type="dxa"/>
            <w:tcBorders>
              <w:top w:val="nil" w:sz="6" w:space="0" w:color="auto"/>
              <w:left w:val="single" w:sz="4" w:space="0" w:color="000000"/>
              <w:bottom w:val="single" w:sz="4" w:space="0" w:color="000000"/>
              <w:right w:val="single" w:sz="4" w:space="0" w:color="000000"/>
            </w:tcBorders>
          </w:tcPr>
          <w:p>
            <w:pPr/>
          </w:p>
        </w:tc>
        <w:tc>
          <w:tcPr>
            <w:tcW w:w="1010"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9、股本" w:id="327"/>
      <w:bookmarkEnd w:id="327"/>
      <w:r>
        <w:rPr>
          <w:b w:val="0"/>
          <w:bCs w:val="0"/>
        </w:rPr>
      </w:r>
      <w:r>
        <w:rPr>
          <w:rFonts w:ascii="Times New Roman" w:hAnsi="Times New Roman" w:cs="Times New Roman" w:eastAsia="Times New Roman" w:hint="default"/>
        </w:rPr>
        <w:t>29</w:t>
      </w:r>
      <w:r>
        <w:rPr/>
        <w:t>、股本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195"/>
        <w:gridCol w:w="1197"/>
        <w:gridCol w:w="1196"/>
        <w:gridCol w:w="1196"/>
        <w:gridCol w:w="1196"/>
        <w:gridCol w:w="1196"/>
        <w:gridCol w:w="1196"/>
        <w:gridCol w:w="1196"/>
      </w:tblGrid>
      <w:tr>
        <w:trPr>
          <w:trHeight w:val="402" w:hRule="exact"/>
        </w:trPr>
        <w:tc>
          <w:tcPr>
            <w:tcW w:w="1195" w:type="dxa"/>
            <w:vMerge w:val="restart"/>
            <w:tcBorders>
              <w:top w:val="single" w:sz="4" w:space="0" w:color="000000"/>
              <w:left w:val="single" w:sz="4" w:space="0" w:color="000000"/>
              <w:right w:val="single" w:sz="4" w:space="0" w:color="000000"/>
            </w:tcBorders>
            <w:shd w:val="clear" w:color="auto" w:fill="D2D2D2"/>
          </w:tcPr>
          <w:p>
            <w:pP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9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485,456,398.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11,642,676.0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242,769,354.</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-117,003.00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254,295,027.</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739,751,425.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r>
    </w:tbl>
    <w:p>
      <w:pPr>
        <w:pStyle w:val="BodyText"/>
        <w:spacing w:line="240" w:lineRule="auto" w:before="50"/>
        <w:ind w:right="882"/>
        <w:jc w:val="left"/>
      </w:pPr>
      <w:r>
        <w:rPr/>
        <w:t>其他说明：</w:t>
      </w:r>
    </w:p>
    <w:p>
      <w:pPr>
        <w:pStyle w:val="BodyText"/>
        <w:spacing w:line="300" w:lineRule="auto" w:before="117"/>
        <w:ind w:right="1132" w:firstLine="420"/>
        <w:jc w:val="both"/>
      </w:pPr>
      <w:r>
        <w:rPr>
          <w:rFonts w:ascii="Times New Roman" w:hAnsi="Times New Roman" w:cs="Times New Roman" w:eastAsia="Times New Roman" w:hint="default"/>
        </w:rPr>
        <w:t>1</w:t>
      </w:r>
      <w:r>
        <w:rPr/>
        <w:t>）</w:t>
      </w:r>
      <w:r>
        <w:rPr>
          <w:spacing w:val="19"/>
        </w:rPr>
        <w:t> </w:t>
      </w:r>
      <w:r>
        <w:rPr/>
        <w:t>根据公司</w:t>
      </w:r>
      <w:r>
        <w:rPr>
          <w:rFonts w:ascii="Times New Roman" w:hAnsi="Times New Roman" w:cs="Times New Roman" w:eastAsia="Times New Roman" w:hint="default"/>
        </w:rPr>
        <w:t>2018</w:t>
      </w:r>
      <w:r>
        <w:rPr/>
        <w:t>年度股东大会决议和修改后章程的规定，公司以资本公积金向全体股东转增股本</w:t>
      </w:r>
      <w:r>
        <w:rPr>
          <w:rFonts w:ascii="Times New Roman" w:hAnsi="Times New Roman" w:cs="Times New Roman" w:eastAsia="Times New Roman" w:hint="default"/>
        </w:rPr>
        <w:t>242,769,354</w:t>
      </w:r>
      <w:r>
        <w:rPr/>
        <w:t>股。上 述增资事项业经天健会计师事务所（特殊普通合伙）审验，并由其于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15</w:t>
      </w:r>
      <w:r>
        <w:rPr/>
        <w:t>日出具了《验资报告》（天健验〔</w:t>
      </w:r>
      <w:r>
        <w:rPr>
          <w:rFonts w:ascii="Times New Roman" w:hAnsi="Times New Roman" w:cs="Times New Roman" w:eastAsia="Times New Roman" w:hint="default"/>
        </w:rPr>
        <w:t>2019</w:t>
      </w:r>
      <w:r>
        <w:rPr/>
        <w:t>〕 </w:t>
      </w:r>
      <w:r>
        <w:rPr>
          <w:rFonts w:ascii="Times New Roman" w:hAnsi="Times New Roman" w:cs="Times New Roman" w:eastAsia="Times New Roman" w:hint="default"/>
        </w:rPr>
        <w:t>246</w:t>
      </w:r>
      <w:r>
        <w:rPr/>
        <w:t>号）。</w:t>
      </w:r>
    </w:p>
    <w:p>
      <w:pPr>
        <w:pStyle w:val="BodyText"/>
        <w:spacing w:line="300" w:lineRule="auto" w:before="13"/>
        <w:ind w:right="1131" w:firstLine="420"/>
        <w:jc w:val="both"/>
      </w:pPr>
      <w:r>
        <w:rPr>
          <w:rFonts w:ascii="Times New Roman" w:hAnsi="Times New Roman" w:cs="Times New Roman" w:eastAsia="Times New Roman" w:hint="default"/>
        </w:rPr>
        <w:t>2</w:t>
      </w:r>
      <w:r>
        <w:rPr/>
        <w:t>）</w:t>
      </w:r>
      <w:r>
        <w:rPr>
          <w:spacing w:val="-53"/>
        </w:rPr>
        <w:t> </w:t>
      </w:r>
      <w:r>
        <w:rPr/>
        <w:t>根据公司</w:t>
      </w:r>
      <w:r>
        <w:rPr>
          <w:rFonts w:ascii="Times New Roman" w:hAnsi="Times New Roman" w:cs="Times New Roman" w:eastAsia="Times New Roman" w:hint="default"/>
        </w:rPr>
        <w:t>2019</w:t>
      </w:r>
      <w:r>
        <w:rPr/>
        <w:t>年第三次临时股东大会决议和</w:t>
      </w:r>
      <w:r>
        <w:rPr>
          <w:rFonts w:ascii="Times New Roman" w:hAnsi="Times New Roman" w:cs="Times New Roman" w:eastAsia="Times New Roman" w:hint="default"/>
        </w:rPr>
        <w:t>2019</w:t>
      </w:r>
      <w:r>
        <w:rPr/>
        <w:t>年第六届董事会第二十七次会议，公司向陈东等</w:t>
      </w:r>
      <w:r>
        <w:rPr>
          <w:rFonts w:ascii="Times New Roman" w:hAnsi="Times New Roman" w:cs="Times New Roman" w:eastAsia="Times New Roman" w:hint="default"/>
        </w:rPr>
        <w:t>306</w:t>
      </w:r>
      <w:r>
        <w:rPr/>
        <w:t>位激励对象拟 授予限制性人民币普通股（</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11,255,000</w:t>
      </w:r>
      <w:r>
        <w:rPr/>
        <w:t>股，每股面值</w:t>
      </w:r>
      <w:r>
        <w:rPr>
          <w:rFonts w:ascii="Times New Roman" w:hAnsi="Times New Roman" w:cs="Times New Roman" w:eastAsia="Times New Roman" w:hint="default"/>
        </w:rPr>
        <w:t>1</w:t>
      </w:r>
      <w:r>
        <w:rPr/>
        <w:t>元，每股授予价格为人民币</w:t>
      </w:r>
      <w:r>
        <w:rPr>
          <w:rFonts w:ascii="Times New Roman" w:hAnsi="Times New Roman" w:cs="Times New Roman" w:eastAsia="Times New Roman" w:hint="default"/>
        </w:rPr>
        <w:t>8.00</w:t>
      </w:r>
      <w:r>
        <w:rPr/>
        <w:t>元。截至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21</w:t>
      </w:r>
      <w:r>
        <w:rPr/>
        <w:t>日，除</w:t>
      </w:r>
      <w:r>
        <w:rPr>
          <w:rFonts w:ascii="Times New Roman" w:hAnsi="Times New Roman" w:cs="Times New Roman" w:eastAsia="Times New Roman" w:hint="default"/>
        </w:rPr>
        <w:t>1</w:t>
      </w:r>
      <w:r>
        <w:rPr>
          <w:rFonts w:ascii="Times New Roman" w:hAnsi="Times New Roman" w:cs="Times New Roman" w:eastAsia="Times New Roman" w:hint="default"/>
          <w:spacing w:val="33"/>
        </w:rPr>
        <w:t> </w:t>
      </w:r>
      <w:r>
        <w:rPr/>
        <w:t>名符合条件的激励对象自愿放弃认购公司拟向其授予的</w:t>
      </w:r>
      <w:r>
        <w:rPr>
          <w:rFonts w:ascii="Times New Roman" w:hAnsi="Times New Roman" w:cs="Times New Roman" w:eastAsia="Times New Roman" w:hint="default"/>
        </w:rPr>
        <w:t>17,500</w:t>
      </w:r>
      <w:r>
        <w:rPr/>
        <w:t>股限制性股票外，</w:t>
      </w:r>
      <w:r>
        <w:rPr>
          <w:spacing w:val="-42"/>
        </w:rPr>
        <w:t> </w:t>
      </w:r>
      <w:r>
        <w:rPr/>
        <w:t>其余</w:t>
      </w:r>
      <w:r>
        <w:rPr>
          <w:rFonts w:ascii="Times New Roman" w:hAnsi="Times New Roman" w:cs="Times New Roman" w:eastAsia="Times New Roman" w:hint="default"/>
        </w:rPr>
        <w:t>305</w:t>
      </w:r>
      <w:r>
        <w:rPr/>
        <w:t>位激励对象认购限制性人民币普通</w:t>
      </w:r>
    </w:p>
    <w:p>
      <w:pPr>
        <w:spacing w:after="0" w:line="30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1125"/>
        <w:jc w:val="both"/>
      </w:pPr>
      <w:r>
        <w:rPr>
          <w:spacing w:val="-1"/>
        </w:rPr>
        <w:t>股（</w:t>
      </w:r>
      <w:r>
        <w:rPr>
          <w:rFonts w:ascii="Times New Roman" w:hAnsi="Times New Roman" w:cs="Times New Roman" w:eastAsia="Times New Roman" w:hint="default"/>
          <w:spacing w:val="-1"/>
        </w:rPr>
        <w:t>A</w:t>
      </w:r>
      <w:r>
        <w:rPr>
          <w:spacing w:val="-1"/>
        </w:rPr>
        <w:t>股）</w:t>
      </w:r>
      <w:r>
        <w:rPr>
          <w:rFonts w:ascii="Times New Roman" w:hAnsi="Times New Roman" w:cs="Times New Roman" w:eastAsia="Times New Roman" w:hint="default"/>
          <w:spacing w:val="-1"/>
        </w:rPr>
        <w:t>11,237,500</w:t>
      </w:r>
      <w:r>
        <w:rPr>
          <w:spacing w:val="-1"/>
        </w:rPr>
        <w:t>股，共收到以货币缴纳的出资额</w:t>
      </w:r>
      <w:r>
        <w:rPr>
          <w:rFonts w:ascii="Times New Roman" w:hAnsi="Times New Roman" w:cs="Times New Roman" w:eastAsia="Times New Roman" w:hint="default"/>
          <w:spacing w:val="-1"/>
        </w:rPr>
        <w:t>89,900,000.00</w:t>
      </w:r>
      <w:r>
        <w:rPr>
          <w:spacing w:val="-1"/>
        </w:rPr>
        <w:t>元，由此增加股本</w:t>
      </w:r>
      <w:r>
        <w:rPr>
          <w:rFonts w:ascii="Times New Roman" w:hAnsi="Times New Roman" w:cs="Times New Roman" w:eastAsia="Times New Roman" w:hint="default"/>
          <w:spacing w:val="-1"/>
        </w:rPr>
        <w:t>11,237,500.00</w:t>
      </w:r>
      <w:r>
        <w:rPr>
          <w:spacing w:val="-1"/>
        </w:rPr>
        <w:t>元，增加资本公积（股本</w:t>
      </w:r>
      <w:r>
        <w:rPr>
          <w:spacing w:val="-63"/>
        </w:rPr>
        <w:t> </w:t>
      </w:r>
      <w:r>
        <w:rPr>
          <w:spacing w:val="-63"/>
        </w:rPr>
      </w:r>
      <w:r>
        <w:rPr>
          <w:spacing w:val="-1"/>
        </w:rPr>
        <w:t>溢价）</w:t>
      </w:r>
      <w:r>
        <w:rPr>
          <w:rFonts w:ascii="Times New Roman" w:hAnsi="Times New Roman" w:cs="Times New Roman" w:eastAsia="Times New Roman" w:hint="default"/>
          <w:spacing w:val="-1"/>
        </w:rPr>
        <w:t>78,662,500.00</w:t>
      </w:r>
      <w:r>
        <w:rPr>
          <w:spacing w:val="-1"/>
        </w:rPr>
        <w:t>元。上述增资事项业经天健会计师事务所（特殊普通合伙）审验，并由其于</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26</w:t>
      </w:r>
      <w:r>
        <w:rPr>
          <w:spacing w:val="-1"/>
        </w:rPr>
        <w:t>日出具了《验</w:t>
      </w:r>
      <w:r>
        <w:rPr>
          <w:spacing w:val="-67"/>
        </w:rPr>
        <w:t> </w:t>
      </w:r>
      <w:r>
        <w:rPr>
          <w:spacing w:val="-67"/>
        </w:rPr>
      </w:r>
      <w:r>
        <w:rPr/>
        <w:t>资报告》（天健验〔</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410</w:t>
      </w:r>
      <w:r>
        <w:rPr/>
        <w:t>号）。</w:t>
      </w:r>
    </w:p>
    <w:p>
      <w:pPr>
        <w:pStyle w:val="BodyText"/>
        <w:spacing w:line="300" w:lineRule="auto" w:before="13"/>
        <w:ind w:right="1129" w:firstLine="420"/>
        <w:jc w:val="both"/>
      </w:pPr>
      <w:r>
        <w:rPr>
          <w:rFonts w:ascii="Times New Roman" w:hAnsi="Times New Roman" w:cs="Times New Roman" w:eastAsia="Times New Roman" w:hint="default"/>
        </w:rPr>
        <w:t>3</w:t>
      </w:r>
      <w:r>
        <w:rPr/>
        <w:t>）</w:t>
      </w:r>
      <w:r>
        <w:rPr>
          <w:spacing w:val="-51"/>
        </w:rPr>
        <w:t> </w:t>
      </w:r>
      <w:r>
        <w:rPr>
          <w:spacing w:val="-2"/>
        </w:rPr>
        <w:t>根据公司</w:t>
      </w:r>
      <w:r>
        <w:rPr>
          <w:rFonts w:ascii="Times New Roman" w:hAnsi="Times New Roman" w:cs="Times New Roman" w:eastAsia="Times New Roman" w:hint="default"/>
          <w:spacing w:val="-2"/>
        </w:rPr>
        <w:t>2015</w:t>
      </w:r>
      <w:r>
        <w:rPr>
          <w:spacing w:val="-2"/>
        </w:rPr>
        <w:t>年第三次临时股东大会授权并经</w:t>
      </w:r>
      <w:r>
        <w:rPr>
          <w:rFonts w:ascii="Times New Roman" w:hAnsi="Times New Roman" w:cs="Times New Roman" w:eastAsia="Times New Roman" w:hint="default"/>
          <w:spacing w:val="-2"/>
        </w:rPr>
        <w:t>2018</w:t>
      </w:r>
      <w:r>
        <w:rPr>
          <w:spacing w:val="-2"/>
        </w:rPr>
        <w:t>年第六届董事会十六次会议决议和修改后的章程规定，截至</w:t>
      </w:r>
      <w:r>
        <w:rPr>
          <w:rFonts w:ascii="Times New Roman" w:hAnsi="Times New Roman" w:cs="Times New Roman" w:eastAsia="Times New Roman" w:hint="default"/>
          <w:spacing w:val="-2"/>
        </w:rPr>
        <w:t>2019</w:t>
      </w:r>
      <w:r>
        <w:rPr>
          <w:rFonts w:ascii="Times New Roman" w:hAnsi="Times New Roman" w:cs="Times New Roman" w:eastAsia="Times New Roman" w:hint="default"/>
        </w:rPr>
        <w:t> </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24</w:t>
      </w:r>
      <w:r>
        <w:rPr>
          <w:spacing w:val="2"/>
        </w:rPr>
        <w:t>日，徐华伟等</w:t>
      </w:r>
      <w:r>
        <w:rPr>
          <w:rFonts w:ascii="Times New Roman" w:hAnsi="Times New Roman" w:cs="Times New Roman" w:eastAsia="Times New Roman" w:hint="default"/>
          <w:spacing w:val="2"/>
        </w:rPr>
        <w:t>26</w:t>
      </w:r>
      <w:r>
        <w:rPr>
          <w:spacing w:val="2"/>
        </w:rPr>
        <w:t>位激励对象共计期权行权</w:t>
      </w:r>
      <w:r>
        <w:rPr>
          <w:rFonts w:ascii="Times New Roman" w:hAnsi="Times New Roman" w:cs="Times New Roman" w:eastAsia="Times New Roman" w:hint="default"/>
          <w:spacing w:val="2"/>
        </w:rPr>
        <w:t>86,876</w:t>
      </w:r>
      <w:r>
        <w:rPr>
          <w:spacing w:val="2"/>
        </w:rPr>
        <w:t>份，共收到其以货币缴纳的出资额</w:t>
      </w:r>
      <w:r>
        <w:rPr>
          <w:rFonts w:ascii="Times New Roman" w:hAnsi="Times New Roman" w:cs="Times New Roman" w:eastAsia="Times New Roman" w:hint="default"/>
          <w:spacing w:val="2"/>
        </w:rPr>
        <w:t>1,787,039.32</w:t>
      </w:r>
      <w:r>
        <w:rPr>
          <w:spacing w:val="2"/>
        </w:rPr>
        <w:t>元，由此增加股本</w:t>
      </w:r>
      <w:r>
        <w:rPr>
          <w:spacing w:val="-72"/>
        </w:rPr>
        <w:t> </w:t>
      </w:r>
      <w:r>
        <w:rPr>
          <w:spacing w:val="-72"/>
        </w:rPr>
      </w:r>
      <w:r>
        <w:rPr>
          <w:rFonts w:ascii="Times New Roman" w:hAnsi="Times New Roman" w:cs="Times New Roman" w:eastAsia="Times New Roman" w:hint="default"/>
        </w:rPr>
        <w:t>86,876.00</w:t>
      </w:r>
      <w:r>
        <w:rPr/>
        <w:t>元，增加资本公积（股本溢价）</w:t>
      </w:r>
      <w:r>
        <w:rPr>
          <w:rFonts w:ascii="Times New Roman" w:hAnsi="Times New Roman" w:cs="Times New Roman" w:eastAsia="Times New Roman" w:hint="default"/>
        </w:rPr>
        <w:t>1,700,163.32</w:t>
      </w:r>
      <w:r>
        <w:rPr/>
        <w:t>元。上述增资事项业经天健会计师事务所（特殊普通合伙）审验，并</w:t>
      </w:r>
      <w:r>
        <w:rPr>
          <w:spacing w:val="-55"/>
        </w:rPr>
        <w:t> </w:t>
      </w:r>
      <w:r>
        <w:rPr>
          <w:spacing w:val="-55"/>
        </w:rPr>
      </w:r>
      <w:r>
        <w:rPr>
          <w:spacing w:val="-2"/>
        </w:rPr>
        <w:t>由其于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12</w:t>
      </w:r>
      <w:r>
        <w:rPr>
          <w:spacing w:val="-2"/>
        </w:rPr>
        <w:t>日出具了《验资报告》（天健验〔</w:t>
      </w:r>
      <w:r>
        <w:rPr>
          <w:rFonts w:ascii="Times New Roman" w:hAnsi="Times New Roman" w:cs="Times New Roman" w:eastAsia="Times New Roman" w:hint="default"/>
          <w:spacing w:val="-2"/>
        </w:rPr>
        <w:t>2019</w:t>
      </w:r>
      <w:r>
        <w:rPr>
          <w:spacing w:val="-2"/>
        </w:rPr>
        <w:t>〕</w:t>
      </w:r>
      <w:r>
        <w:rPr>
          <w:rFonts w:ascii="Times New Roman" w:hAnsi="Times New Roman" w:cs="Times New Roman" w:eastAsia="Times New Roman" w:hint="default"/>
          <w:spacing w:val="-2"/>
        </w:rPr>
        <w:t>240</w:t>
      </w:r>
      <w:r>
        <w:rPr>
          <w:spacing w:val="-2"/>
        </w:rPr>
        <w:t>号）；截至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12</w:t>
      </w:r>
      <w:r>
        <w:rPr>
          <w:spacing w:val="-2"/>
        </w:rPr>
        <w:t>日，刘宇等</w:t>
      </w:r>
      <w:r>
        <w:rPr>
          <w:rFonts w:ascii="Times New Roman" w:hAnsi="Times New Roman" w:cs="Times New Roman" w:eastAsia="Times New Roman" w:hint="default"/>
          <w:spacing w:val="-2"/>
        </w:rPr>
        <w:t>75</w:t>
      </w:r>
      <w:r>
        <w:rPr>
          <w:spacing w:val="-2"/>
        </w:rPr>
        <w:t>位激励对象共计行权</w:t>
      </w:r>
      <w:r>
        <w:rPr>
          <w:spacing w:val="-50"/>
        </w:rPr>
        <w:t> </w:t>
      </w:r>
      <w:r>
        <w:rPr>
          <w:rFonts w:ascii="Times New Roman" w:hAnsi="Times New Roman" w:cs="Times New Roman" w:eastAsia="Times New Roman" w:hint="default"/>
        </w:rPr>
        <w:t>318,300</w:t>
      </w:r>
      <w:r>
        <w:rPr/>
        <w:t>份，共收到其以货币缴纳的出资额</w:t>
      </w:r>
      <w:r>
        <w:rPr>
          <w:rFonts w:ascii="Times New Roman" w:hAnsi="Times New Roman" w:cs="Times New Roman" w:eastAsia="Times New Roman" w:hint="default"/>
        </w:rPr>
        <w:t>4,354,344.00</w:t>
      </w:r>
      <w:r>
        <w:rPr/>
        <w:t>元，由此增加股本</w:t>
      </w:r>
      <w:r>
        <w:rPr>
          <w:rFonts w:ascii="Times New Roman" w:hAnsi="Times New Roman" w:cs="Times New Roman" w:eastAsia="Times New Roman" w:hint="default"/>
        </w:rPr>
        <w:t>318,300.00</w:t>
      </w:r>
      <w:r>
        <w:rPr/>
        <w:t>元，增加资本公积（股本溢价）人民币</w:t>
      </w:r>
    </w:p>
    <w:p>
      <w:pPr>
        <w:pStyle w:val="BodyText"/>
        <w:spacing w:line="240" w:lineRule="auto" w:before="13"/>
        <w:ind w:right="0"/>
        <w:jc w:val="both"/>
      </w:pPr>
      <w:r>
        <w:rPr>
          <w:rFonts w:ascii="Times New Roman" w:hAnsi="Times New Roman" w:cs="Times New Roman" w:eastAsia="Times New Roman" w:hint="default"/>
        </w:rPr>
        <w:t>4,036,044.00</w:t>
      </w:r>
      <w:r>
        <w:rPr/>
        <w:t>元。上述增资事项业经天健会计师事务所（特殊普通合伙）审验，并由其于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日出具了《验资报告》</w:t>
      </w:r>
    </w:p>
    <w:p>
      <w:pPr>
        <w:pStyle w:val="BodyText"/>
        <w:spacing w:line="240" w:lineRule="auto" w:before="63"/>
        <w:ind w:right="0"/>
        <w:jc w:val="both"/>
      </w:pPr>
      <w:r>
        <w:rPr/>
        <w:t>（天健验〔</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511</w:t>
      </w:r>
      <w:r>
        <w:rPr/>
        <w:t>号）。</w:t>
      </w:r>
    </w:p>
    <w:p>
      <w:pPr>
        <w:pStyle w:val="BodyText"/>
        <w:spacing w:line="300" w:lineRule="auto" w:before="63"/>
        <w:ind w:right="882" w:firstLine="360"/>
        <w:jc w:val="left"/>
      </w:pPr>
      <w:r>
        <w:rPr>
          <w:rFonts w:ascii="Times New Roman" w:hAnsi="Times New Roman" w:cs="Times New Roman" w:eastAsia="Times New Roman" w:hint="default"/>
        </w:rPr>
        <w:t>4</w:t>
      </w:r>
      <w:r>
        <w:rPr/>
        <w:t>）</w:t>
      </w:r>
      <w:r>
        <w:rPr>
          <w:spacing w:val="-49"/>
        </w:rPr>
        <w:t> </w:t>
      </w:r>
      <w:r>
        <w:rPr/>
        <w:t>根据公司</w:t>
      </w:r>
      <w:r>
        <w:rPr>
          <w:rFonts w:ascii="Times New Roman" w:hAnsi="Times New Roman" w:cs="Times New Roman" w:eastAsia="Times New Roman" w:hint="default"/>
        </w:rPr>
        <w:t>2015</w:t>
      </w:r>
      <w:r>
        <w:rPr/>
        <w:t>年第三次临时股东大会授权并经第六届董事会第十四次、第十六次、第十九次会议决议和修改后的章 程规定，公司以货币资金</w:t>
      </w:r>
      <w:r>
        <w:rPr>
          <w:rFonts w:ascii="Times New Roman" w:hAnsi="Times New Roman" w:cs="Times New Roman" w:eastAsia="Times New Roman" w:hint="default"/>
        </w:rPr>
        <w:t>689,075.00</w:t>
      </w:r>
      <w:r>
        <w:rPr/>
        <w:t>元回购已授予徐周等</w:t>
      </w:r>
      <w:r>
        <w:rPr>
          <w:rFonts w:ascii="Times New Roman" w:hAnsi="Times New Roman" w:cs="Times New Roman" w:eastAsia="Times New Roman" w:hint="default"/>
        </w:rPr>
        <w:t>13</w:t>
      </w:r>
      <w:r>
        <w:rPr/>
        <w:t>位自然人但尚未解锁的限制性人民币普通股（</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117,003</w:t>
      </w:r>
      <w:r>
        <w:rPr/>
        <w:t>股， </w:t>
      </w:r>
      <w:r>
        <w:rPr>
          <w:spacing w:val="-3"/>
        </w:rPr>
        <w:t>相应减少股本</w:t>
      </w:r>
      <w:r>
        <w:rPr>
          <w:rFonts w:ascii="Times New Roman" w:hAnsi="Times New Roman" w:cs="Times New Roman" w:eastAsia="Times New Roman" w:hint="default"/>
          <w:spacing w:val="-3"/>
        </w:rPr>
        <w:t>117,003.00</w:t>
      </w:r>
      <w:r>
        <w:rPr>
          <w:spacing w:val="-3"/>
        </w:rPr>
        <w:t>元，减少资本公积（股本溢价）</w:t>
      </w:r>
      <w:r>
        <w:rPr>
          <w:rFonts w:ascii="Times New Roman" w:hAnsi="Times New Roman" w:cs="Times New Roman" w:eastAsia="Times New Roman" w:hint="default"/>
          <w:spacing w:val="-3"/>
        </w:rPr>
        <w:t>572,072.00</w:t>
      </w:r>
      <w:r>
        <w:rPr>
          <w:spacing w:val="-3"/>
        </w:rPr>
        <w:t>元。上述减资事项业经天健会计师事务所（特殊普通合伙）</w:t>
      </w:r>
      <w:r>
        <w:rPr>
          <w:spacing w:val="-72"/>
        </w:rPr>
        <w:t> </w:t>
      </w:r>
      <w:r>
        <w:rPr>
          <w:spacing w:val="-72"/>
        </w:rPr>
      </w:r>
      <w:r>
        <w:rPr/>
        <w:t>审验，并由其于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21</w:t>
      </w:r>
      <w:r>
        <w:rPr/>
        <w:t>日出具了《验资报告》（天健验〔</w:t>
      </w:r>
      <w:r>
        <w:rPr>
          <w:rFonts w:ascii="Times New Roman" w:hAnsi="Times New Roman" w:cs="Times New Roman" w:eastAsia="Times New Roman" w:hint="default"/>
        </w:rPr>
        <w:t>2019</w:t>
      </w:r>
      <w:r>
        <w:rPr/>
        <w:t>〕</w:t>
      </w:r>
      <w:r>
        <w:rPr>
          <w:rFonts w:ascii="Times New Roman" w:hAnsi="Times New Roman" w:cs="Times New Roman" w:eastAsia="Times New Roman" w:hint="default"/>
        </w:rPr>
        <w:t>409</w:t>
      </w:r>
      <w:r>
        <w:rPr/>
        <w:t>号）。</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28"/>
        <w:ind w:right="0"/>
        <w:jc w:val="both"/>
        <w:rPr>
          <w:b w:val="0"/>
          <w:bCs w:val="0"/>
        </w:rPr>
      </w:pPr>
      <w:bookmarkStart w:name="30、资本公积" w:id="328"/>
      <w:bookmarkEnd w:id="328"/>
      <w:r>
        <w:rPr>
          <w:b w:val="0"/>
          <w:bCs w:val="0"/>
        </w:rPr>
      </w:r>
      <w:r>
        <w:rPr>
          <w:rFonts w:ascii="Times New Roman" w:hAnsi="Times New Roman" w:cs="Times New Roman" w:eastAsia="Times New Roman" w:hint="default"/>
        </w:rPr>
        <w:t>30</w:t>
      </w:r>
      <w:r>
        <w:rPr/>
        <w:t>、资本公积</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1,133,161,666.88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95,389,409.87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303,382,232.63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925,168,844.12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67,665,631.68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8,503,771.88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10,990,702.55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65,178,701.01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1,200,827,298.56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103,893,181.75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314,372,935.18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990,347,545.13</w:t>
            </w:r>
          </w:p>
        </w:tc>
      </w:tr>
    </w:tbl>
    <w:p>
      <w:pPr>
        <w:pStyle w:val="BodyText"/>
        <w:spacing w:line="240" w:lineRule="auto" w:before="52"/>
        <w:ind w:right="0"/>
        <w:jc w:val="both"/>
      </w:pPr>
      <w:r>
        <w:rPr/>
        <w:t>其他说明，包括本期增减变动情况、变动原因说明：</w:t>
      </w:r>
    </w:p>
    <w:p>
      <w:pPr>
        <w:pStyle w:val="BodyText"/>
        <w:spacing w:line="300" w:lineRule="auto" w:before="115"/>
        <w:ind w:right="1046" w:firstLine="420"/>
        <w:jc w:val="left"/>
      </w:pPr>
      <w:r>
        <w:rPr>
          <w:rFonts w:ascii="Times New Roman" w:hAnsi="Times New Roman" w:cs="Times New Roman" w:eastAsia="Times New Roman" w:hint="default"/>
        </w:rPr>
        <w:t>1</w:t>
      </w:r>
      <w:r>
        <w:rPr/>
        <w:t>）</w:t>
      </w:r>
      <w:r>
        <w:rPr>
          <w:spacing w:val="-33"/>
        </w:rPr>
        <w:t> </w:t>
      </w:r>
      <w:r>
        <w:rPr/>
        <w:t>资本公积（股本溢价）本期增加</w:t>
      </w:r>
      <w:r>
        <w:rPr>
          <w:rFonts w:ascii="Times New Roman" w:hAnsi="Times New Roman" w:cs="Times New Roman" w:eastAsia="Times New Roman" w:hint="default"/>
        </w:rPr>
        <w:t>95,389,409.87</w:t>
      </w:r>
      <w:r>
        <w:rPr/>
        <w:t>元、资本公积（其他资本公积）本期减少</w:t>
      </w:r>
      <w:r>
        <w:rPr>
          <w:rFonts w:ascii="Times New Roman" w:hAnsi="Times New Roman" w:cs="Times New Roman" w:eastAsia="Times New Roman" w:hint="default"/>
        </w:rPr>
        <w:t>10,990,702.55</w:t>
      </w:r>
      <w:r>
        <w:rPr/>
        <w:t>元，包括：本 期发行限制性股票增加资本公积（股本溢价） </w:t>
      </w:r>
      <w:r>
        <w:rPr>
          <w:rFonts w:ascii="Times New Roman" w:hAnsi="Times New Roman" w:cs="Times New Roman" w:eastAsia="Times New Roman" w:hint="default"/>
        </w:rPr>
        <w:t>78,662,500.00</w:t>
      </w:r>
      <w:r>
        <w:rPr/>
        <w:t>元，本期期权行权增加资本公积（股本溢价）</w:t>
      </w:r>
      <w:r>
        <w:rPr>
          <w:spacing w:val="-12"/>
        </w:rPr>
        <w:t> </w:t>
      </w:r>
      <w:r>
        <w:rPr>
          <w:rFonts w:ascii="Times New Roman" w:hAnsi="Times New Roman" w:cs="Times New Roman" w:eastAsia="Times New Roman" w:hint="default"/>
        </w:rPr>
        <w:t>5,736,207.32</w:t>
      </w:r>
      <w:r>
        <w:rPr/>
        <w:t>元， 详见本财务报表附注五股本之说明；本期部分限制性股票已解锁，相应将原确认的对应股份的股份支付费用</w:t>
      </w:r>
      <w:r>
        <w:rPr>
          <w:rFonts w:ascii="Times New Roman" w:hAnsi="Times New Roman" w:cs="Times New Roman" w:eastAsia="Times New Roman" w:hint="default"/>
        </w:rPr>
        <w:t>10,990,702.55</w:t>
      </w:r>
      <w:r>
        <w:rPr/>
        <w:t>元 由资本公积（其他资本公积）转入资本公积（股本溢价）。</w:t>
      </w:r>
    </w:p>
    <w:p>
      <w:pPr>
        <w:pStyle w:val="BodyText"/>
        <w:spacing w:line="240" w:lineRule="auto" w:before="31"/>
        <w:ind w:left="532" w:right="882"/>
        <w:jc w:val="left"/>
      </w:pPr>
      <w:r>
        <w:rPr>
          <w:rFonts w:ascii="Times New Roman" w:hAnsi="Times New Roman" w:cs="Times New Roman" w:eastAsia="Times New Roman" w:hint="default"/>
          <w:spacing w:val="4"/>
        </w:rPr>
        <w:t>2</w:t>
      </w:r>
      <w:r>
        <w:rPr>
          <w:spacing w:val="4"/>
        </w:rPr>
        <w:t>）</w:t>
      </w:r>
      <w:r>
        <w:rPr>
          <w:spacing w:val="48"/>
        </w:rPr>
        <w:t> </w:t>
      </w:r>
      <w:r>
        <w:rPr>
          <w:spacing w:val="5"/>
        </w:rPr>
        <w:t>资本公积（股本溢价）本期减少</w:t>
      </w:r>
      <w:r>
        <w:rPr>
          <w:rFonts w:ascii="Times New Roman" w:hAnsi="Times New Roman" w:cs="Times New Roman" w:eastAsia="Times New Roman" w:hint="default"/>
          <w:spacing w:val="5"/>
        </w:rPr>
        <w:t>303,382,232.63</w:t>
      </w:r>
      <w:r>
        <w:rPr>
          <w:spacing w:val="5"/>
        </w:rPr>
        <w:t>元，包括：本期资本公积转增股本减少资本公积（股本溢价）</w:t>
      </w:r>
    </w:p>
    <w:p>
      <w:pPr>
        <w:pStyle w:val="BodyText"/>
        <w:spacing w:line="309" w:lineRule="auto" w:before="63"/>
        <w:ind w:right="1132"/>
        <w:jc w:val="both"/>
      </w:pPr>
      <w:r>
        <w:rPr>
          <w:rFonts w:ascii="Times New Roman" w:hAnsi="Times New Roman" w:cs="Times New Roman" w:eastAsia="Times New Roman" w:hint="default"/>
        </w:rPr>
        <w:t>242,769,354.00</w:t>
      </w:r>
      <w:r>
        <w:rPr/>
        <w:t>元；回购尚未解锁的限制性股票减少资本公积（股本溢价）</w:t>
      </w:r>
      <w:r>
        <w:rPr>
          <w:spacing w:val="23"/>
        </w:rPr>
        <w:t> </w:t>
      </w:r>
      <w:r>
        <w:rPr>
          <w:rFonts w:ascii="Times New Roman" w:hAnsi="Times New Roman" w:cs="Times New Roman" w:eastAsia="Times New Roman" w:hint="default"/>
        </w:rPr>
        <w:t>572,072.00</w:t>
      </w:r>
      <w:r>
        <w:rPr/>
        <w:t>元，详见本财务报表附注五股本之说</w:t>
      </w:r>
      <w:r>
        <w:rPr>
          <w:spacing w:val="-82"/>
        </w:rPr>
        <w:t> </w:t>
      </w:r>
      <w:r>
        <w:rPr>
          <w:spacing w:val="-82"/>
        </w:rPr>
      </w:r>
      <w:r>
        <w:rPr>
          <w:spacing w:val="-2"/>
        </w:rPr>
        <w:t>明；本期公司收购控股子公司广东中拓信息技术有限公司和中山市蓝天电脑有限公司少数股东股权，新增投资成本大于按照</w:t>
      </w:r>
      <w:r>
        <w:rPr>
          <w:spacing w:val="-64"/>
        </w:rPr>
        <w:t> </w:t>
      </w:r>
      <w:r>
        <w:rPr>
          <w:spacing w:val="-64"/>
        </w:rPr>
      </w:r>
      <w:r>
        <w:rPr/>
        <w:t>新增持股比例计算应享有自合并日开始持续计算的净资产份额，相应减少资本公积（股本溢价）</w:t>
      </w:r>
      <w:r>
        <w:rPr>
          <w:spacing w:val="-6"/>
        </w:rPr>
        <w:t> </w:t>
      </w:r>
      <w:r>
        <w:rPr>
          <w:rFonts w:ascii="Times New Roman" w:hAnsi="Times New Roman" w:cs="Times New Roman" w:eastAsia="Times New Roman" w:hint="default"/>
        </w:rPr>
        <w:t>60,040,806.63</w:t>
      </w:r>
      <w:r>
        <w:rPr/>
        <w:t>元。</w:t>
      </w:r>
    </w:p>
    <w:p>
      <w:pPr>
        <w:pStyle w:val="BodyText"/>
        <w:spacing w:line="300" w:lineRule="auto" w:before="5"/>
        <w:ind w:right="882" w:firstLine="360"/>
        <w:jc w:val="left"/>
      </w:pPr>
      <w:r>
        <w:rPr>
          <w:rFonts w:ascii="Times New Roman" w:hAnsi="Times New Roman" w:cs="Times New Roman" w:eastAsia="Times New Roman" w:hint="default"/>
        </w:rPr>
        <w:t>3</w:t>
      </w:r>
      <w:r>
        <w:rPr/>
        <w:t>）</w:t>
      </w:r>
      <w:r>
        <w:rPr>
          <w:spacing w:val="30"/>
        </w:rPr>
        <w:t> </w:t>
      </w:r>
      <w:r>
        <w:rPr/>
        <w:t>资本公积（其他资本公积）本期增加</w:t>
      </w:r>
      <w:r>
        <w:rPr>
          <w:rFonts w:ascii="Times New Roman" w:hAnsi="Times New Roman" w:cs="Times New Roman" w:eastAsia="Times New Roman" w:hint="default"/>
        </w:rPr>
        <w:t>8,503,771.88</w:t>
      </w:r>
      <w:r>
        <w:rPr/>
        <w:t>元，均系本期确认的股份支付费用，详见本财务报表附注股份支 付之说明。</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49"/>
        <w:ind w:right="0"/>
        <w:jc w:val="both"/>
        <w:rPr>
          <w:b w:val="0"/>
          <w:bCs w:val="0"/>
        </w:rPr>
      </w:pPr>
      <w:bookmarkStart w:name="31、库存股" w:id="329"/>
      <w:bookmarkEnd w:id="329"/>
      <w:r>
        <w:rPr>
          <w:b w:val="0"/>
          <w:bCs w:val="0"/>
        </w:rPr>
      </w:r>
      <w:r>
        <w:rPr>
          <w:rFonts w:ascii="Times New Roman" w:hAnsi="Times New Roman" w:cs="Times New Roman" w:eastAsia="Times New Roman" w:hint="default"/>
        </w:rPr>
        <w:t>31</w:t>
      </w:r>
      <w:r>
        <w:rPr/>
        <w:t>、库存股</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30,481,062.21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89,900,000.00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30,443,427.21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89,937,635.00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30,481,062.21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89,900,000.00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30,443,427.21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89,937,635.00</w:t>
            </w:r>
          </w:p>
        </w:tc>
      </w:tr>
    </w:tbl>
    <w:p>
      <w:pPr>
        <w:spacing w:after="0" w:line="240" w:lineRule="auto"/>
        <w:jc w:val="right"/>
        <w:rPr>
          <w:rFonts w:ascii="Times New Roman" w:hAnsi="Times New Roman" w:cs="Times New Roman" w:eastAsia="Times New Roman" w:hint="default"/>
          <w:sz w:val="18"/>
          <w:szCs w:val="18"/>
        </w:rPr>
        <w:sectPr>
          <w:footerReference w:type="default" r:id="rId48"/>
          <w:pgSz w:w="11910" w:h="16840"/>
          <w:pgMar w:footer="1016" w:header="907" w:top="1100" w:bottom="1200" w:left="1020" w:right="0"/>
          <w:pgNumType w:start="170"/>
        </w:sectPr>
      </w:pPr>
    </w:p>
    <w:p>
      <w:pPr>
        <w:spacing w:line="240" w:lineRule="auto" w:before="13"/>
        <w:rPr>
          <w:rFonts w:ascii="宋体" w:hAnsi="宋体" w:cs="宋体" w:eastAsia="宋体" w:hint="default"/>
          <w:sz w:val="22"/>
          <w:szCs w:val="22"/>
        </w:rPr>
      </w:pPr>
    </w:p>
    <w:p>
      <w:pPr>
        <w:pStyle w:val="BodyText"/>
        <w:spacing w:line="357" w:lineRule="auto" w:before="44"/>
        <w:ind w:left="472" w:right="1132" w:hanging="360"/>
        <w:jc w:val="left"/>
      </w:pPr>
      <w:r>
        <w:rPr/>
        <w:t>其他说明，包括本期增减变动情况、变动原因说明：                                     </w:t>
      </w:r>
      <w:r>
        <w:rPr>
          <w:spacing w:val="18"/>
        </w:rPr>
        <w:t>限制性股票回购义务增加</w:t>
      </w:r>
      <w:r>
        <w:rPr>
          <w:spacing w:val="-73"/>
        </w:rPr>
        <w:t> </w:t>
      </w:r>
      <w:r>
        <w:rPr>
          <w:rFonts w:ascii="Times New Roman" w:hAnsi="Times New Roman" w:cs="Times New Roman" w:eastAsia="Times New Roman" w:hint="default"/>
        </w:rPr>
        <w:t>89,900,000.00</w:t>
      </w:r>
      <w:r>
        <w:rPr>
          <w:rFonts w:ascii="Times New Roman" w:hAnsi="Times New Roman" w:cs="Times New Roman" w:eastAsia="Times New Roman" w:hint="default"/>
          <w:spacing w:val="-27"/>
        </w:rPr>
        <w:t> </w:t>
      </w:r>
      <w:r>
        <w:rPr>
          <w:spacing w:val="10"/>
        </w:rPr>
        <w:t>元，</w:t>
      </w:r>
      <w:r>
        <w:rPr>
          <w:spacing w:val="-73"/>
        </w:rPr>
        <w:t> </w:t>
      </w:r>
      <w:r>
        <w:rPr>
          <w:spacing w:val="16"/>
        </w:rPr>
        <w:t>系本期发行</w:t>
      </w:r>
      <w:r>
        <w:rPr>
          <w:spacing w:val="-71"/>
        </w:rPr>
        <w:t> </w:t>
      </w:r>
      <w:r>
        <w:rPr>
          <w:rFonts w:ascii="Times New Roman" w:hAnsi="Times New Roman" w:cs="Times New Roman" w:eastAsia="Times New Roman" w:hint="default"/>
        </w:rPr>
        <w:t>11,237,500</w:t>
      </w:r>
      <w:r>
        <w:rPr>
          <w:rFonts w:ascii="Times New Roman" w:hAnsi="Times New Roman" w:cs="Times New Roman" w:eastAsia="Times New Roman" w:hint="default"/>
          <w:spacing w:val="-29"/>
        </w:rPr>
        <w:t> </w:t>
      </w:r>
      <w:r>
        <w:rPr>
          <w:spacing w:val="19"/>
        </w:rPr>
        <w:t>股限制性股票而收到激励对象缴纳的出资款</w:t>
      </w:r>
    </w:p>
    <w:p>
      <w:pPr>
        <w:pStyle w:val="BodyText"/>
        <w:spacing w:line="214" w:lineRule="exact"/>
        <w:ind w:right="0"/>
        <w:jc w:val="both"/>
      </w:pPr>
      <w:r>
        <w:rPr>
          <w:rFonts w:ascii="Times New Roman" w:hAnsi="Times New Roman" w:cs="Times New Roman" w:eastAsia="Times New Roman" w:hint="default"/>
        </w:rPr>
        <w:t>89,900,000.00</w:t>
      </w:r>
      <w:r>
        <w:rPr/>
        <w:t>元；限制性股票回购义务减少</w:t>
      </w:r>
      <w:r>
        <w:rPr>
          <w:rFonts w:ascii="Times New Roman" w:hAnsi="Times New Roman" w:cs="Times New Roman" w:eastAsia="Times New Roman" w:hint="default"/>
        </w:rPr>
        <w:t>30,443,427.21</w:t>
      </w:r>
      <w:r>
        <w:rPr/>
        <w:t>元，包括：因本期回购尚未解锁的限制性股票</w:t>
      </w:r>
      <w:r>
        <w:rPr>
          <w:rFonts w:ascii="Times New Roman" w:hAnsi="Times New Roman" w:cs="Times New Roman" w:eastAsia="Times New Roman" w:hint="default"/>
        </w:rPr>
        <w:t>117,003</w:t>
      </w:r>
      <w:r>
        <w:rPr/>
        <w:t>股，相应转出</w:t>
      </w:r>
    </w:p>
    <w:p>
      <w:pPr>
        <w:pStyle w:val="BodyText"/>
        <w:spacing w:line="300" w:lineRule="auto" w:before="63"/>
        <w:ind w:right="1130"/>
        <w:jc w:val="both"/>
      </w:pPr>
      <w:r>
        <w:rPr>
          <w:rFonts w:ascii="Times New Roman" w:hAnsi="Times New Roman" w:cs="Times New Roman" w:eastAsia="Times New Roman" w:hint="default"/>
          <w:spacing w:val="-1"/>
        </w:rPr>
        <w:t>689,075.00</w:t>
      </w:r>
      <w:r>
        <w:rPr>
          <w:spacing w:val="-1"/>
        </w:rPr>
        <w:t>元；因本期解锁</w:t>
      </w:r>
      <w:r>
        <w:rPr>
          <w:rFonts w:ascii="Times New Roman" w:hAnsi="Times New Roman" w:cs="Times New Roman" w:eastAsia="Times New Roman" w:hint="default"/>
          <w:spacing w:val="-1"/>
        </w:rPr>
        <w:t>5,024,930</w:t>
      </w:r>
      <w:r>
        <w:rPr>
          <w:spacing w:val="-1"/>
        </w:rPr>
        <w:t>股限制性股票，相应转出</w:t>
      </w:r>
      <w:r>
        <w:rPr>
          <w:rFonts w:ascii="Times New Roman" w:hAnsi="Times New Roman" w:cs="Times New Roman" w:eastAsia="Times New Roman" w:hint="default"/>
          <w:spacing w:val="-1"/>
        </w:rPr>
        <w:t>29,754,352.21</w:t>
      </w:r>
      <w:r>
        <w:rPr>
          <w:spacing w:val="-1"/>
        </w:rPr>
        <w:t>元。截至</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日，尚有</w:t>
      </w:r>
      <w:r>
        <w:rPr>
          <w:rFonts w:ascii="Times New Roman" w:hAnsi="Times New Roman" w:cs="Times New Roman" w:eastAsia="Times New Roman" w:hint="default"/>
          <w:spacing w:val="-1"/>
        </w:rPr>
        <w:t>11,237,500</w:t>
      </w:r>
      <w:r>
        <w:rPr>
          <w:spacing w:val="-1"/>
        </w:rPr>
        <w:t>股限制</w:t>
      </w:r>
      <w:r>
        <w:rPr>
          <w:spacing w:val="-71"/>
        </w:rPr>
        <w:t> </w:t>
      </w:r>
      <w:r>
        <w:rPr/>
        <w:t>性股票未解锁，因公司仍负有回购义务，故仍列于本项目（同时计列其他应付款项目）；尚有</w:t>
      </w:r>
      <w:r>
        <w:rPr>
          <w:rFonts w:ascii="Times New Roman" w:hAnsi="Times New Roman" w:cs="Times New Roman" w:eastAsia="Times New Roman" w:hint="default"/>
        </w:rPr>
        <w:t>6,750</w:t>
      </w:r>
      <w:r>
        <w:rPr/>
        <w:t>股已回购但尚未完成股</w:t>
      </w:r>
      <w:r>
        <w:rPr>
          <w:spacing w:val="-49"/>
        </w:rPr>
        <w:t> </w:t>
      </w:r>
      <w:r>
        <w:rPr>
          <w:spacing w:val="-49"/>
        </w:rPr>
      </w:r>
      <w:r>
        <w:rPr/>
        <w:t>票注销手续。</w:t>
      </w:r>
    </w:p>
    <w:p>
      <w:pPr>
        <w:spacing w:line="240" w:lineRule="auto" w:before="7"/>
        <w:rPr>
          <w:rFonts w:ascii="宋体" w:hAnsi="宋体" w:cs="宋体" w:eastAsia="宋体" w:hint="default"/>
          <w:sz w:val="23"/>
          <w:szCs w:val="23"/>
        </w:rPr>
      </w:pPr>
    </w:p>
    <w:p>
      <w:pPr>
        <w:pStyle w:val="Heading3"/>
        <w:spacing w:line="240" w:lineRule="auto"/>
        <w:ind w:right="0"/>
        <w:jc w:val="both"/>
        <w:rPr>
          <w:b w:val="0"/>
          <w:bCs w:val="0"/>
        </w:rPr>
      </w:pPr>
      <w:bookmarkStart w:name="32、盈余公积" w:id="330"/>
      <w:bookmarkEnd w:id="330"/>
      <w:r>
        <w:rPr>
          <w:b w:val="0"/>
          <w:bCs w:val="0"/>
        </w:rPr>
      </w:r>
      <w:r>
        <w:rPr>
          <w:rFonts w:ascii="Times New Roman" w:hAnsi="Times New Roman" w:cs="Times New Roman" w:eastAsia="Times New Roman" w:hint="default"/>
        </w:rPr>
        <w:t>32</w:t>
      </w:r>
      <w:r>
        <w:rPr/>
        <w:t>、盈余公积</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65,255,781.50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22,421,659.62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87,677,441.12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65,255,781.50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22,421,659.62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87,677,441.12</w:t>
            </w:r>
          </w:p>
        </w:tc>
      </w:tr>
    </w:tbl>
    <w:p>
      <w:pPr>
        <w:pStyle w:val="BodyText"/>
        <w:spacing w:line="357" w:lineRule="auto" w:before="51"/>
        <w:ind w:right="4484"/>
        <w:jc w:val="left"/>
      </w:pPr>
      <w:r>
        <w:rPr/>
        <w:t>盈余公积说明，包括本期增减变动情况、变动原因说明： 盈余公积本期增加系根据</w:t>
      </w:r>
      <w:r>
        <w:rPr>
          <w:rFonts w:ascii="Times New Roman" w:hAnsi="Times New Roman" w:cs="Times New Roman" w:eastAsia="Times New Roman" w:hint="default"/>
        </w:rPr>
        <w:t>2019</w:t>
      </w:r>
      <w:r>
        <w:rPr/>
        <w:t>年度母公司实现净利润的</w:t>
      </w:r>
      <w:r>
        <w:rPr>
          <w:rFonts w:ascii="Times New Roman" w:hAnsi="Times New Roman" w:cs="Times New Roman" w:eastAsia="Times New Roman" w:hint="default"/>
        </w:rPr>
        <w:t>10%</w:t>
      </w:r>
      <w:r>
        <w:rPr/>
        <w:t>提取法定盈余公积。</w:t>
      </w:r>
    </w:p>
    <w:p>
      <w:pPr>
        <w:spacing w:line="240" w:lineRule="auto" w:before="7"/>
        <w:rPr>
          <w:rFonts w:ascii="宋体" w:hAnsi="宋体" w:cs="宋体" w:eastAsia="宋体" w:hint="default"/>
          <w:sz w:val="18"/>
          <w:szCs w:val="18"/>
        </w:rPr>
      </w:pPr>
    </w:p>
    <w:p>
      <w:pPr>
        <w:pStyle w:val="Heading3"/>
        <w:spacing w:line="240" w:lineRule="auto"/>
        <w:ind w:right="882"/>
        <w:jc w:val="left"/>
        <w:rPr>
          <w:b w:val="0"/>
          <w:bCs w:val="0"/>
        </w:rPr>
      </w:pPr>
      <w:bookmarkStart w:name="33、未分配利润" w:id="331"/>
      <w:bookmarkEnd w:id="331"/>
      <w:r>
        <w:rPr>
          <w:b w:val="0"/>
          <w:bCs w:val="0"/>
        </w:rPr>
      </w:r>
      <w:r>
        <w:rPr>
          <w:rFonts w:ascii="Times New Roman" w:hAnsi="Times New Roman" w:cs="Times New Roman" w:eastAsia="Times New Roman" w:hint="default"/>
        </w:rPr>
        <w:t>33</w:t>
      </w:r>
      <w:r>
        <w:rPr/>
        <w:t>、未分配利润</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725"/>
        <w:gridCol w:w="2924"/>
        <w:gridCol w:w="2918"/>
      </w:tblGrid>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599,584,088.72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435,329,536.63</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-5,061,166.21</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594,522,922.51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435,329,536.63</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314,070,351.32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212,681,116.27</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22,421,659.62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24,164,122.46</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24,276,938.70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24,262,441.72</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861,894,675.51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599,584,088.72</w:t>
            </w:r>
          </w:p>
        </w:tc>
      </w:tr>
    </w:tbl>
    <w:p>
      <w:pPr>
        <w:pStyle w:val="BodyText"/>
        <w:spacing w:line="240" w:lineRule="auto" w:before="49"/>
        <w:ind w:right="882"/>
        <w:jc w:val="left"/>
      </w:pPr>
      <w:r>
        <w:rPr/>
        <w:t>调整期初未分配利润明细：</w:t>
      </w:r>
    </w:p>
    <w:p>
      <w:pPr>
        <w:pStyle w:val="BodyText"/>
        <w:spacing w:line="240" w:lineRule="auto" w:before="117"/>
        <w:ind w:right="882"/>
        <w:jc w:val="left"/>
      </w:pPr>
      <w:r>
        <w:rPr>
          <w:rFonts w:ascii="Times New Roman" w:hAnsi="Times New Roman" w:cs="Times New Roman" w:eastAsia="Times New Roman" w:hint="default"/>
        </w:rPr>
        <w:t>1</w:t>
      </w:r>
      <w:r>
        <w:rPr/>
        <w:t>）、由于《企业会计准则》及其相关新规定进行追溯调整，影响期初未分配利润</w:t>
      </w:r>
      <w:r>
        <w:rPr>
          <w:rFonts w:ascii="Times New Roman" w:hAnsi="Times New Roman" w:cs="Times New Roman" w:eastAsia="Times New Roman" w:hint="default"/>
        </w:rPr>
        <w:t>-5,061,166.21</w:t>
      </w:r>
      <w:r>
        <w:rPr>
          <w:rFonts w:ascii="Times New Roman" w:hAnsi="Times New Roman" w:cs="Times New Roman" w:eastAsia="Times New Roman" w:hint="default"/>
          <w:spacing w:val="-6"/>
        </w:rPr>
        <w:t> </w:t>
      </w:r>
      <w:r>
        <w:rPr/>
        <w:t>元。</w:t>
      </w:r>
    </w:p>
    <w:p>
      <w:pPr>
        <w:pStyle w:val="BodyText"/>
        <w:spacing w:line="240" w:lineRule="auto" w:before="103"/>
        <w:ind w:right="882"/>
        <w:jc w:val="left"/>
      </w:pPr>
      <w:r>
        <w:rPr>
          <w:rFonts w:ascii="Times New Roman" w:hAnsi="Times New Roman" w:cs="Times New Roman" w:eastAsia="Times New Roman" w:hint="default"/>
        </w:rPr>
        <w:t>2</w:t>
      </w:r>
      <w:r>
        <w:rPr/>
        <w:t>）、由于会计政策变更，影响期初未分配利润元。</w:t>
      </w:r>
    </w:p>
    <w:p>
      <w:pPr>
        <w:pStyle w:val="BodyText"/>
        <w:spacing w:line="240" w:lineRule="auto" w:before="101"/>
        <w:ind w:right="882"/>
        <w:jc w:val="left"/>
      </w:pPr>
      <w:r>
        <w:rPr>
          <w:rFonts w:ascii="Times New Roman" w:hAnsi="Times New Roman" w:cs="Times New Roman" w:eastAsia="Times New Roman" w:hint="default"/>
        </w:rPr>
        <w:t>3</w:t>
      </w:r>
      <w:r>
        <w:rPr/>
        <w:t>）、由于重大会计差错更正，影响期初未分配利润元。</w:t>
      </w:r>
    </w:p>
    <w:p>
      <w:pPr>
        <w:pStyle w:val="BodyText"/>
        <w:spacing w:line="240" w:lineRule="auto" w:before="103"/>
        <w:ind w:right="882"/>
        <w:jc w:val="left"/>
      </w:pPr>
      <w:r>
        <w:rPr>
          <w:rFonts w:ascii="Times New Roman" w:hAnsi="Times New Roman" w:cs="Times New Roman" w:eastAsia="Times New Roman" w:hint="default"/>
        </w:rPr>
        <w:t>4</w:t>
      </w:r>
      <w:r>
        <w:rPr/>
        <w:t>）、由于同一控制导致的合并范围变更，影响期初未分配利润元。</w:t>
      </w:r>
    </w:p>
    <w:p>
      <w:pPr>
        <w:pStyle w:val="BodyText"/>
        <w:spacing w:line="240" w:lineRule="auto" w:before="103"/>
        <w:ind w:right="882"/>
        <w:jc w:val="left"/>
      </w:pPr>
      <w:r>
        <w:rPr>
          <w:rFonts w:ascii="Times New Roman" w:hAnsi="Times New Roman" w:cs="Times New Roman" w:eastAsia="Times New Roman" w:hint="default"/>
        </w:rPr>
        <w:t>5</w:t>
      </w:r>
      <w:r>
        <w:rPr/>
        <w:t>）、其他调整合计影响期初未分配利润元。</w:t>
      </w:r>
    </w:p>
    <w:p>
      <w:pPr>
        <w:spacing w:line="240" w:lineRule="auto" w:before="10"/>
        <w:rPr>
          <w:rFonts w:ascii="宋体" w:hAnsi="宋体" w:cs="宋体" w:eastAsia="宋体" w:hint="default"/>
          <w:sz w:val="25"/>
          <w:szCs w:val="25"/>
        </w:rPr>
      </w:pPr>
    </w:p>
    <w:p>
      <w:pPr>
        <w:pStyle w:val="Heading3"/>
        <w:spacing w:line="240" w:lineRule="auto"/>
        <w:ind w:right="882"/>
        <w:jc w:val="left"/>
        <w:rPr>
          <w:b w:val="0"/>
          <w:bCs w:val="0"/>
        </w:rPr>
      </w:pPr>
      <w:bookmarkStart w:name="34、营业收入和营业成本" w:id="332"/>
      <w:bookmarkEnd w:id="332"/>
      <w:r>
        <w:rPr>
          <w:b w:val="0"/>
          <w:bCs w:val="0"/>
        </w:rPr>
      </w:r>
      <w:r>
        <w:rPr>
          <w:rFonts w:ascii="Times New Roman" w:hAnsi="Times New Roman" w:cs="Times New Roman" w:eastAsia="Times New Roman" w:hint="default"/>
        </w:rPr>
        <w:t>34</w:t>
      </w:r>
      <w:r>
        <w:rPr/>
        <w:t>、营业收入和营业成本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0"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成本</w:t>
            </w:r>
          </w:p>
        </w:tc>
      </w:tr>
    </w:tbl>
    <w:p>
      <w:pPr>
        <w:spacing w:after="0" w:line="240" w:lineRule="auto"/>
        <w:jc w:val="center"/>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1,476,419,744.74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688,518,470.84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1,284,759,548.43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646,548,881.41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3,405,002.92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411,989.36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5,528,813.00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1,764,820.87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1,479,824,747.66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688,930,460.20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1,290,288,361.43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648,313,702.28</w:t>
            </w:r>
          </w:p>
        </w:tc>
      </w:tr>
    </w:tbl>
    <w:p>
      <w:pPr>
        <w:pStyle w:val="BodyText"/>
        <w:spacing w:line="240" w:lineRule="auto" w:before="51"/>
        <w:ind w:right="882"/>
        <w:jc w:val="left"/>
      </w:pPr>
      <w:r>
        <w:rPr/>
        <w:t>是否已执行新收入准则</w:t>
      </w:r>
    </w:p>
    <w:p>
      <w:pPr>
        <w:pStyle w:val="BodyText"/>
        <w:spacing w:line="357" w:lineRule="auto" w:before="117"/>
        <w:ind w:right="9134"/>
        <w:jc w:val="left"/>
      </w:pPr>
      <w:r>
        <w:rPr/>
        <w:t>□ 是 √ 否 其他说明</w:t>
      </w:r>
    </w:p>
    <w:p>
      <w:pPr>
        <w:spacing w:line="240" w:lineRule="auto" w:before="3"/>
        <w:rPr>
          <w:rFonts w:ascii="宋体" w:hAnsi="宋体" w:cs="宋体" w:eastAsia="宋体" w:hint="default"/>
          <w:sz w:val="20"/>
          <w:szCs w:val="20"/>
        </w:rPr>
      </w:pPr>
    </w:p>
    <w:p>
      <w:pPr>
        <w:pStyle w:val="Heading3"/>
        <w:spacing w:line="240" w:lineRule="auto"/>
        <w:ind w:right="882"/>
        <w:jc w:val="left"/>
        <w:rPr>
          <w:b w:val="0"/>
          <w:bCs w:val="0"/>
        </w:rPr>
      </w:pPr>
      <w:bookmarkStart w:name="35、税金及附加" w:id="333"/>
      <w:bookmarkEnd w:id="333"/>
      <w:r>
        <w:rPr>
          <w:b w:val="0"/>
          <w:bCs w:val="0"/>
        </w:rPr>
      </w:r>
      <w:r>
        <w:rPr>
          <w:rFonts w:ascii="Times New Roman" w:hAnsi="Times New Roman" w:cs="Times New Roman" w:eastAsia="Times New Roman" w:hint="default"/>
        </w:rPr>
        <w:t>35</w:t>
      </w:r>
      <w:r>
        <w:rPr/>
        <w:t>、税金及附加</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5,733,090.68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5,950,021.86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2,461,932.59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2,553,157.97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2,619,555.64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2,891,917.55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78,337.22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46,687.64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53,127.50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63,320.00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772,975.13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939,493.86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3,489,860.07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1,706,781.61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15,208,878.83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14,151,380.49</w:t>
            </w:r>
          </w:p>
        </w:tc>
      </w:tr>
    </w:tbl>
    <w:p>
      <w:pPr>
        <w:pStyle w:val="BodyText"/>
        <w:spacing w:line="240" w:lineRule="auto" w:before="51"/>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36、销售费用" w:id="334"/>
      <w:bookmarkEnd w:id="334"/>
      <w:r>
        <w:rPr>
          <w:b w:val="0"/>
          <w:bCs w:val="0"/>
        </w:rPr>
      </w:r>
      <w:r>
        <w:rPr>
          <w:rFonts w:ascii="Times New Roman" w:hAnsi="Times New Roman" w:cs="Times New Roman" w:eastAsia="Times New Roman" w:hint="default"/>
        </w:rPr>
        <w:t>36</w:t>
      </w:r>
      <w:r>
        <w:rPr/>
        <w:t>、销售费用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58,016,696.34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44,105,180.75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18,655,891.79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13,430,300.29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15,408,262.74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16,067,650.80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会务咨询费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22,881,906.53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18,794,154.60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14,321,387.90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14,790,952.06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7,453,221.73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2,606,124.75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摊销费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4,381,823.99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914,174.15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3,578,691.36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3,768,431.05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629,773.60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829,363.01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培训费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162,665.99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143,361.81</w:t>
            </w:r>
          </w:p>
        </w:tc>
      </w:tr>
      <w:tr>
        <w:trPr>
          <w:trHeight w:val="400"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4,933,598.52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4,025,135.47</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53" w:right="0"/>
              <w:jc w:val="left"/>
              <w:rPr>
                <w:rFonts w:ascii="Times New Roman" w:hAnsi="Times New Roman" w:cs="Times New Roman" w:eastAsia="Times New Roman" w:hint="default"/>
                <w:sz w:val="18"/>
                <w:szCs w:val="18"/>
              </w:rPr>
            </w:pPr>
            <w:r>
              <w:rPr>
                <w:rFonts w:ascii="Times New Roman"/>
                <w:sz w:val="18"/>
              </w:rPr>
              <w:t>150,423,920.49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59" w:right="0"/>
              <w:jc w:val="left"/>
              <w:rPr>
                <w:rFonts w:ascii="Times New Roman" w:hAnsi="Times New Roman" w:cs="Times New Roman" w:eastAsia="Times New Roman" w:hint="default"/>
                <w:sz w:val="18"/>
                <w:szCs w:val="18"/>
              </w:rPr>
            </w:pPr>
            <w:r>
              <w:rPr>
                <w:rFonts w:ascii="Times New Roman"/>
                <w:sz w:val="18"/>
              </w:rPr>
              <w:t>119,474,828.74</w:t>
            </w: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37、管理费用" w:id="335"/>
      <w:bookmarkEnd w:id="335"/>
      <w:r>
        <w:rPr>
          <w:b w:val="0"/>
          <w:bCs w:val="0"/>
        </w:rPr>
      </w:r>
      <w:r>
        <w:rPr>
          <w:rFonts w:ascii="Times New Roman" w:hAnsi="Times New Roman" w:cs="Times New Roman" w:eastAsia="Times New Roman" w:hint="default"/>
        </w:rPr>
        <w:t>37</w:t>
      </w:r>
      <w:r>
        <w:rPr/>
        <w:t>、管理费用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107,606,334.16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92,056,892.52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23,341,618.41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18,196,967.03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10,317,557.56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10,159,653.49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4,816,631.74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5,008,469.38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13,135,359.58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10,743,999.45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摊销费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5,604,288.46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5,287,393.03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培训费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944,685.12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442,128.40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pacing w:val="-1"/>
                <w:sz w:val="18"/>
              </w:rPr>
              <w:t>4,527,131.11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9,241,616.19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170,293,606.14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151,137,119.49</w:t>
            </w:r>
          </w:p>
        </w:tc>
      </w:tr>
    </w:tbl>
    <w:p>
      <w:pPr>
        <w:pStyle w:val="BodyText"/>
        <w:spacing w:line="240" w:lineRule="auto" w:before="51"/>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38、研发费用" w:id="336"/>
      <w:bookmarkEnd w:id="336"/>
      <w:r>
        <w:rPr>
          <w:b w:val="0"/>
          <w:bCs w:val="0"/>
        </w:rPr>
      </w:r>
      <w:r>
        <w:rPr>
          <w:rFonts w:ascii="Times New Roman" w:hAnsi="Times New Roman" w:cs="Times New Roman" w:eastAsia="Times New Roman" w:hint="default"/>
        </w:rPr>
        <w:t>38</w:t>
      </w:r>
      <w:r>
        <w:rPr/>
        <w:t>、研发费用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120,448,149.60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118,006,537.00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折旧摊销费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8,540,748.32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4,100,444.85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9,094,957.14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8,317,405.24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138,083,855.06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130,424,387.09</w:t>
            </w:r>
          </w:p>
        </w:tc>
      </w:tr>
    </w:tbl>
    <w:p>
      <w:pPr>
        <w:pStyle w:val="BodyText"/>
        <w:spacing w:line="240" w:lineRule="auto" w:before="49"/>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39、财务费用" w:id="337"/>
      <w:bookmarkEnd w:id="337"/>
      <w:r>
        <w:rPr>
          <w:b w:val="0"/>
          <w:bCs w:val="0"/>
        </w:rPr>
      </w:r>
      <w:r>
        <w:rPr>
          <w:rFonts w:ascii="Times New Roman" w:hAnsi="Times New Roman" w:cs="Times New Roman" w:eastAsia="Times New Roman" w:hint="default"/>
        </w:rPr>
        <w:t>39</w:t>
      </w:r>
      <w:r>
        <w:rPr/>
        <w:t>、财务费用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8,187,608.26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10,841,985.69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2,585,058.74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3,840,898.82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149,091.44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543,428.81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5,751,640.96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7,544,515.68</w:t>
            </w:r>
          </w:p>
        </w:tc>
      </w:tr>
    </w:tbl>
    <w:p>
      <w:pPr>
        <w:pStyle w:val="BodyText"/>
        <w:spacing w:line="240" w:lineRule="auto" w:before="50"/>
        <w:ind w:right="882"/>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40、其他收益" w:id="338"/>
      <w:bookmarkEnd w:id="338"/>
      <w:r>
        <w:rPr>
          <w:b w:val="0"/>
          <w:bCs w:val="0"/>
        </w:rPr>
      </w:r>
      <w:r>
        <w:rPr>
          <w:rFonts w:ascii="Times New Roman" w:hAnsi="Times New Roman" w:cs="Times New Roman" w:eastAsia="Times New Roman" w:hint="default"/>
        </w:rPr>
        <w:t>40</w:t>
      </w:r>
      <w:r>
        <w:rPr/>
        <w:t>、其他收益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8"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与资产相关的政府补助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55,916.36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55,916.36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与收益相关的政府补助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51,275,377.46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48,084,409.47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2"/>
                <w:sz w:val="18"/>
              </w:rPr>
              <w:t>11,319.86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14,196.50</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41、投资收益" w:id="339"/>
      <w:bookmarkEnd w:id="339"/>
      <w:r>
        <w:rPr>
          <w:b w:val="0"/>
          <w:bCs w:val="0"/>
        </w:rPr>
      </w:r>
      <w:r>
        <w:rPr>
          <w:rFonts w:ascii="Times New Roman" w:hAnsi="Times New Roman" w:cs="Times New Roman" w:eastAsia="Times New Roman" w:hint="default"/>
        </w:rPr>
        <w:t>41</w:t>
      </w:r>
      <w:r>
        <w:rPr/>
        <w:t>、投资收益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460"/>
        <w:gridCol w:w="3190"/>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1,606,197.45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6,022,054.97</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2,969.15</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0"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1,448,301.37</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金融工具持有期间的投资收益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1,485,248.27</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处置金融工具取得的投资收益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43,401,047.90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银行短期理财产品收益</w:t>
            </w:r>
          </w:p>
        </w:tc>
        <w:tc>
          <w:tcPr>
            <w:tcW w:w="3190"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1,259,059.44</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46,495,462.77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8,729,415.78</w:t>
            </w:r>
          </w:p>
        </w:tc>
      </w:tr>
    </w:tbl>
    <w:p>
      <w:pPr>
        <w:pStyle w:val="BodyText"/>
        <w:spacing w:line="240" w:lineRule="auto" w:before="50"/>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42、信用减值损失" w:id="340"/>
      <w:bookmarkEnd w:id="340"/>
      <w:r>
        <w:rPr>
          <w:b w:val="0"/>
          <w:bCs w:val="0"/>
        </w:rPr>
      </w:r>
      <w:r>
        <w:rPr>
          <w:rFonts w:ascii="Times New Roman" w:hAnsi="Times New Roman" w:cs="Times New Roman" w:eastAsia="Times New Roman" w:hint="default"/>
        </w:rPr>
        <w:t>42</w:t>
      </w:r>
      <w:r>
        <w:rPr/>
        <w:t>、信用减值损失</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其他应收款坏账损失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-419,929.99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应收账款坏账损失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-45,766,200.67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应收票据坏账损失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-22,060.00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-46,208,190.66</w:t>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43、资产减值损失" w:id="341"/>
      <w:bookmarkEnd w:id="341"/>
      <w:r>
        <w:rPr>
          <w:b w:val="0"/>
          <w:bCs w:val="0"/>
        </w:rPr>
      </w:r>
      <w:r>
        <w:rPr>
          <w:rFonts w:ascii="Times New Roman" w:hAnsi="Times New Roman" w:cs="Times New Roman" w:eastAsia="Times New Roman" w:hint="default"/>
        </w:rPr>
        <w:t>43</w:t>
      </w:r>
      <w:r>
        <w:rPr/>
        <w:t>、资产减值损失</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7" w:footer="1016" w:top="1100" w:bottom="1200" w:left="1020" w:right="0"/>
        </w:sectPr>
      </w:pPr>
    </w:p>
    <w:p>
      <w:pPr>
        <w:pStyle w:val="BodyText"/>
        <w:spacing w:line="240" w:lineRule="auto" w:before="44"/>
        <w:ind w:right="-20"/>
        <w:jc w:val="left"/>
      </w:pPr>
      <w:r>
        <w:rPr/>
        <w:t>是否已执行新收入准则</w:t>
      </w:r>
    </w:p>
    <w:p>
      <w:pPr>
        <w:pStyle w:val="BodyText"/>
        <w:spacing w:line="240" w:lineRule="auto" w:before="117"/>
        <w:ind w:right="-20"/>
        <w:jc w:val="left"/>
      </w:pPr>
      <w:r>
        <w:rPr/>
        <w:t>□ 是 √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w:t>
      </w:r>
      <w:r>
        <w:rPr>
          <w:spacing w:val="-2"/>
        </w:rPr>
        <w:t> </w:t>
      </w:r>
      <w:r>
        <w:rPr/>
        <w:t>元</w:t>
      </w:r>
    </w:p>
    <w:p>
      <w:pPr>
        <w:spacing w:after="0" w:line="240" w:lineRule="auto"/>
        <w:jc w:val="left"/>
        <w:sectPr>
          <w:type w:val="continuous"/>
          <w:pgSz w:w="11910" w:h="16840"/>
          <w:pgMar w:top="1100" w:bottom="1200" w:left="1020" w:right="0"/>
          <w:cols w:num="2" w:equalWidth="0">
            <w:col w:w="1913" w:space="6916"/>
            <w:col w:w="2061"/>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0"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82" w:right="0"/>
              <w:jc w:val="left"/>
              <w:rPr>
                <w:rFonts w:ascii="Times New Roman" w:hAnsi="Times New Roman" w:cs="Times New Roman" w:eastAsia="Times New Roman" w:hint="default"/>
                <w:sz w:val="18"/>
                <w:szCs w:val="18"/>
              </w:rPr>
            </w:pPr>
            <w:r>
              <w:rPr>
                <w:rFonts w:ascii="Times New Roman"/>
                <w:sz w:val="18"/>
              </w:rPr>
              <w:t>-30,565,051.56</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-744,086.01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-158,531.10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-5,352,736.80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-6,096,822.81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-30,723,582.66</w:t>
            </w: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44、资产处置收益" w:id="342"/>
      <w:bookmarkEnd w:id="342"/>
      <w:r>
        <w:rPr>
          <w:b w:val="0"/>
          <w:bCs w:val="0"/>
        </w:rPr>
      </w:r>
      <w:r>
        <w:rPr>
          <w:rFonts w:ascii="Times New Roman" w:hAnsi="Times New Roman" w:cs="Times New Roman" w:eastAsia="Times New Roman" w:hint="default"/>
        </w:rPr>
        <w:t>44</w:t>
      </w:r>
      <w:r>
        <w:rPr/>
        <w:t>、资产处置收益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8"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固定资产处置收益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8,209.13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1,466,690.47</w:t>
            </w:r>
          </w:p>
        </w:tc>
      </w:tr>
    </w:tbl>
    <w:p>
      <w:pPr>
        <w:spacing w:line="240" w:lineRule="auto" w:before="5"/>
        <w:rPr>
          <w:rFonts w:ascii="宋体" w:hAnsi="宋体" w:cs="宋体" w:eastAsia="宋体" w:hint="default"/>
          <w:sz w:val="19"/>
          <w:szCs w:val="19"/>
        </w:rPr>
      </w:pPr>
    </w:p>
    <w:p>
      <w:pPr>
        <w:pStyle w:val="Heading3"/>
        <w:spacing w:line="240" w:lineRule="auto" w:before="34"/>
        <w:ind w:right="882"/>
        <w:jc w:val="left"/>
        <w:rPr>
          <w:b w:val="0"/>
          <w:bCs w:val="0"/>
        </w:rPr>
      </w:pPr>
      <w:bookmarkStart w:name="45、营业外收入" w:id="343"/>
      <w:bookmarkEnd w:id="343"/>
      <w:r>
        <w:rPr>
          <w:b w:val="0"/>
          <w:bCs w:val="0"/>
        </w:rPr>
      </w:r>
      <w:r>
        <w:rPr>
          <w:rFonts w:ascii="Times New Roman" w:hAnsi="Times New Roman" w:cs="Times New Roman" w:eastAsia="Times New Roman" w:hint="default"/>
        </w:rPr>
        <w:t>45</w:t>
      </w:r>
      <w:r>
        <w:rPr/>
        <w:t>、营业外收入</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714"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100" w:right="108" w:hanging="989"/>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无法支付款项</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176,245.46</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176,245.46</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非流动资产毁损报废利得</w:t>
            </w:r>
          </w:p>
        </w:tc>
        <w:tc>
          <w:tcPr>
            <w:tcW w:w="2395"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1,399.34</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357" w:hRule="exact"/>
        </w:trPr>
        <w:tc>
          <w:tcPr>
            <w:tcW w:w="23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取得子公司投资成本小于取</w:t>
            </w:r>
          </w:p>
        </w:tc>
        <w:tc>
          <w:tcPr>
            <w:tcW w:w="2395" w:type="dxa"/>
            <w:tcBorders>
              <w:top w:val="single" w:sz="4" w:space="0" w:color="000000"/>
              <w:left w:val="single" w:sz="4" w:space="0" w:color="000000"/>
              <w:bottom w:val="nil" w:sz="6" w:space="0" w:color="auto"/>
              <w:right w:val="single" w:sz="4" w:space="0" w:color="000000"/>
            </w:tcBorders>
          </w:tcPr>
          <w:p>
            <w:pPr/>
          </w:p>
        </w:tc>
        <w:tc>
          <w:tcPr>
            <w:tcW w:w="2392" w:type="dxa"/>
            <w:vMerge w:val="restart"/>
            <w:tcBorders>
              <w:top w:val="single" w:sz="4" w:space="0" w:color="000000"/>
              <w:left w:val="single" w:sz="4" w:space="0" w:color="000000"/>
              <w:right w:val="single" w:sz="4" w:space="0" w:color="000000"/>
            </w:tcBorders>
          </w:tcPr>
          <w:p>
            <w:pPr/>
          </w:p>
        </w:tc>
        <w:tc>
          <w:tcPr>
            <w:tcW w:w="2392"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238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得的可辨认净资产公允价值</w:t>
            </w:r>
          </w:p>
        </w:tc>
        <w:tc>
          <w:tcPr>
            <w:tcW w:w="239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2,156,752.15</w:t>
            </w:r>
          </w:p>
        </w:tc>
        <w:tc>
          <w:tcPr>
            <w:tcW w:w="2392" w:type="dxa"/>
            <w:vMerge/>
            <w:tcBorders>
              <w:left w:val="single" w:sz="4" w:space="0" w:color="000000"/>
              <w:right w:val="single" w:sz="4" w:space="0" w:color="000000"/>
            </w:tcBorders>
          </w:tcPr>
          <w:p>
            <w:pPr/>
          </w:p>
        </w:tc>
        <w:tc>
          <w:tcPr>
            <w:tcW w:w="239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2,156,752.15</w:t>
            </w:r>
          </w:p>
        </w:tc>
      </w:tr>
      <w:tr>
        <w:trPr>
          <w:trHeight w:val="353" w:hRule="exact"/>
        </w:trPr>
        <w:tc>
          <w:tcPr>
            <w:tcW w:w="238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份额的金额</w:t>
            </w:r>
          </w:p>
        </w:tc>
        <w:tc>
          <w:tcPr>
            <w:tcW w:w="2395" w:type="dxa"/>
            <w:tcBorders>
              <w:top w:val="nil" w:sz="6" w:space="0" w:color="auto"/>
              <w:left w:val="single" w:sz="4" w:space="0" w:color="000000"/>
              <w:bottom w:val="single" w:sz="4" w:space="0" w:color="000000"/>
              <w:right w:val="single" w:sz="4" w:space="0" w:color="000000"/>
            </w:tcBorders>
          </w:tcPr>
          <w:p>
            <w:pPr/>
          </w:p>
        </w:tc>
        <w:tc>
          <w:tcPr>
            <w:tcW w:w="2392" w:type="dxa"/>
            <w:vMerge/>
            <w:tcBorders>
              <w:left w:val="single" w:sz="4" w:space="0" w:color="000000"/>
              <w:bottom w:val="single" w:sz="4" w:space="0" w:color="000000"/>
              <w:right w:val="single" w:sz="4" w:space="0" w:color="000000"/>
            </w:tcBorders>
          </w:tcPr>
          <w:p>
            <w:pPr/>
          </w:p>
        </w:tc>
        <w:tc>
          <w:tcPr>
            <w:tcW w:w="2392"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84,870.82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0.13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84,870.82</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2,417,868.43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1,399.47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2,417,868.43</w:t>
            </w:r>
          </w:p>
        </w:tc>
      </w:tr>
    </w:tbl>
    <w:p>
      <w:pPr>
        <w:pStyle w:val="BodyText"/>
        <w:spacing w:line="240" w:lineRule="auto" w:before="49"/>
        <w:ind w:right="882"/>
        <w:jc w:val="left"/>
      </w:pPr>
      <w:r>
        <w:rPr/>
        <w:t>计入当期损益的政府补助：</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5"/>
        <w:gridCol w:w="1063"/>
        <w:gridCol w:w="1063"/>
        <w:gridCol w:w="1063"/>
        <w:gridCol w:w="1063"/>
        <w:gridCol w:w="1063"/>
        <w:gridCol w:w="1063"/>
        <w:gridCol w:w="1063"/>
        <w:gridCol w:w="1063"/>
      </w:tblGrid>
      <w:tr>
        <w:trPr>
          <w:trHeight w:val="1026" w:hRule="exact"/>
        </w:trPr>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5"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5"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65"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65" w:right="165"/>
              <w:jc w:val="center"/>
              <w:rPr>
                <w:rFonts w:ascii="宋体" w:hAnsi="宋体" w:cs="宋体" w:eastAsia="宋体" w:hint="default"/>
                <w:sz w:val="18"/>
                <w:szCs w:val="18"/>
              </w:rPr>
            </w:pPr>
            <w:r>
              <w:rPr>
                <w:rFonts w:ascii="宋体" w:hAnsi="宋体" w:cs="宋体" w:eastAsia="宋体" w:hint="default"/>
                <w:sz w:val="18"/>
                <w:szCs w:val="18"/>
              </w:rPr>
              <w:t>补贴是否 影响当年 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45" w:right="165" w:hanging="180"/>
              <w:jc w:val="left"/>
              <w:rPr>
                <w:rFonts w:ascii="宋体" w:hAnsi="宋体" w:cs="宋体" w:eastAsia="宋体" w:hint="default"/>
                <w:sz w:val="18"/>
                <w:szCs w:val="18"/>
              </w:rPr>
            </w:pPr>
            <w:r>
              <w:rPr>
                <w:rFonts w:ascii="宋体" w:hAnsi="宋体" w:cs="宋体" w:eastAsia="宋体" w:hint="default"/>
                <w:sz w:val="18"/>
                <w:szCs w:val="18"/>
              </w:rPr>
              <w:t>是否特殊 补贴</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46" w:right="165" w:hanging="180"/>
              <w:jc w:val="left"/>
              <w:rPr>
                <w:rFonts w:ascii="宋体" w:hAnsi="宋体" w:cs="宋体" w:eastAsia="宋体" w:hint="default"/>
                <w:sz w:val="18"/>
                <w:szCs w:val="18"/>
              </w:rPr>
            </w:pPr>
            <w:r>
              <w:rPr>
                <w:rFonts w:ascii="宋体" w:hAnsi="宋体" w:cs="宋体" w:eastAsia="宋体" w:hint="default"/>
                <w:sz w:val="18"/>
                <w:szCs w:val="18"/>
              </w:rPr>
              <w:t>本期发生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46" w:right="165" w:hanging="180"/>
              <w:jc w:val="left"/>
              <w:rPr>
                <w:rFonts w:ascii="宋体" w:hAnsi="宋体" w:cs="宋体" w:eastAsia="宋体" w:hint="default"/>
                <w:sz w:val="18"/>
                <w:szCs w:val="18"/>
              </w:rPr>
            </w:pPr>
            <w:r>
              <w:rPr>
                <w:rFonts w:ascii="宋体" w:hAnsi="宋体" w:cs="宋体" w:eastAsia="宋体" w:hint="default"/>
                <w:sz w:val="18"/>
                <w:szCs w:val="18"/>
              </w:rPr>
              <w:t>上期发生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40" w:right="141" w:firstLine="2"/>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bl>
    <w:p>
      <w:pPr>
        <w:pStyle w:val="BodyText"/>
        <w:spacing w:line="240" w:lineRule="auto" w:before="50"/>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46、营业外支出" w:id="344"/>
      <w:bookmarkEnd w:id="344"/>
      <w:r>
        <w:rPr>
          <w:b w:val="0"/>
          <w:bCs w:val="0"/>
        </w:rPr>
      </w:r>
      <w:r>
        <w:rPr>
          <w:rFonts w:ascii="Times New Roman" w:hAnsi="Times New Roman" w:cs="Times New Roman" w:eastAsia="Times New Roman" w:hint="default"/>
        </w:rPr>
        <w:t>46</w:t>
      </w:r>
      <w:r>
        <w:rPr/>
        <w:t>、营业外支出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714"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100" w:right="108" w:hanging="989"/>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366,882.00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366,882.00</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79,579.64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361,355.17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79,579.64</w:t>
            </w:r>
          </w:p>
        </w:tc>
      </w:tr>
      <w:tr>
        <w:trPr>
          <w:trHeight w:val="400"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158,540.91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209,468.57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158,540.91</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71" w:right="0"/>
              <w:jc w:val="left"/>
              <w:rPr>
                <w:rFonts w:ascii="Times New Roman" w:hAnsi="Times New Roman" w:cs="Times New Roman" w:eastAsia="Times New Roman" w:hint="default"/>
                <w:sz w:val="18"/>
                <w:szCs w:val="18"/>
              </w:rPr>
            </w:pPr>
            <w:r>
              <w:rPr>
                <w:rFonts w:ascii="Times New Roman"/>
                <w:sz w:val="18"/>
              </w:rPr>
              <w:t>605,002.55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69" w:right="0"/>
              <w:jc w:val="left"/>
              <w:rPr>
                <w:rFonts w:ascii="Times New Roman" w:hAnsi="Times New Roman" w:cs="Times New Roman" w:eastAsia="Times New Roman" w:hint="default"/>
                <w:sz w:val="18"/>
                <w:szCs w:val="18"/>
              </w:rPr>
            </w:pPr>
            <w:r>
              <w:rPr>
                <w:rFonts w:ascii="Times New Roman"/>
                <w:sz w:val="18"/>
              </w:rPr>
              <w:t>880,823.74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70" w:right="0"/>
              <w:jc w:val="left"/>
              <w:rPr>
                <w:rFonts w:ascii="Times New Roman" w:hAnsi="Times New Roman" w:cs="Times New Roman" w:eastAsia="Times New Roman" w:hint="default"/>
                <w:sz w:val="18"/>
                <w:szCs w:val="18"/>
              </w:rPr>
            </w:pPr>
            <w:r>
              <w:rPr>
                <w:rFonts w:ascii="Times New Roman"/>
                <w:sz w:val="18"/>
              </w:rPr>
              <w:t>605,002.55</w:t>
            </w: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47、所得税费用" w:id="345"/>
      <w:bookmarkEnd w:id="345"/>
      <w:r>
        <w:rPr>
          <w:b w:val="0"/>
          <w:bCs w:val="0"/>
        </w:rPr>
      </w:r>
      <w:r>
        <w:rPr>
          <w:rFonts w:ascii="Times New Roman" w:hAnsi="Times New Roman" w:cs="Times New Roman" w:eastAsia="Times New Roman" w:hint="default"/>
        </w:rPr>
        <w:t>47</w:t>
      </w:r>
      <w:r>
        <w:rPr/>
        <w:t>、所得税费用</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所得税费用表" w:id="346"/>
      <w:bookmarkEnd w:id="346"/>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44,537,051.12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28,671,842.12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-4,762,508.48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-2,770,342.96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39,774,542.64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25,901,499.16</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会计利润与所得税费用调整过程" w:id="347"/>
      <w:bookmarkEnd w:id="347"/>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79"/>
        <w:gridCol w:w="4789"/>
      </w:tblGrid>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358,486,523.97</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35,848,652.40</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6,455,727.98</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-1,308.10</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210,821.03</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-7,176,164.96</w:t>
            </w:r>
          </w:p>
        </w:tc>
      </w:tr>
      <w:tr>
        <w:trPr>
          <w:trHeight w:val="714"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6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 亏损的影响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4,436,814.29</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39,774,542.64</w:t>
            </w:r>
          </w:p>
        </w:tc>
      </w:tr>
    </w:tbl>
    <w:p>
      <w:pPr>
        <w:pStyle w:val="BodyText"/>
        <w:spacing w:line="240" w:lineRule="auto" w:before="5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48、现金流量表项目" w:id="348"/>
      <w:bookmarkEnd w:id="348"/>
      <w:r>
        <w:rPr>
          <w:b w:val="0"/>
          <w:bCs w:val="0"/>
        </w:rPr>
      </w:r>
      <w:r>
        <w:rPr>
          <w:rFonts w:ascii="Times New Roman" w:hAnsi="Times New Roman" w:cs="Times New Roman" w:eastAsia="Times New Roman" w:hint="default"/>
        </w:rPr>
        <w:t>48</w:t>
      </w:r>
      <w:r>
        <w:rPr/>
        <w:t>、现金流量表项目</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收到的其他与经营活动有关的现金" w:id="349"/>
      <w:bookmarkEnd w:id="349"/>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12,060,364.11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2,421,600.16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2,121,947.73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12,068,746.50</w:t>
            </w:r>
          </w:p>
        </w:tc>
      </w:tr>
      <w:tr>
        <w:trPr>
          <w:trHeight w:val="71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93"/>
              <w:jc w:val="left"/>
              <w:rPr>
                <w:rFonts w:ascii="宋体" w:hAnsi="宋体" w:cs="宋体" w:eastAsia="宋体" w:hint="default"/>
                <w:sz w:val="18"/>
                <w:szCs w:val="18"/>
              </w:rPr>
            </w:pPr>
            <w:r>
              <w:rPr>
                <w:rFonts w:ascii="宋体" w:hAnsi="宋体" w:cs="宋体" w:eastAsia="宋体" w:hint="default"/>
                <w:sz w:val="18"/>
                <w:szCs w:val="18"/>
              </w:rPr>
              <w:t>收回不符合现金及现金等价物定义的 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2,693,421.66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793,479.10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2,585,058.74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538,887.20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租金收入</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3,214,972.71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6,031,098.64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3,989,614.09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1,444,442.73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26,665,379.04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23,298,254.33</w:t>
            </w:r>
          </w:p>
        </w:tc>
      </w:tr>
    </w:tbl>
    <w:p>
      <w:pPr>
        <w:pStyle w:val="BodyText"/>
        <w:spacing w:line="240" w:lineRule="auto" w:before="50"/>
        <w:ind w:right="882"/>
        <w:jc w:val="left"/>
      </w:pPr>
      <w:r>
        <w:rPr/>
        <w:t>收到的其他与经营活动有关的现金说明：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支付的其他与经营活动有关的现金" w:id="350"/>
      <w:bookmarkEnd w:id="350"/>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93"/>
              <w:jc w:val="left"/>
              <w:rPr>
                <w:rFonts w:ascii="宋体" w:hAnsi="宋体" w:cs="宋体" w:eastAsia="宋体" w:hint="default"/>
                <w:sz w:val="18"/>
                <w:szCs w:val="18"/>
              </w:rPr>
            </w:pPr>
            <w:r>
              <w:rPr>
                <w:rFonts w:ascii="宋体" w:hAnsi="宋体" w:cs="宋体" w:eastAsia="宋体" w:hint="default"/>
                <w:sz w:val="18"/>
                <w:szCs w:val="18"/>
              </w:rPr>
              <w:t>支付不符合现金及现金等价物定义的 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1,755,354.99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2,693,421.66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付现经营费用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145,152,257.97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125,002,303.98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5,708,681.34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9,468,699.60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2,264,090.21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2,018,032.69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154,880,384.51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139,182,457.93</w:t>
            </w:r>
          </w:p>
        </w:tc>
      </w:tr>
    </w:tbl>
    <w:p>
      <w:pPr>
        <w:pStyle w:val="BodyText"/>
        <w:spacing w:line="240" w:lineRule="auto" w:before="50"/>
        <w:ind w:right="882"/>
        <w:jc w:val="left"/>
      </w:pPr>
      <w:r>
        <w:rPr/>
        <w:t>支付的其他与经营活动有关的现金说明：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3）收到的其他与投资活动有关的现金" w:id="351"/>
      <w:bookmarkEnd w:id="351"/>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赎回银行短期理财产品</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760,000,000.00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21,700,000.00</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93"/>
              <w:jc w:val="left"/>
              <w:rPr>
                <w:rFonts w:ascii="宋体" w:hAnsi="宋体" w:cs="宋体" w:eastAsia="宋体" w:hint="default"/>
                <w:sz w:val="18"/>
                <w:szCs w:val="18"/>
              </w:rPr>
            </w:pPr>
            <w:r>
              <w:rPr>
                <w:rFonts w:ascii="宋体" w:hAnsi="宋体" w:cs="宋体" w:eastAsia="宋体" w:hint="default"/>
                <w:sz w:val="18"/>
                <w:szCs w:val="18"/>
              </w:rPr>
              <w:t>取得浙江百利医药有限公司时收到的 现金净额</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1,881,577.91</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3,302,011.62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761,881,577.91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25,002,011.62</w:t>
            </w:r>
          </w:p>
        </w:tc>
      </w:tr>
    </w:tbl>
    <w:p>
      <w:pPr>
        <w:pStyle w:val="BodyText"/>
        <w:spacing w:line="240" w:lineRule="auto" w:before="50"/>
        <w:ind w:right="882"/>
        <w:jc w:val="left"/>
      </w:pPr>
      <w:r>
        <w:rPr/>
        <w:t>收到的其他与投资活动有关的现金说明：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4）支付的其他与投资活动有关的现金" w:id="352"/>
      <w:bookmarkEnd w:id="352"/>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购买银行理财产品</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760,000,000.00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760,000,000.00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882"/>
        <w:jc w:val="left"/>
      </w:pPr>
      <w:r>
        <w:rPr/>
        <w:t>支付的其他与投资活动有关的现金说明：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5）收到的其他与筹资活动有关的现金" w:id="353"/>
      <w:bookmarkEnd w:id="353"/>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1" w:right="14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年度第一期员工持股计划缴入资 金</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95,532,402.24</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01" w:right="147"/>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年员工限制性股票激励计划缴入 资金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89,900,000.00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股票期权行权</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6,141,383.32</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收到拆借款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97,041,383.32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95,532,402.24</w:t>
            </w:r>
          </w:p>
        </w:tc>
      </w:tr>
    </w:tbl>
    <w:p>
      <w:pPr>
        <w:pStyle w:val="BodyText"/>
        <w:spacing w:line="240" w:lineRule="auto" w:before="52"/>
        <w:ind w:right="882"/>
        <w:jc w:val="left"/>
      </w:pPr>
      <w:r>
        <w:rPr/>
        <w:t>收到的其他与筹资活动有关的现金说明：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6）支付的其他与筹资活动有关的现金" w:id="354"/>
      <w:bookmarkEnd w:id="354"/>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限制性股票回购</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203,673.75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1,246,070.93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偿还拆借款及利息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750,000.00</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93"/>
              <w:jc w:val="left"/>
              <w:rPr>
                <w:rFonts w:ascii="宋体" w:hAnsi="宋体" w:cs="宋体" w:eastAsia="宋体" w:hint="default"/>
                <w:sz w:val="18"/>
                <w:szCs w:val="18"/>
              </w:rPr>
            </w:pPr>
            <w:r>
              <w:rPr>
                <w:rFonts w:ascii="宋体" w:hAnsi="宋体" w:cs="宋体" w:eastAsia="宋体" w:hint="default"/>
                <w:sz w:val="18"/>
                <w:szCs w:val="18"/>
              </w:rPr>
              <w:t>收购杭州美诺泰科科技有限公司少数 股权价款</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54,600,000.00</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93"/>
              <w:jc w:val="left"/>
              <w:rPr>
                <w:rFonts w:ascii="宋体" w:hAnsi="宋体" w:cs="宋体" w:eastAsia="宋体" w:hint="default"/>
                <w:sz w:val="18"/>
                <w:szCs w:val="18"/>
              </w:rPr>
            </w:pPr>
            <w:r>
              <w:rPr>
                <w:rFonts w:ascii="宋体" w:hAnsi="宋体" w:cs="宋体" w:eastAsia="宋体" w:hint="default"/>
                <w:sz w:val="18"/>
                <w:szCs w:val="18"/>
              </w:rPr>
              <w:t>收购广东中拓信息技术有限公司和中 山市蓝天电脑有限公司少数股权价款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30,263,673.75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56,596,070.93</w:t>
            </w:r>
          </w:p>
        </w:tc>
      </w:tr>
    </w:tbl>
    <w:p>
      <w:pPr>
        <w:pStyle w:val="BodyText"/>
        <w:spacing w:line="240" w:lineRule="auto" w:before="49"/>
        <w:ind w:right="882"/>
        <w:jc w:val="left"/>
      </w:pPr>
      <w:r>
        <w:rPr/>
        <w:t>支付的其他与筹资活动有关的现金说明：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49、现金流量表补充资料" w:id="355"/>
      <w:bookmarkEnd w:id="355"/>
      <w:r>
        <w:rPr>
          <w:b w:val="0"/>
          <w:bCs w:val="0"/>
        </w:rPr>
      </w:r>
      <w:r>
        <w:rPr>
          <w:rFonts w:ascii="Times New Roman" w:hAnsi="Times New Roman" w:cs="Times New Roman" w:eastAsia="Times New Roman" w:hint="default"/>
        </w:rPr>
        <w:t>49</w:t>
      </w:r>
      <w:r>
        <w:rPr/>
        <w:t>、现金流量表补充资料</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现金流量表补充资料" w:id="356"/>
      <w:bookmarkEnd w:id="356"/>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318,711,981.33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220,088,550.15</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52,305,013.47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30,723,582.66</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 生物资产折旧</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19,310,559.19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18,046,012.09</w:t>
            </w:r>
          </w:p>
        </w:tc>
      </w:tr>
      <w:tr>
        <w:trPr>
          <w:trHeight w:val="400"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11,629,869.90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6,362,691.08</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5,003,794.34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1,253,244.54</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 产的损失（收益以“－”号填列）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-8,209.13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-1,466,690.47</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jc w:val="left"/>
              <w:rPr>
                <w:rFonts w:ascii="宋体" w:hAnsi="宋体" w:cs="宋体" w:eastAsia="宋体" w:hint="default"/>
                <w:sz w:val="18"/>
                <w:szCs w:val="18"/>
              </w:rPr>
            </w:pPr>
            <w:r>
              <w:rPr>
                <w:rFonts w:ascii="宋体" w:hAnsi="宋体" w:cs="宋体" w:eastAsia="宋体" w:hint="default"/>
                <w:sz w:val="18"/>
                <w:szCs w:val="18"/>
              </w:rPr>
              <w:t>固定资产报废损失（收益以“－”号填 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79,579.64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359,955.83</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8,187,608.26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7,539,974.07</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-46,521,038.10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-8,729,415.78</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jc w:val="left"/>
              <w:rPr>
                <w:rFonts w:ascii="宋体" w:hAnsi="宋体" w:cs="宋体" w:eastAsia="宋体" w:hint="default"/>
                <w:sz w:val="18"/>
                <w:szCs w:val="18"/>
              </w:rPr>
            </w:pPr>
            <w:r>
              <w:rPr>
                <w:rFonts w:ascii="宋体" w:hAnsi="宋体" w:cs="宋体" w:eastAsia="宋体" w:hint="default"/>
                <w:sz w:val="18"/>
                <w:szCs w:val="18"/>
              </w:rPr>
              <w:t>递延所得税资产减少（增加以“－”号 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-4,762,508.48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-2,770,342.96</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-52,439,260.19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2,182,214.02</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jc w:val="left"/>
              <w:rPr>
                <w:rFonts w:ascii="宋体" w:hAnsi="宋体" w:cs="宋体" w:eastAsia="宋体" w:hint="default"/>
                <w:sz w:val="18"/>
                <w:szCs w:val="18"/>
              </w:rPr>
            </w:pPr>
            <w:r>
              <w:rPr>
                <w:rFonts w:ascii="宋体" w:hAnsi="宋体" w:cs="宋体" w:eastAsia="宋体" w:hint="default"/>
                <w:sz w:val="18"/>
                <w:szCs w:val="18"/>
              </w:rPr>
              <w:t>经营性应收项目的减少（增加以“－” 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-336,496,160.00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-173,270,283.72</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jc w:val="left"/>
              <w:rPr>
                <w:rFonts w:ascii="宋体" w:hAnsi="宋体" w:cs="宋体" w:eastAsia="宋体" w:hint="default"/>
                <w:sz w:val="18"/>
                <w:szCs w:val="18"/>
              </w:rPr>
            </w:pPr>
            <w:r>
              <w:rPr>
                <w:rFonts w:ascii="宋体" w:hAnsi="宋体" w:cs="宋体" w:eastAsia="宋体" w:hint="default"/>
                <w:sz w:val="18"/>
                <w:szCs w:val="18"/>
              </w:rPr>
              <w:t>经营性应付项目的增加（减少以“－” 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98,810,439.41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61,027,326.57</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6,347,019.73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8,350,800.00</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80,158,689.37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169,697,618.08</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0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．不涉及现金收支的重大投资和筹资活</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动：</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64"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27"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464"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527"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532,125,419.79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465,674,243.29</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465,674,243.29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360,288,285.78</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66,451,176.50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105,385,957.51</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本期支付的取得子公司的现金净额" w:id="357"/>
      <w:bookmarkEnd w:id="357"/>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8"/>
        <w:gridCol w:w="4580"/>
      </w:tblGrid>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本期发生的企业合并于本期支付的现金或现金等价物</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1,040,000.00</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浙江百利医药有限公司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1,040,000.00</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减：购买日子公司持有的现金及现金等价物</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2,921,577.91</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浙江百利医药有限公司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2,921,577.91</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-1,881,577.91</w:t>
            </w:r>
          </w:p>
        </w:tc>
      </w:tr>
    </w:tbl>
    <w:p>
      <w:pPr>
        <w:pStyle w:val="BodyText"/>
        <w:spacing w:line="240" w:lineRule="auto" w:before="50"/>
        <w:ind w:right="882"/>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3）本期收到的处置子公司的现金净额" w:id="358"/>
      <w:bookmarkEnd w:id="358"/>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9"/>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983;height:397" coordorigin="13,13" coordsize="4983,397">
              <v:shape style="position:absolute;left:13;top:13;width:4983;height:397" coordorigin="13,13" coordsize="4983,397" path="m13,13l4996,13,4996,410,13,410,13,13xe" filled="true" fillcolor="#d2d2d2" stroked="false">
                <v:path arrowok="t"/>
                <v:fill type="solid"/>
              </v:shape>
            </v:group>
            <v:group style="position:absolute;left:5001;top:13;width:4575;height:397" coordorigin="5001,13" coordsize="4575,397">
              <v:shape style="position:absolute;left:5001;top:13;width:4575;height:397" coordorigin="5001,13" coordsize="4575,397" path="m5001,13l9576,13,9576,410,5001,410,5001,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998;top:5;width:2;height:402" coordorigin="4998,5" coordsize="2,402">
              <v:shape style="position:absolute;left:4998;top:5;width:2;height:402" coordorigin="4998,5" coordsize="0,402" path="m4998,5l4998,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7108;top:1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4）现金和现金等价物的构成" w:id="359"/>
      <w:bookmarkEnd w:id="359"/>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532,125,419.79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465,674,243.29</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266,535.88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90,489.28</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531,858,883.91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465,583,754.01</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532,125,419.79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465,674,243.29</w:t>
            </w:r>
          </w:p>
        </w:tc>
      </w:tr>
    </w:tbl>
    <w:p>
      <w:pPr>
        <w:pStyle w:val="BodyText"/>
        <w:spacing w:line="240" w:lineRule="auto" w:before="49"/>
        <w:ind w:right="882"/>
        <w:jc w:val="left"/>
      </w:pPr>
      <w:r>
        <w:rPr/>
        <w:t>其他说明：</w:t>
      </w:r>
    </w:p>
    <w:p>
      <w:pPr>
        <w:pStyle w:val="BodyText"/>
        <w:spacing w:line="300" w:lineRule="auto" w:before="117"/>
        <w:ind w:right="1129" w:firstLine="420"/>
        <w:jc w:val="both"/>
      </w:pPr>
      <w:r>
        <w:rPr>
          <w:spacing w:val="-7"/>
        </w:rPr>
        <w:t>合并现金流量表“期末现金及现金等价物余额”为</w:t>
      </w:r>
      <w:r>
        <w:rPr>
          <w:rFonts w:ascii="Times New Roman" w:hAnsi="Times New Roman" w:cs="Times New Roman" w:eastAsia="Times New Roman" w:hint="default"/>
          <w:spacing w:val="-7"/>
        </w:rPr>
        <w:t>532,125,419.79</w:t>
      </w:r>
      <w:r>
        <w:rPr>
          <w:spacing w:val="-7"/>
        </w:rPr>
        <w:t>元，合并资产负债表“货币资金”期末数为</w:t>
      </w:r>
      <w:r>
        <w:rPr>
          <w:rFonts w:ascii="Times New Roman" w:hAnsi="Times New Roman" w:cs="Times New Roman" w:eastAsia="Times New Roman" w:hint="default"/>
          <w:spacing w:val="-7"/>
        </w:rPr>
        <w:t>533,880,774.78</w:t>
      </w:r>
      <w:r>
        <w:rPr>
          <w:rFonts w:ascii="Times New Roman" w:hAnsi="Times New Roman" w:cs="Times New Roman" w:eastAsia="Times New Roman" w:hint="default"/>
        </w:rPr>
        <w:t> </w:t>
      </w:r>
      <w:r>
        <w:rPr/>
        <w:t>元，差异</w:t>
      </w:r>
      <w:r>
        <w:rPr>
          <w:rFonts w:ascii="Times New Roman" w:hAnsi="Times New Roman" w:cs="Times New Roman" w:eastAsia="Times New Roman" w:hint="default"/>
        </w:rPr>
        <w:t>1,755,354.99</w:t>
      </w:r>
      <w:r>
        <w:rPr/>
        <w:t>元，系合并现金流量表“期末现金及现金等价物余额”扣除了不符合现金及现金等价物标准的其他货</w:t>
      </w:r>
      <w:r>
        <w:rPr>
          <w:spacing w:val="-51"/>
        </w:rPr>
        <w:t> </w:t>
      </w:r>
      <w:r>
        <w:rPr>
          <w:spacing w:val="-51"/>
        </w:rPr>
      </w:r>
      <w:r>
        <w:rPr/>
        <w:t>币资金</w:t>
      </w:r>
      <w:r>
        <w:rPr>
          <w:rFonts w:ascii="Times New Roman" w:hAnsi="Times New Roman" w:cs="Times New Roman" w:eastAsia="Times New Roman" w:hint="default"/>
        </w:rPr>
        <w:t>1,755,354.99</w:t>
      </w:r>
      <w:r>
        <w:rPr/>
        <w:t>元。</w:t>
      </w:r>
    </w:p>
    <w:p>
      <w:pPr>
        <w:pStyle w:val="BodyText"/>
        <w:spacing w:line="300" w:lineRule="auto" w:before="13"/>
        <w:ind w:right="1129" w:firstLine="360"/>
        <w:jc w:val="both"/>
      </w:pPr>
      <w:r>
        <w:rPr>
          <w:spacing w:val="-6"/>
        </w:rPr>
        <w:t>合并现金流量表“期初现金及现金等价物余额”为</w:t>
      </w:r>
      <w:r>
        <w:rPr>
          <w:rFonts w:ascii="Times New Roman" w:hAnsi="Times New Roman" w:cs="Times New Roman" w:eastAsia="Times New Roman" w:hint="default"/>
          <w:spacing w:val="-6"/>
        </w:rPr>
        <w:t>465,674,243.29</w:t>
      </w:r>
      <w:r>
        <w:rPr>
          <w:spacing w:val="-6"/>
        </w:rPr>
        <w:t>元，合并资产负债表“货币资金”期初数为</w:t>
      </w:r>
      <w:r>
        <w:rPr>
          <w:rFonts w:ascii="Times New Roman" w:hAnsi="Times New Roman" w:cs="Times New Roman" w:eastAsia="Times New Roman" w:hint="default"/>
          <w:spacing w:val="-6"/>
        </w:rPr>
        <w:t>468,367,664.95</w:t>
      </w:r>
      <w:r>
        <w:rPr>
          <w:rFonts w:ascii="Times New Roman" w:hAnsi="Times New Roman" w:cs="Times New Roman" w:eastAsia="Times New Roman" w:hint="default"/>
        </w:rPr>
        <w:t> </w:t>
      </w:r>
      <w:r>
        <w:rPr/>
        <w:t>元，差异</w:t>
      </w:r>
      <w:r>
        <w:rPr>
          <w:rFonts w:ascii="Times New Roman" w:hAnsi="Times New Roman" w:cs="Times New Roman" w:eastAsia="Times New Roman" w:hint="default"/>
        </w:rPr>
        <w:t>2,693,421.66</w:t>
      </w:r>
      <w:r>
        <w:rPr/>
        <w:t>元，系合并现金流量表“期初现金及现金等价物余额”扣除了不符合现金及现金等价物标准的其他货</w:t>
      </w:r>
      <w:r>
        <w:rPr>
          <w:spacing w:val="-51"/>
        </w:rPr>
        <w:t> </w:t>
      </w:r>
      <w:r>
        <w:rPr>
          <w:spacing w:val="-51"/>
        </w:rPr>
      </w:r>
      <w:r>
        <w:rPr/>
        <w:t>币资金</w:t>
      </w:r>
      <w:r>
        <w:rPr>
          <w:rFonts w:ascii="Times New Roman" w:hAnsi="Times New Roman" w:cs="Times New Roman" w:eastAsia="Times New Roman" w:hint="default"/>
        </w:rPr>
        <w:t>2,693,421.66</w:t>
      </w:r>
      <w:r>
        <w:rPr/>
        <w:t>元。</w:t>
      </w:r>
    </w:p>
    <w:p>
      <w:pPr>
        <w:spacing w:line="240" w:lineRule="auto" w:before="2"/>
        <w:rPr>
          <w:rFonts w:ascii="宋体" w:hAnsi="宋体" w:cs="宋体" w:eastAsia="宋体" w:hint="default"/>
          <w:sz w:val="22"/>
          <w:szCs w:val="22"/>
        </w:rPr>
      </w:pPr>
    </w:p>
    <w:p>
      <w:pPr>
        <w:pStyle w:val="Heading3"/>
        <w:spacing w:line="240" w:lineRule="auto"/>
        <w:ind w:right="882"/>
        <w:jc w:val="left"/>
        <w:rPr>
          <w:b w:val="0"/>
          <w:bCs w:val="0"/>
        </w:rPr>
      </w:pPr>
      <w:bookmarkStart w:name="50、所有权或使用权受到限制的资产" w:id="360"/>
      <w:bookmarkEnd w:id="360"/>
      <w:r>
        <w:rPr>
          <w:b w:val="0"/>
          <w:bCs w:val="0"/>
        </w:rPr>
      </w:r>
      <w:r>
        <w:rPr>
          <w:rFonts w:ascii="Times New Roman" w:hAnsi="Times New Roman" w:cs="Times New Roman" w:eastAsia="Times New Roman" w:hint="default"/>
        </w:rPr>
        <w:t>50</w:t>
      </w:r>
      <w:r>
        <w:rPr/>
        <w:t>、所有权或使用权受到限制的资产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82"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358" w:hRule="exact"/>
        </w:trPr>
        <w:tc>
          <w:tcPr>
            <w:tcW w:w="3327" w:type="dxa"/>
            <w:tcBorders>
              <w:top w:val="single" w:sz="4" w:space="0" w:color="000000"/>
              <w:left w:val="single" w:sz="4" w:space="0" w:color="000000"/>
              <w:bottom w:val="nil" w:sz="6" w:space="0" w:color="auto"/>
              <w:right w:val="single" w:sz="4" w:space="0" w:color="000000"/>
            </w:tcBorders>
            <w:shd w:val="clear" w:color="auto" w:fill="D2D2D2"/>
          </w:tcPr>
          <w:p>
            <w:pPr/>
          </w:p>
        </w:tc>
        <w:tc>
          <w:tcPr>
            <w:tcW w:w="3057" w:type="dxa"/>
            <w:tcBorders>
              <w:top w:val="single" w:sz="4" w:space="0" w:color="000000"/>
              <w:left w:val="single" w:sz="4" w:space="0" w:color="000000"/>
              <w:bottom w:val="nil" w:sz="6" w:space="0" w:color="auto"/>
              <w:right w:val="single" w:sz="4" w:space="0" w:color="000000"/>
            </w:tcBorders>
          </w:tcPr>
          <w:p>
            <w:pPr/>
          </w:p>
        </w:tc>
        <w:tc>
          <w:tcPr>
            <w:tcW w:w="31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均系其他货币资金，包括银行承兑汇</w:t>
            </w:r>
          </w:p>
        </w:tc>
      </w:tr>
      <w:tr>
        <w:trPr>
          <w:trHeight w:val="316" w:hRule="exact"/>
        </w:trPr>
        <w:tc>
          <w:tcPr>
            <w:tcW w:w="33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1,755,354.99</w:t>
            </w:r>
          </w:p>
        </w:tc>
        <w:tc>
          <w:tcPr>
            <w:tcW w:w="31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票保证金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1,496,764.99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元和保函保证</w:t>
            </w:r>
          </w:p>
        </w:tc>
      </w:tr>
      <w:tr>
        <w:trPr>
          <w:trHeight w:val="353" w:hRule="exact"/>
        </w:trPr>
        <w:tc>
          <w:tcPr>
            <w:tcW w:w="3327" w:type="dxa"/>
            <w:tcBorders>
              <w:top w:val="nil" w:sz="6" w:space="0" w:color="auto"/>
              <w:left w:val="single" w:sz="4" w:space="0" w:color="000000"/>
              <w:bottom w:val="single" w:sz="4" w:space="0" w:color="000000"/>
              <w:right w:val="single" w:sz="4" w:space="0" w:color="000000"/>
            </w:tcBorders>
            <w:shd w:val="clear" w:color="auto" w:fill="D2D2D2"/>
          </w:tcPr>
          <w:p>
            <w:pPr/>
          </w:p>
        </w:tc>
        <w:tc>
          <w:tcPr>
            <w:tcW w:w="3057" w:type="dxa"/>
            <w:tcBorders>
              <w:top w:val="nil" w:sz="6" w:space="0" w:color="auto"/>
              <w:left w:val="single" w:sz="4" w:space="0" w:color="000000"/>
              <w:bottom w:val="single" w:sz="4" w:space="0" w:color="000000"/>
              <w:right w:val="single" w:sz="4" w:space="0" w:color="000000"/>
            </w:tcBorders>
          </w:tcPr>
          <w:p>
            <w:pPr/>
          </w:p>
        </w:tc>
        <w:tc>
          <w:tcPr>
            <w:tcW w:w="318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2" w:right="0"/>
              <w:jc w:val="left"/>
              <w:rPr>
                <w:rFonts w:ascii="宋体" w:hAnsi="宋体" w:cs="宋体" w:eastAsia="宋体" w:hint="default"/>
                <w:sz w:val="18"/>
                <w:szCs w:val="18"/>
              </w:rPr>
            </w:pPr>
            <w:r>
              <w:rPr>
                <w:rFonts w:ascii="宋体" w:hAnsi="宋体" w:cs="宋体" w:eastAsia="宋体" w:hint="default"/>
                <w:sz w:val="18"/>
                <w:szCs w:val="18"/>
              </w:rPr>
              <w:t>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258,590.00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1,755,354.99</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51、政府补助" w:id="361"/>
      <w:bookmarkEnd w:id="361"/>
      <w:r>
        <w:rPr>
          <w:b w:val="0"/>
          <w:bCs w:val="0"/>
        </w:rPr>
      </w:r>
      <w:r>
        <w:rPr>
          <w:rFonts w:ascii="Times New Roman" w:hAnsi="Times New Roman" w:cs="Times New Roman" w:eastAsia="Times New Roman" w:hint="default"/>
        </w:rPr>
        <w:t>51</w:t>
      </w:r>
      <w:r>
        <w:rPr/>
        <w:t>、政府补助</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政府补助基本情况" w:id="362"/>
      <w:bookmarkEnd w:id="362"/>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0"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71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18"/>
              <w:jc w:val="left"/>
              <w:rPr>
                <w:rFonts w:ascii="宋体" w:hAnsi="宋体" w:cs="宋体" w:eastAsia="宋体" w:hint="default"/>
                <w:sz w:val="18"/>
                <w:szCs w:val="18"/>
              </w:rPr>
            </w:pPr>
            <w:r>
              <w:rPr>
                <w:rFonts w:ascii="宋体" w:hAnsi="宋体" w:cs="宋体" w:eastAsia="宋体" w:hint="default"/>
                <w:sz w:val="18"/>
                <w:szCs w:val="18"/>
              </w:rPr>
              <w:t>创业智慧医疗软件生产基地 建设工程开工奖励</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559" w:right="0"/>
              <w:jc w:val="left"/>
              <w:rPr>
                <w:rFonts w:ascii="Times New Roman" w:hAnsi="Times New Roman" w:cs="Times New Roman" w:eastAsia="Times New Roman" w:hint="default"/>
                <w:sz w:val="18"/>
                <w:szCs w:val="18"/>
              </w:rPr>
            </w:pPr>
            <w:r>
              <w:rPr>
                <w:rFonts w:ascii="Times New Roman"/>
                <w:sz w:val="18"/>
              </w:rPr>
              <w:t>28,800.00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558" w:right="0"/>
              <w:jc w:val="left"/>
              <w:rPr>
                <w:rFonts w:ascii="Times New Roman" w:hAnsi="Times New Roman" w:cs="Times New Roman" w:eastAsia="Times New Roman" w:hint="default"/>
                <w:sz w:val="18"/>
                <w:szCs w:val="18"/>
              </w:rPr>
            </w:pPr>
            <w:r>
              <w:rPr>
                <w:rFonts w:ascii="Times New Roman"/>
                <w:sz w:val="18"/>
              </w:rPr>
              <w:t>28,800.00</w:t>
            </w:r>
          </w:p>
        </w:tc>
      </w:tr>
    </w:tbl>
    <w:p>
      <w:pPr>
        <w:spacing w:after="0" w:line="240" w:lineRule="auto"/>
        <w:jc w:val="left"/>
        <w:rPr>
          <w:rFonts w:ascii="Times New Roman" w:hAnsi="Times New Roman" w:cs="Times New Roman" w:eastAsia="Times New Roman" w:hint="default"/>
          <w:sz w:val="18"/>
          <w:szCs w:val="18"/>
        </w:rPr>
        <w:sectPr>
          <w:footerReference w:type="default" r:id="rId49"/>
          <w:pgSz w:w="11910" w:h="16840"/>
          <w:pgMar w:footer="1016" w:header="907" w:top="1100" w:bottom="1200" w:left="1020" w:right="0"/>
          <w:pgNumType w:start="18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18"/>
              <w:jc w:val="left"/>
              <w:rPr>
                <w:rFonts w:ascii="宋体" w:hAnsi="宋体" w:cs="宋体" w:eastAsia="宋体" w:hint="default"/>
                <w:sz w:val="18"/>
                <w:szCs w:val="18"/>
              </w:rPr>
            </w:pPr>
            <w:r>
              <w:rPr>
                <w:rFonts w:ascii="宋体" w:hAnsi="宋体" w:cs="宋体" w:eastAsia="宋体" w:hint="default"/>
                <w:sz w:val="18"/>
                <w:szCs w:val="18"/>
              </w:rPr>
              <w:t>创业智慧医疗软件生产基地 建设工程竣工奖励</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27,116.36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27,116.36</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18"/>
              <w:jc w:val="left"/>
              <w:rPr>
                <w:rFonts w:ascii="宋体" w:hAnsi="宋体" w:cs="宋体" w:eastAsia="宋体" w:hint="default"/>
                <w:sz w:val="18"/>
                <w:szCs w:val="18"/>
              </w:rPr>
            </w:pPr>
            <w:r>
              <w:rPr>
                <w:rFonts w:ascii="宋体" w:hAnsi="宋体" w:cs="宋体" w:eastAsia="宋体" w:hint="default"/>
                <w:sz w:val="18"/>
                <w:szCs w:val="18"/>
              </w:rPr>
              <w:t>基于移动互联网的网络医院 云服务平台</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2,980,000.00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增值税即征即退</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34,809,289.73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34,809,289.73</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18"/>
              <w:jc w:val="left"/>
              <w:rPr>
                <w:rFonts w:ascii="宋体" w:hAnsi="宋体" w:cs="宋体" w:eastAsia="宋体" w:hint="default"/>
                <w:sz w:val="18"/>
                <w:szCs w:val="18"/>
              </w:rPr>
            </w:pPr>
            <w:r>
              <w:rPr>
                <w:rFonts w:ascii="宋体" w:hAnsi="宋体" w:cs="宋体" w:eastAsia="宋体" w:hint="default"/>
                <w:sz w:val="18"/>
                <w:szCs w:val="18"/>
              </w:rPr>
              <w:t>国际级软件名城创建项目补 助资金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瞪羚企业资助资金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3,976,100.00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3,976,100.00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增值税进项税加计扣除</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1,425,723.62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1,425,723.62</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1" w:right="118"/>
              <w:jc w:val="left"/>
              <w:rPr>
                <w:rFonts w:ascii="宋体" w:hAnsi="宋体" w:cs="宋体" w:eastAsia="宋体" w:hint="default"/>
                <w:sz w:val="18"/>
                <w:szCs w:val="18"/>
              </w:rPr>
            </w:pPr>
            <w:r>
              <w:rPr>
                <w:rFonts w:ascii="宋体" w:hAnsi="宋体" w:cs="宋体" w:eastAsia="宋体" w:hint="default"/>
                <w:sz w:val="18"/>
                <w:szCs w:val="18"/>
              </w:rPr>
              <w:t>面向医院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系统的综合运 维服务托管支撑平台项目补 助</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534,000.00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534,000.00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市发改专项资金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400,000.00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18"/>
              <w:jc w:val="left"/>
              <w:rPr>
                <w:rFonts w:ascii="宋体" w:hAnsi="宋体" w:cs="宋体" w:eastAsia="宋体" w:hint="default"/>
                <w:sz w:val="18"/>
                <w:szCs w:val="18"/>
              </w:rPr>
            </w:pPr>
            <w:r>
              <w:rPr>
                <w:rFonts w:ascii="宋体" w:hAnsi="宋体" w:cs="宋体" w:eastAsia="宋体" w:hint="default"/>
                <w:sz w:val="18"/>
                <w:szCs w:val="18"/>
              </w:rPr>
              <w:t>重点研发项目经费区配套资 助经费</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失业补助</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313,508.38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313,508.38</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产业扶持资金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其他零星补助</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1,136,755.73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1,136,755.73</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政府补助退回情况" w:id="363"/>
      <w:bookmarkEnd w:id="363"/>
      <w:r>
        <w:rPr>
          <w:b w:val="0"/>
          <w:bCs w:val="0"/>
        </w:rPr>
      </w:r>
      <w:r>
        <w:rPr/>
        <w:t>（</w:t>
      </w:r>
      <w:r>
        <w:rPr>
          <w:rFonts w:ascii="Times New Roman" w:hAnsi="Times New Roman" w:cs="Times New Roman" w:eastAsia="Times New Roman" w:hint="default"/>
        </w:rPr>
        <w:t>2</w:t>
      </w:r>
      <w:r>
        <w:rPr/>
        <w:t>）政府补助退回情况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9224"/>
        <w:jc w:val="left"/>
      </w:pPr>
      <w:r>
        <w:rPr/>
        <w:t>□ 适用 √ 不适用 其他说明：</w:t>
      </w:r>
    </w:p>
    <w:p>
      <w:pPr>
        <w:spacing w:line="240" w:lineRule="auto" w:before="2"/>
        <w:rPr>
          <w:rFonts w:ascii="宋体" w:hAnsi="宋体" w:cs="宋体" w:eastAsia="宋体" w:hint="default"/>
          <w:sz w:val="18"/>
          <w:szCs w:val="18"/>
        </w:rPr>
      </w:pPr>
    </w:p>
    <w:p>
      <w:pPr>
        <w:pStyle w:val="Heading2"/>
        <w:spacing w:line="240" w:lineRule="auto"/>
        <w:ind w:right="882"/>
        <w:jc w:val="left"/>
        <w:rPr>
          <w:b w:val="0"/>
          <w:bCs w:val="0"/>
        </w:rPr>
      </w:pPr>
      <w:bookmarkStart w:name="八、合并范围的变更" w:id="364"/>
      <w:bookmarkEnd w:id="364"/>
      <w:r>
        <w:rPr>
          <w:b w:val="0"/>
          <w:bCs w:val="0"/>
        </w:rPr>
      </w:r>
      <w:r>
        <w:rPr/>
        <w:t>八、合并范围的变更</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非同一控制下企业合并" w:id="365"/>
      <w:bookmarkEnd w:id="365"/>
      <w:r>
        <w:rPr>
          <w:b w:val="0"/>
          <w:bCs w:val="0"/>
        </w:rPr>
      </w:r>
      <w:r>
        <w:rPr>
          <w:rFonts w:ascii="Times New Roman" w:hAnsi="Times New Roman" w:cs="Times New Roman" w:eastAsia="Times New Roman" w:hint="default"/>
        </w:rPr>
        <w:t>1</w:t>
      </w:r>
      <w:r>
        <w:rPr/>
        <w:t>、非同一控制下企业合并</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本期发生的非同一控制下企业合并" w:id="366"/>
      <w:bookmarkEnd w:id="366"/>
      <w:r>
        <w:rPr>
          <w:b w:val="0"/>
          <w:bCs w:val="0"/>
        </w:rPr>
      </w: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063"/>
        <w:gridCol w:w="1064"/>
        <w:gridCol w:w="1064"/>
        <w:gridCol w:w="1064"/>
        <w:gridCol w:w="1064"/>
        <w:gridCol w:w="1064"/>
        <w:gridCol w:w="1062"/>
        <w:gridCol w:w="1062"/>
        <w:gridCol w:w="1062"/>
      </w:tblGrid>
      <w:tr>
        <w:trPr>
          <w:trHeight w:val="357" w:hRule="exact"/>
        </w:trPr>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2"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购买日至</w:t>
            </w:r>
          </w:p>
        </w:tc>
        <w:tc>
          <w:tcPr>
            <w:tcW w:w="106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购买日至</w:t>
            </w:r>
          </w:p>
        </w:tc>
      </w:tr>
      <w:tr>
        <w:trPr>
          <w:trHeight w:val="624" w:hRule="exact"/>
        </w:trPr>
        <w:tc>
          <w:tcPr>
            <w:tcW w:w="10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6" w:right="164" w:hanging="180"/>
              <w:jc w:val="left"/>
              <w:rPr>
                <w:rFonts w:ascii="宋体" w:hAnsi="宋体" w:cs="宋体" w:eastAsia="宋体" w:hint="default"/>
                <w:sz w:val="18"/>
                <w:szCs w:val="18"/>
              </w:rPr>
            </w:pPr>
            <w:r>
              <w:rPr>
                <w:rFonts w:ascii="宋体" w:hAnsi="宋体" w:cs="宋体" w:eastAsia="宋体" w:hint="default"/>
                <w:sz w:val="18"/>
                <w:szCs w:val="18"/>
              </w:rPr>
              <w:t>被购买方 名称</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7" w:right="165" w:hanging="180"/>
              <w:jc w:val="left"/>
              <w:rPr>
                <w:rFonts w:ascii="宋体" w:hAnsi="宋体" w:cs="宋体" w:eastAsia="宋体" w:hint="default"/>
                <w:sz w:val="18"/>
                <w:szCs w:val="18"/>
              </w:rPr>
            </w:pPr>
            <w:r>
              <w:rPr>
                <w:rFonts w:ascii="宋体" w:hAnsi="宋体" w:cs="宋体" w:eastAsia="宋体" w:hint="default"/>
                <w:sz w:val="18"/>
                <w:szCs w:val="18"/>
              </w:rPr>
              <w:t>股权取得 时点</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6" w:right="166" w:hanging="180"/>
              <w:jc w:val="left"/>
              <w:rPr>
                <w:rFonts w:ascii="宋体" w:hAnsi="宋体" w:cs="宋体" w:eastAsia="宋体" w:hint="default"/>
                <w:sz w:val="18"/>
                <w:szCs w:val="18"/>
              </w:rPr>
            </w:pPr>
            <w:r>
              <w:rPr>
                <w:rFonts w:ascii="宋体" w:hAnsi="宋体" w:cs="宋体" w:eastAsia="宋体" w:hint="default"/>
                <w:sz w:val="18"/>
                <w:szCs w:val="18"/>
              </w:rPr>
              <w:t>股权取得 成本</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7" w:right="164" w:hanging="180"/>
              <w:jc w:val="left"/>
              <w:rPr>
                <w:rFonts w:ascii="宋体" w:hAnsi="宋体" w:cs="宋体" w:eastAsia="宋体" w:hint="default"/>
                <w:sz w:val="18"/>
                <w:szCs w:val="18"/>
              </w:rPr>
            </w:pPr>
            <w:r>
              <w:rPr>
                <w:rFonts w:ascii="宋体" w:hAnsi="宋体" w:cs="宋体" w:eastAsia="宋体" w:hint="default"/>
                <w:sz w:val="18"/>
                <w:szCs w:val="18"/>
              </w:rPr>
              <w:t>股权取得 比例</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7" w:right="165" w:hanging="180"/>
              <w:jc w:val="left"/>
              <w:rPr>
                <w:rFonts w:ascii="宋体" w:hAnsi="宋体" w:cs="宋体" w:eastAsia="宋体" w:hint="default"/>
                <w:sz w:val="18"/>
                <w:szCs w:val="18"/>
              </w:rPr>
            </w:pPr>
            <w:r>
              <w:rPr>
                <w:rFonts w:ascii="宋体" w:hAnsi="宋体" w:cs="宋体" w:eastAsia="宋体" w:hint="default"/>
                <w:sz w:val="18"/>
                <w:szCs w:val="18"/>
              </w:rPr>
              <w:t>股权取得 方式</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65" w:right="165"/>
              <w:jc w:val="left"/>
              <w:rPr>
                <w:rFonts w:ascii="宋体" w:hAnsi="宋体" w:cs="宋体" w:eastAsia="宋体" w:hint="default"/>
                <w:sz w:val="18"/>
                <w:szCs w:val="18"/>
              </w:rPr>
            </w:pPr>
            <w:r>
              <w:rPr>
                <w:rFonts w:ascii="宋体" w:hAnsi="宋体" w:cs="宋体" w:eastAsia="宋体" w:hint="default"/>
                <w:sz w:val="18"/>
                <w:szCs w:val="18"/>
              </w:rPr>
              <w:t>购买日的 确定依据</w:t>
            </w:r>
          </w:p>
        </w:tc>
        <w:tc>
          <w:tcPr>
            <w:tcW w:w="10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66" w:right="163"/>
              <w:jc w:val="left"/>
              <w:rPr>
                <w:rFonts w:ascii="宋体" w:hAnsi="宋体" w:cs="宋体" w:eastAsia="宋体" w:hint="default"/>
                <w:sz w:val="18"/>
                <w:szCs w:val="18"/>
              </w:rPr>
            </w:pPr>
            <w:r>
              <w:rPr>
                <w:rFonts w:ascii="宋体" w:hAnsi="宋体" w:cs="宋体" w:eastAsia="宋体" w:hint="default"/>
                <w:sz w:val="18"/>
                <w:szCs w:val="18"/>
              </w:rPr>
              <w:t>期末被购 买方的收</w:t>
            </w:r>
          </w:p>
        </w:tc>
        <w:tc>
          <w:tcPr>
            <w:tcW w:w="10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65" w:right="165"/>
              <w:jc w:val="left"/>
              <w:rPr>
                <w:rFonts w:ascii="宋体" w:hAnsi="宋体" w:cs="宋体" w:eastAsia="宋体" w:hint="default"/>
                <w:sz w:val="18"/>
                <w:szCs w:val="18"/>
              </w:rPr>
            </w:pPr>
            <w:r>
              <w:rPr>
                <w:rFonts w:ascii="宋体" w:hAnsi="宋体" w:cs="宋体" w:eastAsia="宋体" w:hint="default"/>
                <w:sz w:val="18"/>
                <w:szCs w:val="18"/>
              </w:rPr>
              <w:t>期末被购 买方的净</w:t>
            </w:r>
          </w:p>
        </w:tc>
      </w:tr>
      <w:tr>
        <w:trPr>
          <w:trHeight w:val="357" w:hRule="exact"/>
        </w:trPr>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入</w:t>
            </w:r>
          </w:p>
        </w:tc>
        <w:tc>
          <w:tcPr>
            <w:tcW w:w="106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利润</w:t>
            </w:r>
          </w:p>
        </w:tc>
      </w:tr>
      <w:tr>
        <w:trPr>
          <w:trHeight w:val="1026" w:hRule="exact"/>
        </w:trPr>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229"/>
              <w:jc w:val="both"/>
              <w:rPr>
                <w:rFonts w:ascii="宋体" w:hAnsi="宋体" w:cs="宋体" w:eastAsia="宋体" w:hint="default"/>
                <w:sz w:val="18"/>
                <w:szCs w:val="18"/>
              </w:rPr>
            </w:pPr>
            <w:r>
              <w:rPr>
                <w:rFonts w:ascii="宋体" w:hAnsi="宋体" w:cs="宋体" w:eastAsia="宋体" w:hint="default"/>
                <w:sz w:val="18"/>
                <w:szCs w:val="18"/>
              </w:rPr>
              <w:t>浙江百利 医药有限 公司</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2,040,000.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98" w:right="0"/>
              <w:jc w:val="left"/>
              <w:rPr>
                <w:rFonts w:ascii="Times New Roman" w:hAnsi="Times New Roman" w:cs="Times New Roman" w:eastAsia="Times New Roman" w:hint="default"/>
                <w:sz w:val="18"/>
                <w:szCs w:val="18"/>
              </w:rPr>
            </w:pPr>
            <w:r>
              <w:rPr>
                <w:rFonts w:ascii="Times New Roman"/>
                <w:sz w:val="18"/>
              </w:rPr>
              <w:t>51.00%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230"/>
              <w:jc w:val="both"/>
              <w:rPr>
                <w:rFonts w:ascii="宋体" w:hAnsi="宋体" w:cs="宋体" w:eastAsia="宋体" w:hint="default"/>
                <w:sz w:val="18"/>
                <w:szCs w:val="18"/>
              </w:rPr>
            </w:pPr>
            <w:r>
              <w:rPr>
                <w:rFonts w:ascii="宋体" w:hAnsi="宋体" w:cs="宋体" w:eastAsia="宋体" w:hint="default"/>
                <w:sz w:val="18"/>
                <w:szCs w:val="18"/>
              </w:rPr>
              <w:t>非同一控 制下企业 合并</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2" w:right="227"/>
              <w:jc w:val="left"/>
              <w:rPr>
                <w:rFonts w:ascii="宋体" w:hAnsi="宋体" w:cs="宋体" w:eastAsia="宋体" w:hint="default"/>
                <w:sz w:val="18"/>
                <w:szCs w:val="18"/>
              </w:rPr>
            </w:pPr>
            <w:r>
              <w:rPr>
                <w:rFonts w:ascii="宋体" w:hAnsi="宋体" w:cs="宋体" w:eastAsia="宋体" w:hint="default"/>
                <w:sz w:val="18"/>
                <w:szCs w:val="18"/>
              </w:rPr>
              <w:t>取得实际 控制权</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5,730,070.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53</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-250,901.4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r>
    </w:tbl>
    <w:p>
      <w:pPr>
        <w:pStyle w:val="BodyText"/>
        <w:spacing w:line="240" w:lineRule="auto" w:before="51"/>
        <w:ind w:right="882"/>
        <w:jc w:val="left"/>
      </w:pPr>
      <w:r>
        <w:rPr/>
        <w:t>其他说明：</w:t>
      </w:r>
    </w:p>
    <w:p>
      <w:pPr>
        <w:pStyle w:val="BodyText"/>
        <w:spacing w:line="240" w:lineRule="auto" w:before="117"/>
        <w:ind w:left="472" w:right="882"/>
        <w:jc w:val="left"/>
      </w:pPr>
      <w:r>
        <w:rPr/>
        <w:t>根据本公司与自然人章火星、王晟、徐亦蔚于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6</w:t>
      </w:r>
      <w:r>
        <w:rPr/>
        <w:t>日签署的《股权转让协议》，本公司以</w:t>
      </w:r>
      <w:r>
        <w:rPr>
          <w:rFonts w:ascii="Times New Roman" w:hAnsi="Times New Roman" w:cs="Times New Roman" w:eastAsia="Times New Roman" w:hint="default"/>
        </w:rPr>
        <w:t>2,040,000.00</w:t>
      </w:r>
      <w:r>
        <w:rPr/>
        <w:t>元的价格</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882"/>
        <w:jc w:val="left"/>
      </w:pPr>
      <w:r>
        <w:rPr>
          <w:spacing w:val="3"/>
        </w:rPr>
        <w:t>受让章火星、王晟持有的浙江百利医药有限公司</w:t>
      </w:r>
      <w:r>
        <w:rPr>
          <w:rFonts w:ascii="Times New Roman" w:hAnsi="Times New Roman" w:cs="Times New Roman" w:eastAsia="Times New Roman" w:hint="default"/>
          <w:spacing w:val="3"/>
        </w:rPr>
        <w:t>51.00%</w:t>
      </w:r>
      <w:r>
        <w:rPr>
          <w:spacing w:val="3"/>
        </w:rPr>
        <w:t>股权。截至</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12</w:t>
      </w:r>
      <w:r>
        <w:rPr>
          <w:spacing w:val="3"/>
        </w:rPr>
        <w:t>日，本公司已支付了大部分股权转让款</w:t>
      </w:r>
    </w:p>
    <w:p>
      <w:pPr>
        <w:pStyle w:val="BodyText"/>
        <w:spacing w:line="240" w:lineRule="auto" w:before="63"/>
        <w:ind w:right="882"/>
        <w:jc w:val="left"/>
      </w:pPr>
      <w:r>
        <w:rPr>
          <w:rFonts w:ascii="Times New Roman" w:hAnsi="Times New Roman" w:cs="Times New Roman" w:eastAsia="Times New Roman" w:hint="default"/>
        </w:rPr>
        <w:t>1,040,000.00</w:t>
      </w:r>
      <w:r>
        <w:rPr/>
        <w:t>元（剩余款项尚待支付）并实质控制了该公司，故自</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月起将其纳入合并财务报表范围。</w:t>
      </w:r>
    </w:p>
    <w:p>
      <w:pPr>
        <w:spacing w:line="240" w:lineRule="auto" w:before="10"/>
        <w:rPr>
          <w:rFonts w:ascii="宋体" w:hAnsi="宋体" w:cs="宋体" w:eastAsia="宋体" w:hint="default"/>
          <w:sz w:val="25"/>
          <w:szCs w:val="25"/>
        </w:rPr>
      </w:pPr>
    </w:p>
    <w:p>
      <w:pPr>
        <w:pStyle w:val="Heading3"/>
        <w:spacing w:line="240" w:lineRule="auto"/>
        <w:ind w:right="882"/>
        <w:jc w:val="left"/>
        <w:rPr>
          <w:b w:val="0"/>
          <w:bCs w:val="0"/>
        </w:rPr>
      </w:pPr>
      <w:bookmarkStart w:name="（2）合并成本及商誉" w:id="367"/>
      <w:bookmarkEnd w:id="367"/>
      <w:r>
        <w:rPr>
          <w:b w:val="0"/>
          <w:bCs w:val="0"/>
        </w:rPr>
      </w:r>
      <w:r>
        <w:rPr/>
        <w:t>（</w:t>
      </w:r>
      <w:r>
        <w:rPr>
          <w:rFonts w:ascii="Times New Roman" w:hAnsi="Times New Roman" w:cs="Times New Roman" w:eastAsia="Times New Roman" w:hint="default"/>
        </w:rPr>
        <w:t>2</w:t>
      </w:r>
      <w:r>
        <w:rPr/>
        <w:t>）合并成本及商誉</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86" w:right="0"/>
              <w:jc w:val="left"/>
              <w:rPr>
                <w:rFonts w:ascii="宋体" w:hAnsi="宋体" w:cs="宋体" w:eastAsia="宋体" w:hint="default"/>
                <w:sz w:val="18"/>
                <w:szCs w:val="18"/>
              </w:rPr>
            </w:pPr>
            <w:r>
              <w:rPr>
                <w:rFonts w:ascii="宋体" w:hAnsi="宋体" w:cs="宋体" w:eastAsia="宋体" w:hint="default"/>
                <w:sz w:val="18"/>
                <w:szCs w:val="18"/>
              </w:rPr>
              <w:t>浙江百利医药有限公司</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2,040,000.00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2,040,000.00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4,196,752.15</w:t>
            </w:r>
          </w:p>
        </w:tc>
      </w:tr>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1" w:right="120"/>
              <w:jc w:val="left"/>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合并成本小于取得的可辨认净资产公允价值份额的金 额</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2,156,752.15</w:t>
            </w:r>
          </w:p>
        </w:tc>
      </w:tr>
    </w:tbl>
    <w:p>
      <w:pPr>
        <w:pStyle w:val="BodyText"/>
        <w:spacing w:line="360" w:lineRule="auto" w:before="51"/>
        <w:ind w:right="6074"/>
        <w:jc w:val="left"/>
      </w:pPr>
      <w:r>
        <w:rPr/>
        <w:t>合并成本公允价值的确定方法、或有对价及其变动的说明： 大额商誉形成的主要原因：</w:t>
      </w:r>
    </w:p>
    <w:p>
      <w:pPr>
        <w:pStyle w:val="BodyText"/>
        <w:spacing w:line="240" w:lineRule="auto" w:before="25"/>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3）被购买方于购买日可辨认资产、负债" w:id="368"/>
      <w:bookmarkEnd w:id="368"/>
      <w:r>
        <w:rPr>
          <w:b w:val="0"/>
          <w:bCs w:val="0"/>
        </w:rPr>
      </w: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浙江百利医药有限公司</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60"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60"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2,921,577.91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2,921,577.91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25,240,764.72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25,240,764.72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4,448,570.98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4,448,570.98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58,952.60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58,952.60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8,451.13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8,451.13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108,889.79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108,889.79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24,316,833.96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24,316,833.96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536.33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536.33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240,911.05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240,911.05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8,228,925.79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8,228,925.79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减：少数股东权益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4,032,173.64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4,032,173.64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4,196,752.15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4,196,752.15</w:t>
            </w:r>
          </w:p>
        </w:tc>
      </w:tr>
    </w:tbl>
    <w:p>
      <w:pPr>
        <w:pStyle w:val="BodyText"/>
        <w:spacing w:line="360" w:lineRule="auto" w:before="49"/>
        <w:ind w:right="7531"/>
        <w:jc w:val="both"/>
      </w:pPr>
      <w:r>
        <w:rPr/>
        <w:t>可辨认资产、负债公允价值的确定方法： 企业合并中承担的被购买方的或有负债： 其他说明：</w:t>
      </w:r>
    </w:p>
    <w:p>
      <w:pPr>
        <w:spacing w:after="0" w:line="360" w:lineRule="auto"/>
        <w:jc w:val="both"/>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left="132" w:right="1115"/>
        <w:jc w:val="left"/>
        <w:rPr>
          <w:b w:val="0"/>
          <w:bCs w:val="0"/>
        </w:rPr>
      </w:pPr>
      <w:bookmarkStart w:name="（4）购买日之前持有的股权按照公允价值重新计量产生的利得或损失" w:id="369"/>
      <w:bookmarkEnd w:id="369"/>
      <w:r>
        <w:rPr>
          <w:b w:val="0"/>
          <w:bCs w:val="0"/>
        </w:rPr>
      </w: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32" w:right="1115"/>
        <w:jc w:val="left"/>
      </w:pPr>
      <w:r>
        <w:rPr/>
        <w:t>是否存在通过多次交易分步实现企业合并且在报告期内取得控制权的交易</w:t>
      </w:r>
    </w:p>
    <w:p>
      <w:pPr>
        <w:pStyle w:val="BodyText"/>
        <w:spacing w:line="240" w:lineRule="auto" w:before="117"/>
        <w:ind w:left="132" w:right="1115"/>
        <w:jc w:val="left"/>
      </w:pPr>
      <w:r>
        <w:rPr/>
        <w:t>□ 是 √ 否</w:t>
      </w:r>
    </w:p>
    <w:p>
      <w:pPr>
        <w:spacing w:line="240" w:lineRule="auto" w:before="11"/>
        <w:rPr>
          <w:rFonts w:ascii="宋体" w:hAnsi="宋体" w:cs="宋体" w:eastAsia="宋体" w:hint="default"/>
          <w:sz w:val="26"/>
          <w:szCs w:val="26"/>
        </w:rPr>
      </w:pPr>
    </w:p>
    <w:p>
      <w:pPr>
        <w:pStyle w:val="Heading3"/>
        <w:spacing w:line="240" w:lineRule="auto"/>
        <w:ind w:left="132" w:right="1115"/>
        <w:jc w:val="left"/>
        <w:rPr>
          <w:b w:val="0"/>
          <w:bCs w:val="0"/>
        </w:rPr>
      </w:pPr>
      <w:bookmarkStart w:name="（5）购买日或合并当期期末无法合理确定合并对价或被购买方可辨认资产、负债公允价值" w:id="370"/>
      <w:bookmarkEnd w:id="370"/>
      <w:r>
        <w:rPr>
          <w:b w:val="0"/>
          <w:bCs w:val="0"/>
        </w:rPr>
      </w: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32" w:right="1115"/>
        <w:jc w:val="left"/>
        <w:rPr>
          <w:b w:val="0"/>
          <w:bCs w:val="0"/>
        </w:rPr>
      </w:pPr>
      <w:bookmarkStart w:name="（6）其他说明" w:id="371"/>
      <w:bookmarkEnd w:id="371"/>
      <w:r>
        <w:rPr>
          <w:b w:val="0"/>
          <w:bCs w:val="0"/>
        </w:rPr>
      </w:r>
      <w:r>
        <w:rPr/>
        <w:t>（</w:t>
      </w:r>
      <w:r>
        <w:rPr>
          <w:rFonts w:ascii="Times New Roman" w:hAnsi="Times New Roman" w:cs="Times New Roman" w:eastAsia="Times New Roman" w:hint="default"/>
        </w:rPr>
        <w:t>6</w:t>
      </w:r>
      <w:r>
        <w:rPr/>
        <w:t>）其他说明</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left="132" w:right="1115"/>
        <w:jc w:val="left"/>
        <w:rPr>
          <w:b w:val="0"/>
          <w:bCs w:val="0"/>
        </w:rPr>
      </w:pPr>
      <w:bookmarkStart w:name="2、其他原因的合并范围变动" w:id="372"/>
      <w:bookmarkEnd w:id="372"/>
      <w:r>
        <w:rPr>
          <w:b w:val="0"/>
          <w:bCs w:val="0"/>
        </w:rPr>
      </w:r>
      <w:r>
        <w:rPr>
          <w:rFonts w:ascii="Times New Roman" w:hAnsi="Times New Roman" w:cs="Times New Roman" w:eastAsia="Times New Roman" w:hint="default"/>
        </w:rPr>
        <w:t>2</w:t>
      </w:r>
      <w:r>
        <w:rPr/>
        <w:t>、其他原因的合并范围变动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32" w:right="1115"/>
        <w:jc w:val="left"/>
      </w:pPr>
      <w:r>
        <w:rPr/>
        <w:t>说明其他原因导致的合并范围变动（如，新设子公司、清算子公司等）及其相关情况：</w:t>
      </w:r>
    </w:p>
    <w:p>
      <w:pPr>
        <w:pStyle w:val="BodyText"/>
        <w:spacing w:line="240" w:lineRule="auto" w:before="117"/>
        <w:ind w:left="552" w:right="1115"/>
        <w:jc w:val="left"/>
      </w:pPr>
      <w:r>
        <w:rPr>
          <w:rFonts w:ascii="Times New Roman" w:hAnsi="Times New Roman" w:cs="Times New Roman" w:eastAsia="Times New Roman" w:hint="default"/>
        </w:rPr>
        <w:t>1.  </w:t>
      </w:r>
      <w:r>
        <w:rPr/>
        <w:t>合并范围增加</w:t>
      </w:r>
    </w:p>
    <w:p>
      <w:pPr>
        <w:spacing w:line="240" w:lineRule="auto" w:before="13"/>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3176"/>
        <w:gridCol w:w="1605"/>
        <w:gridCol w:w="1765"/>
        <w:gridCol w:w="1839"/>
        <w:gridCol w:w="1269"/>
      </w:tblGrid>
      <w:tr>
        <w:trPr>
          <w:trHeight w:val="347" w:hRule="exact"/>
        </w:trPr>
        <w:tc>
          <w:tcPr>
            <w:tcW w:w="3176"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left="213"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605"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股权取得方式</w:t>
            </w:r>
          </w:p>
        </w:tc>
        <w:tc>
          <w:tcPr>
            <w:tcW w:w="1765"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股权取得时点</w:t>
            </w:r>
          </w:p>
        </w:tc>
        <w:tc>
          <w:tcPr>
            <w:tcW w:w="1839"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出资额</w:t>
            </w:r>
          </w:p>
        </w:tc>
        <w:tc>
          <w:tcPr>
            <w:tcW w:w="1269"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347" w:hRule="exact"/>
        </w:trPr>
        <w:tc>
          <w:tcPr>
            <w:tcW w:w="3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left"/>
              <w:rPr>
                <w:rFonts w:ascii="宋体" w:hAnsi="宋体" w:cs="宋体" w:eastAsia="宋体" w:hint="default"/>
                <w:sz w:val="18"/>
                <w:szCs w:val="18"/>
              </w:rPr>
            </w:pPr>
            <w:r>
              <w:rPr>
                <w:rFonts w:ascii="宋体" w:hAnsi="宋体" w:cs="宋体" w:eastAsia="宋体" w:hint="default"/>
                <w:sz w:val="18"/>
                <w:szCs w:val="18"/>
              </w:rPr>
              <w:t>广州粤湾慧康科技有限公司</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出资设立</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p>
        </w:tc>
        <w:tc>
          <w:tcPr>
            <w:tcW w:w="18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Times New Roman" w:hAnsi="Times New Roman" w:cs="Times New Roman" w:eastAsia="Times New Roman" w:hint="default"/>
                <w:sz w:val="18"/>
                <w:szCs w:val="18"/>
              </w:rPr>
            </w:pPr>
            <w:r>
              <w:rPr>
                <w:rFonts w:ascii="Times New Roman"/>
                <w:sz w:val="18"/>
              </w:rPr>
              <w:t>100,000.00</w:t>
            </w:r>
          </w:p>
        </w:tc>
        <w:tc>
          <w:tcPr>
            <w:tcW w:w="12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2" w:right="0"/>
              <w:jc w:val="center"/>
              <w:rPr>
                <w:rFonts w:ascii="Times New Roman" w:hAnsi="Times New Roman" w:cs="Times New Roman" w:eastAsia="Times New Roman" w:hint="default"/>
                <w:sz w:val="18"/>
                <w:szCs w:val="18"/>
              </w:rPr>
            </w:pPr>
            <w:r>
              <w:rPr>
                <w:rFonts w:ascii="Times New Roman"/>
                <w:sz w:val="18"/>
              </w:rPr>
              <w:t>100%</w:t>
            </w:r>
          </w:p>
        </w:tc>
      </w:tr>
      <w:tr>
        <w:trPr>
          <w:trHeight w:val="347" w:hRule="exact"/>
        </w:trPr>
        <w:tc>
          <w:tcPr>
            <w:tcW w:w="3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1" w:right="0"/>
              <w:jc w:val="left"/>
              <w:rPr>
                <w:rFonts w:ascii="宋体" w:hAnsi="宋体" w:cs="宋体" w:eastAsia="宋体" w:hint="default"/>
                <w:sz w:val="18"/>
                <w:szCs w:val="18"/>
              </w:rPr>
            </w:pPr>
            <w:r>
              <w:rPr>
                <w:rFonts w:ascii="宋体" w:hAnsi="宋体" w:cs="宋体" w:eastAsia="宋体" w:hint="default"/>
                <w:sz w:val="18"/>
                <w:szCs w:val="18"/>
              </w:rPr>
              <w:t>自贡市杭创科技有限公司</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sz w:val="18"/>
                <w:szCs w:val="18"/>
              </w:rPr>
              <w:t>出资设立</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p>
        </w:tc>
        <w:tc>
          <w:tcPr>
            <w:tcW w:w="18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sz w:val="18"/>
              </w:rPr>
              <w:t>10,000,000.00</w:t>
            </w:r>
          </w:p>
        </w:tc>
        <w:tc>
          <w:tcPr>
            <w:tcW w:w="12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100%</w:t>
            </w:r>
          </w:p>
        </w:tc>
      </w:tr>
      <w:tr>
        <w:trPr>
          <w:trHeight w:val="347" w:hRule="exact"/>
        </w:trPr>
        <w:tc>
          <w:tcPr>
            <w:tcW w:w="3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宋体" w:hAnsi="宋体" w:cs="宋体" w:eastAsia="宋体" w:hint="default"/>
                <w:sz w:val="18"/>
                <w:szCs w:val="18"/>
              </w:rPr>
              <w:t>杭州慧心健康科技有限公司</w:t>
            </w:r>
          </w:p>
        </w:tc>
        <w:tc>
          <w:tcPr>
            <w:tcW w:w="16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出资设立</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18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0.00[</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12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2" w:right="0"/>
              <w:jc w:val="center"/>
              <w:rPr>
                <w:rFonts w:ascii="Times New Roman" w:hAnsi="Times New Roman" w:cs="Times New Roman" w:eastAsia="Times New Roman" w:hint="default"/>
                <w:sz w:val="18"/>
                <w:szCs w:val="18"/>
              </w:rPr>
            </w:pPr>
            <w:r>
              <w:rPr>
                <w:rFonts w:ascii="Times New Roman"/>
                <w:sz w:val="18"/>
              </w:rPr>
              <w:t>51%</w:t>
            </w:r>
          </w:p>
        </w:tc>
      </w:tr>
    </w:tbl>
    <w:p>
      <w:pPr>
        <w:pStyle w:val="BodyText"/>
        <w:spacing w:line="240" w:lineRule="auto" w:before="12"/>
        <w:ind w:left="672" w:right="1115"/>
        <w:jc w:val="left"/>
      </w:pPr>
      <w:r>
        <w:rPr>
          <w:rFonts w:ascii="Times New Roman" w:hAnsi="Times New Roman" w:cs="Times New Roman" w:eastAsia="Times New Roman" w:hint="default"/>
        </w:rPr>
        <w:t>[</w:t>
      </w:r>
      <w:r>
        <w:rPr/>
        <w:t>注</w:t>
      </w:r>
      <w:r>
        <w:rPr>
          <w:rFonts w:ascii="Times New Roman" w:hAnsi="Times New Roman" w:cs="Times New Roman" w:eastAsia="Times New Roman" w:hint="default"/>
        </w:rPr>
        <w:t>]</w:t>
      </w:r>
      <w:r>
        <w:rPr/>
        <w:t>：截至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日，尚未实际出资。</w:t>
      </w:r>
    </w:p>
    <w:p>
      <w:pPr>
        <w:spacing w:line="240" w:lineRule="auto" w:before="0"/>
        <w:rPr>
          <w:rFonts w:ascii="宋体" w:hAnsi="宋体" w:cs="宋体" w:eastAsia="宋体" w:hint="default"/>
          <w:sz w:val="24"/>
          <w:szCs w:val="24"/>
        </w:rPr>
      </w:pPr>
    </w:p>
    <w:p>
      <w:pPr>
        <w:pStyle w:val="Heading2"/>
        <w:spacing w:line="240" w:lineRule="auto"/>
        <w:ind w:left="132" w:right="1115"/>
        <w:jc w:val="left"/>
        <w:rPr>
          <w:b w:val="0"/>
          <w:bCs w:val="0"/>
        </w:rPr>
      </w:pPr>
      <w:bookmarkStart w:name="九、在其他主体中的权益" w:id="373"/>
      <w:bookmarkEnd w:id="373"/>
      <w:r>
        <w:rPr>
          <w:b w:val="0"/>
          <w:bCs w:val="0"/>
        </w:rPr>
      </w:r>
      <w:r>
        <w:rPr/>
        <w:t>九、在其他主体中的权益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32" w:right="1115"/>
        <w:jc w:val="left"/>
        <w:rPr>
          <w:b w:val="0"/>
          <w:bCs w:val="0"/>
        </w:rPr>
      </w:pPr>
      <w:bookmarkStart w:name="1、在子公司中的权益" w:id="374"/>
      <w:bookmarkEnd w:id="374"/>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left="132" w:right="1115"/>
        <w:jc w:val="left"/>
        <w:rPr>
          <w:b w:val="0"/>
          <w:bCs w:val="0"/>
        </w:rPr>
      </w:pPr>
      <w:bookmarkStart w:name="（1）企业集团的构成" w:id="375"/>
      <w:bookmarkEnd w:id="375"/>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10"/>
        <w:rPr>
          <w:rFonts w:ascii="宋体" w:hAnsi="宋体" w:cs="宋体" w:eastAsia="宋体" w:hint="default"/>
          <w:b/>
          <w:bCs/>
          <w:sz w:val="25"/>
          <w:szCs w:val="25"/>
        </w:rPr>
      </w:pPr>
    </w:p>
    <w:tbl>
      <w:tblPr>
        <w:tblW w:w="0" w:type="auto"/>
        <w:jc w:val="left"/>
        <w:tblInd w:w="129" w:type="dxa"/>
        <w:tblLayout w:type="fixed"/>
        <w:tblCellMar>
          <w:top w:w="0" w:type="dxa"/>
          <w:left w:w="0" w:type="dxa"/>
          <w:bottom w:w="0" w:type="dxa"/>
          <w:right w:w="0" w:type="dxa"/>
        </w:tblCellMar>
        <w:tblLook w:val="01E0"/>
      </w:tblPr>
      <w:tblGrid>
        <w:gridCol w:w="1371"/>
        <w:gridCol w:w="1367"/>
        <w:gridCol w:w="1367"/>
        <w:gridCol w:w="1367"/>
        <w:gridCol w:w="1367"/>
        <w:gridCol w:w="1366"/>
        <w:gridCol w:w="1366"/>
      </w:tblGrid>
      <w:tr>
        <w:trPr>
          <w:trHeight w:val="402"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9"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both"/>
              <w:rPr>
                <w:rFonts w:ascii="宋体" w:hAnsi="宋体" w:cs="宋体" w:eastAsia="宋体" w:hint="default"/>
                <w:sz w:val="18"/>
                <w:szCs w:val="18"/>
              </w:rPr>
            </w:pPr>
            <w:r>
              <w:rPr>
                <w:rFonts w:ascii="宋体" w:hAnsi="宋体" w:cs="宋体" w:eastAsia="宋体" w:hint="default"/>
                <w:sz w:val="18"/>
                <w:szCs w:val="18"/>
              </w:rPr>
              <w:t>苏州创业亿康 信息科技有限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苏州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苏州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177"/>
              <w:jc w:val="left"/>
              <w:rPr>
                <w:rFonts w:ascii="宋体" w:hAnsi="宋体" w:cs="宋体" w:eastAsia="宋体" w:hint="default"/>
                <w:sz w:val="18"/>
                <w:szCs w:val="18"/>
              </w:rPr>
            </w:pPr>
            <w:r>
              <w:rPr>
                <w:rFonts w:ascii="宋体" w:hAnsi="宋体" w:cs="宋体" w:eastAsia="宋体" w:hint="default"/>
                <w:sz w:val="18"/>
                <w:szCs w:val="18"/>
              </w:rPr>
              <w:t>上海创航软件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创业软件南京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177"/>
              <w:jc w:val="left"/>
              <w:rPr>
                <w:rFonts w:ascii="宋体" w:hAnsi="宋体" w:cs="宋体" w:eastAsia="宋体" w:hint="default"/>
                <w:sz w:val="18"/>
                <w:szCs w:val="18"/>
              </w:rPr>
            </w:pPr>
            <w:r>
              <w:rPr>
                <w:rFonts w:ascii="宋体" w:hAnsi="宋体" w:cs="宋体" w:eastAsia="宋体" w:hint="default"/>
                <w:sz w:val="18"/>
                <w:szCs w:val="18"/>
              </w:rPr>
              <w:t>新疆创什信息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85.00%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重庆创易康软 件有限公司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2"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177"/>
              <w:jc w:val="left"/>
              <w:rPr>
                <w:rFonts w:ascii="宋体" w:hAnsi="宋体" w:cs="宋体" w:eastAsia="宋体" w:hint="default"/>
                <w:sz w:val="18"/>
                <w:szCs w:val="18"/>
              </w:rPr>
            </w:pPr>
            <w:r>
              <w:rPr>
                <w:rFonts w:ascii="宋体" w:hAnsi="宋体" w:cs="宋体" w:eastAsia="宋体" w:hint="default"/>
                <w:sz w:val="18"/>
                <w:szCs w:val="18"/>
              </w:rPr>
              <w:t>天津创津科技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907" w:footer="1016" w:top="1100" w:bottom="1200" w:left="1000" w:right="0"/>
        </w:sectPr>
      </w:pPr>
    </w:p>
    <w:p>
      <w:pPr>
        <w:spacing w:line="240" w:lineRule="auto" w:before="6"/>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371"/>
        <w:gridCol w:w="1367"/>
        <w:gridCol w:w="1367"/>
        <w:gridCol w:w="1367"/>
        <w:gridCol w:w="1367"/>
        <w:gridCol w:w="1366"/>
        <w:gridCol w:w="1366"/>
      </w:tblGrid>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中山市杭创科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宁海杭创网络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杭州合美物业 管理有限公司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物业管理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both"/>
              <w:rPr>
                <w:rFonts w:ascii="宋体" w:hAnsi="宋体" w:cs="宋体" w:eastAsia="宋体" w:hint="default"/>
                <w:sz w:val="18"/>
                <w:szCs w:val="18"/>
              </w:rPr>
            </w:pPr>
            <w:r>
              <w:rPr>
                <w:rFonts w:ascii="宋体" w:hAnsi="宋体" w:cs="宋体" w:eastAsia="宋体" w:hint="default"/>
                <w:sz w:val="18"/>
                <w:szCs w:val="18"/>
              </w:rPr>
              <w:t>浙江医康数据 科技研究院有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78.00%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广州粤湾慧康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自贡市杭创科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自贡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自贡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杭州慧心健康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技术开发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杭州联旗科技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杭州惟勤科技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广东中拓信息 技术有限公司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中山市蓝天电 脑有限公司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both"/>
              <w:rPr>
                <w:rFonts w:ascii="宋体" w:hAnsi="宋体" w:cs="宋体" w:eastAsia="宋体" w:hint="default"/>
                <w:sz w:val="18"/>
                <w:szCs w:val="18"/>
              </w:rPr>
            </w:pPr>
            <w:r>
              <w:rPr>
                <w:rFonts w:ascii="宋体" w:hAnsi="宋体" w:cs="宋体" w:eastAsia="宋体" w:hint="default"/>
                <w:sz w:val="18"/>
                <w:szCs w:val="18"/>
              </w:rPr>
              <w:t>杭州慧康物联 网科技有限公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杭州卓腾信息 技术有限公司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88.89%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杭州梅清数码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医疗器械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杭州美诺泰科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浙江百利医药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医药批发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bl>
    <w:p>
      <w:pPr>
        <w:pStyle w:val="BodyText"/>
        <w:spacing w:line="360" w:lineRule="auto" w:before="50"/>
        <w:ind w:right="2834"/>
        <w:jc w:val="left"/>
      </w:pPr>
      <w:r>
        <w:rPr/>
        <w:t>在子公司的持股比例不同于表决权比例的说明： 持有半数或以下表决权但仍控制被投资单位、以及持有半数以上表决权但不控制被投资单位的依据： 对于纳入合并范围的重要的结构化主体，控制的依据：</w:t>
      </w:r>
    </w:p>
    <w:p>
      <w:pPr>
        <w:pStyle w:val="BodyText"/>
        <w:spacing w:line="360" w:lineRule="auto" w:before="25"/>
        <w:ind w:right="7694"/>
        <w:jc w:val="left"/>
      </w:pPr>
      <w:r>
        <w:rPr/>
        <w:t>确定公司是代理人还是委托人的依据： 其他说明：</w:t>
      </w:r>
    </w:p>
    <w:p>
      <w:pPr>
        <w:spacing w:after="0" w:line="36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2）重要的非全资子公司" w:id="376"/>
      <w:bookmarkEnd w:id="376"/>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914"/>
        <w:gridCol w:w="1914"/>
        <w:gridCol w:w="1913"/>
        <w:gridCol w:w="1913"/>
      </w:tblGrid>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83" w:right="139" w:hanging="540"/>
              <w:jc w:val="left"/>
              <w:rPr>
                <w:rFonts w:ascii="宋体" w:hAnsi="宋体" w:cs="宋体" w:eastAsia="宋体" w:hint="default"/>
                <w:sz w:val="18"/>
                <w:szCs w:val="18"/>
              </w:rPr>
            </w:pPr>
            <w:r>
              <w:rPr>
                <w:rFonts w:ascii="宋体" w:hAnsi="宋体" w:cs="宋体" w:eastAsia="宋体" w:hint="default"/>
                <w:sz w:val="18"/>
                <w:szCs w:val="18"/>
              </w:rPr>
              <w:t>本期归属于少数股东 的损益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02" w:right="139" w:hanging="360"/>
              <w:jc w:val="left"/>
              <w:rPr>
                <w:rFonts w:ascii="宋体" w:hAnsi="宋体" w:cs="宋体" w:eastAsia="宋体" w:hint="default"/>
                <w:sz w:val="18"/>
                <w:szCs w:val="18"/>
              </w:rPr>
            </w:pPr>
            <w:r>
              <w:rPr>
                <w:rFonts w:ascii="宋体" w:hAnsi="宋体" w:cs="宋体" w:eastAsia="宋体" w:hint="default"/>
                <w:sz w:val="18"/>
                <w:szCs w:val="18"/>
              </w:rPr>
              <w:t>本期向少数股东宣告 分派的股利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1" w:right="139" w:hanging="720"/>
              <w:jc w:val="left"/>
              <w:rPr>
                <w:rFonts w:ascii="宋体" w:hAnsi="宋体" w:cs="宋体" w:eastAsia="宋体" w:hint="default"/>
                <w:sz w:val="18"/>
                <w:szCs w:val="18"/>
              </w:rPr>
            </w:pPr>
            <w:r>
              <w:rPr>
                <w:rFonts w:ascii="宋体" w:hAnsi="宋体" w:cs="宋体" w:eastAsia="宋体" w:hint="default"/>
                <w:sz w:val="18"/>
                <w:szCs w:val="18"/>
              </w:rPr>
              <w:t>期末少数股东权益余 额</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82"/>
              <w:jc w:val="left"/>
              <w:rPr>
                <w:rFonts w:ascii="宋体" w:hAnsi="宋体" w:cs="宋体" w:eastAsia="宋体" w:hint="default"/>
                <w:sz w:val="18"/>
                <w:szCs w:val="18"/>
              </w:rPr>
            </w:pPr>
            <w:r>
              <w:rPr>
                <w:rFonts w:ascii="宋体" w:hAnsi="宋体" w:cs="宋体" w:eastAsia="宋体" w:hint="default"/>
                <w:sz w:val="18"/>
                <w:szCs w:val="18"/>
              </w:rPr>
              <w:t>杭州梅清数码科技有 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45" w:right="0"/>
              <w:jc w:val="left"/>
              <w:rPr>
                <w:rFonts w:ascii="Times New Roman" w:hAnsi="Times New Roman" w:cs="Times New Roman" w:eastAsia="Times New Roman" w:hint="default"/>
                <w:sz w:val="18"/>
                <w:szCs w:val="18"/>
              </w:rPr>
            </w:pPr>
            <w:r>
              <w:rPr>
                <w:rFonts w:ascii="Times New Roman"/>
                <w:sz w:val="18"/>
              </w:rPr>
              <w:t>49.00%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56" w:right="0"/>
              <w:jc w:val="left"/>
              <w:rPr>
                <w:rFonts w:ascii="Times New Roman" w:hAnsi="Times New Roman" w:cs="Times New Roman" w:eastAsia="Times New Roman" w:hint="default"/>
                <w:sz w:val="18"/>
                <w:szCs w:val="18"/>
              </w:rPr>
            </w:pPr>
            <w:r>
              <w:rPr>
                <w:rFonts w:ascii="Times New Roman"/>
                <w:sz w:val="18"/>
              </w:rPr>
              <w:t>4,392,384.59</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65" w:right="0"/>
              <w:jc w:val="left"/>
              <w:rPr>
                <w:rFonts w:ascii="Times New Roman" w:hAnsi="Times New Roman" w:cs="Times New Roman" w:eastAsia="Times New Roman" w:hint="default"/>
                <w:sz w:val="18"/>
                <w:szCs w:val="18"/>
              </w:rPr>
            </w:pPr>
            <w:r>
              <w:rPr>
                <w:rFonts w:ascii="Times New Roman"/>
                <w:sz w:val="18"/>
              </w:rPr>
              <w:t>25,294,701.27</w:t>
            </w:r>
          </w:p>
        </w:tc>
      </w:tr>
    </w:tbl>
    <w:p>
      <w:pPr>
        <w:pStyle w:val="BodyText"/>
        <w:spacing w:line="357" w:lineRule="auto" w:before="52"/>
        <w:ind w:right="6434"/>
        <w:jc w:val="left"/>
      </w:pPr>
      <w:r>
        <w:rPr/>
        <w:t>子公司少数股东的持股比例不同于表决权比例的说明： 其他说明：</w:t>
      </w:r>
    </w:p>
    <w:p>
      <w:pPr>
        <w:spacing w:line="240" w:lineRule="auto" w:before="3"/>
        <w:rPr>
          <w:rFonts w:ascii="宋体" w:hAnsi="宋体" w:cs="宋体" w:eastAsia="宋体" w:hint="default"/>
          <w:sz w:val="20"/>
          <w:szCs w:val="20"/>
        </w:rPr>
      </w:pPr>
    </w:p>
    <w:p>
      <w:pPr>
        <w:pStyle w:val="Heading3"/>
        <w:spacing w:line="240" w:lineRule="auto"/>
        <w:ind w:right="882"/>
        <w:jc w:val="left"/>
        <w:rPr>
          <w:b w:val="0"/>
          <w:bCs w:val="0"/>
        </w:rPr>
      </w:pPr>
      <w:bookmarkStart w:name="（3）重要非全资子公司的主要财务信息" w:id="377"/>
      <w:bookmarkEnd w:id="377"/>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36"/>
        <w:gridCol w:w="736"/>
        <w:gridCol w:w="736"/>
        <w:gridCol w:w="736"/>
        <w:gridCol w:w="736"/>
        <w:gridCol w:w="735"/>
        <w:gridCol w:w="735"/>
        <w:gridCol w:w="735"/>
        <w:gridCol w:w="735"/>
        <w:gridCol w:w="735"/>
        <w:gridCol w:w="737"/>
        <w:gridCol w:w="736"/>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83" w:right="180"/>
              <w:jc w:val="both"/>
              <w:rPr>
                <w:rFonts w:ascii="宋体" w:hAnsi="宋体" w:cs="宋体" w:eastAsia="宋体" w:hint="default"/>
                <w:sz w:val="18"/>
                <w:szCs w:val="18"/>
              </w:rPr>
            </w:pPr>
            <w:r>
              <w:rPr>
                <w:rFonts w:ascii="宋体" w:hAnsi="宋体" w:cs="宋体" w:eastAsia="宋体" w:hint="default"/>
                <w:sz w:val="18"/>
                <w:szCs w:val="18"/>
              </w:rPr>
              <w:t>子公 司名 称</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026"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82" w:right="182"/>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181"/>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83" w:right="180"/>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81" w:right="182"/>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180"/>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负债 合计</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81" w:right="181"/>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1" w:right="182"/>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82" w:right="180"/>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82" w:right="183"/>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1" w:right="182"/>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负债 合计</w:t>
            </w:r>
          </w:p>
        </w:tc>
      </w:tr>
      <w:tr>
        <w:trPr>
          <w:trHeight w:val="356" w:hRule="exact"/>
        </w:trPr>
        <w:tc>
          <w:tcPr>
            <w:tcW w:w="7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5" w:type="dxa"/>
            <w:vMerge w:val="restart"/>
            <w:tcBorders>
              <w:top w:val="single" w:sz="4" w:space="0" w:color="000000"/>
              <w:left w:val="single" w:sz="4" w:space="0" w:color="000000"/>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r>
      <w:tr>
        <w:trPr>
          <w:trHeight w:val="1248" w:hRule="exact"/>
        </w:trPr>
        <w:tc>
          <w:tcPr>
            <w:tcW w:w="73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62"/>
              <w:jc w:val="both"/>
              <w:rPr>
                <w:rFonts w:ascii="宋体" w:hAnsi="宋体" w:cs="宋体" w:eastAsia="宋体" w:hint="default"/>
                <w:sz w:val="18"/>
                <w:szCs w:val="18"/>
              </w:rPr>
            </w:pPr>
            <w:r>
              <w:rPr>
                <w:rFonts w:ascii="宋体" w:hAnsi="宋体" w:cs="宋体" w:eastAsia="宋体" w:hint="default"/>
                <w:sz w:val="18"/>
                <w:szCs w:val="18"/>
              </w:rPr>
              <w:t>梅清 数码 科技 有限</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49,095</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,520.5</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37,856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,739.6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86,952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,260.1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34,583</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,758.2</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4</w:t>
            </w:r>
          </w:p>
        </w:tc>
        <w:tc>
          <w:tcPr>
            <w:tcW w:w="735" w:type="dxa"/>
            <w:vMerge/>
            <w:tcBorders>
              <w:left w:val="single" w:sz="4" w:space="0" w:color="000000"/>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34,583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,758.2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4</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28,824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,043.7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26,264</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,692.8</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55,088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,736.5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4</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19,892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,570.7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19,892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,570.7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r>
      <w:tr>
        <w:trPr>
          <w:trHeight w:val="358" w:hRule="exact"/>
        </w:trPr>
        <w:tc>
          <w:tcPr>
            <w:tcW w:w="7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5" w:type="dxa"/>
            <w:vMerge/>
            <w:tcBorders>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51"/>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1"/>
        <w:gridCol w:w="1061"/>
        <w:gridCol w:w="1062"/>
        <w:gridCol w:w="1065"/>
        <w:gridCol w:w="1065"/>
        <w:gridCol w:w="1063"/>
        <w:gridCol w:w="1063"/>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sz w:val="19"/>
                <w:szCs w:val="19"/>
              </w:rPr>
            </w:pPr>
          </w:p>
          <w:p>
            <w:pPr>
              <w:pStyle w:val="TableParagraph"/>
              <w:spacing w:line="316" w:lineRule="auto"/>
              <w:ind w:left="435" w:right="165" w:hanging="272"/>
              <w:jc w:val="left"/>
              <w:rPr>
                <w:rFonts w:ascii="宋体" w:hAnsi="宋体" w:cs="宋体" w:eastAsia="宋体" w:hint="default"/>
                <w:sz w:val="18"/>
                <w:szCs w:val="18"/>
              </w:rPr>
            </w:pPr>
            <w:r>
              <w:rPr>
                <w:rFonts w:ascii="宋体" w:hAnsi="宋体" w:cs="宋体" w:eastAsia="宋体" w:hint="default"/>
                <w:sz w:val="18"/>
                <w:szCs w:val="18"/>
              </w:rPr>
              <w:t>子公司名 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7" w:right="165"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8" w:right="165"/>
              <w:jc w:val="left"/>
              <w:rPr>
                <w:rFonts w:ascii="宋体" w:hAnsi="宋体" w:cs="宋体" w:eastAsia="宋体" w:hint="default"/>
                <w:sz w:val="18"/>
                <w:szCs w:val="18"/>
              </w:rPr>
            </w:pPr>
            <w:r>
              <w:rPr>
                <w:rFonts w:ascii="宋体" w:hAnsi="宋体" w:cs="宋体" w:eastAsia="宋体" w:hint="default"/>
                <w:sz w:val="18"/>
                <w:szCs w:val="18"/>
              </w:rPr>
              <w:t>经营活动 现金流量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6" w:right="164"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6" w:right="167"/>
              <w:jc w:val="left"/>
              <w:rPr>
                <w:rFonts w:ascii="宋体" w:hAnsi="宋体" w:cs="宋体" w:eastAsia="宋体" w:hint="default"/>
                <w:sz w:val="18"/>
                <w:szCs w:val="18"/>
              </w:rPr>
            </w:pPr>
            <w:r>
              <w:rPr>
                <w:rFonts w:ascii="宋体" w:hAnsi="宋体" w:cs="宋体" w:eastAsia="宋体" w:hint="default"/>
                <w:sz w:val="18"/>
                <w:szCs w:val="18"/>
              </w:rPr>
              <w:t>经营活动 现金流量</w:t>
            </w:r>
          </w:p>
        </w:tc>
      </w:tr>
      <w:tr>
        <w:trPr>
          <w:trHeight w:val="1026"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227"/>
              <w:jc w:val="both"/>
              <w:rPr>
                <w:rFonts w:ascii="宋体" w:hAnsi="宋体" w:cs="宋体" w:eastAsia="宋体" w:hint="default"/>
                <w:sz w:val="18"/>
                <w:szCs w:val="18"/>
              </w:rPr>
            </w:pPr>
            <w:r>
              <w:rPr>
                <w:rFonts w:ascii="宋体" w:hAnsi="宋体" w:cs="宋体" w:eastAsia="宋体" w:hint="default"/>
                <w:sz w:val="18"/>
                <w:szCs w:val="18"/>
              </w:rPr>
              <w:t>杭州梅清 数码科技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91,248,399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.94</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9,172,336.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14</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9,172,336.</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14</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16,829,388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.86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64,346,172</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.95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8,578,649.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8,578,649.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2"/>
                <w:sz w:val="18"/>
              </w:rPr>
              <w:t>2,393,119.1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r>
    </w:tbl>
    <w:p>
      <w:pPr>
        <w:pStyle w:val="BodyText"/>
        <w:spacing w:line="240" w:lineRule="auto" w:before="51"/>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4）使用企业集团资产和清偿企业集团债务的重大限制" w:id="378"/>
      <w:bookmarkEnd w:id="378"/>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5）向纳入合并财务报表范围的结构化主体提供的财务支持或其他支持" w:id="379"/>
      <w:bookmarkEnd w:id="379"/>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left="132" w:right="1115"/>
        <w:jc w:val="left"/>
        <w:rPr>
          <w:b w:val="0"/>
          <w:bCs w:val="0"/>
        </w:rPr>
      </w:pPr>
      <w:bookmarkStart w:name="2、在子公司的所有者权益份额发生变化且仍控制子公司的交易" w:id="380"/>
      <w:bookmarkEnd w:id="380"/>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32" w:right="1115"/>
        <w:jc w:val="left"/>
        <w:rPr>
          <w:b w:val="0"/>
          <w:bCs w:val="0"/>
        </w:rPr>
      </w:pPr>
      <w:bookmarkStart w:name="（1）在子公司所有者权益份额发生变化的情况说明" w:id="381"/>
      <w:bookmarkEnd w:id="381"/>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9"/>
        <w:rPr>
          <w:rFonts w:ascii="宋体" w:hAnsi="宋体" w:cs="宋体" w:eastAsia="宋体" w:hint="default"/>
          <w:b/>
          <w:bCs/>
          <w:sz w:val="25"/>
          <w:szCs w:val="25"/>
        </w:rPr>
      </w:pPr>
    </w:p>
    <w:tbl>
      <w:tblPr>
        <w:tblW w:w="0" w:type="auto"/>
        <w:jc w:val="left"/>
        <w:tblInd w:w="116" w:type="dxa"/>
        <w:tblLayout w:type="fixed"/>
        <w:tblCellMar>
          <w:top w:w="0" w:type="dxa"/>
          <w:left w:w="0" w:type="dxa"/>
          <w:bottom w:w="0" w:type="dxa"/>
          <w:right w:w="0" w:type="dxa"/>
        </w:tblCellMar>
        <w:tblLook w:val="01E0"/>
      </w:tblPr>
      <w:tblGrid>
        <w:gridCol w:w="3175"/>
        <w:gridCol w:w="2053"/>
        <w:gridCol w:w="2213"/>
        <w:gridCol w:w="2213"/>
      </w:tblGrid>
      <w:tr>
        <w:trPr>
          <w:trHeight w:val="347" w:hRule="exact"/>
        </w:trPr>
        <w:tc>
          <w:tcPr>
            <w:tcW w:w="3175"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left="21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2053"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变动时间</w:t>
            </w:r>
          </w:p>
        </w:tc>
        <w:tc>
          <w:tcPr>
            <w:tcW w:w="2213"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变动前持股比例</w:t>
            </w:r>
          </w:p>
        </w:tc>
        <w:tc>
          <w:tcPr>
            <w:tcW w:w="2213"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变动后持股比例</w:t>
            </w:r>
          </w:p>
        </w:tc>
      </w:tr>
      <w:tr>
        <w:trPr>
          <w:trHeight w:val="347" w:hRule="exact"/>
        </w:trPr>
        <w:tc>
          <w:tcPr>
            <w:tcW w:w="3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1" w:right="0"/>
              <w:jc w:val="left"/>
              <w:rPr>
                <w:rFonts w:ascii="宋体" w:hAnsi="宋体" w:cs="宋体" w:eastAsia="宋体" w:hint="default"/>
                <w:sz w:val="18"/>
                <w:szCs w:val="18"/>
              </w:rPr>
            </w:pPr>
            <w:r>
              <w:rPr>
                <w:rFonts w:ascii="宋体" w:hAnsi="宋体" w:cs="宋体" w:eastAsia="宋体" w:hint="default"/>
                <w:sz w:val="18"/>
                <w:szCs w:val="18"/>
              </w:rPr>
              <w:t>广东中拓信息技术有限公司</w:t>
            </w:r>
          </w:p>
        </w:tc>
        <w:tc>
          <w:tcPr>
            <w:tcW w:w="20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26</w:t>
            </w:r>
            <w:r>
              <w:rPr>
                <w:rFonts w:ascii="宋体" w:hAnsi="宋体" w:cs="宋体" w:eastAsia="宋体" w:hint="default"/>
                <w:sz w:val="18"/>
                <w:szCs w:val="18"/>
              </w:rPr>
              <w:t>日</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80%</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100%</w:t>
            </w:r>
          </w:p>
        </w:tc>
      </w:tr>
      <w:tr>
        <w:trPr>
          <w:trHeight w:val="347" w:hRule="exact"/>
        </w:trPr>
        <w:tc>
          <w:tcPr>
            <w:tcW w:w="3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宋体" w:hAnsi="宋体" w:cs="宋体" w:eastAsia="宋体" w:hint="default"/>
                <w:sz w:val="18"/>
                <w:szCs w:val="18"/>
              </w:rPr>
              <w:t>中山市蓝天电脑有限公司</w:t>
            </w:r>
          </w:p>
        </w:tc>
        <w:tc>
          <w:tcPr>
            <w:tcW w:w="20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sz w:val="18"/>
              </w:rPr>
              <w:t>80%</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pStyle w:val="Heading3"/>
        <w:spacing w:line="240" w:lineRule="auto" w:before="34"/>
        <w:ind w:left="132" w:right="1115"/>
        <w:jc w:val="left"/>
        <w:rPr>
          <w:b w:val="0"/>
          <w:bCs w:val="0"/>
        </w:rPr>
      </w:pPr>
      <w:bookmarkStart w:name="（2）交易对于少数股东权益及归属于母公司所有者权益的影响" w:id="382"/>
      <w:bookmarkEnd w:id="382"/>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2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9" w:right="0"/>
              <w:jc w:val="left"/>
              <w:rPr>
                <w:rFonts w:ascii="宋体" w:hAnsi="宋体" w:cs="宋体" w:eastAsia="宋体" w:hint="default"/>
                <w:sz w:val="18"/>
                <w:szCs w:val="18"/>
              </w:rPr>
            </w:pPr>
            <w:r>
              <w:rPr>
                <w:rFonts w:ascii="宋体" w:hAnsi="宋体" w:cs="宋体" w:eastAsia="宋体" w:hint="default"/>
                <w:sz w:val="18"/>
                <w:szCs w:val="18"/>
              </w:rPr>
              <w:t>广东中拓信息技术有限公司</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0" w:right="0"/>
              <w:jc w:val="left"/>
              <w:rPr>
                <w:rFonts w:ascii="宋体" w:hAnsi="宋体" w:cs="宋体" w:eastAsia="宋体" w:hint="default"/>
                <w:sz w:val="18"/>
                <w:szCs w:val="18"/>
              </w:rPr>
            </w:pPr>
            <w:r>
              <w:rPr>
                <w:rFonts w:ascii="宋体" w:hAnsi="宋体" w:cs="宋体" w:eastAsia="宋体" w:hint="default"/>
                <w:sz w:val="18"/>
                <w:szCs w:val="18"/>
              </w:rPr>
              <w:t>中山市蓝天电脑有限公司</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69,940,000.00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60,000.00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69,940,000.00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60,000.00</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46"/>
              <w:jc w:val="left"/>
              <w:rPr>
                <w:rFonts w:ascii="宋体" w:hAnsi="宋体" w:cs="宋体" w:eastAsia="宋体" w:hint="default"/>
                <w:sz w:val="18"/>
                <w:szCs w:val="18"/>
              </w:rPr>
            </w:pPr>
            <w:r>
              <w:rPr>
                <w:rFonts w:ascii="宋体" w:hAnsi="宋体" w:cs="宋体" w:eastAsia="宋体" w:hint="default"/>
                <w:sz w:val="18"/>
                <w:szCs w:val="18"/>
              </w:rPr>
              <w:t>减：按取得</w:t>
            </w:r>
            <w:r>
              <w:rPr>
                <w:rFonts w:ascii="Times New Roman" w:hAnsi="Times New Roman" w:cs="Times New Roman" w:eastAsia="Times New Roman" w:hint="default"/>
                <w:sz w:val="18"/>
                <w:szCs w:val="18"/>
              </w:rPr>
              <w:t>/</w:t>
            </w:r>
            <w:r>
              <w:rPr>
                <w:rFonts w:ascii="宋体" w:hAnsi="宋体" w:cs="宋体" w:eastAsia="宋体" w:hint="default"/>
                <w:sz w:val="18"/>
                <w:szCs w:val="18"/>
              </w:rPr>
              <w:t>处置的股权比例计算的子 公司净资产份额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9,573,799.58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385,393.79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差额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60,366,200.42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-325,393.79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其中：调整资本公积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60,366,200.42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-325,393.79</w:t>
            </w:r>
          </w:p>
        </w:tc>
      </w:tr>
    </w:tbl>
    <w:p>
      <w:pPr>
        <w:pStyle w:val="BodyText"/>
        <w:spacing w:line="240" w:lineRule="auto" w:before="49"/>
        <w:ind w:left="132" w:right="1115"/>
        <w:jc w:val="left"/>
      </w:pPr>
      <w:r>
        <w:rPr/>
        <w:t>其他说明</w:t>
      </w:r>
    </w:p>
    <w:p>
      <w:pPr>
        <w:pStyle w:val="BodyText"/>
        <w:spacing w:line="300" w:lineRule="auto" w:before="117"/>
        <w:ind w:left="132" w:right="1124" w:firstLine="360"/>
        <w:jc w:val="left"/>
      </w:pPr>
      <w:r>
        <w:rPr/>
        <w:t>根据本公司与自然人彭世杰、周青员于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月签署的《广东中拓信息技术有限公司股权转让合同》《中山市蓝天电 </w:t>
      </w:r>
      <w:r>
        <w:rPr>
          <w:spacing w:val="-1"/>
        </w:rPr>
        <w:t>脑有限公司股权转让合同》，本公司分别以</w:t>
      </w:r>
      <w:r>
        <w:rPr>
          <w:rFonts w:ascii="Times New Roman" w:hAnsi="Times New Roman" w:cs="Times New Roman" w:eastAsia="Times New Roman" w:hint="default"/>
          <w:spacing w:val="-1"/>
        </w:rPr>
        <w:t>69,940,000.00</w:t>
      </w:r>
      <w:r>
        <w:rPr>
          <w:spacing w:val="-1"/>
        </w:rPr>
        <w:t>元、</w:t>
      </w:r>
      <w:r>
        <w:rPr>
          <w:rFonts w:ascii="Times New Roman" w:hAnsi="Times New Roman" w:cs="Times New Roman" w:eastAsia="Times New Roman" w:hint="default"/>
          <w:spacing w:val="-1"/>
        </w:rPr>
        <w:t>60,000.00</w:t>
      </w:r>
      <w:r>
        <w:rPr>
          <w:spacing w:val="-1"/>
        </w:rPr>
        <w:t>元的价格收购彭世杰和周青员持有的广东中拓信息技</w:t>
      </w:r>
      <w:r>
        <w:rPr>
          <w:spacing w:val="-71"/>
        </w:rPr>
        <w:t> </w:t>
      </w:r>
      <w:r>
        <w:rPr/>
        <w:t>术有限公司</w:t>
      </w:r>
      <w:r>
        <w:rPr>
          <w:rFonts w:ascii="Times New Roman" w:hAnsi="Times New Roman" w:cs="Times New Roman" w:eastAsia="Times New Roman" w:hint="default"/>
        </w:rPr>
        <w:t>20.00%</w:t>
      </w:r>
      <w:r>
        <w:rPr/>
        <w:t>股权和中山市蓝天电脑有限公司</w:t>
      </w:r>
      <w:r>
        <w:rPr>
          <w:rFonts w:ascii="Times New Roman" w:hAnsi="Times New Roman" w:cs="Times New Roman" w:eastAsia="Times New Roman" w:hint="default"/>
        </w:rPr>
        <w:t>20.00%</w:t>
      </w:r>
      <w:r>
        <w:rPr/>
        <w:t>股权，并已办妥了上述两公司的股权转让相关工商变更手续。截 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日，本公司已支付了股权转让款</w:t>
      </w:r>
      <w:r>
        <w:rPr>
          <w:rFonts w:ascii="Times New Roman" w:hAnsi="Times New Roman" w:cs="Times New Roman" w:eastAsia="Times New Roman" w:hint="default"/>
        </w:rPr>
        <w:t>30,000,000.00</w:t>
      </w:r>
      <w:r>
        <w:rPr/>
        <w:t>元，剩余股权转让款</w:t>
      </w:r>
      <w:r>
        <w:rPr>
          <w:rFonts w:ascii="Times New Roman" w:hAnsi="Times New Roman" w:cs="Times New Roman" w:eastAsia="Times New Roman" w:hint="default"/>
        </w:rPr>
        <w:t>40,000,000.00</w:t>
      </w:r>
      <w:r>
        <w:rPr/>
        <w:t>元尚待支付。</w:t>
      </w:r>
    </w:p>
    <w:p>
      <w:pPr>
        <w:spacing w:line="240" w:lineRule="auto" w:before="2"/>
        <w:rPr>
          <w:rFonts w:ascii="宋体" w:hAnsi="宋体" w:cs="宋体" w:eastAsia="宋体" w:hint="default"/>
          <w:sz w:val="22"/>
          <w:szCs w:val="22"/>
        </w:rPr>
      </w:pPr>
    </w:p>
    <w:p>
      <w:pPr>
        <w:pStyle w:val="Heading3"/>
        <w:spacing w:line="240" w:lineRule="auto"/>
        <w:ind w:left="132" w:right="1115"/>
        <w:jc w:val="left"/>
        <w:rPr>
          <w:b w:val="0"/>
          <w:bCs w:val="0"/>
        </w:rPr>
      </w:pPr>
      <w:bookmarkStart w:name="3、在合营安排或联营企业中的权益" w:id="383"/>
      <w:bookmarkEnd w:id="383"/>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left="132" w:right="1115"/>
        <w:jc w:val="left"/>
        <w:rPr>
          <w:b w:val="0"/>
          <w:bCs w:val="0"/>
        </w:rPr>
      </w:pPr>
      <w:bookmarkStart w:name="（1）重要的合营企业或联营企业" w:id="384"/>
      <w:bookmarkEnd w:id="384"/>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1"/>
        <w:rPr>
          <w:rFonts w:ascii="宋体" w:hAnsi="宋体" w:cs="宋体" w:eastAsia="宋体" w:hint="default"/>
          <w:b/>
          <w:bCs/>
          <w:sz w:val="25"/>
          <w:szCs w:val="25"/>
        </w:rPr>
      </w:pPr>
    </w:p>
    <w:tbl>
      <w:tblPr>
        <w:tblW w:w="0" w:type="auto"/>
        <w:jc w:val="left"/>
        <w:tblInd w:w="129" w:type="dxa"/>
        <w:tblLayout w:type="fixed"/>
        <w:tblCellMar>
          <w:top w:w="0" w:type="dxa"/>
          <w:left w:w="0" w:type="dxa"/>
          <w:bottom w:w="0" w:type="dxa"/>
          <w:right w:w="0" w:type="dxa"/>
        </w:tblCellMar>
        <w:tblLook w:val="01E0"/>
      </w:tblPr>
      <w:tblGrid>
        <w:gridCol w:w="1371"/>
        <w:gridCol w:w="1367"/>
        <w:gridCol w:w="1367"/>
        <w:gridCol w:w="1367"/>
        <w:gridCol w:w="1367"/>
        <w:gridCol w:w="1366"/>
        <w:gridCol w:w="1366"/>
      </w:tblGrid>
      <w:tr>
        <w:trPr>
          <w:trHeight w:val="402" w:hRule="exact"/>
        </w:trPr>
        <w:tc>
          <w:tcPr>
            <w:tcW w:w="1371"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对合营企业或</w:t>
            </w:r>
          </w:p>
        </w:tc>
      </w:tr>
      <w:tr>
        <w:trPr>
          <w:trHeight w:val="578" w:hRule="exact"/>
        </w:trPr>
        <w:tc>
          <w:tcPr>
            <w:tcW w:w="137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0" w:lineRule="exact"/>
              <w:ind w:left="229" w:right="0" w:hanging="89"/>
              <w:jc w:val="left"/>
              <w:rPr>
                <w:rFonts w:ascii="宋体" w:hAnsi="宋体" w:cs="宋体" w:eastAsia="宋体" w:hint="default"/>
                <w:sz w:val="18"/>
                <w:szCs w:val="18"/>
              </w:rPr>
            </w:pPr>
            <w:r>
              <w:rPr>
                <w:rFonts w:ascii="宋体" w:hAnsi="宋体" w:cs="宋体" w:eastAsia="宋体" w:hint="default"/>
                <w:sz w:val="18"/>
                <w:szCs w:val="18"/>
              </w:rPr>
              <w:t>合营企业或联</w:t>
            </w:r>
          </w:p>
          <w:p>
            <w:pPr>
              <w:pStyle w:val="TableParagraph"/>
              <w:spacing w:line="240" w:lineRule="auto" w:before="76"/>
              <w:ind w:left="229" w:right="0"/>
              <w:jc w:val="left"/>
              <w:rPr>
                <w:rFonts w:ascii="宋体" w:hAnsi="宋体" w:cs="宋体" w:eastAsia="宋体" w:hint="default"/>
                <w:sz w:val="18"/>
                <w:szCs w:val="18"/>
              </w:rPr>
            </w:pPr>
            <w:r>
              <w:rPr>
                <w:rFonts w:ascii="宋体" w:hAnsi="宋体" w:cs="宋体" w:eastAsia="宋体" w:hint="default"/>
                <w:sz w:val="18"/>
                <w:szCs w:val="18"/>
              </w:rPr>
              <w:t>营企业名称</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0"/>
              <w:ind w:left="228"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0"/>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0"/>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0" w:lineRule="exact"/>
              <w:ind w:left="138" w:right="0"/>
              <w:jc w:val="left"/>
              <w:rPr>
                <w:rFonts w:ascii="宋体" w:hAnsi="宋体" w:cs="宋体" w:eastAsia="宋体" w:hint="default"/>
                <w:sz w:val="18"/>
                <w:szCs w:val="18"/>
              </w:rPr>
            </w:pPr>
            <w:r>
              <w:rPr>
                <w:rFonts w:ascii="宋体" w:hAnsi="宋体" w:cs="宋体" w:eastAsia="宋体" w:hint="default"/>
                <w:sz w:val="18"/>
                <w:szCs w:val="18"/>
              </w:rPr>
              <w:t>联营企业投资</w:t>
            </w:r>
          </w:p>
          <w:p>
            <w:pPr>
              <w:pStyle w:val="TableParagraph"/>
              <w:spacing w:line="240" w:lineRule="auto" w:before="76"/>
              <w:ind w:left="138" w:right="0"/>
              <w:jc w:val="left"/>
              <w:rPr>
                <w:rFonts w:ascii="宋体" w:hAnsi="宋体" w:cs="宋体" w:eastAsia="宋体" w:hint="default"/>
                <w:sz w:val="18"/>
                <w:szCs w:val="18"/>
              </w:rPr>
            </w:pPr>
            <w:r>
              <w:rPr>
                <w:rFonts w:ascii="宋体" w:hAnsi="宋体" w:cs="宋体" w:eastAsia="宋体" w:hint="default"/>
                <w:sz w:val="18"/>
                <w:szCs w:val="18"/>
              </w:rPr>
              <w:t>的会计处理方</w:t>
            </w:r>
          </w:p>
        </w:tc>
      </w:tr>
      <w:tr>
        <w:trPr>
          <w:trHeight w:val="358" w:hRule="exact"/>
        </w:trPr>
        <w:tc>
          <w:tcPr>
            <w:tcW w:w="1371"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法</w:t>
            </w:r>
          </w:p>
        </w:tc>
      </w:tr>
      <w:tr>
        <w:trPr>
          <w:trHeight w:val="357" w:hRule="exact"/>
        </w:trPr>
        <w:tc>
          <w:tcPr>
            <w:tcW w:w="137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浙江创源环境</w:t>
            </w: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6" w:type="dxa"/>
            <w:vMerge w:val="restart"/>
            <w:tcBorders>
              <w:top w:val="single" w:sz="4" w:space="0" w:color="000000"/>
              <w:left w:val="single" w:sz="4" w:space="0" w:color="000000"/>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科技股份有限</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嘉兴</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嘉兴</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环保监测</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699" w:right="0"/>
              <w:jc w:val="left"/>
              <w:rPr>
                <w:rFonts w:ascii="Times New Roman" w:hAnsi="Times New Roman" w:cs="Times New Roman" w:eastAsia="Times New Roman" w:hint="default"/>
                <w:sz w:val="18"/>
                <w:szCs w:val="18"/>
              </w:rPr>
            </w:pPr>
            <w:r>
              <w:rPr>
                <w:rFonts w:ascii="Times New Roman"/>
                <w:sz w:val="18"/>
              </w:rPr>
              <w:t>47.50%</w:t>
            </w:r>
          </w:p>
        </w:tc>
        <w:tc>
          <w:tcPr>
            <w:tcW w:w="1366" w:type="dxa"/>
            <w:vMerge/>
            <w:tcBorders>
              <w:left w:val="single" w:sz="4" w:space="0" w:color="000000"/>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权益法核算</w:t>
            </w:r>
          </w:p>
        </w:tc>
      </w:tr>
      <w:tr>
        <w:trPr>
          <w:trHeight w:val="353" w:hRule="exact"/>
        </w:trPr>
        <w:tc>
          <w:tcPr>
            <w:tcW w:w="13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6" w:type="dxa"/>
            <w:vMerge/>
            <w:tcBorders>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49"/>
        <w:ind w:left="132" w:right="1115"/>
        <w:jc w:val="left"/>
      </w:pPr>
      <w:r>
        <w:rPr/>
        <w:t>在合营企业或联营企业的持股比例不同于表决权比例的说明：</w:t>
      </w:r>
    </w:p>
    <w:p>
      <w:pPr>
        <w:pStyle w:val="BodyText"/>
        <w:spacing w:line="240" w:lineRule="auto" w:before="117"/>
        <w:ind w:left="132" w:right="1115"/>
        <w:jc w:val="left"/>
      </w:pPr>
      <w:r>
        <w:rPr/>
        <w:t>持有</w:t>
      </w:r>
      <w:r>
        <w:rPr>
          <w:spacing w:val="-47"/>
        </w:rPr>
        <w:t> </w:t>
      </w:r>
      <w:r>
        <w:rPr>
          <w:rFonts w:ascii="Times New Roman" w:hAnsi="Times New Roman" w:cs="Times New Roman" w:eastAsia="Times New Roman" w:hint="default"/>
        </w:rPr>
        <w:t>20%</w:t>
      </w:r>
      <w:r>
        <w:rPr/>
        <w:t>以下表决权但具有重大影响，或者持有</w:t>
      </w:r>
      <w:r>
        <w:rPr>
          <w:spacing w:val="-47"/>
        </w:rPr>
        <w:t> </w:t>
      </w:r>
      <w:r>
        <w:rPr>
          <w:rFonts w:ascii="Times New Roman" w:hAnsi="Times New Roman" w:cs="Times New Roman" w:eastAsia="Times New Roman" w:hint="default"/>
        </w:rPr>
        <w:t>20%</w:t>
      </w:r>
      <w:r>
        <w:rPr/>
        <w:t>或以上表决权但不具有重大影响的依据：</w:t>
      </w:r>
    </w:p>
    <w:p>
      <w:pPr>
        <w:spacing w:after="0" w:line="240" w:lineRule="auto"/>
        <w:jc w:val="left"/>
        <w:sectPr>
          <w:pgSz w:w="11910" w:h="16840"/>
          <w:pgMar w:header="907" w:footer="1016" w:top="1100" w:bottom="1200" w:left="100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2）重要合营企业的主要财务信息" w:id="385"/>
      <w:bookmarkEnd w:id="385"/>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pStyle w:val="BodyText"/>
        <w:spacing w:line="240" w:lineRule="auto" w:before="52"/>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3）重要联营企业的主要财务信息" w:id="386"/>
      <w:bookmarkEnd w:id="386"/>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29" w:right="0"/>
              <w:jc w:val="left"/>
              <w:rPr>
                <w:rFonts w:ascii="宋体" w:hAnsi="宋体" w:cs="宋体" w:eastAsia="宋体" w:hint="default"/>
                <w:sz w:val="18"/>
                <w:szCs w:val="18"/>
              </w:rPr>
            </w:pPr>
            <w:r>
              <w:rPr>
                <w:rFonts w:ascii="宋体" w:hAnsi="宋体" w:cs="宋体" w:eastAsia="宋体" w:hint="default"/>
                <w:sz w:val="18"/>
                <w:szCs w:val="18"/>
              </w:rPr>
              <w:t>浙江创源环境科技股份有限公司</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29" w:right="0"/>
              <w:jc w:val="left"/>
              <w:rPr>
                <w:rFonts w:ascii="宋体" w:hAnsi="宋体" w:cs="宋体" w:eastAsia="宋体" w:hint="default"/>
                <w:sz w:val="18"/>
                <w:szCs w:val="18"/>
              </w:rPr>
            </w:pPr>
            <w:r>
              <w:rPr>
                <w:rFonts w:ascii="宋体" w:hAnsi="宋体" w:cs="宋体" w:eastAsia="宋体" w:hint="default"/>
                <w:sz w:val="18"/>
                <w:szCs w:val="18"/>
              </w:rPr>
              <w:t>浙江创源环境科技股份有限公司</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106,600,432.97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108,434,055.98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15,817,348.11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3,954,833.64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122,417,781.08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112,388,889.62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36,492,745.46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41,119,173.54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1,788,830.40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38,281,575.86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41,119,173.54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173,351.32</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83,962,853.90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39,882,355.60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33,853,115.14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对联营企业权益投资的账面价值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50,044,068.17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44,014,827.71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129,988,662.01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139,563,057.90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12,666,489.14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17,363,724.94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12,666,489.14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17,363,724.94</w:t>
            </w:r>
          </w:p>
        </w:tc>
      </w:tr>
    </w:tbl>
    <w:p>
      <w:pPr>
        <w:pStyle w:val="BodyText"/>
        <w:spacing w:line="240" w:lineRule="auto" w:before="5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4）不重要的合营企业和联营企业的汇总财务信息" w:id="387"/>
      <w:bookmarkEnd w:id="387"/>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89"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128,661,978.18</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130,176,228.95</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0"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-4,423,043.01</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-2,225,714.38</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42" w:right="0"/>
              <w:jc w:val="left"/>
              <w:rPr>
                <w:rFonts w:ascii="Times New Roman" w:hAnsi="Times New Roman" w:cs="Times New Roman" w:eastAsia="Times New Roman" w:hint="default"/>
                <w:sz w:val="18"/>
                <w:szCs w:val="18"/>
              </w:rPr>
            </w:pPr>
            <w:r>
              <w:rPr>
                <w:rFonts w:ascii="Times New Roman"/>
                <w:sz w:val="18"/>
              </w:rPr>
              <w:t>-4,423,043.01</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068" w:right="0"/>
              <w:jc w:val="left"/>
              <w:rPr>
                <w:rFonts w:ascii="Times New Roman" w:hAnsi="Times New Roman" w:cs="Times New Roman" w:eastAsia="Times New Roman" w:hint="default"/>
                <w:sz w:val="18"/>
                <w:szCs w:val="18"/>
              </w:rPr>
            </w:pPr>
            <w:r>
              <w:rPr>
                <w:rFonts w:ascii="Times New Roman"/>
                <w:sz w:val="18"/>
              </w:rPr>
              <w:t>-2,225,714.38</w:t>
            </w:r>
          </w:p>
        </w:tc>
      </w:tr>
    </w:tbl>
    <w:p>
      <w:pPr>
        <w:pStyle w:val="BodyText"/>
        <w:spacing w:line="240" w:lineRule="auto" w:before="51"/>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5）合营企业或联营企业向本公司转移资金的能力存在重大限制的说明" w:id="388"/>
      <w:bookmarkEnd w:id="388"/>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6）合营企业或联营企业发生的超额亏损" w:id="389"/>
      <w:bookmarkEnd w:id="389"/>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0"/>
        <w:gridCol w:w="2392"/>
        <w:gridCol w:w="2392"/>
        <w:gridCol w:w="2394"/>
      </w:tblGrid>
      <w:tr>
        <w:trPr>
          <w:trHeight w:val="71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100" w:right="108" w:hanging="989"/>
              <w:jc w:val="left"/>
              <w:rPr>
                <w:rFonts w:ascii="宋体" w:hAnsi="宋体" w:cs="宋体" w:eastAsia="宋体" w:hint="default"/>
                <w:sz w:val="18"/>
                <w:szCs w:val="18"/>
              </w:rPr>
            </w:pPr>
            <w:r>
              <w:rPr>
                <w:rFonts w:ascii="宋体" w:hAnsi="宋体" w:cs="宋体" w:eastAsia="宋体" w:hint="default"/>
                <w:sz w:val="18"/>
                <w:szCs w:val="18"/>
              </w:rPr>
              <w:t>累积未确认前期累计认的损 失</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61" w:right="110" w:hanging="452"/>
              <w:jc w:val="left"/>
              <w:rPr>
                <w:rFonts w:ascii="宋体" w:hAnsi="宋体" w:cs="宋体" w:eastAsia="宋体" w:hint="default"/>
                <w:sz w:val="18"/>
                <w:szCs w:val="18"/>
              </w:rPr>
            </w:pPr>
            <w:r>
              <w:rPr>
                <w:rFonts w:ascii="宋体" w:hAnsi="宋体" w:cs="宋体" w:eastAsia="宋体" w:hint="default"/>
                <w:sz w:val="18"/>
                <w:szCs w:val="18"/>
              </w:rPr>
              <w:t>本期未确认的损失（或本期 分享的净利润）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bl>
    <w:p>
      <w:pPr>
        <w:pStyle w:val="BodyText"/>
        <w:spacing w:line="240" w:lineRule="auto" w:before="50"/>
        <w:ind w:right="0"/>
        <w:jc w:val="both"/>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both"/>
        <w:rPr>
          <w:b w:val="0"/>
          <w:bCs w:val="0"/>
        </w:rPr>
      </w:pPr>
      <w:bookmarkStart w:name="（7）与合营企业投资相关的未确认承诺" w:id="390"/>
      <w:bookmarkEnd w:id="390"/>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both"/>
        <w:rPr>
          <w:b w:val="0"/>
          <w:bCs w:val="0"/>
        </w:rPr>
      </w:pPr>
      <w:bookmarkStart w:name="（8）与合营企业或联营企业投资相关的或有负债" w:id="391"/>
      <w:bookmarkEnd w:id="391"/>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10"/>
        <w:rPr>
          <w:rFonts w:ascii="宋体" w:hAnsi="宋体" w:cs="宋体" w:eastAsia="宋体" w:hint="default"/>
          <w:b/>
          <w:bCs/>
          <w:sz w:val="22"/>
          <w:szCs w:val="22"/>
        </w:rPr>
      </w:pPr>
    </w:p>
    <w:p>
      <w:pPr>
        <w:pStyle w:val="Heading2"/>
        <w:spacing w:line="240" w:lineRule="auto"/>
        <w:ind w:right="0"/>
        <w:jc w:val="both"/>
        <w:rPr>
          <w:b w:val="0"/>
          <w:bCs w:val="0"/>
        </w:rPr>
      </w:pPr>
      <w:bookmarkStart w:name="十、与金融工具相关的风险" w:id="392"/>
      <w:bookmarkEnd w:id="392"/>
      <w:r>
        <w:rPr>
          <w:b w:val="0"/>
          <w:bCs w:val="0"/>
        </w:rPr>
      </w:r>
      <w:r>
        <w:rPr/>
        <w:t>十、与金融工具相关的风险</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882" w:firstLine="420"/>
        <w:jc w:val="left"/>
      </w:pPr>
      <w:r>
        <w:rPr/>
        <w:t>本公司从事风险管理的目标是在风险和收益之间取得平衡，将风险对本公司经营业绩的负面影响降至最低水平，使股 </w:t>
      </w:r>
      <w:r>
        <w:rPr>
          <w:spacing w:val="-4"/>
        </w:rPr>
        <w:t>东和其他权益投资者的利益最大化。基于该风险管理目标，本公司风险管理的基本策略是确认和分析本公司面临的各种风险，</w:t>
      </w:r>
      <w:r>
        <w:rPr>
          <w:spacing w:val="-41"/>
        </w:rPr>
        <w:t> </w:t>
      </w:r>
      <w:r>
        <w:rPr>
          <w:spacing w:val="-41"/>
        </w:rPr>
      </w:r>
      <w:r>
        <w:rPr/>
        <w:t>建立适当的风险承受底线和进行风险管理，并及时可靠地对各种风险进行监督，将风险控制在限定的范围内。</w:t>
      </w:r>
    </w:p>
    <w:p>
      <w:pPr>
        <w:pStyle w:val="BodyText"/>
        <w:spacing w:line="316" w:lineRule="auto" w:before="19"/>
        <w:ind w:right="882" w:firstLine="420"/>
        <w:jc w:val="left"/>
      </w:pPr>
      <w:r>
        <w:rPr/>
        <w:t>本公司在日常活动中面临各种与金融工具相关的风险，主要包括信用风险、流动性风险及市场风险。管理层已审议并 批准管理这些风险的政策，概括如下。</w:t>
      </w:r>
    </w:p>
    <w:p>
      <w:pPr>
        <w:pStyle w:val="BodyText"/>
        <w:spacing w:line="316" w:lineRule="auto" w:before="19"/>
        <w:ind w:left="532" w:right="3854"/>
        <w:jc w:val="left"/>
      </w:pPr>
      <w:r>
        <w:rPr/>
        <w:t>（一）</w:t>
      </w:r>
      <w:r>
        <w:rPr>
          <w:spacing w:val="1"/>
        </w:rPr>
        <w:t> </w:t>
      </w:r>
      <w:r>
        <w:rPr/>
        <w:t>信用风险</w:t>
      </w:r>
      <w:r>
        <w:rPr/>
        <w:t> 信用风险，是指金融工具的一方不能履行义务，造成另一方发生财务损失的风险。 </w:t>
      </w:r>
      <w:r>
        <w:rPr>
          <w:rFonts w:ascii="Times New Roman" w:hAnsi="Times New Roman" w:cs="Times New Roman" w:eastAsia="Times New Roman" w:hint="default"/>
        </w:rPr>
        <w:t>1.  </w:t>
      </w:r>
      <w:r>
        <w:rPr/>
        <w:t>信用风险管理实务</w:t>
      </w:r>
    </w:p>
    <w:p>
      <w:pPr>
        <w:pStyle w:val="BodyText"/>
        <w:spacing w:line="300" w:lineRule="auto"/>
        <w:ind w:left="532" w:right="882"/>
        <w:jc w:val="left"/>
      </w:pPr>
      <w:r>
        <w:rPr/>
        <w:t>（</w:t>
      </w:r>
      <w:r>
        <w:rPr>
          <w:rFonts w:ascii="Times New Roman" w:hAnsi="Times New Roman" w:cs="Times New Roman" w:eastAsia="Times New Roman" w:hint="default"/>
        </w:rPr>
        <w:t>1</w:t>
      </w:r>
      <w:r>
        <w:rPr/>
        <w:t>）</w:t>
      </w:r>
      <w:r>
        <w:rPr>
          <w:spacing w:val="-2"/>
        </w:rPr>
        <w:t> </w:t>
      </w:r>
      <w:r>
        <w:rPr/>
        <w:t>信用风险的评价方法</w:t>
      </w:r>
      <w:r>
        <w:rPr/>
        <w:t> 公司在每个资产负债表日评估相关金融工具的信用风险自初始确认后是否已显著增加。在确定信用风险自初始确认后</w:t>
      </w:r>
    </w:p>
    <w:p>
      <w:pPr>
        <w:pStyle w:val="BodyText"/>
        <w:spacing w:line="316" w:lineRule="auto" w:before="31"/>
        <w:ind w:right="1130"/>
        <w:jc w:val="both"/>
      </w:pPr>
      <w:r>
        <w:rPr>
          <w:spacing w:val="-2"/>
        </w:rPr>
        <w:t>是否显著增加时，公司考虑在无须付出不必要的额外成本或努力即可获得合理且有依据的信息，包括基于历史数据的定性和</w:t>
      </w:r>
      <w:r>
        <w:rPr>
          <w:spacing w:val="-64"/>
        </w:rPr>
        <w:t> </w:t>
      </w:r>
      <w:r>
        <w:rPr>
          <w:spacing w:val="-64"/>
        </w:rPr>
      </w:r>
      <w:r>
        <w:rPr>
          <w:spacing w:val="-2"/>
        </w:rPr>
        <w:t>定量分析、外部信用风险评级以及前瞻性信息。公司以单项金融工具或者具有相似信用风险特征的金融工具组合为基础，通</w:t>
      </w:r>
      <w:r>
        <w:rPr>
          <w:spacing w:val="-63"/>
        </w:rPr>
        <w:t> </w:t>
      </w:r>
      <w:r>
        <w:rPr>
          <w:spacing w:val="-63"/>
        </w:rPr>
      </w:r>
      <w:r>
        <w:rPr>
          <w:spacing w:val="-2"/>
        </w:rPr>
        <w:t>过比较金融工具在资产负债表日发生违约的风险与在初始确认日发生违约的风险，以确定金融工具预计存续期内发生违约风</w:t>
      </w:r>
      <w:r>
        <w:rPr>
          <w:spacing w:val="-64"/>
        </w:rPr>
        <w:t> </w:t>
      </w:r>
      <w:r>
        <w:rPr>
          <w:spacing w:val="-64"/>
        </w:rPr>
      </w:r>
      <w:r>
        <w:rPr/>
        <w:t>险的变化情况。</w:t>
      </w:r>
    </w:p>
    <w:p>
      <w:pPr>
        <w:pStyle w:val="BodyText"/>
        <w:spacing w:line="240" w:lineRule="auto" w:before="19"/>
        <w:ind w:left="532" w:right="882"/>
        <w:jc w:val="left"/>
      </w:pPr>
      <w:r>
        <w:rPr/>
        <w:t>当触发以下一个或多个标准时，公司认为金融工具的信用风险已发生显著增加：</w:t>
      </w:r>
    </w:p>
    <w:p>
      <w:pPr>
        <w:pStyle w:val="BodyText"/>
        <w:spacing w:line="240" w:lineRule="auto" w:before="76"/>
        <w:ind w:left="532" w:right="882"/>
        <w:jc w:val="left"/>
      </w:pPr>
      <w:r>
        <w:rPr>
          <w:rFonts w:ascii="Times New Roman" w:hAnsi="Times New Roman" w:cs="Times New Roman" w:eastAsia="Times New Roman" w:hint="default"/>
        </w:rPr>
        <w:t>1</w:t>
      </w:r>
      <w:r>
        <w:rPr/>
        <w:t>）</w:t>
      </w:r>
      <w:r>
        <w:rPr>
          <w:spacing w:val="-1"/>
        </w:rPr>
        <w:t> </w:t>
      </w:r>
      <w:r>
        <w:rPr/>
        <w:t>资产负债表日剩余存续期违约概率较初始确认时上升超过一定比例；</w:t>
      </w:r>
    </w:p>
    <w:p>
      <w:pPr>
        <w:pStyle w:val="BodyText"/>
        <w:spacing w:line="300" w:lineRule="auto" w:before="63"/>
        <w:ind w:right="1127" w:firstLine="420"/>
        <w:jc w:val="left"/>
      </w:pPr>
      <w:r>
        <w:rPr>
          <w:rFonts w:ascii="Times New Roman" w:hAnsi="Times New Roman" w:cs="Times New Roman" w:eastAsia="Times New Roman" w:hint="default"/>
        </w:rPr>
        <w:t>2</w:t>
      </w:r>
      <w:r>
        <w:rPr/>
        <w:t>）</w:t>
      </w:r>
      <w:r>
        <w:rPr>
          <w:spacing w:val="27"/>
        </w:rPr>
        <w:t> </w:t>
      </w:r>
      <w:r>
        <w:rPr/>
        <w:t>债务人经营或财务情况出现重大不利变化、现存的或预期的技术、市场、经济或法律环境变化并将对债务人对公</w:t>
      </w:r>
      <w:r>
        <w:rPr/>
        <w:t> 司的还款能力产生重大不利影响等。</w:t>
      </w:r>
    </w:p>
    <w:p>
      <w:pPr>
        <w:pStyle w:val="BodyText"/>
        <w:spacing w:line="309" w:lineRule="auto" w:before="31"/>
        <w:ind w:left="532" w:right="1026"/>
        <w:jc w:val="left"/>
      </w:pPr>
      <w:r>
        <w:rPr/>
        <w:t>（</w:t>
      </w:r>
      <w:r>
        <w:rPr>
          <w:rFonts w:ascii="Times New Roman" w:hAnsi="Times New Roman" w:cs="Times New Roman" w:eastAsia="Times New Roman" w:hint="default"/>
        </w:rPr>
        <w:t>2</w:t>
      </w:r>
      <w:r>
        <w:rPr/>
        <w:t>）</w:t>
      </w:r>
      <w:r>
        <w:rPr>
          <w:spacing w:val="-2"/>
        </w:rPr>
        <w:t> </w:t>
      </w:r>
      <w:r>
        <w:rPr/>
        <w:t>违约和已发生信用减值资产的定义</w:t>
      </w:r>
      <w:r>
        <w:rPr/>
        <w:t> </w:t>
      </w:r>
      <w:r>
        <w:rPr>
          <w:spacing w:val="-1"/>
        </w:rPr>
        <w:t>当金融工具符合以下一项或多项条件时，公司将该金融资产界定为已发生违约，其标准与已发生信用减值的定义一致：</w:t>
      </w:r>
      <w:r>
        <w:rPr/>
        <w:t> </w:t>
      </w:r>
      <w:r>
        <w:rPr>
          <w:rFonts w:ascii="Times New Roman" w:hAnsi="Times New Roman" w:cs="Times New Roman" w:eastAsia="Times New Roman" w:hint="default"/>
        </w:rPr>
        <w:t>1</w:t>
      </w:r>
      <w:r>
        <w:rPr/>
        <w:t>）</w:t>
      </w:r>
      <w:r>
        <w:rPr>
          <w:spacing w:val="-1"/>
        </w:rPr>
        <w:t> </w:t>
      </w:r>
      <w:r>
        <w:rPr/>
        <w:t>债务人发生重大财务困难；</w:t>
      </w:r>
    </w:p>
    <w:p>
      <w:pPr>
        <w:pStyle w:val="BodyText"/>
        <w:spacing w:line="240" w:lineRule="auto" w:before="5"/>
        <w:ind w:left="532" w:right="882"/>
        <w:jc w:val="left"/>
      </w:pPr>
      <w:r>
        <w:rPr>
          <w:rFonts w:ascii="Times New Roman" w:hAnsi="Times New Roman" w:cs="Times New Roman" w:eastAsia="Times New Roman" w:hint="default"/>
        </w:rPr>
        <w:t>2</w:t>
      </w:r>
      <w:r>
        <w:rPr/>
        <w:t>）</w:t>
      </w:r>
      <w:r>
        <w:rPr>
          <w:spacing w:val="-1"/>
        </w:rPr>
        <w:t> </w:t>
      </w:r>
      <w:r>
        <w:rPr/>
        <w:t>债务人违反合同中对债务人的约束条款；</w:t>
      </w:r>
    </w:p>
    <w:p>
      <w:pPr>
        <w:pStyle w:val="BodyText"/>
        <w:spacing w:line="240" w:lineRule="auto" w:before="63"/>
        <w:ind w:left="532" w:right="882"/>
        <w:jc w:val="left"/>
      </w:pPr>
      <w:r>
        <w:rPr>
          <w:rFonts w:ascii="Times New Roman" w:hAnsi="Times New Roman" w:cs="Times New Roman" w:eastAsia="Times New Roman" w:hint="default"/>
        </w:rPr>
        <w:t>3</w:t>
      </w:r>
      <w:r>
        <w:rPr/>
        <w:t>）</w:t>
      </w:r>
      <w:r>
        <w:rPr>
          <w:spacing w:val="-1"/>
        </w:rPr>
        <w:t> </w:t>
      </w:r>
      <w:r>
        <w:rPr/>
        <w:t>债务人很可能破产或进行其他财务重组；</w:t>
      </w:r>
    </w:p>
    <w:p>
      <w:pPr>
        <w:pStyle w:val="BodyText"/>
        <w:spacing w:line="240" w:lineRule="auto" w:before="63"/>
        <w:ind w:left="532" w:right="882"/>
        <w:jc w:val="left"/>
      </w:pPr>
      <w:r>
        <w:rPr>
          <w:rFonts w:ascii="Times New Roman" w:hAnsi="Times New Roman" w:cs="Times New Roman" w:eastAsia="Times New Roman" w:hint="default"/>
        </w:rPr>
        <w:t>4</w:t>
      </w:r>
      <w:r>
        <w:rPr/>
        <w:t>）</w:t>
      </w:r>
      <w:r>
        <w:rPr>
          <w:spacing w:val="-1"/>
        </w:rPr>
        <w:t> </w:t>
      </w:r>
      <w:r>
        <w:rPr/>
        <w:t>债权人出于与债务人财务困难有关的经济或合同考虑，给予债务人在任何其他情况下都不会做出的让步。</w:t>
      </w:r>
    </w:p>
    <w:p>
      <w:pPr>
        <w:pStyle w:val="BodyText"/>
        <w:spacing w:line="300" w:lineRule="auto" w:before="63"/>
        <w:ind w:left="532" w:right="1026"/>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44"/>
        </w:rPr>
        <w:t> </w:t>
      </w:r>
      <w:r>
        <w:rPr/>
        <w:t>预期信用损失的计量 </w:t>
      </w:r>
      <w:r>
        <w:rPr>
          <w:spacing w:val="-1"/>
        </w:rPr>
        <w:t>预期信用损失计量的关键参数包括违约概率、违约损失率和违约风险敞口。公司考虑历史统计数据（如交易对手评级、</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132" w:right="1115"/>
        <w:jc w:val="left"/>
      </w:pPr>
      <w:r>
        <w:rPr/>
        <w:t>担保方式及抵质押物类别、还款方式等）的定量分析及前瞻性信息，建立违约概率、违约损失率及违约风险敞口模型。</w:t>
      </w:r>
    </w:p>
    <w:p>
      <w:pPr>
        <w:pStyle w:val="BodyText"/>
        <w:spacing w:line="240" w:lineRule="auto" w:before="76"/>
        <w:ind w:left="552" w:right="1115"/>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44"/>
        </w:rPr>
        <w:t> </w:t>
      </w:r>
      <w:r>
        <w:rPr/>
        <w:t>金融工具损失准备期初余额与期末余额调节表详见本财务报表附注五（一）</w:t>
      </w:r>
      <w:r>
        <w:rPr>
          <w:rFonts w:ascii="Times New Roman" w:hAnsi="Times New Roman" w:cs="Times New Roman" w:eastAsia="Times New Roman" w:hint="default"/>
        </w:rPr>
        <w:t>2</w:t>
      </w:r>
      <w:r>
        <w:rPr/>
        <w:t>、五（一）</w:t>
      </w:r>
      <w:r>
        <w:rPr>
          <w:rFonts w:ascii="Times New Roman" w:hAnsi="Times New Roman" w:cs="Times New Roman" w:eastAsia="Times New Roman" w:hint="default"/>
        </w:rPr>
        <w:t>3</w:t>
      </w:r>
      <w:r>
        <w:rPr/>
        <w:t>、五（一）</w:t>
      </w:r>
      <w:r>
        <w:rPr>
          <w:rFonts w:ascii="Times New Roman" w:hAnsi="Times New Roman" w:cs="Times New Roman" w:eastAsia="Times New Roman" w:hint="default"/>
        </w:rPr>
        <w:t>6</w:t>
      </w:r>
      <w:r>
        <w:rPr/>
        <w:t>之说明。</w:t>
      </w:r>
    </w:p>
    <w:p>
      <w:pPr>
        <w:pStyle w:val="BodyText"/>
        <w:spacing w:line="300" w:lineRule="auto" w:before="63"/>
        <w:ind w:left="552" w:right="2234"/>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44"/>
        </w:rPr>
        <w:t> </w:t>
      </w:r>
      <w:r>
        <w:rPr/>
        <w:t>信用风险敞口及信用风险集中度 本公司的信用风险主要来自货币资金和应收款项。为控制上述相关风险，本公司分别采取了以下措施。</w:t>
      </w:r>
    </w:p>
    <w:p>
      <w:pPr>
        <w:pStyle w:val="BodyText"/>
        <w:spacing w:line="300" w:lineRule="auto" w:before="31"/>
        <w:ind w:left="552" w:right="3314"/>
        <w:jc w:val="left"/>
      </w:pPr>
      <w:r>
        <w:rPr/>
        <w:t>（</w:t>
      </w:r>
      <w:r>
        <w:rPr>
          <w:rFonts w:ascii="Times New Roman" w:hAnsi="Times New Roman" w:cs="Times New Roman" w:eastAsia="Times New Roman" w:hint="default"/>
        </w:rPr>
        <w:t>1</w:t>
      </w:r>
      <w:r>
        <w:rPr/>
        <w:t>）</w:t>
      </w:r>
      <w:r>
        <w:rPr>
          <w:spacing w:val="-2"/>
        </w:rPr>
        <w:t> </w:t>
      </w:r>
      <w:r>
        <w:rPr/>
        <w:t>货币资金</w:t>
      </w:r>
      <w:r>
        <w:rPr/>
        <w:t> 本公司将银行存款和其他货币资金存放于信用评级较高的金融机构，故其信用风险较低。</w:t>
      </w:r>
    </w:p>
    <w:p>
      <w:pPr>
        <w:pStyle w:val="BodyText"/>
        <w:spacing w:line="300" w:lineRule="auto" w:before="31"/>
        <w:ind w:left="552" w:right="1115"/>
        <w:jc w:val="left"/>
      </w:pPr>
      <w:r>
        <w:rPr/>
        <w:t>（</w:t>
      </w:r>
      <w:r>
        <w:rPr>
          <w:rFonts w:ascii="Times New Roman" w:hAnsi="Times New Roman" w:cs="Times New Roman" w:eastAsia="Times New Roman" w:hint="default"/>
        </w:rPr>
        <w:t>2</w:t>
      </w:r>
      <w:r>
        <w:rPr/>
        <w:t>）</w:t>
      </w:r>
      <w:r>
        <w:rPr>
          <w:spacing w:val="-2"/>
        </w:rPr>
        <w:t> </w:t>
      </w:r>
      <w:r>
        <w:rPr/>
        <w:t>应收款项</w:t>
      </w:r>
      <w:r>
        <w:rPr/>
        <w:t> 本公司定期对采用信用方式交易的客户进行信用评估。根据信用评估结果，本公司选择与经认可的且信用良好的客户</w:t>
      </w:r>
    </w:p>
    <w:p>
      <w:pPr>
        <w:pStyle w:val="BodyText"/>
        <w:spacing w:line="316" w:lineRule="auto" w:before="31"/>
        <w:ind w:left="552" w:right="1115" w:hanging="420"/>
        <w:jc w:val="left"/>
        <w:rPr>
          <w:rFonts w:ascii="Times New Roman" w:hAnsi="Times New Roman" w:cs="Times New Roman" w:eastAsia="Times New Roman" w:hint="default"/>
        </w:rPr>
      </w:pPr>
      <w:r>
        <w:rPr/>
        <w:t>进行交易，并对其应收款项余额进行监控，以确保本公司不会面临重大坏账风险。 由于本公司的应收账款风险点分布于多个合作方和多个客户，截至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日，本公司应收账款的</w:t>
      </w:r>
      <w:r>
        <w:rPr>
          <w:rFonts w:ascii="Times New Roman" w:hAnsi="Times New Roman" w:cs="Times New Roman" w:eastAsia="Times New Roman" w:hint="default"/>
        </w:rPr>
        <w:t>21.79%</w:t>
      </w:r>
      <w:r>
        <w:rPr/>
        <w:t>（</w:t>
      </w:r>
      <w:r>
        <w:rPr>
          <w:rFonts w:ascii="Times New Roman" w:hAnsi="Times New Roman" w:cs="Times New Roman" w:eastAsia="Times New Roman" w:hint="default"/>
        </w:rPr>
        <w:t>2018</w:t>
      </w:r>
    </w:p>
    <w:p>
      <w:pPr>
        <w:pStyle w:val="BodyText"/>
        <w:spacing w:line="248" w:lineRule="exact"/>
        <w:ind w:left="132" w:right="1115"/>
        <w:jc w:val="left"/>
      </w:pP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rFonts w:ascii="Times New Roman" w:hAnsi="Times New Roman" w:cs="Times New Roman" w:eastAsia="Times New Roman" w:hint="default"/>
        </w:rPr>
        <w:t>15.40%</w:t>
      </w:r>
      <w:r>
        <w:rPr/>
        <w:t>）源于余额前五名客户，本公司不存在重大的信用集中风险。</w:t>
      </w:r>
    </w:p>
    <w:p>
      <w:pPr>
        <w:pStyle w:val="BodyText"/>
        <w:spacing w:line="316" w:lineRule="auto" w:before="63"/>
        <w:ind w:left="552" w:right="1115"/>
        <w:jc w:val="left"/>
      </w:pPr>
      <w:r>
        <w:rPr/>
        <w:t>（二）</w:t>
      </w:r>
      <w:r>
        <w:rPr>
          <w:spacing w:val="1"/>
        </w:rPr>
        <w:t> </w:t>
      </w:r>
      <w:r>
        <w:rPr/>
        <w:t>流动性风险</w:t>
      </w:r>
      <w:r>
        <w:rPr/>
        <w:t> 流动性风险，是指本公司在履行以交付现金或其他金融资产的方式结算的义务时发生资金短缺的风险。流动性风险可</w:t>
      </w:r>
    </w:p>
    <w:p>
      <w:pPr>
        <w:pStyle w:val="BodyText"/>
        <w:spacing w:line="316" w:lineRule="auto" w:before="19"/>
        <w:ind w:left="132" w:right="1115"/>
        <w:jc w:val="left"/>
      </w:pPr>
      <w:r>
        <w:rPr>
          <w:spacing w:val="-2"/>
        </w:rPr>
        <w:t>能源于无法尽快以公允价值售出金融资产；或者源于对方无法偿还其合同债务；或者源于提前到期的债务；或者源于无法产</w:t>
      </w:r>
      <w:r>
        <w:rPr>
          <w:spacing w:val="-63"/>
        </w:rPr>
        <w:t> </w:t>
      </w:r>
      <w:r>
        <w:rPr>
          <w:spacing w:val="-63"/>
        </w:rPr>
      </w:r>
      <w:r>
        <w:rPr/>
        <w:t>生预期的现金流量。</w:t>
      </w:r>
    </w:p>
    <w:p>
      <w:pPr>
        <w:pStyle w:val="BodyText"/>
        <w:spacing w:line="316" w:lineRule="auto" w:before="19"/>
        <w:ind w:left="132" w:right="1132" w:firstLine="420"/>
        <w:jc w:val="both"/>
      </w:pPr>
      <w:r>
        <w:rPr/>
        <w:t>为控制该项风险，本公司综合运用票据结算、银行借款等多种融资手段，并采取长、短期融资方式适当结合，优化融 </w:t>
      </w:r>
      <w:r>
        <w:rPr>
          <w:spacing w:val="-2"/>
        </w:rPr>
        <w:t>资结构的方法，保持融资持续性与灵活性之间的平衡。本公司已从多家商业银行取得银行授信额度以满足营运资金需求和资</w:t>
      </w:r>
      <w:r>
        <w:rPr>
          <w:spacing w:val="-64"/>
        </w:rPr>
        <w:t> </w:t>
      </w:r>
      <w:r>
        <w:rPr>
          <w:spacing w:val="-64"/>
        </w:rPr>
      </w:r>
      <w:r>
        <w:rPr/>
        <w:t>本开支。</w:t>
      </w:r>
    </w:p>
    <w:p>
      <w:pPr>
        <w:pStyle w:val="BodyText"/>
        <w:spacing w:line="240" w:lineRule="auto" w:before="19"/>
        <w:ind w:left="552" w:right="1115"/>
        <w:jc w:val="left"/>
      </w:pPr>
      <w:r>
        <w:rPr/>
        <w:t>金融负债按剩余到期日分类</w:t>
      </w:r>
    </w:p>
    <w:p>
      <w:pPr>
        <w:spacing w:line="240" w:lineRule="auto" w:before="13"/>
        <w:rPr>
          <w:rFonts w:ascii="宋体" w:hAnsi="宋体" w:cs="宋体" w:eastAsia="宋体" w:hint="default"/>
          <w:sz w:val="4"/>
          <w:szCs w:val="4"/>
        </w:rPr>
      </w:pPr>
    </w:p>
    <w:tbl>
      <w:tblPr>
        <w:tblW w:w="0" w:type="auto"/>
        <w:jc w:val="left"/>
        <w:tblInd w:w="117" w:type="dxa"/>
        <w:tblLayout w:type="fixed"/>
        <w:tblCellMar>
          <w:top w:w="0" w:type="dxa"/>
          <w:left w:w="0" w:type="dxa"/>
          <w:bottom w:w="0" w:type="dxa"/>
          <w:right w:w="0" w:type="dxa"/>
        </w:tblCellMar>
        <w:tblLook w:val="01E0"/>
      </w:tblPr>
      <w:tblGrid>
        <w:gridCol w:w="1927"/>
        <w:gridCol w:w="1764"/>
        <w:gridCol w:w="1793"/>
        <w:gridCol w:w="1704"/>
        <w:gridCol w:w="1257"/>
        <w:gridCol w:w="1211"/>
      </w:tblGrid>
      <w:tr>
        <w:trPr>
          <w:trHeight w:val="347" w:hRule="exact"/>
        </w:trPr>
        <w:tc>
          <w:tcPr>
            <w:tcW w:w="1927" w:type="dxa"/>
            <w:vMerge w:val="restart"/>
            <w:tcBorders>
              <w:top w:val="single" w:sz="6" w:space="0" w:color="000000"/>
              <w:left w:val="single" w:sz="6" w:space="0" w:color="000000"/>
              <w:right w:val="single" w:sz="6" w:space="0" w:color="000000"/>
            </w:tcBorders>
            <w:shd w:val="clear" w:color="auto" w:fill="D6D6D6"/>
          </w:tcPr>
          <w:p>
            <w:pPr>
              <w:pStyle w:val="TableParagraph"/>
              <w:spacing w:line="240" w:lineRule="auto" w:before="21"/>
              <w:ind w:left="182"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7729" w:type="dxa"/>
            <w:gridSpan w:val="5"/>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47" w:hRule="exact"/>
        </w:trPr>
        <w:tc>
          <w:tcPr>
            <w:tcW w:w="1927" w:type="dxa"/>
            <w:vMerge/>
            <w:tcBorders>
              <w:left w:val="single" w:sz="6" w:space="0" w:color="000000"/>
              <w:bottom w:val="single" w:sz="6" w:space="0" w:color="000000"/>
              <w:right w:val="single" w:sz="6" w:space="0" w:color="000000"/>
            </w:tcBorders>
            <w:shd w:val="clear" w:color="auto" w:fill="D6D6D6"/>
          </w:tcPr>
          <w:p>
            <w:pPr/>
          </w:p>
        </w:tc>
        <w:tc>
          <w:tcPr>
            <w:tcW w:w="1764"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2"/>
              <w:ind w:left="514"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793"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2"/>
              <w:ind w:left="3" w:right="0"/>
              <w:jc w:val="left"/>
              <w:rPr>
                <w:rFonts w:ascii="宋体" w:hAnsi="宋体" w:cs="宋体" w:eastAsia="宋体" w:hint="default"/>
                <w:sz w:val="18"/>
                <w:szCs w:val="18"/>
              </w:rPr>
            </w:pPr>
            <w:r>
              <w:rPr>
                <w:rFonts w:ascii="宋体" w:hAnsi="宋体" w:cs="宋体" w:eastAsia="宋体" w:hint="default"/>
                <w:sz w:val="18"/>
                <w:szCs w:val="18"/>
              </w:rPr>
              <w:t>未折现合同金额</w:t>
            </w:r>
          </w:p>
        </w:tc>
        <w:tc>
          <w:tcPr>
            <w:tcW w:w="1704"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2"/>
              <w:ind w:left="5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257"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2"/>
              <w:ind w:left="41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年</w:t>
            </w:r>
          </w:p>
        </w:tc>
        <w:tc>
          <w:tcPr>
            <w:tcW w:w="1211"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2"/>
              <w:ind w:left="2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r>
      <w:tr>
        <w:trPr>
          <w:trHeight w:val="347" w:hRule="exact"/>
        </w:trPr>
        <w:tc>
          <w:tcPr>
            <w:tcW w:w="19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银行借款</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203,165,094.81</w:t>
            </w:r>
          </w:p>
        </w:tc>
        <w:tc>
          <w:tcPr>
            <w:tcW w:w="17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209,480,154.56</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209,480,154.56</w:t>
            </w:r>
          </w:p>
        </w:tc>
        <w:tc>
          <w:tcPr>
            <w:tcW w:w="1257" w:type="dxa"/>
            <w:tcBorders>
              <w:top w:val="single" w:sz="6" w:space="0" w:color="000000"/>
              <w:left w:val="single" w:sz="6" w:space="0" w:color="000000"/>
              <w:bottom w:val="single" w:sz="6" w:space="0" w:color="000000"/>
              <w:right w:val="single" w:sz="6" w:space="0" w:color="000000"/>
            </w:tcBorders>
          </w:tcPr>
          <w:p>
            <w:pPr/>
          </w:p>
        </w:tc>
        <w:tc>
          <w:tcPr>
            <w:tcW w:w="1211"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14,967,649.90</w:t>
            </w:r>
          </w:p>
        </w:tc>
        <w:tc>
          <w:tcPr>
            <w:tcW w:w="17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14,967,649.90</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14,967,649.90</w:t>
            </w:r>
          </w:p>
        </w:tc>
        <w:tc>
          <w:tcPr>
            <w:tcW w:w="1257" w:type="dxa"/>
            <w:tcBorders>
              <w:top w:val="single" w:sz="6" w:space="0" w:color="000000"/>
              <w:left w:val="single" w:sz="6" w:space="0" w:color="000000"/>
              <w:bottom w:val="single" w:sz="6" w:space="0" w:color="000000"/>
              <w:right w:val="single" w:sz="6" w:space="0" w:color="000000"/>
            </w:tcBorders>
          </w:tcPr>
          <w:p>
            <w:pPr/>
          </w:p>
        </w:tc>
        <w:tc>
          <w:tcPr>
            <w:tcW w:w="1211"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266,228,809.69</w:t>
            </w:r>
          </w:p>
        </w:tc>
        <w:tc>
          <w:tcPr>
            <w:tcW w:w="17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266,228,809.69</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266,228,809.69</w:t>
            </w:r>
          </w:p>
        </w:tc>
        <w:tc>
          <w:tcPr>
            <w:tcW w:w="1257" w:type="dxa"/>
            <w:tcBorders>
              <w:top w:val="single" w:sz="6" w:space="0" w:color="000000"/>
              <w:left w:val="single" w:sz="6" w:space="0" w:color="000000"/>
              <w:bottom w:val="single" w:sz="6" w:space="0" w:color="000000"/>
              <w:right w:val="single" w:sz="6" w:space="0" w:color="000000"/>
            </w:tcBorders>
          </w:tcPr>
          <w:p>
            <w:pPr/>
          </w:p>
        </w:tc>
        <w:tc>
          <w:tcPr>
            <w:tcW w:w="1211"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185,679,377.21</w:t>
            </w:r>
          </w:p>
        </w:tc>
        <w:tc>
          <w:tcPr>
            <w:tcW w:w="17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185,679,377.21</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185,679,377.21</w:t>
            </w:r>
          </w:p>
        </w:tc>
        <w:tc>
          <w:tcPr>
            <w:tcW w:w="1257" w:type="dxa"/>
            <w:tcBorders>
              <w:top w:val="single" w:sz="6" w:space="0" w:color="000000"/>
              <w:left w:val="single" w:sz="6" w:space="0" w:color="000000"/>
              <w:bottom w:val="single" w:sz="6" w:space="0" w:color="000000"/>
              <w:right w:val="single" w:sz="6" w:space="0" w:color="000000"/>
            </w:tcBorders>
          </w:tcPr>
          <w:p>
            <w:pPr/>
          </w:p>
        </w:tc>
        <w:tc>
          <w:tcPr>
            <w:tcW w:w="1211"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182" w:right="0"/>
              <w:jc w:val="left"/>
              <w:rPr>
                <w:rFonts w:ascii="宋体" w:hAnsi="宋体" w:cs="宋体" w:eastAsia="宋体" w:hint="default"/>
                <w:sz w:val="18"/>
                <w:szCs w:val="18"/>
              </w:rPr>
            </w:pPr>
            <w:r>
              <w:rPr>
                <w:rFonts w:ascii="宋体" w:hAnsi="宋体" w:cs="宋体" w:eastAsia="宋体" w:hint="default"/>
                <w:sz w:val="18"/>
                <w:szCs w:val="18"/>
              </w:rPr>
              <w:t>小  计</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670,040,931.61</w:t>
            </w:r>
          </w:p>
        </w:tc>
        <w:tc>
          <w:tcPr>
            <w:tcW w:w="17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676,355,991.36</w:t>
            </w:r>
          </w:p>
        </w:tc>
        <w:tc>
          <w:tcPr>
            <w:tcW w:w="17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676,355,991.36</w:t>
            </w:r>
          </w:p>
        </w:tc>
        <w:tc>
          <w:tcPr>
            <w:tcW w:w="1257" w:type="dxa"/>
            <w:tcBorders>
              <w:top w:val="single" w:sz="6" w:space="0" w:color="000000"/>
              <w:left w:val="single" w:sz="6" w:space="0" w:color="000000"/>
              <w:bottom w:val="single" w:sz="6" w:space="0" w:color="000000"/>
              <w:right w:val="single" w:sz="6" w:space="0" w:color="000000"/>
            </w:tcBorders>
          </w:tcPr>
          <w:p>
            <w:pPr/>
          </w:p>
        </w:tc>
        <w:tc>
          <w:tcPr>
            <w:tcW w:w="1211" w:type="dxa"/>
            <w:tcBorders>
              <w:top w:val="single" w:sz="6" w:space="0" w:color="000000"/>
              <w:left w:val="single" w:sz="6" w:space="0" w:color="000000"/>
              <w:bottom w:val="single" w:sz="6" w:space="0" w:color="000000"/>
              <w:right w:val="single" w:sz="6" w:space="0" w:color="000000"/>
            </w:tcBorders>
          </w:tcPr>
          <w:p>
            <w:pPr/>
          </w:p>
        </w:tc>
      </w:tr>
    </w:tbl>
    <w:p>
      <w:pPr>
        <w:pStyle w:val="Heading4"/>
        <w:spacing w:line="261" w:lineRule="exact"/>
        <w:ind w:right="1115"/>
        <w:jc w:val="left"/>
      </w:pPr>
      <w:r>
        <w:rPr/>
        <w:t>（续上表）</w:t>
      </w:r>
    </w:p>
    <w:p>
      <w:pPr>
        <w:spacing w:line="240" w:lineRule="auto" w:before="13"/>
        <w:rPr>
          <w:rFonts w:ascii="宋体" w:hAnsi="宋体" w:cs="宋体" w:eastAsia="宋体" w:hint="default"/>
          <w:sz w:val="3"/>
          <w:szCs w:val="3"/>
        </w:rPr>
      </w:pPr>
    </w:p>
    <w:tbl>
      <w:tblPr>
        <w:tblW w:w="0" w:type="auto"/>
        <w:jc w:val="left"/>
        <w:tblInd w:w="117" w:type="dxa"/>
        <w:tblLayout w:type="fixed"/>
        <w:tblCellMar>
          <w:top w:w="0" w:type="dxa"/>
          <w:left w:w="0" w:type="dxa"/>
          <w:bottom w:w="0" w:type="dxa"/>
          <w:right w:w="0" w:type="dxa"/>
        </w:tblCellMar>
        <w:tblLook w:val="01E0"/>
      </w:tblPr>
      <w:tblGrid>
        <w:gridCol w:w="1918"/>
        <w:gridCol w:w="1744"/>
        <w:gridCol w:w="1810"/>
        <w:gridCol w:w="1711"/>
        <w:gridCol w:w="1244"/>
        <w:gridCol w:w="1229"/>
      </w:tblGrid>
      <w:tr>
        <w:trPr>
          <w:trHeight w:val="347" w:hRule="exact"/>
        </w:trPr>
        <w:tc>
          <w:tcPr>
            <w:tcW w:w="1918" w:type="dxa"/>
            <w:vMerge w:val="restart"/>
            <w:tcBorders>
              <w:top w:val="single" w:sz="6" w:space="0" w:color="000000"/>
              <w:left w:val="single" w:sz="6" w:space="0" w:color="000000"/>
              <w:right w:val="single" w:sz="6" w:space="0" w:color="000000"/>
            </w:tcBorders>
            <w:shd w:val="clear" w:color="auto" w:fill="D6D6D6"/>
          </w:tcPr>
          <w:p>
            <w:pPr>
              <w:pStyle w:val="TableParagraph"/>
              <w:spacing w:line="240" w:lineRule="auto" w:before="20"/>
              <w:ind w:left="182"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7738" w:type="dxa"/>
            <w:gridSpan w:val="5"/>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47" w:hRule="exact"/>
        </w:trPr>
        <w:tc>
          <w:tcPr>
            <w:tcW w:w="1918" w:type="dxa"/>
            <w:vMerge/>
            <w:tcBorders>
              <w:left w:val="single" w:sz="6" w:space="0" w:color="000000"/>
              <w:bottom w:val="single" w:sz="6" w:space="0" w:color="000000"/>
              <w:right w:val="single" w:sz="6" w:space="0" w:color="000000"/>
            </w:tcBorders>
            <w:shd w:val="clear" w:color="auto" w:fill="D6D6D6"/>
          </w:tcPr>
          <w:p>
            <w:pPr/>
          </w:p>
        </w:tc>
        <w:tc>
          <w:tcPr>
            <w:tcW w:w="1744"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504"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810"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267" w:right="0"/>
              <w:jc w:val="left"/>
              <w:rPr>
                <w:rFonts w:ascii="宋体" w:hAnsi="宋体" w:cs="宋体" w:eastAsia="宋体" w:hint="default"/>
                <w:sz w:val="18"/>
                <w:szCs w:val="18"/>
              </w:rPr>
            </w:pPr>
            <w:r>
              <w:rPr>
                <w:rFonts w:ascii="宋体" w:hAnsi="宋体" w:cs="宋体" w:eastAsia="宋体" w:hint="default"/>
                <w:sz w:val="18"/>
                <w:szCs w:val="18"/>
              </w:rPr>
              <w:t>未折现合同金额</w:t>
            </w:r>
          </w:p>
        </w:tc>
        <w:tc>
          <w:tcPr>
            <w:tcW w:w="1711"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5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244"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4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年</w:t>
            </w:r>
          </w:p>
        </w:tc>
        <w:tc>
          <w:tcPr>
            <w:tcW w:w="1229"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2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r>
      <w:tr>
        <w:trPr>
          <w:trHeight w:val="347" w:hRule="exact"/>
        </w:trPr>
        <w:tc>
          <w:tcPr>
            <w:tcW w:w="19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银行借款</w:t>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177,500,000.00</w:t>
            </w:r>
          </w:p>
        </w:tc>
        <w:tc>
          <w:tcPr>
            <w:tcW w:w="1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182,505,323.01</w:t>
            </w:r>
          </w:p>
        </w:tc>
        <w:tc>
          <w:tcPr>
            <w:tcW w:w="1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182,505,323.01</w:t>
            </w:r>
          </w:p>
        </w:tc>
        <w:tc>
          <w:tcPr>
            <w:tcW w:w="1244" w:type="dxa"/>
            <w:tcBorders>
              <w:top w:val="single" w:sz="6" w:space="0" w:color="000000"/>
              <w:left w:val="single" w:sz="6" w:space="0" w:color="000000"/>
              <w:bottom w:val="single" w:sz="6" w:space="0" w:color="000000"/>
              <w:right w:val="single" w:sz="6" w:space="0" w:color="000000"/>
            </w:tcBorders>
          </w:tcPr>
          <w:p>
            <w:pPr/>
          </w:p>
        </w:tc>
        <w:tc>
          <w:tcPr>
            <w:tcW w:w="122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7,249,126.60</w:t>
            </w:r>
          </w:p>
        </w:tc>
        <w:tc>
          <w:tcPr>
            <w:tcW w:w="1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7,249,126.60</w:t>
            </w:r>
          </w:p>
        </w:tc>
        <w:tc>
          <w:tcPr>
            <w:tcW w:w="1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right"/>
              <w:rPr>
                <w:rFonts w:ascii="Times New Roman" w:hAnsi="Times New Roman" w:cs="Times New Roman" w:eastAsia="Times New Roman" w:hint="default"/>
                <w:sz w:val="18"/>
                <w:szCs w:val="18"/>
              </w:rPr>
            </w:pPr>
            <w:r>
              <w:rPr>
                <w:rFonts w:ascii="Times New Roman"/>
                <w:spacing w:val="-1"/>
                <w:sz w:val="18"/>
              </w:rPr>
              <w:t>7,249,126.60</w:t>
            </w:r>
          </w:p>
        </w:tc>
        <w:tc>
          <w:tcPr>
            <w:tcW w:w="1244" w:type="dxa"/>
            <w:tcBorders>
              <w:top w:val="single" w:sz="6" w:space="0" w:color="000000"/>
              <w:left w:val="single" w:sz="6" w:space="0" w:color="000000"/>
              <w:bottom w:val="single" w:sz="6" w:space="0" w:color="000000"/>
              <w:right w:val="single" w:sz="6" w:space="0" w:color="000000"/>
            </w:tcBorders>
          </w:tcPr>
          <w:p>
            <w:pPr/>
          </w:p>
        </w:tc>
        <w:tc>
          <w:tcPr>
            <w:tcW w:w="122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224,340,891.35</w:t>
            </w:r>
          </w:p>
        </w:tc>
        <w:tc>
          <w:tcPr>
            <w:tcW w:w="1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224,340,891.35</w:t>
            </w:r>
          </w:p>
        </w:tc>
        <w:tc>
          <w:tcPr>
            <w:tcW w:w="1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224,340,891.35</w:t>
            </w:r>
          </w:p>
        </w:tc>
        <w:tc>
          <w:tcPr>
            <w:tcW w:w="1244" w:type="dxa"/>
            <w:tcBorders>
              <w:top w:val="single" w:sz="6" w:space="0" w:color="000000"/>
              <w:left w:val="single" w:sz="6" w:space="0" w:color="000000"/>
              <w:bottom w:val="single" w:sz="6" w:space="0" w:color="000000"/>
              <w:right w:val="single" w:sz="6" w:space="0" w:color="000000"/>
            </w:tcBorders>
          </w:tcPr>
          <w:p>
            <w:pPr/>
          </w:p>
        </w:tc>
        <w:tc>
          <w:tcPr>
            <w:tcW w:w="122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59,760,398.83</w:t>
            </w:r>
          </w:p>
        </w:tc>
        <w:tc>
          <w:tcPr>
            <w:tcW w:w="1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59,760,398.83</w:t>
            </w:r>
          </w:p>
        </w:tc>
        <w:tc>
          <w:tcPr>
            <w:tcW w:w="1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59,760,398.83</w:t>
            </w:r>
          </w:p>
        </w:tc>
        <w:tc>
          <w:tcPr>
            <w:tcW w:w="1244" w:type="dxa"/>
            <w:tcBorders>
              <w:top w:val="single" w:sz="6" w:space="0" w:color="000000"/>
              <w:left w:val="single" w:sz="6" w:space="0" w:color="000000"/>
              <w:bottom w:val="single" w:sz="6" w:space="0" w:color="000000"/>
              <w:right w:val="single" w:sz="6" w:space="0" w:color="000000"/>
            </w:tcBorders>
          </w:tcPr>
          <w:p>
            <w:pPr/>
          </w:p>
        </w:tc>
        <w:tc>
          <w:tcPr>
            <w:tcW w:w="1229"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19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82" w:right="0"/>
              <w:jc w:val="left"/>
              <w:rPr>
                <w:rFonts w:ascii="宋体" w:hAnsi="宋体" w:cs="宋体" w:eastAsia="宋体" w:hint="default"/>
                <w:sz w:val="18"/>
                <w:szCs w:val="18"/>
              </w:rPr>
            </w:pPr>
            <w:r>
              <w:rPr>
                <w:rFonts w:ascii="宋体" w:hAnsi="宋体" w:cs="宋体" w:eastAsia="宋体" w:hint="default"/>
                <w:sz w:val="18"/>
                <w:szCs w:val="18"/>
              </w:rPr>
              <w:t>小  计</w:t>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468,850,416.78</w:t>
            </w:r>
          </w:p>
        </w:tc>
        <w:tc>
          <w:tcPr>
            <w:tcW w:w="18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473,855,739.79</w:t>
            </w:r>
          </w:p>
        </w:tc>
        <w:tc>
          <w:tcPr>
            <w:tcW w:w="17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473,855,739.79</w:t>
            </w:r>
          </w:p>
        </w:tc>
        <w:tc>
          <w:tcPr>
            <w:tcW w:w="1244" w:type="dxa"/>
            <w:tcBorders>
              <w:top w:val="single" w:sz="6" w:space="0" w:color="000000"/>
              <w:left w:val="single" w:sz="6" w:space="0" w:color="000000"/>
              <w:bottom w:val="single" w:sz="6" w:space="0" w:color="000000"/>
              <w:right w:val="single" w:sz="6" w:space="0" w:color="000000"/>
            </w:tcBorders>
          </w:tcPr>
          <w:p>
            <w:pPr/>
          </w:p>
        </w:tc>
        <w:tc>
          <w:tcPr>
            <w:tcW w:w="1229" w:type="dxa"/>
            <w:tcBorders>
              <w:top w:val="single" w:sz="6" w:space="0" w:color="000000"/>
              <w:left w:val="single" w:sz="6" w:space="0" w:color="000000"/>
              <w:bottom w:val="single" w:sz="6" w:space="0" w:color="000000"/>
              <w:right w:val="single" w:sz="6" w:space="0" w:color="000000"/>
            </w:tcBorders>
          </w:tcPr>
          <w:p>
            <w:pPr/>
          </w:p>
        </w:tc>
      </w:tr>
    </w:tbl>
    <w:p>
      <w:pPr>
        <w:pStyle w:val="BodyText"/>
        <w:spacing w:line="316" w:lineRule="auto" w:before="10"/>
        <w:ind w:left="552" w:right="1115"/>
        <w:jc w:val="left"/>
      </w:pPr>
      <w:r>
        <w:rPr/>
        <w:t>（三）</w:t>
      </w:r>
      <w:r>
        <w:rPr>
          <w:spacing w:val="1"/>
        </w:rPr>
        <w:t> </w:t>
      </w:r>
      <w:r>
        <w:rPr/>
        <w:t>市场风险</w:t>
      </w:r>
      <w:r>
        <w:rPr/>
        <w:t> 市场风险，是指金融工具的公允价值或未来现金流量因市场价格变动而发生波动的风险。市场风险主要包括利率风险</w:t>
      </w:r>
    </w:p>
    <w:p>
      <w:pPr>
        <w:pStyle w:val="BodyText"/>
        <w:spacing w:line="240" w:lineRule="auto" w:before="19"/>
        <w:ind w:left="132" w:right="1115"/>
        <w:jc w:val="left"/>
      </w:pPr>
      <w:r>
        <w:rPr/>
        <w:t>和外汇风险。</w:t>
      </w:r>
    </w:p>
    <w:p>
      <w:pPr>
        <w:pStyle w:val="BodyText"/>
        <w:spacing w:line="300" w:lineRule="auto" w:before="76"/>
        <w:ind w:left="552" w:right="1115"/>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44"/>
        </w:rPr>
        <w:t> </w:t>
      </w:r>
      <w:r>
        <w:rPr/>
        <w:t>利率风险 利率风险，是指金融工具的公允价值或未来现金流量因市场利率变动而发生波动的风险。固定利率的带息金融工具使</w:t>
      </w:r>
    </w:p>
    <w:p>
      <w:pPr>
        <w:pStyle w:val="BodyText"/>
        <w:spacing w:line="316" w:lineRule="auto" w:before="31"/>
        <w:ind w:left="132" w:right="1115"/>
        <w:jc w:val="left"/>
      </w:pPr>
      <w:r>
        <w:rPr>
          <w:spacing w:val="-2"/>
        </w:rPr>
        <w:t>本公司面临公允价值利率风险，浮动利率的带息金融工具使本公司面临现金流量利率风险。本公司根据市场环境来决定固定</w:t>
      </w:r>
      <w:r>
        <w:rPr>
          <w:spacing w:val="-64"/>
        </w:rPr>
        <w:t> </w:t>
      </w:r>
      <w:r>
        <w:rPr>
          <w:spacing w:val="-64"/>
        </w:rPr>
      </w:r>
      <w:r>
        <w:rPr/>
        <w:t>利率与浮动利率金融工具的比例，并通过定期审阅与监控维持适当的金融工具组合。</w:t>
      </w:r>
    </w:p>
    <w:p>
      <w:pPr>
        <w:pStyle w:val="BodyText"/>
        <w:spacing w:line="300" w:lineRule="auto" w:before="19"/>
        <w:ind w:left="552" w:right="1115"/>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44"/>
        </w:rPr>
        <w:t> </w:t>
      </w:r>
      <w:r>
        <w:rPr/>
        <w:t>外汇风险 外汇风险，是指金融工具的公允价值或未来现金流量因外汇汇率变动而发生波动的风险。本公司于中国内地经营，且</w:t>
      </w:r>
    </w:p>
    <w:p>
      <w:pPr>
        <w:spacing w:after="0" w:line="300" w:lineRule="auto"/>
        <w:jc w:val="left"/>
        <w:sectPr>
          <w:pgSz w:w="11910" w:h="16840"/>
          <w:pgMar w:header="907" w:footer="1016" w:top="1100" w:bottom="1200" w:left="1000" w:right="0"/>
        </w:sectPr>
      </w:pPr>
    </w:p>
    <w:p>
      <w:pPr>
        <w:spacing w:line="240" w:lineRule="auto" w:before="13"/>
        <w:rPr>
          <w:rFonts w:ascii="宋体" w:hAnsi="宋体" w:cs="宋体" w:eastAsia="宋体" w:hint="default"/>
          <w:sz w:val="22"/>
          <w:szCs w:val="22"/>
        </w:rPr>
      </w:pPr>
    </w:p>
    <w:p>
      <w:pPr>
        <w:pStyle w:val="BodyText"/>
        <w:spacing w:line="316" w:lineRule="auto" w:before="44"/>
        <w:ind w:right="4814"/>
        <w:jc w:val="left"/>
      </w:pPr>
      <w:r>
        <w:rPr/>
        <w:t>主要活动以人民币计价。因此，本公司所承担的外汇变动市场风险不重大。 本公司期末无外币货币性资产和负债。</w:t>
      </w:r>
    </w:p>
    <w:p>
      <w:pPr>
        <w:spacing w:line="240" w:lineRule="auto" w:before="9"/>
        <w:rPr>
          <w:rFonts w:ascii="宋体" w:hAnsi="宋体" w:cs="宋体" w:eastAsia="宋体" w:hint="default"/>
          <w:sz w:val="20"/>
          <w:szCs w:val="20"/>
        </w:rPr>
      </w:pPr>
    </w:p>
    <w:p>
      <w:pPr>
        <w:pStyle w:val="Heading2"/>
        <w:spacing w:line="240" w:lineRule="auto"/>
        <w:ind w:right="882"/>
        <w:jc w:val="left"/>
        <w:rPr>
          <w:b w:val="0"/>
          <w:bCs w:val="0"/>
        </w:rPr>
      </w:pPr>
      <w:bookmarkStart w:name="十一、公允价值的披露" w:id="393"/>
      <w:bookmarkEnd w:id="393"/>
      <w:r>
        <w:rPr>
          <w:b w:val="0"/>
          <w:bCs w:val="0"/>
        </w:rPr>
      </w:r>
      <w:r>
        <w:rPr/>
        <w:t>十一、公允价值的披露</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以公允价值计量的资产和负债的期末公允价值" w:id="394"/>
      <w:bookmarkEnd w:id="394"/>
      <w:r>
        <w:rPr>
          <w:b w:val="0"/>
          <w:bCs w:val="0"/>
        </w:rPr>
      </w: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94"/>
        <w:gridCol w:w="1837"/>
        <w:gridCol w:w="1913"/>
        <w:gridCol w:w="1913"/>
        <w:gridCol w:w="1913"/>
      </w:tblGrid>
      <w:tr>
        <w:trPr>
          <w:trHeight w:val="402" w:hRule="exact"/>
        </w:trPr>
        <w:tc>
          <w:tcPr>
            <w:tcW w:w="1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4" w:hRule="exact"/>
        </w:trPr>
        <w:tc>
          <w:tcPr>
            <w:tcW w:w="1994" w:type="dxa"/>
            <w:vMerge/>
            <w:tcBorders>
              <w:left w:val="single" w:sz="4" w:space="0" w:color="000000"/>
              <w:bottom w:val="single" w:sz="4" w:space="0" w:color="000000"/>
              <w:right w:val="single" w:sz="4" w:space="0" w:color="000000"/>
            </w:tcBorders>
            <w:shd w:val="clear" w:color="auto" w:fill="D2D2D2"/>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22" w:right="103"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62" w:right="139" w:hanging="720"/>
              <w:jc w:val="left"/>
              <w:rPr>
                <w:rFonts w:ascii="宋体" w:hAnsi="宋体" w:cs="宋体" w:eastAsia="宋体" w:hint="default"/>
                <w:sz w:val="18"/>
                <w:szCs w:val="18"/>
              </w:rPr>
            </w:pPr>
            <w:r>
              <w:rPr>
                <w:rFonts w:ascii="宋体" w:hAnsi="宋体" w:cs="宋体" w:eastAsia="宋体" w:hint="default"/>
                <w:sz w:val="18"/>
                <w:szCs w:val="18"/>
              </w:rPr>
              <w:t>第二层次公允价值计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62" w:right="139" w:hanging="720"/>
              <w:jc w:val="left"/>
              <w:rPr>
                <w:rFonts w:ascii="宋体" w:hAnsi="宋体" w:cs="宋体" w:eastAsia="宋体" w:hint="default"/>
                <w:sz w:val="18"/>
                <w:szCs w:val="18"/>
              </w:rPr>
            </w:pPr>
            <w:r>
              <w:rPr>
                <w:rFonts w:ascii="宋体" w:hAnsi="宋体" w:cs="宋体" w:eastAsia="宋体" w:hint="default"/>
                <w:sz w:val="18"/>
                <w:szCs w:val="18"/>
              </w:rPr>
              <w:t>第三层次公允价值计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2"/>
              <w:jc w:val="left"/>
              <w:rPr>
                <w:rFonts w:ascii="宋体" w:hAnsi="宋体" w:cs="宋体" w:eastAsia="宋体" w:hint="default"/>
                <w:sz w:val="18"/>
                <w:szCs w:val="18"/>
              </w:rPr>
            </w:pPr>
            <w:r>
              <w:rPr>
                <w:rFonts w:ascii="宋体" w:hAnsi="宋体" w:cs="宋体" w:eastAsia="宋体" w:hint="default"/>
                <w:spacing w:val="-3"/>
                <w:sz w:val="18"/>
                <w:szCs w:val="18"/>
              </w:rPr>
              <w:t>一、持续的公允价值计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量</w:t>
            </w: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）债务工具投资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1,981,455.00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1,981,455.00</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）权益工具投资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110,000,000.00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110,000,000.00</w:t>
            </w: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02"/>
              <w:jc w:val="left"/>
              <w:rPr>
                <w:rFonts w:ascii="宋体" w:hAnsi="宋体" w:cs="宋体" w:eastAsia="宋体" w:hint="default"/>
                <w:sz w:val="18"/>
                <w:szCs w:val="18"/>
              </w:rPr>
            </w:pPr>
            <w:r>
              <w:rPr>
                <w:rFonts w:ascii="宋体" w:hAnsi="宋体" w:cs="宋体" w:eastAsia="宋体" w:hint="default"/>
                <w:spacing w:val="-3"/>
                <w:sz w:val="18"/>
                <w:szCs w:val="18"/>
              </w:rPr>
              <w:t>（三）其他权益工具投</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资</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8,500,000.00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8,500,000.00</w:t>
            </w: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60"/>
              <w:jc w:val="left"/>
              <w:rPr>
                <w:rFonts w:ascii="宋体" w:hAnsi="宋体" w:cs="宋体" w:eastAsia="宋体" w:hint="default"/>
                <w:sz w:val="18"/>
                <w:szCs w:val="18"/>
              </w:rPr>
            </w:pPr>
            <w:r>
              <w:rPr>
                <w:rFonts w:ascii="宋体" w:hAnsi="宋体" w:cs="宋体" w:eastAsia="宋体" w:hint="default"/>
                <w:sz w:val="18"/>
                <w:szCs w:val="18"/>
              </w:rPr>
              <w:t>持续以公允价值计量 的资产总额</w:t>
            </w:r>
          </w:p>
        </w:tc>
        <w:tc>
          <w:tcPr>
            <w:tcW w:w="1837"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120,481,455.00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120,481,455.00</w:t>
            </w:r>
          </w:p>
        </w:tc>
      </w:tr>
      <w:tr>
        <w:trPr>
          <w:trHeight w:val="714"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02"/>
              <w:jc w:val="left"/>
              <w:rPr>
                <w:rFonts w:ascii="宋体" w:hAnsi="宋体" w:cs="宋体" w:eastAsia="宋体" w:hint="default"/>
                <w:sz w:val="18"/>
                <w:szCs w:val="18"/>
              </w:rPr>
            </w:pPr>
            <w:r>
              <w:rPr>
                <w:rFonts w:ascii="宋体" w:hAnsi="宋体" w:cs="宋体" w:eastAsia="宋体" w:hint="default"/>
                <w:spacing w:val="-3"/>
                <w:sz w:val="18"/>
                <w:szCs w:val="18"/>
              </w:rPr>
              <w:t>二、非持续的公允价值</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计量</w:t>
            </w: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持续和非持续第三层次公允价值计量项目，采用的估值技术和重要参数的定性及定量信" w:id="395"/>
      <w:bookmarkEnd w:id="395"/>
      <w:r>
        <w:rPr>
          <w:b w:val="0"/>
          <w:bCs w:val="0"/>
        </w:rPr>
      </w:r>
      <w:r>
        <w:rPr>
          <w:rFonts w:ascii="Times New Roman" w:hAnsi="Times New Roman" w:cs="Times New Roman" w:eastAsia="Times New Roman" w:hint="default"/>
        </w:rPr>
        <w:t>2</w:t>
      </w:r>
      <w:r>
        <w:rPr/>
        <w:t>、持续和非持续第三层次公允价值计量项目，采用的估值技术和重要参数的定性及定量信息</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上述项目，公允价值与账面价值差异较小，故采用其账面价值作为其公允价值。</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3、不以公允价值计量的金融资产和金融负债的公允价值情况" w:id="396"/>
      <w:bookmarkEnd w:id="396"/>
      <w:r>
        <w:rPr>
          <w:b w:val="0"/>
          <w:bCs w:val="0"/>
        </w:rPr>
      </w:r>
      <w:r>
        <w:rPr>
          <w:rFonts w:ascii="Times New Roman" w:hAnsi="Times New Roman" w:cs="Times New Roman" w:eastAsia="Times New Roman" w:hint="default"/>
        </w:rPr>
        <w:t>3</w:t>
      </w:r>
      <w:r>
        <w:rPr/>
        <w:t>、不以公允价值计量的金融资产和金融负债的公允价值情况</w:t>
      </w:r>
      <w:r>
        <w:rPr>
          <w:b w:val="0"/>
          <w:bCs w:val="0"/>
        </w:rPr>
      </w:r>
    </w:p>
    <w:p>
      <w:pPr>
        <w:spacing w:line="240" w:lineRule="auto" w:before="9"/>
        <w:rPr>
          <w:rFonts w:ascii="宋体" w:hAnsi="宋体" w:cs="宋体" w:eastAsia="宋体" w:hint="default"/>
          <w:b/>
          <w:bCs/>
          <w:sz w:val="26"/>
          <w:szCs w:val="26"/>
        </w:rPr>
      </w:pPr>
    </w:p>
    <w:p>
      <w:pPr>
        <w:pStyle w:val="BodyText"/>
        <w:spacing w:line="316" w:lineRule="auto"/>
        <w:ind w:right="1034" w:firstLine="360"/>
        <w:jc w:val="left"/>
      </w:pPr>
      <w:r>
        <w:rPr/>
        <w:t>期末公司以摊余成本计量的金融资产和金融负债主要包括：货币资金、应收票据、应收账款、其他应收款、应付账款、 </w:t>
      </w:r>
      <w:r>
        <w:rPr>
          <w:spacing w:val="-2"/>
        </w:rPr>
        <w:t>其他应付款、债权投资、一年内到期的非流动负债等。以上不以公允价值计量的金融资产和金融负债的账面价值与公允价值</w:t>
      </w:r>
      <w:r>
        <w:rPr>
          <w:spacing w:val="-65"/>
        </w:rPr>
        <w:t> </w:t>
      </w:r>
      <w:r>
        <w:rPr>
          <w:spacing w:val="-65"/>
        </w:rPr>
      </w:r>
      <w:r>
        <w:rPr/>
        <w:t>相差很小。</w:t>
      </w:r>
    </w:p>
    <w:p>
      <w:pPr>
        <w:spacing w:line="240" w:lineRule="auto" w:before="9"/>
        <w:rPr>
          <w:rFonts w:ascii="宋体" w:hAnsi="宋体" w:cs="宋体" w:eastAsia="宋体" w:hint="default"/>
          <w:sz w:val="20"/>
          <w:szCs w:val="20"/>
        </w:rPr>
      </w:pPr>
    </w:p>
    <w:p>
      <w:pPr>
        <w:pStyle w:val="Heading2"/>
        <w:spacing w:line="240" w:lineRule="auto"/>
        <w:ind w:right="882"/>
        <w:jc w:val="left"/>
        <w:rPr>
          <w:b w:val="0"/>
          <w:bCs w:val="0"/>
        </w:rPr>
      </w:pPr>
      <w:bookmarkStart w:name="十二、关联方及关联交易" w:id="397"/>
      <w:bookmarkEnd w:id="397"/>
      <w:r>
        <w:rPr>
          <w:b w:val="0"/>
          <w:bCs w:val="0"/>
        </w:rPr>
      </w:r>
      <w:r>
        <w:rPr/>
        <w:t>十二、关联方及关联交易</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本企业的母公司情况" w:id="398"/>
      <w:bookmarkEnd w:id="398"/>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8"/>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595"/>
        <w:gridCol w:w="1594"/>
        <w:gridCol w:w="1594"/>
        <w:gridCol w:w="1594"/>
        <w:gridCol w:w="1594"/>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41" w:right="160" w:hanging="180"/>
              <w:jc w:val="left"/>
              <w:rPr>
                <w:rFonts w:ascii="宋体" w:hAnsi="宋体" w:cs="宋体" w:eastAsia="宋体" w:hint="default"/>
                <w:sz w:val="18"/>
                <w:szCs w:val="18"/>
              </w:rPr>
            </w:pPr>
            <w:r>
              <w:rPr>
                <w:rFonts w:ascii="宋体" w:hAnsi="宋体" w:cs="宋体" w:eastAsia="宋体" w:hint="default"/>
                <w:sz w:val="18"/>
                <w:szCs w:val="18"/>
              </w:rPr>
              <w:t>母公司对本企业 的持股比例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2" w:right="162" w:hanging="92"/>
              <w:jc w:val="left"/>
              <w:rPr>
                <w:rFonts w:ascii="宋体" w:hAnsi="宋体" w:cs="宋体" w:eastAsia="宋体" w:hint="default"/>
                <w:sz w:val="18"/>
                <w:szCs w:val="18"/>
              </w:rPr>
            </w:pPr>
            <w:r>
              <w:rPr>
                <w:rFonts w:ascii="宋体" w:hAnsi="宋体" w:cs="宋体" w:eastAsia="宋体" w:hint="default"/>
                <w:sz w:val="18"/>
                <w:szCs w:val="18"/>
              </w:rPr>
              <w:t>母公司对本企业 的表决权比例</w:t>
            </w: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927" w:right="0"/>
              <w:jc w:val="left"/>
              <w:rPr>
                <w:rFonts w:ascii="Times New Roman" w:hAnsi="Times New Roman" w:cs="Times New Roman" w:eastAsia="Times New Roman" w:hint="default"/>
                <w:sz w:val="18"/>
                <w:szCs w:val="18"/>
              </w:rPr>
            </w:pPr>
            <w:r>
              <w:rPr>
                <w:rFonts w:ascii="Times New Roman"/>
                <w:sz w:val="18"/>
              </w:rPr>
              <w:t>24.89%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926" w:right="0"/>
              <w:jc w:val="left"/>
              <w:rPr>
                <w:rFonts w:ascii="Times New Roman" w:hAnsi="Times New Roman" w:cs="Times New Roman" w:eastAsia="Times New Roman" w:hint="default"/>
                <w:sz w:val="18"/>
                <w:szCs w:val="18"/>
              </w:rPr>
            </w:pPr>
            <w:r>
              <w:rPr>
                <w:rFonts w:ascii="Times New Roman"/>
                <w:sz w:val="18"/>
              </w:rPr>
              <w:t>24.89%</w:t>
            </w:r>
          </w:p>
        </w:tc>
      </w:tr>
    </w:tbl>
    <w:p>
      <w:pPr>
        <w:pStyle w:val="BodyText"/>
        <w:spacing w:line="360" w:lineRule="auto" w:before="49"/>
        <w:ind w:left="472" w:right="882" w:hanging="360"/>
        <w:jc w:val="left"/>
      </w:pPr>
      <w:r>
        <w:rPr/>
        <w:t>本企业的母公司情况的说明 </w:t>
      </w:r>
      <w:r>
        <w:rPr>
          <w:spacing w:val="-2"/>
        </w:rPr>
        <w:t>葛航直接持有本公司</w:t>
      </w:r>
      <w:r>
        <w:rPr>
          <w:rFonts w:ascii="Times New Roman" w:hAnsi="Times New Roman" w:cs="Times New Roman" w:eastAsia="Times New Roman" w:hint="default"/>
          <w:spacing w:val="-2"/>
        </w:rPr>
        <w:t>18.10%</w:t>
      </w:r>
      <w:r>
        <w:rPr>
          <w:spacing w:val="-2"/>
        </w:rPr>
        <w:t>的股权；葛航持有浙江中宇信息科技有限公司</w:t>
      </w:r>
      <w:r>
        <w:rPr>
          <w:rFonts w:ascii="Times New Roman" w:hAnsi="Times New Roman" w:cs="Times New Roman" w:eastAsia="Times New Roman" w:hint="default"/>
          <w:spacing w:val="-2"/>
        </w:rPr>
        <w:t>95%</w:t>
      </w:r>
      <w:r>
        <w:rPr>
          <w:spacing w:val="-2"/>
        </w:rPr>
        <w:t>的股权，浙江中宇信息科技有限公司持有</w:t>
      </w:r>
    </w:p>
    <w:p>
      <w:pPr>
        <w:spacing w:after="0" w:line="360" w:lineRule="auto"/>
        <w:jc w:val="left"/>
        <w:sectPr>
          <w:footerReference w:type="default" r:id="rId50"/>
          <w:pgSz w:w="11910" w:h="16840"/>
          <w:pgMar w:footer="1016" w:header="907" w:top="1100" w:bottom="1200" w:left="1020" w:right="0"/>
          <w:pgNumType w:start="190"/>
        </w:sectPr>
      </w:pPr>
    </w:p>
    <w:p>
      <w:pPr>
        <w:spacing w:line="240" w:lineRule="auto" w:before="13"/>
        <w:rPr>
          <w:rFonts w:ascii="宋体" w:hAnsi="宋体" w:cs="宋体" w:eastAsia="宋体" w:hint="default"/>
          <w:sz w:val="22"/>
          <w:szCs w:val="22"/>
        </w:rPr>
      </w:pPr>
    </w:p>
    <w:p>
      <w:pPr>
        <w:pStyle w:val="BodyText"/>
        <w:spacing w:line="300" w:lineRule="auto" w:before="44"/>
        <w:ind w:right="1184"/>
        <w:jc w:val="left"/>
      </w:pPr>
      <w:r>
        <w:rPr/>
        <w:t>杭州阜康投资有限公司</w:t>
      </w:r>
      <w:r>
        <w:rPr>
          <w:rFonts w:ascii="Times New Roman" w:hAnsi="Times New Roman" w:cs="Times New Roman" w:eastAsia="Times New Roman" w:hint="default"/>
        </w:rPr>
        <w:t>69.1637%</w:t>
      </w:r>
      <w:r>
        <w:rPr/>
        <w:t>的股权，杭州阜康投资有限公司持有本公司</w:t>
      </w:r>
      <w:r>
        <w:rPr>
          <w:rFonts w:ascii="Times New Roman" w:hAnsi="Times New Roman" w:cs="Times New Roman" w:eastAsia="Times New Roman" w:hint="default"/>
        </w:rPr>
        <w:t>10.34%</w:t>
      </w:r>
      <w:r>
        <w:rPr/>
        <w:t>的股权，因此葛航直接和间接持有公司 合计</w:t>
      </w:r>
      <w:r>
        <w:rPr>
          <w:rFonts w:ascii="Times New Roman" w:hAnsi="Times New Roman" w:cs="Times New Roman" w:eastAsia="Times New Roman" w:hint="default"/>
        </w:rPr>
        <w:t>24.89%</w:t>
      </w:r>
      <w:r>
        <w:rPr/>
        <w:t>的股权。</w:t>
      </w:r>
    </w:p>
    <w:p>
      <w:pPr>
        <w:pStyle w:val="BodyText"/>
        <w:spacing w:line="360" w:lineRule="auto" w:before="51"/>
        <w:ind w:right="8054"/>
        <w:jc w:val="left"/>
      </w:pPr>
      <w:r>
        <w:rPr/>
        <w:t>本企业最终控制方是葛航。 其他说明：</w:t>
      </w:r>
    </w:p>
    <w:p>
      <w:pPr>
        <w:spacing w:line="240" w:lineRule="auto" w:before="2"/>
        <w:rPr>
          <w:rFonts w:ascii="宋体" w:hAnsi="宋体" w:cs="宋体" w:eastAsia="宋体" w:hint="default"/>
          <w:sz w:val="20"/>
          <w:szCs w:val="20"/>
        </w:rPr>
      </w:pPr>
    </w:p>
    <w:p>
      <w:pPr>
        <w:pStyle w:val="Heading3"/>
        <w:spacing w:line="240" w:lineRule="auto"/>
        <w:ind w:right="882"/>
        <w:jc w:val="left"/>
        <w:rPr>
          <w:b w:val="0"/>
          <w:bCs w:val="0"/>
        </w:rPr>
      </w:pPr>
      <w:bookmarkStart w:name="2、本企业的子公司情况" w:id="399"/>
      <w:bookmarkEnd w:id="399"/>
      <w:r>
        <w:rPr>
          <w:b w:val="0"/>
          <w:bCs w:val="0"/>
        </w:rPr>
      </w:r>
      <w:r>
        <w:rPr>
          <w:rFonts w:ascii="Times New Roman" w:hAnsi="Times New Roman" w:cs="Times New Roman" w:eastAsia="Times New Roman" w:hint="default"/>
        </w:rPr>
        <w:t>2</w:t>
      </w:r>
      <w:r>
        <w:rPr/>
        <w:t>、本企业的子公司情况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882"/>
        <w:jc w:val="left"/>
      </w:pPr>
      <w:r>
        <w:rPr/>
        <w:t>本企业子公司的情况详见附注在其他主体中的权益。</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3、本企业合营和联营企业情况" w:id="400"/>
      <w:bookmarkEnd w:id="400"/>
      <w:r>
        <w:rPr>
          <w:b w:val="0"/>
          <w:bCs w:val="0"/>
        </w:rPr>
      </w:r>
      <w:r>
        <w:rPr>
          <w:rFonts w:ascii="Times New Roman" w:hAnsi="Times New Roman" w:cs="Times New Roman" w:eastAsia="Times New Roman" w:hint="default"/>
        </w:rPr>
        <w:t>3</w:t>
      </w:r>
      <w:r>
        <w:rPr/>
        <w:t>、本企业合营和联营企业情况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2294"/>
        <w:jc w:val="left"/>
      </w:pPr>
      <w:r>
        <w:rPr/>
        <w:t>本企业重要的合营或联营企业详见附注在其他主体中的权益。 本期与本公司发生关联方交易，或前期与本公司发生关联方交易形成余额的其他合营或联营企业情况如下：</w:t>
      </w:r>
    </w:p>
    <w:tbl>
      <w:tblPr>
        <w:tblW w:w="0" w:type="auto"/>
        <w:jc w:val="left"/>
        <w:tblInd w:w="10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575"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浙江美康网新云健康科技股份有限公司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北京童康医疗信息技术有限公司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成都米索信息技术有限公司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pStyle w:val="BodyText"/>
        <w:spacing w:line="240" w:lineRule="auto" w:before="7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4、其他关联方情况" w:id="401"/>
      <w:bookmarkEnd w:id="401"/>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8"/>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99"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浙江建达科技股份有限公司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pacing w:val="-2"/>
                <w:sz w:val="18"/>
                <w:szCs w:val="18"/>
              </w:rPr>
              <w:t>周建新（直接及间接持有本公司</w:t>
            </w:r>
            <w:r>
              <w:rPr>
                <w:rFonts w:ascii="宋体" w:hAnsi="宋体" w:cs="宋体" w:eastAsia="宋体" w:hint="default"/>
                <w:spacing w:val="-31"/>
                <w:sz w:val="18"/>
                <w:szCs w:val="18"/>
              </w:rPr>
              <w:t> </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以上股份）控制的企业</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浙江中福健康管理有限公司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杭州中福投资管理有限公司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杭州爱葆云科技有限公司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杭州健保付网络科技有限公司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杭州生命海网络科技有限公司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杭州亿家健康管理有限公司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杭州康祥医院有限公司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日处置股权）</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杭州隽宝科技有限公司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实际控制人控制的公司的联营企业</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杭州棒糖网络科技有限公司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实际控制人关系密切之家庭成员担任董事的公司</w:t>
            </w:r>
          </w:p>
        </w:tc>
      </w:tr>
      <w:tr>
        <w:trPr>
          <w:trHeight w:val="714"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苏州雅戈尔置业有限公司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3" w:right="125"/>
              <w:jc w:val="left"/>
              <w:rPr>
                <w:rFonts w:ascii="宋体" w:hAnsi="宋体" w:cs="宋体" w:eastAsia="宋体" w:hint="default"/>
                <w:sz w:val="18"/>
                <w:szCs w:val="18"/>
              </w:rPr>
            </w:pPr>
            <w:r>
              <w:rPr>
                <w:rFonts w:ascii="宋体" w:hAnsi="宋体" w:cs="宋体" w:eastAsia="宋体" w:hint="default"/>
                <w:sz w:val="18"/>
                <w:szCs w:val="18"/>
              </w:rPr>
              <w:t>原关键管理人员李寒穷（</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月离职）关系密切之家 庭成员控制的公司</w:t>
            </w:r>
          </w:p>
        </w:tc>
      </w:tr>
    </w:tbl>
    <w:p>
      <w:pPr>
        <w:pStyle w:val="BodyText"/>
        <w:spacing w:line="240" w:lineRule="auto" w:before="49"/>
        <w:ind w:right="882"/>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5、关联交易情况" w:id="402"/>
      <w:bookmarkEnd w:id="402"/>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购销商品、提供和接受劳务的关联交易" w:id="403"/>
      <w:bookmarkEnd w:id="403"/>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882"/>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3"/>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40"/>
        <w:gridCol w:w="1454"/>
        <w:gridCol w:w="1454"/>
        <w:gridCol w:w="1707"/>
        <w:gridCol w:w="1707"/>
        <w:gridCol w:w="1707"/>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5"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1"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7"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26"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66"/>
              <w:jc w:val="both"/>
              <w:rPr>
                <w:rFonts w:ascii="宋体" w:hAnsi="宋体" w:cs="宋体" w:eastAsia="宋体" w:hint="default"/>
                <w:sz w:val="18"/>
                <w:szCs w:val="18"/>
              </w:rPr>
            </w:pPr>
            <w:r>
              <w:rPr>
                <w:rFonts w:ascii="宋体" w:hAnsi="宋体" w:cs="宋体" w:eastAsia="宋体" w:hint="default"/>
                <w:sz w:val="18"/>
                <w:szCs w:val="18"/>
              </w:rPr>
              <w:t>浙江美康网新云 健康科技股份有 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软件产品</w:t>
            </w:r>
          </w:p>
        </w:tc>
        <w:tc>
          <w:tcPr>
            <w:tcW w:w="1454"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66"/>
              <w:jc w:val="left"/>
              <w:rPr>
                <w:rFonts w:ascii="宋体" w:hAnsi="宋体" w:cs="宋体" w:eastAsia="宋体" w:hint="default"/>
                <w:sz w:val="18"/>
                <w:szCs w:val="18"/>
              </w:rPr>
            </w:pPr>
            <w:r>
              <w:rPr>
                <w:rFonts w:ascii="宋体" w:hAnsi="宋体" w:cs="宋体" w:eastAsia="宋体" w:hint="default"/>
                <w:sz w:val="18"/>
                <w:szCs w:val="18"/>
              </w:rPr>
              <w:t>北京童康医疗信 息技术有限公司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软件咨询服务</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5,289,811.57</w:t>
            </w:r>
          </w:p>
        </w:tc>
        <w:tc>
          <w:tcPr>
            <w:tcW w:w="1707"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6,654,960.57</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66"/>
              <w:jc w:val="left"/>
              <w:rPr>
                <w:rFonts w:ascii="宋体" w:hAnsi="宋体" w:cs="宋体" w:eastAsia="宋体" w:hint="default"/>
                <w:sz w:val="18"/>
                <w:szCs w:val="18"/>
              </w:rPr>
            </w:pPr>
            <w:r>
              <w:rPr>
                <w:rFonts w:ascii="宋体" w:hAnsi="宋体" w:cs="宋体" w:eastAsia="宋体" w:hint="default"/>
                <w:sz w:val="18"/>
                <w:szCs w:val="18"/>
              </w:rPr>
              <w:t>浙江建达科技股 份有限公司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01"/>
              <w:jc w:val="left"/>
              <w:rPr>
                <w:rFonts w:ascii="宋体" w:hAnsi="宋体" w:cs="宋体" w:eastAsia="宋体" w:hint="default"/>
                <w:sz w:val="18"/>
                <w:szCs w:val="18"/>
              </w:rPr>
            </w:pPr>
            <w:r>
              <w:rPr>
                <w:rFonts w:ascii="宋体" w:hAnsi="宋体" w:cs="宋体" w:eastAsia="宋体" w:hint="default"/>
                <w:spacing w:val="-4"/>
                <w:sz w:val="18"/>
                <w:szCs w:val="18"/>
              </w:rPr>
              <w:t>硬件产品、监控</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维护服务</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41,327.43</w:t>
            </w:r>
          </w:p>
        </w:tc>
        <w:tc>
          <w:tcPr>
            <w:tcW w:w="1707"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93,103.45</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66"/>
              <w:jc w:val="left"/>
              <w:rPr>
                <w:rFonts w:ascii="宋体" w:hAnsi="宋体" w:cs="宋体" w:eastAsia="宋体" w:hint="default"/>
                <w:sz w:val="18"/>
                <w:szCs w:val="18"/>
              </w:rPr>
            </w:pPr>
            <w:r>
              <w:rPr>
                <w:rFonts w:ascii="宋体" w:hAnsi="宋体" w:cs="宋体" w:eastAsia="宋体" w:hint="default"/>
                <w:sz w:val="18"/>
                <w:szCs w:val="18"/>
              </w:rPr>
              <w:t>成都米索信息技 术有限公司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软件产品</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120,689.66</w:t>
            </w:r>
          </w:p>
        </w:tc>
        <w:tc>
          <w:tcPr>
            <w:tcW w:w="1707"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882"/>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3"/>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7"/>
        <w:gridCol w:w="2259"/>
        <w:gridCol w:w="2259"/>
        <w:gridCol w:w="2653"/>
      </w:tblGrid>
      <w:tr>
        <w:trPr>
          <w:trHeight w:val="402" w:hRule="exact"/>
        </w:trPr>
        <w:tc>
          <w:tcPr>
            <w:tcW w:w="23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7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23"/>
              <w:jc w:val="left"/>
              <w:rPr>
                <w:rFonts w:ascii="宋体" w:hAnsi="宋体" w:cs="宋体" w:eastAsia="宋体" w:hint="default"/>
                <w:sz w:val="18"/>
                <w:szCs w:val="18"/>
              </w:rPr>
            </w:pPr>
            <w:r>
              <w:rPr>
                <w:rFonts w:ascii="宋体" w:hAnsi="宋体" w:cs="宋体" w:eastAsia="宋体" w:hint="default"/>
                <w:sz w:val="18"/>
                <w:szCs w:val="18"/>
              </w:rPr>
              <w:t>浙江美康网新云健康科技股 份有限公司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软件产品</w:t>
            </w:r>
          </w:p>
        </w:tc>
        <w:tc>
          <w:tcPr>
            <w:tcW w:w="2259" w:type="dxa"/>
            <w:tcBorders>
              <w:top w:val="single" w:sz="4" w:space="0" w:color="000000"/>
              <w:left w:val="single" w:sz="4" w:space="0" w:color="000000"/>
              <w:bottom w:val="single" w:sz="4" w:space="0" w:color="000000"/>
              <w:right w:val="single" w:sz="4" w:space="0" w:color="000000"/>
            </w:tcBorders>
          </w:tcPr>
          <w:p>
            <w:pPr/>
          </w:p>
        </w:tc>
        <w:tc>
          <w:tcPr>
            <w:tcW w:w="2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402"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浙江建达科技股份有限公司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软件产品、运维服务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8,682,680.15</w:t>
            </w:r>
          </w:p>
        </w:tc>
        <w:tc>
          <w:tcPr>
            <w:tcW w:w="2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5,127,746.97</w:t>
            </w:r>
          </w:p>
        </w:tc>
      </w:tr>
      <w:tr>
        <w:trPr>
          <w:trHeight w:val="402"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杭州康祥医院有限公司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软件产品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94,339.62</w:t>
            </w:r>
          </w:p>
        </w:tc>
        <w:tc>
          <w:tcPr>
            <w:tcW w:w="2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78,720.90</w:t>
            </w:r>
          </w:p>
        </w:tc>
      </w:tr>
    </w:tbl>
    <w:p>
      <w:pPr>
        <w:pStyle w:val="BodyText"/>
        <w:spacing w:line="240" w:lineRule="auto" w:before="49"/>
        <w:ind w:right="882"/>
        <w:jc w:val="left"/>
      </w:pPr>
      <w:r>
        <w:rPr/>
        <w:t>购销商品、提供和接受劳务的关联交易说明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关联受托管理/承包及委托管理/出包情况" w:id="404"/>
      <w:bookmarkEnd w:id="404"/>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本公司受托管理</w:t>
      </w:r>
      <w:r>
        <w:rPr>
          <w:rFonts w:ascii="Times New Roman" w:hAnsi="Times New Roman" w:cs="Times New Roman" w:eastAsia="Times New Roman" w:hint="default"/>
        </w:rPr>
        <w:t>/</w:t>
      </w:r>
      <w:r>
        <w:rPr/>
        <w:t>承包情况表：</w:t>
      </w:r>
    </w:p>
    <w:p>
      <w:pPr>
        <w:pStyle w:val="BodyText"/>
        <w:spacing w:line="240" w:lineRule="auto" w:before="101"/>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7"/>
        <w:gridCol w:w="1368"/>
        <w:gridCol w:w="1367"/>
        <w:gridCol w:w="1367"/>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498" w:right="112" w:hanging="384"/>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 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498" w:right="113" w:hanging="384"/>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 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498" w:right="113" w:hanging="384"/>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 类型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587" w:right="112" w:hanging="47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 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588" w:right="111" w:hanging="47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 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138" w:right="112" w:hanging="27"/>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 收益定价依据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13" w:right="111" w:hanging="3"/>
              <w:jc w:val="center"/>
              <w:rPr>
                <w:rFonts w:ascii="宋体" w:hAnsi="宋体" w:cs="宋体" w:eastAsia="宋体" w:hint="default"/>
                <w:sz w:val="18"/>
                <w:szCs w:val="18"/>
              </w:rPr>
            </w:pPr>
            <w:r>
              <w:rPr>
                <w:rFonts w:ascii="宋体" w:hAnsi="宋体" w:cs="宋体" w:eastAsia="宋体" w:hint="default"/>
                <w:sz w:val="18"/>
                <w:szCs w:val="18"/>
              </w:rPr>
              <w:t>本期确认的托 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 益</w:t>
            </w:r>
          </w:p>
        </w:tc>
      </w:tr>
    </w:tbl>
    <w:p>
      <w:pPr>
        <w:spacing w:after="0" w:line="309" w:lineRule="auto"/>
        <w:jc w:val="center"/>
        <w:rPr>
          <w:rFonts w:ascii="宋体" w:hAnsi="宋体" w:cs="宋体" w:eastAsia="宋体" w:hint="default"/>
          <w:sz w:val="18"/>
          <w:szCs w:val="18"/>
        </w:rPr>
        <w:sectPr>
          <w:pgSz w:w="11910" w:h="16840"/>
          <w:pgMar w:header="907" w:footer="1016" w:top="1100" w:bottom="1200" w:left="1020" w:right="0"/>
        </w:sectPr>
      </w:pPr>
    </w:p>
    <w:p>
      <w:pPr>
        <w:pStyle w:val="BodyText"/>
        <w:spacing w:line="340" w:lineRule="auto" w:before="49"/>
        <w:ind w:right="-19"/>
        <w:jc w:val="left"/>
      </w:pPr>
      <w:r>
        <w:rPr/>
        <w:t>关联托管</w:t>
      </w:r>
      <w:r>
        <w:rPr>
          <w:rFonts w:ascii="Times New Roman" w:hAnsi="Times New Roman" w:cs="Times New Roman" w:eastAsia="Times New Roman" w:hint="default"/>
        </w:rPr>
        <w:t>/</w:t>
      </w:r>
      <w:r>
        <w:rPr/>
        <w:t>承包情况说明 本公司委托管理</w:t>
      </w:r>
      <w:r>
        <w:rPr>
          <w:rFonts w:ascii="Times New Roman" w:hAnsi="Times New Roman" w:cs="Times New Roman" w:eastAsia="Times New Roman" w:hint="default"/>
        </w:rPr>
        <w:t>/</w:t>
      </w:r>
      <w:r>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1"/>
          <w:szCs w:val="21"/>
        </w:rPr>
      </w:pPr>
    </w:p>
    <w:p>
      <w:pPr>
        <w:pStyle w:val="BodyText"/>
        <w:spacing w:line="240" w:lineRule="auto"/>
        <w:ind w:right="0"/>
        <w:jc w:val="left"/>
      </w:pPr>
      <w:r>
        <w:rPr/>
        <w:t>单位：</w:t>
      </w:r>
      <w:r>
        <w:rPr>
          <w:spacing w:val="-2"/>
        </w:rPr>
        <w:t> </w:t>
      </w:r>
      <w:r>
        <w:rPr/>
        <w:t>元</w:t>
      </w:r>
    </w:p>
    <w:p>
      <w:pPr>
        <w:spacing w:after="0" w:line="240" w:lineRule="auto"/>
        <w:jc w:val="left"/>
        <w:sectPr>
          <w:type w:val="continuous"/>
          <w:pgSz w:w="11910" w:h="16840"/>
          <w:pgMar w:top="1100" w:bottom="1200" w:left="1020" w:right="0"/>
          <w:cols w:num="2" w:equalWidth="0">
            <w:col w:w="2504" w:space="6326"/>
            <w:col w:w="2060"/>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7"/>
        <w:gridCol w:w="1368"/>
        <w:gridCol w:w="1367"/>
        <w:gridCol w:w="1367"/>
        <w:gridCol w:w="1367"/>
        <w:gridCol w:w="1367"/>
      </w:tblGrid>
      <w:tr>
        <w:trPr>
          <w:trHeight w:val="361"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w:t>
            </w: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本期确认的托</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日</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定价依据</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pStyle w:val="BodyText"/>
        <w:spacing w:line="240" w:lineRule="auto" w:before="50"/>
        <w:ind w:right="882"/>
        <w:jc w:val="left"/>
      </w:pPr>
      <w:r>
        <w:rPr/>
        <w:t>关联管理</w:t>
      </w:r>
      <w:r>
        <w:rPr>
          <w:rFonts w:ascii="Times New Roman" w:hAnsi="Times New Roman" w:cs="Times New Roman" w:eastAsia="Times New Roman" w:hint="default"/>
        </w:rPr>
        <w:t>/</w:t>
      </w:r>
      <w:r>
        <w:rPr/>
        <w:t>出包情况说明</w:t>
      </w:r>
    </w:p>
    <w:p>
      <w:pPr>
        <w:spacing w:after="0" w:line="240" w:lineRule="auto"/>
        <w:jc w:val="left"/>
        <w:sectPr>
          <w:type w:val="continuous"/>
          <w:pgSz w:w="11910" w:h="16840"/>
          <w:pgMar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3）关联租赁情况" w:id="405"/>
      <w:bookmarkEnd w:id="405"/>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本公司作为出租方：</w:t>
      </w:r>
    </w:p>
    <w:p>
      <w:pPr>
        <w:pStyle w:val="BodyText"/>
        <w:spacing w:line="240" w:lineRule="auto" w:before="117"/>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8"/>
        <w:gridCol w:w="2394"/>
        <w:gridCol w:w="2393"/>
        <w:gridCol w:w="2393"/>
      </w:tblGrid>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38"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浙江中福健康管理有限公司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44,569.81</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杭州中福投资管理有限公司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8,048.40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44,604.00</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杭州爱葆云科技有限公司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9,396.00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204,848.60</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14"/>
              <w:jc w:val="left"/>
              <w:rPr>
                <w:rFonts w:ascii="宋体" w:hAnsi="宋体" w:cs="宋体" w:eastAsia="宋体" w:hint="default"/>
                <w:sz w:val="18"/>
                <w:szCs w:val="18"/>
              </w:rPr>
            </w:pPr>
            <w:r>
              <w:rPr>
                <w:rFonts w:ascii="宋体" w:hAnsi="宋体" w:cs="宋体" w:eastAsia="宋体" w:hint="default"/>
                <w:sz w:val="18"/>
                <w:szCs w:val="18"/>
              </w:rPr>
              <w:t>杭州健保付网络科技有限公 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52,460.40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115,963.20</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14"/>
              <w:jc w:val="left"/>
              <w:rPr>
                <w:rFonts w:ascii="宋体" w:hAnsi="宋体" w:cs="宋体" w:eastAsia="宋体" w:hint="default"/>
                <w:sz w:val="18"/>
                <w:szCs w:val="18"/>
              </w:rPr>
            </w:pPr>
            <w:r>
              <w:rPr>
                <w:rFonts w:ascii="宋体" w:hAnsi="宋体" w:cs="宋体" w:eastAsia="宋体" w:hint="default"/>
                <w:sz w:val="18"/>
                <w:szCs w:val="18"/>
              </w:rPr>
              <w:t>杭州生命海网络科技有限公 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2,868.00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17,208.00</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杭州亿家健康管理有限公司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456,404.40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829,979.30</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杭州隽宝科技有限公司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416,490.51</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杭州棒糖网络科技有限公司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355,231.70</w:t>
            </w:r>
          </w:p>
        </w:tc>
        <w:tc>
          <w:tcPr>
            <w:tcW w:w="23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882"/>
        <w:jc w:val="left"/>
      </w:pPr>
      <w:r>
        <w:rPr/>
        <w:t>本公司作为承租方：</w:t>
      </w:r>
    </w:p>
    <w:p>
      <w:pPr>
        <w:pStyle w:val="BodyText"/>
        <w:spacing w:line="240" w:lineRule="auto" w:before="115"/>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1"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bl>
    <w:p>
      <w:pPr>
        <w:pStyle w:val="BodyText"/>
        <w:spacing w:line="360" w:lineRule="auto" w:before="50"/>
        <w:ind w:right="1394"/>
        <w:jc w:val="left"/>
      </w:pPr>
      <w:r>
        <w:rPr/>
        <w:t>关联租赁情况说明 本期，公司向以上关联单位出租房屋建筑物时，收取相关水电费</w:t>
      </w:r>
      <w:r>
        <w:rPr>
          <w:rFonts w:ascii="Times New Roman" w:hAnsi="Times New Roman" w:cs="Times New Roman" w:eastAsia="Times New Roman" w:hint="default"/>
        </w:rPr>
        <w:t>39,649.73</w:t>
      </w:r>
      <w:r>
        <w:rPr/>
        <w:t>元；同时提供物业服务，本期收取相关物业费</w:t>
      </w:r>
    </w:p>
    <w:p>
      <w:pPr>
        <w:pStyle w:val="BodyText"/>
        <w:spacing w:line="212" w:lineRule="exact"/>
        <w:ind w:right="882"/>
        <w:jc w:val="left"/>
      </w:pPr>
      <w:r>
        <w:rPr>
          <w:rFonts w:ascii="Times New Roman" w:hAnsi="Times New Roman" w:cs="Times New Roman" w:eastAsia="Times New Roman" w:hint="default"/>
        </w:rPr>
        <w:t>114,440.22</w:t>
      </w:r>
      <w:r>
        <w:rPr/>
        <w:t>元。</w:t>
      </w:r>
    </w:p>
    <w:p>
      <w:pPr>
        <w:spacing w:line="240" w:lineRule="auto" w:before="13"/>
        <w:rPr>
          <w:rFonts w:ascii="宋体" w:hAnsi="宋体" w:cs="宋体" w:eastAsia="宋体" w:hint="default"/>
          <w:sz w:val="25"/>
          <w:szCs w:val="25"/>
        </w:rPr>
      </w:pPr>
    </w:p>
    <w:p>
      <w:pPr>
        <w:pStyle w:val="Heading3"/>
        <w:spacing w:line="240" w:lineRule="auto"/>
        <w:ind w:right="882"/>
        <w:jc w:val="left"/>
        <w:rPr>
          <w:b w:val="0"/>
          <w:bCs w:val="0"/>
        </w:rPr>
      </w:pPr>
      <w:bookmarkStart w:name="（4）关联担保情况" w:id="406"/>
      <w:bookmarkEnd w:id="406"/>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882"/>
        <w:jc w:val="left"/>
      </w:pPr>
      <w:r>
        <w:rPr/>
        <w:t>本公司作为担保方</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62" w:right="139"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bl>
    <w:p>
      <w:pPr>
        <w:pStyle w:val="BodyText"/>
        <w:spacing w:line="240" w:lineRule="auto" w:before="49"/>
        <w:ind w:right="882"/>
        <w:jc w:val="left"/>
      </w:pPr>
      <w:r>
        <w:rPr/>
        <w:t>本公司作为被担保方</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62" w:right="139"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bl>
    <w:p>
      <w:pPr>
        <w:pStyle w:val="BodyText"/>
        <w:spacing w:line="240" w:lineRule="auto" w:before="50"/>
        <w:ind w:right="882"/>
        <w:jc w:val="left"/>
      </w:pPr>
      <w:r>
        <w:rPr/>
        <w:t>关联担保情况说明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5）关联方资金拆借" w:id="407"/>
      <w:bookmarkEnd w:id="407"/>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4"/>
        <w:gridCol w:w="1915"/>
        <w:gridCol w:w="1914"/>
        <w:gridCol w:w="1914"/>
      </w:tblGrid>
      <w:tr>
        <w:trPr>
          <w:trHeight w:val="400"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说明</w:t>
            </w:r>
          </w:p>
        </w:tc>
      </w:tr>
    </w:tbl>
    <w:p>
      <w:pPr>
        <w:spacing w:after="0" w:line="240" w:lineRule="auto"/>
        <w:jc w:val="center"/>
        <w:rPr>
          <w:rFonts w:ascii="宋体" w:hAnsi="宋体" w:cs="宋体" w:eastAsia="宋体" w:hint="default"/>
          <w:sz w:val="18"/>
          <w:szCs w:val="18"/>
        </w:rPr>
        <w:sectPr>
          <w:pgSz w:w="11910" w:h="16840"/>
          <w:pgMar w:header="907" w:footer="1016" w:top="1100" w:bottom="1200" w:left="1020" w:right="0"/>
        </w:sectPr>
      </w:pPr>
    </w:p>
    <w:p>
      <w:pPr>
        <w:spacing w:line="240" w:lineRule="auto" w:before="1"/>
        <w:rPr>
          <w:rFonts w:ascii="宋体" w:hAnsi="宋体" w:cs="宋体" w:eastAsia="宋体" w:hint="default"/>
          <w:sz w:val="25"/>
          <w:szCs w:val="25"/>
        </w:rPr>
      </w:pPr>
    </w:p>
    <w:p>
      <w:pPr>
        <w:spacing w:line="818" w:lineRule="exact"/>
        <w:ind w:left="12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79.5pt;height:40.950pt;mso-position-horizontal-relative:char;mso-position-vertical-relative:line" coordorigin="0,0" coordsize="9590,819">
            <v:group style="position:absolute;left:13;top:13;width:9565;height:397" coordorigin="13,13" coordsize="9565,397">
              <v:shape style="position:absolute;left:13;top:13;width:9565;height:397" coordorigin="13,13" coordsize="9565,397" path="m13,13l9578,13,9578,410,13,410,13,13xe" filled="true" fillcolor="#d2d2d2" stroked="false">
                <v:path arrowok="t"/>
                <v:fill type="solid"/>
              </v:shape>
            </v:group>
            <v:group style="position:absolute;left:13;top:415;width:9565;height:397" coordorigin="13,415" coordsize="9565,397">
              <v:shape style="position:absolute;left:13;top:415;width:9565;height:397" coordorigin="13,415" coordsize="9565,397" path="m13,415l9578,415,9578,812,13,812,13,415xe" filled="true" fillcolor="#d2d2d2" stroked="false">
                <v:path arrowok="t"/>
                <v:fill type="solid"/>
              </v:shape>
            </v:group>
            <v:group style="position:absolute;left:5;top:10;width:9580;height:2" coordorigin="5,10" coordsize="9580,2">
              <v:shape style="position:absolute;left:5;top:10;width:9580;height:2" coordorigin="5,10" coordsize="9580,0" path="m5,10l9584,10e" filled="false" stroked="true" strokeweight=".48pt" strokecolor="#000000">
                <v:path arrowok="t"/>
              </v:shape>
            </v:group>
            <v:group style="position:absolute;left:5;top:412;width:9580;height:2" coordorigin="5,412" coordsize="9580,2">
              <v:shape style="position:absolute;left:5;top:412;width:9580;height:2" coordorigin="5,412" coordsize="9580,0" path="m5,412l9584,412e" filled="false" stroked="true" strokeweight=".48pt" strokecolor="#000000">
                <v:path arrowok="t"/>
              </v:shape>
            </v:group>
            <v:group style="position:absolute;left:5;top:814;width:9580;height:2" coordorigin="5,814" coordsize="9580,2">
              <v:shape style="position:absolute;left:5;top:814;width:9580;height:2" coordorigin="5,814" coordsize="9580,0" path="m5,814l9584,814e" filled="false" stroked="true" strokeweight=".48pt" strokecolor="#000000">
                <v:path arrowok="t"/>
              </v:shape>
            </v:group>
            <v:group style="position:absolute;left:10;top:5;width:2;height:804" coordorigin="10,5" coordsize="2,804">
              <v:shape style="position:absolute;left:10;top:5;width:2;height:804" coordorigin="10,5" coordsize="0,804" path="m10,5l10,809e" filled="false" stroked="true" strokeweight=".48pt" strokecolor="#000000">
                <v:path arrowok="t"/>
              </v:shape>
            </v:group>
            <v:group style="position:absolute;left:9580;top:5;width:2;height:804" coordorigin="9580,5" coordsize="2,804">
              <v:shape style="position:absolute;left:9580;top:5;width:2;height:804" coordorigin="9580,5" coordsize="0,804" path="m9580,5l9580,809e" filled="false" stroked="true" strokeweight=".48pt" strokecolor="#000000">
                <v:path arrowok="t"/>
              </v:shape>
              <v:shape style="position:absolute;left:116;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拆入</w:t>
                      </w:r>
                    </w:p>
                  </w:txbxContent>
                </v:textbox>
                <w10:wrap type="none"/>
              </v:shape>
              <v:shape style="position:absolute;left:116;top:52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拆出</w:t>
                      </w:r>
                    </w:p>
                  </w:txbxContent>
                </v:textbox>
                <w10:wrap type="none"/>
              </v:shape>
            </v:group>
          </v:group>
        </w:pict>
      </w:r>
      <w:r>
        <w:rPr>
          <w:rFonts w:ascii="宋体" w:hAnsi="宋体" w:cs="宋体" w:eastAsia="宋体" w:hint="default"/>
          <w:position w:val="-15"/>
          <w:sz w:val="20"/>
          <w:szCs w:val="20"/>
        </w:rPr>
      </w:r>
    </w:p>
    <w:p>
      <w:pPr>
        <w:spacing w:line="240" w:lineRule="auto" w:before="4"/>
        <w:rPr>
          <w:rFonts w:ascii="宋体" w:hAnsi="宋体" w:cs="宋体" w:eastAsia="宋体" w:hint="default"/>
          <w:sz w:val="19"/>
          <w:szCs w:val="19"/>
        </w:rPr>
      </w:pPr>
    </w:p>
    <w:p>
      <w:pPr>
        <w:pStyle w:val="Heading3"/>
        <w:spacing w:line="240" w:lineRule="auto" w:before="34"/>
        <w:ind w:left="132" w:right="1115"/>
        <w:jc w:val="left"/>
        <w:rPr>
          <w:b w:val="0"/>
          <w:bCs w:val="0"/>
        </w:rPr>
      </w:pPr>
      <w:bookmarkStart w:name="（6）关联方资产转让、债务重组情况" w:id="408"/>
      <w:bookmarkEnd w:id="408"/>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2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4"/>
        <w:rPr>
          <w:rFonts w:ascii="宋体" w:hAnsi="宋体" w:cs="宋体" w:eastAsia="宋体" w:hint="default"/>
          <w:sz w:val="19"/>
          <w:szCs w:val="19"/>
        </w:rPr>
      </w:pPr>
    </w:p>
    <w:p>
      <w:pPr>
        <w:pStyle w:val="Heading3"/>
        <w:spacing w:line="240" w:lineRule="auto" w:before="34"/>
        <w:ind w:left="132" w:right="1115"/>
        <w:jc w:val="left"/>
        <w:rPr>
          <w:b w:val="0"/>
          <w:bCs w:val="0"/>
        </w:rPr>
      </w:pPr>
      <w:bookmarkStart w:name="（7）关键管理人员报酬" w:id="409"/>
      <w:bookmarkEnd w:id="409"/>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29" w:type="dxa"/>
        <w:tblLayout w:type="fixed"/>
        <w:tblCellMar>
          <w:top w:w="0" w:type="dxa"/>
          <w:left w:w="0" w:type="dxa"/>
          <w:bottom w:w="0" w:type="dxa"/>
          <w:right w:w="0" w:type="dxa"/>
        </w:tblCellMar>
        <w:tblLook w:val="01E0"/>
      </w:tblPr>
      <w:tblGrid>
        <w:gridCol w:w="3188"/>
        <w:gridCol w:w="3190"/>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关键管理人员报酬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6,617,900.00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6,105,600.00</w:t>
            </w:r>
          </w:p>
        </w:tc>
      </w:tr>
    </w:tbl>
    <w:p>
      <w:pPr>
        <w:spacing w:line="240" w:lineRule="auto" w:before="2"/>
        <w:rPr>
          <w:rFonts w:ascii="宋体" w:hAnsi="宋体" w:cs="宋体" w:eastAsia="宋体" w:hint="default"/>
          <w:sz w:val="19"/>
          <w:szCs w:val="19"/>
        </w:rPr>
      </w:pPr>
    </w:p>
    <w:p>
      <w:pPr>
        <w:pStyle w:val="Heading3"/>
        <w:spacing w:line="240" w:lineRule="auto" w:before="34"/>
        <w:ind w:left="132" w:right="1115"/>
        <w:jc w:val="left"/>
        <w:rPr>
          <w:b w:val="0"/>
          <w:bCs w:val="0"/>
        </w:rPr>
      </w:pPr>
      <w:bookmarkStart w:name="（8）其他关联交易" w:id="410"/>
      <w:bookmarkEnd w:id="410"/>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552" w:right="1115"/>
        <w:jc w:val="left"/>
      </w:pPr>
      <w:r>
        <w:rPr/>
        <w:t>关联方资产转让</w:t>
      </w:r>
    </w:p>
    <w:p>
      <w:pPr>
        <w:spacing w:line="240" w:lineRule="auto" w:before="2"/>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2415"/>
        <w:gridCol w:w="2689"/>
        <w:gridCol w:w="2275"/>
        <w:gridCol w:w="2275"/>
      </w:tblGrid>
      <w:tr>
        <w:trPr>
          <w:trHeight w:val="347" w:hRule="exact"/>
        </w:trPr>
        <w:tc>
          <w:tcPr>
            <w:tcW w:w="2415"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21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2689"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795"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75"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本期数</w:t>
            </w:r>
          </w:p>
        </w:tc>
        <w:tc>
          <w:tcPr>
            <w:tcW w:w="2275" w:type="dxa"/>
            <w:tcBorders>
              <w:top w:val="single" w:sz="6" w:space="0" w:color="000000"/>
              <w:left w:val="single" w:sz="6" w:space="0" w:color="000000"/>
              <w:bottom w:val="single" w:sz="6" w:space="0" w:color="000000"/>
              <w:right w:val="single" w:sz="6" w:space="0" w:color="000000"/>
            </w:tcBorders>
            <w:shd w:val="clear" w:color="auto" w:fill="D6D6D6"/>
          </w:tcPr>
          <w:p>
            <w:pPr>
              <w:pStyle w:val="TableParagraph"/>
              <w:spacing w:line="240" w:lineRule="auto" w:before="21"/>
              <w:ind w:left="679" w:right="0"/>
              <w:jc w:val="left"/>
              <w:rPr>
                <w:rFonts w:ascii="宋体" w:hAnsi="宋体" w:cs="宋体" w:eastAsia="宋体" w:hint="default"/>
                <w:sz w:val="18"/>
                <w:szCs w:val="18"/>
              </w:rPr>
            </w:pPr>
            <w:r>
              <w:rPr>
                <w:rFonts w:ascii="宋体" w:hAnsi="宋体" w:cs="宋体" w:eastAsia="宋体" w:hint="default"/>
                <w:sz w:val="18"/>
                <w:szCs w:val="18"/>
              </w:rPr>
              <w:t>上年同期数</w:t>
            </w:r>
          </w:p>
        </w:tc>
      </w:tr>
      <w:tr>
        <w:trPr>
          <w:trHeight w:val="659" w:hRule="exact"/>
        </w:trPr>
        <w:tc>
          <w:tcPr>
            <w:tcW w:w="24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苏州雅戈尔置业有限公司</w:t>
            </w:r>
          </w:p>
        </w:tc>
        <w:tc>
          <w:tcPr>
            <w:tcW w:w="26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3" w:right="0"/>
              <w:jc w:val="left"/>
              <w:rPr>
                <w:rFonts w:ascii="宋体" w:hAnsi="宋体" w:cs="宋体" w:eastAsia="宋体" w:hint="default"/>
                <w:sz w:val="18"/>
                <w:szCs w:val="18"/>
              </w:rPr>
            </w:pPr>
            <w:r>
              <w:rPr>
                <w:rFonts w:ascii="宋体" w:hAnsi="宋体" w:cs="宋体" w:eastAsia="宋体" w:hint="default"/>
                <w:sz w:val="18"/>
                <w:szCs w:val="18"/>
              </w:rPr>
              <w:t>出售苏州网新创业科技有限公司</w:t>
            </w:r>
          </w:p>
          <w:p>
            <w:pPr>
              <w:pStyle w:val="TableParagraph"/>
              <w:spacing w:line="240" w:lineRule="auto" w:before="76"/>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宋体" w:hAnsi="宋体" w:cs="宋体" w:eastAsia="宋体" w:hint="default"/>
                <w:sz w:val="18"/>
                <w:szCs w:val="18"/>
              </w:rPr>
              <w:t>股权</w:t>
            </w:r>
          </w:p>
        </w:tc>
        <w:tc>
          <w:tcPr>
            <w:tcW w:w="2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221" w:right="0"/>
              <w:jc w:val="left"/>
              <w:rPr>
                <w:rFonts w:ascii="Times New Roman" w:hAnsi="Times New Roman" w:cs="Times New Roman" w:eastAsia="Times New Roman" w:hint="default"/>
                <w:sz w:val="18"/>
                <w:szCs w:val="18"/>
              </w:rPr>
            </w:pPr>
            <w:r>
              <w:rPr>
                <w:rFonts w:ascii="Times New Roman"/>
                <w:sz w:val="18"/>
              </w:rPr>
              <w:t>46,000,000.00</w:t>
            </w:r>
          </w:p>
        </w:tc>
        <w:tc>
          <w:tcPr>
            <w:tcW w:w="2275"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pStyle w:val="Heading3"/>
        <w:spacing w:line="240" w:lineRule="auto" w:before="34"/>
        <w:ind w:left="132" w:right="1115"/>
        <w:jc w:val="left"/>
        <w:rPr>
          <w:b w:val="0"/>
          <w:bCs w:val="0"/>
        </w:rPr>
      </w:pPr>
      <w:bookmarkStart w:name="6、关联方应收应付款项" w:id="411"/>
      <w:bookmarkEnd w:id="411"/>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32" w:right="1115"/>
        <w:jc w:val="left"/>
        <w:rPr>
          <w:b w:val="0"/>
          <w:bCs w:val="0"/>
        </w:rPr>
      </w:pPr>
      <w:bookmarkStart w:name="（1）应收项目" w:id="412"/>
      <w:bookmarkEnd w:id="412"/>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29" w:type="dxa"/>
        <w:tblLayout w:type="fixed"/>
        <w:tblCellMar>
          <w:top w:w="0" w:type="dxa"/>
          <w:left w:w="0" w:type="dxa"/>
          <w:bottom w:w="0" w:type="dxa"/>
          <w:right w:w="0" w:type="dxa"/>
        </w:tblCellMar>
        <w:tblLook w:val="01E0"/>
      </w:tblPr>
      <w:tblGrid>
        <w:gridCol w:w="1595"/>
        <w:gridCol w:w="1595"/>
        <w:gridCol w:w="1594"/>
        <w:gridCol w:w="1594"/>
        <w:gridCol w:w="1594"/>
        <w:gridCol w:w="1594"/>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26"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20"/>
              <w:jc w:val="both"/>
              <w:rPr>
                <w:rFonts w:ascii="宋体" w:hAnsi="宋体" w:cs="宋体" w:eastAsia="宋体" w:hint="default"/>
                <w:sz w:val="18"/>
                <w:szCs w:val="18"/>
              </w:rPr>
            </w:pPr>
            <w:r>
              <w:rPr>
                <w:rFonts w:ascii="宋体" w:hAnsi="宋体" w:cs="宋体" w:eastAsia="宋体" w:hint="default"/>
                <w:sz w:val="18"/>
                <w:szCs w:val="18"/>
              </w:rPr>
              <w:t>浙江美康网新云 健康科技股份有 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20"/>
              <w:jc w:val="left"/>
              <w:rPr>
                <w:rFonts w:ascii="宋体" w:hAnsi="宋体" w:cs="宋体" w:eastAsia="宋体" w:hint="default"/>
                <w:sz w:val="18"/>
                <w:szCs w:val="18"/>
              </w:rPr>
            </w:pPr>
            <w:r>
              <w:rPr>
                <w:rFonts w:ascii="宋体" w:hAnsi="宋体" w:cs="宋体" w:eastAsia="宋体" w:hint="default"/>
                <w:sz w:val="18"/>
                <w:szCs w:val="18"/>
              </w:rPr>
              <w:t>浙江建达科技股 份有限公司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155,320.00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22,664.00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134,820.00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9,564.00</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20"/>
              <w:jc w:val="left"/>
              <w:rPr>
                <w:rFonts w:ascii="宋体" w:hAnsi="宋体" w:cs="宋体" w:eastAsia="宋体" w:hint="default"/>
                <w:sz w:val="18"/>
                <w:szCs w:val="18"/>
              </w:rPr>
            </w:pPr>
            <w:r>
              <w:rPr>
                <w:rFonts w:ascii="宋体" w:hAnsi="宋体" w:cs="宋体" w:eastAsia="宋体" w:hint="default"/>
                <w:sz w:val="18"/>
                <w:szCs w:val="18"/>
              </w:rPr>
              <w:t>浙江中福健康管 理有限公司</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19,530.00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976.50</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20"/>
              <w:jc w:val="left"/>
              <w:rPr>
                <w:rFonts w:ascii="宋体" w:hAnsi="宋体" w:cs="宋体" w:eastAsia="宋体" w:hint="default"/>
                <w:sz w:val="18"/>
                <w:szCs w:val="18"/>
              </w:rPr>
            </w:pPr>
            <w:r>
              <w:rPr>
                <w:rFonts w:ascii="宋体" w:hAnsi="宋体" w:cs="宋体" w:eastAsia="宋体" w:hint="default"/>
                <w:sz w:val="18"/>
                <w:szCs w:val="18"/>
              </w:rPr>
              <w:t>杭州中福投资管 理有限公司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2,663.64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133.18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11,114.46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555.72</w:t>
            </w:r>
          </w:p>
        </w:tc>
      </w:tr>
      <w:tr>
        <w:trPr>
          <w:trHeight w:val="712"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20"/>
              <w:jc w:val="left"/>
              <w:rPr>
                <w:rFonts w:ascii="宋体" w:hAnsi="宋体" w:cs="宋体" w:eastAsia="宋体" w:hint="default"/>
                <w:sz w:val="18"/>
                <w:szCs w:val="18"/>
              </w:rPr>
            </w:pPr>
            <w:r>
              <w:rPr>
                <w:rFonts w:ascii="宋体" w:hAnsi="宋体" w:cs="宋体" w:eastAsia="宋体" w:hint="default"/>
                <w:sz w:val="18"/>
                <w:szCs w:val="18"/>
              </w:rPr>
              <w:t>杭州爱葆云科技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4,932.90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246.65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129,891.51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6,494.58</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0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5"/>
        <w:gridCol w:w="1595"/>
        <w:gridCol w:w="1594"/>
        <w:gridCol w:w="1594"/>
        <w:gridCol w:w="1594"/>
        <w:gridCol w:w="1594"/>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20"/>
              <w:jc w:val="left"/>
              <w:rPr>
                <w:rFonts w:ascii="宋体" w:hAnsi="宋体" w:cs="宋体" w:eastAsia="宋体" w:hint="default"/>
                <w:sz w:val="18"/>
                <w:szCs w:val="18"/>
              </w:rPr>
            </w:pPr>
            <w:r>
              <w:rPr>
                <w:rFonts w:ascii="宋体" w:hAnsi="宋体" w:cs="宋体" w:eastAsia="宋体" w:hint="default"/>
                <w:sz w:val="18"/>
                <w:szCs w:val="18"/>
              </w:rPr>
              <w:t>杭州健保付网络 科技有限公司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88,795.98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9,496.68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72,547.65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3,627.38</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0"/>
              <w:jc w:val="left"/>
              <w:rPr>
                <w:rFonts w:ascii="宋体" w:hAnsi="宋体" w:cs="宋体" w:eastAsia="宋体" w:hint="default"/>
                <w:sz w:val="18"/>
                <w:szCs w:val="18"/>
              </w:rPr>
            </w:pPr>
            <w:r>
              <w:rPr>
                <w:rFonts w:ascii="宋体" w:hAnsi="宋体" w:cs="宋体" w:eastAsia="宋体" w:hint="default"/>
                <w:sz w:val="18"/>
                <w:szCs w:val="18"/>
              </w:rPr>
              <w:t>杭州生命海网络 科技有限公司</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1,505.70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75.29</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20"/>
              <w:jc w:val="left"/>
              <w:rPr>
                <w:rFonts w:ascii="宋体" w:hAnsi="宋体" w:cs="宋体" w:eastAsia="宋体" w:hint="default"/>
                <w:sz w:val="18"/>
                <w:szCs w:val="18"/>
              </w:rPr>
            </w:pPr>
            <w:r>
              <w:rPr>
                <w:rFonts w:ascii="宋体" w:hAnsi="宋体" w:cs="宋体" w:eastAsia="宋体" w:hint="default"/>
                <w:sz w:val="18"/>
                <w:szCs w:val="18"/>
              </w:rPr>
              <w:t>杭州亿家健康管 理有限公司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1,819,620.82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339,409.23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1,674,906.67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204,975.04</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0"/>
              <w:jc w:val="left"/>
              <w:rPr>
                <w:rFonts w:ascii="宋体" w:hAnsi="宋体" w:cs="宋体" w:eastAsia="宋体" w:hint="default"/>
                <w:sz w:val="18"/>
                <w:szCs w:val="18"/>
              </w:rPr>
            </w:pPr>
            <w:r>
              <w:rPr>
                <w:rFonts w:ascii="宋体" w:hAnsi="宋体" w:cs="宋体" w:eastAsia="宋体" w:hint="default"/>
                <w:sz w:val="18"/>
                <w:szCs w:val="18"/>
              </w:rPr>
              <w:t>杭州隽宝科技有 限公司</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36,500.31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1,825.02</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应付项目" w:id="413"/>
      <w:bookmarkEnd w:id="413"/>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17"/>
              <w:jc w:val="left"/>
              <w:rPr>
                <w:rFonts w:ascii="宋体" w:hAnsi="宋体" w:cs="宋体" w:eastAsia="宋体" w:hint="default"/>
                <w:sz w:val="18"/>
                <w:szCs w:val="18"/>
              </w:rPr>
            </w:pPr>
            <w:r>
              <w:rPr>
                <w:rFonts w:ascii="宋体" w:hAnsi="宋体" w:cs="宋体" w:eastAsia="宋体" w:hint="default"/>
                <w:sz w:val="18"/>
                <w:szCs w:val="18"/>
              </w:rPr>
              <w:t>北京童康医疗信息技术有限 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2,007,609.91</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杭州康祥医院有限公司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40,000.00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杭州隽宝科技有限公司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36,500.31</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杭州健保付网络科技有限公 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9,879.24</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8"/>
          <w:szCs w:val="18"/>
        </w:rPr>
      </w:pPr>
    </w:p>
    <w:p>
      <w:pPr>
        <w:pStyle w:val="Heading2"/>
        <w:spacing w:line="240" w:lineRule="auto" w:before="26"/>
        <w:ind w:right="882"/>
        <w:jc w:val="left"/>
        <w:rPr>
          <w:b w:val="0"/>
          <w:bCs w:val="0"/>
        </w:rPr>
      </w:pPr>
      <w:bookmarkStart w:name="十三、股份支付" w:id="414"/>
      <w:bookmarkEnd w:id="414"/>
      <w:r>
        <w:rPr>
          <w:b w:val="0"/>
          <w:bCs w:val="0"/>
        </w:rPr>
      </w:r>
      <w:r>
        <w:rPr/>
        <w:t>十三、股份支付</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股份支付总体情况" w:id="415"/>
      <w:bookmarkEnd w:id="415"/>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882"/>
        <w:jc w:val="left"/>
      </w:pPr>
      <w:r>
        <w:rPr/>
        <w:t>√ 适用 □ 不适用</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5454"/>
        <w:gridCol w:w="4114"/>
      </w:tblGrid>
      <w:tr>
        <w:trPr>
          <w:trHeight w:val="402" w:hRule="exact"/>
        </w:trPr>
        <w:tc>
          <w:tcPr>
            <w:tcW w:w="5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89,900,000.00</w:t>
            </w:r>
          </w:p>
        </w:tc>
      </w:tr>
      <w:tr>
        <w:trPr>
          <w:trHeight w:val="402" w:hRule="exact"/>
        </w:trPr>
        <w:tc>
          <w:tcPr>
            <w:tcW w:w="5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35,895,735.53</w:t>
            </w:r>
          </w:p>
        </w:tc>
      </w:tr>
      <w:tr>
        <w:trPr>
          <w:trHeight w:val="402" w:hRule="exact"/>
        </w:trPr>
        <w:tc>
          <w:tcPr>
            <w:tcW w:w="5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6,781,384.00</w:t>
            </w:r>
          </w:p>
        </w:tc>
      </w:tr>
      <w:tr>
        <w:trPr>
          <w:trHeight w:val="1026" w:hRule="exact"/>
        </w:trPr>
        <w:tc>
          <w:tcPr>
            <w:tcW w:w="5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年授予的股票期权行权价</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13.68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股，自授</w:t>
            </w:r>
          </w:p>
          <w:p>
            <w:pPr>
              <w:pStyle w:val="TableParagraph"/>
              <w:spacing w:line="300" w:lineRule="auto" w:before="63"/>
              <w:ind w:left="103" w:right="173"/>
              <w:jc w:val="left"/>
              <w:rPr>
                <w:rFonts w:ascii="宋体" w:hAnsi="宋体" w:cs="宋体" w:eastAsia="宋体" w:hint="default"/>
                <w:sz w:val="18"/>
                <w:szCs w:val="18"/>
              </w:rPr>
            </w:pPr>
            <w:r>
              <w:rPr>
                <w:rFonts w:ascii="宋体" w:hAnsi="宋体" w:cs="宋体" w:eastAsia="宋体" w:hint="default"/>
                <w:sz w:val="18"/>
                <w:szCs w:val="18"/>
              </w:rPr>
              <w:t>予日起分四年行权，至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年尚有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615,394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股已 入行权期尚未行权。</w:t>
            </w:r>
          </w:p>
        </w:tc>
      </w:tr>
      <w:tr>
        <w:trPr>
          <w:trHeight w:val="714" w:hRule="exact"/>
        </w:trPr>
        <w:tc>
          <w:tcPr>
            <w:tcW w:w="5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年度授予的限制性股票行权价格</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自授予日起分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年解锁，至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年结束。</w:t>
            </w:r>
          </w:p>
        </w:tc>
      </w:tr>
    </w:tbl>
    <w:p>
      <w:pPr>
        <w:pStyle w:val="BodyText"/>
        <w:spacing w:line="240" w:lineRule="auto" w:before="5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以权益结算的股份支付情况" w:id="416"/>
      <w:bookmarkEnd w:id="416"/>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 适用 □ 不适用</w:t>
      </w:r>
    </w:p>
    <w:p>
      <w:pPr>
        <w:pStyle w:val="BodyText"/>
        <w:spacing w:line="240" w:lineRule="auto" w:before="117"/>
        <w:ind w:left="0" w:right="1132"/>
        <w:jc w:val="right"/>
      </w:pPr>
      <w:r>
        <w:rPr/>
        <w:t>单位：</w:t>
      </w:r>
      <w:r>
        <w:rPr>
          <w:spacing w:val="-2"/>
        </w:rPr>
        <w:t> </w:t>
      </w:r>
      <w:r>
        <w:rPr/>
        <w:t>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4983"/>
        <w:gridCol w:w="4585"/>
      </w:tblGrid>
      <w:tr>
        <w:trPr>
          <w:trHeight w:val="714"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49"/>
              <w:jc w:val="left"/>
              <w:rPr>
                <w:rFonts w:ascii="宋体" w:hAnsi="宋体" w:cs="宋体" w:eastAsia="宋体" w:hint="default"/>
                <w:sz w:val="18"/>
                <w:szCs w:val="18"/>
              </w:rPr>
            </w:pPr>
            <w:r>
              <w:rPr>
                <w:rFonts w:ascii="宋体" w:hAnsi="宋体" w:cs="宋体" w:eastAsia="宋体" w:hint="default"/>
                <w:sz w:val="18"/>
                <w:szCs w:val="18"/>
              </w:rPr>
              <w:t>采用授予日股票收盘价减组合期权价值的方法确定限制 性股票</w:t>
            </w:r>
            <w:r>
              <w:rPr>
                <w:rFonts w:ascii="Times New Roman" w:hAnsi="Times New Roman" w:cs="Times New Roman" w:eastAsia="Times New Roman" w:hint="default"/>
                <w:sz w:val="18"/>
                <w:szCs w:val="18"/>
              </w:rPr>
              <w:t>/</w:t>
            </w:r>
            <w:r>
              <w:rPr>
                <w:rFonts w:ascii="宋体" w:hAnsi="宋体" w:cs="宋体" w:eastAsia="宋体" w:hint="default"/>
                <w:sz w:val="18"/>
                <w:szCs w:val="18"/>
              </w:rPr>
              <w:t>股票期权的公允价值。</w:t>
            </w:r>
          </w:p>
        </w:tc>
      </w:tr>
      <w:tr>
        <w:trPr>
          <w:trHeight w:val="1338"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01"/>
              <w:jc w:val="both"/>
              <w:rPr>
                <w:rFonts w:ascii="宋体" w:hAnsi="宋体" w:cs="宋体" w:eastAsia="宋体" w:hint="default"/>
                <w:sz w:val="18"/>
                <w:szCs w:val="18"/>
              </w:rPr>
            </w:pPr>
            <w:r>
              <w:rPr>
                <w:rFonts w:ascii="宋体" w:hAnsi="宋体" w:cs="宋体" w:eastAsia="宋体" w:hint="default"/>
                <w:spacing w:val="-3"/>
                <w:sz w:val="18"/>
                <w:szCs w:val="18"/>
              </w:rPr>
              <w:t>限制性股票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股票期权，以获授限制性股票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股票期权额度</w:t>
            </w:r>
            <w:r>
              <w:rPr>
                <w:rFonts w:ascii="宋体" w:hAnsi="宋体" w:cs="宋体" w:eastAsia="宋体" w:hint="default"/>
                <w:spacing w:val="-66"/>
                <w:sz w:val="18"/>
                <w:szCs w:val="18"/>
              </w:rPr>
              <w:t> </w:t>
            </w:r>
            <w:r>
              <w:rPr>
                <w:rFonts w:ascii="宋体" w:hAnsi="宋体" w:cs="宋体" w:eastAsia="宋体" w:hint="default"/>
                <w:sz w:val="18"/>
                <w:szCs w:val="18"/>
              </w:rPr>
              <w:t>为基数，综合考虑每个资产负债表日可行权职工人数变 动情况、各个可行权年度公司业绩考核指标和激励对象 个人绩效考核情况确定。</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91,526,128.91</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8,503,771.88</w:t>
            </w:r>
          </w:p>
        </w:tc>
      </w:tr>
    </w:tbl>
    <w:p>
      <w:pPr>
        <w:pStyle w:val="BodyText"/>
        <w:spacing w:line="240" w:lineRule="auto" w:before="50"/>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3、以现金结算的股份支付情况" w:id="417"/>
      <w:bookmarkEnd w:id="417"/>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4、股份支付的修改、终止情况" w:id="418"/>
      <w:bookmarkEnd w:id="418"/>
      <w:r>
        <w:rPr>
          <w:b w:val="0"/>
          <w:bCs w:val="0"/>
        </w:rPr>
      </w:r>
      <w:r>
        <w:rPr>
          <w:rFonts w:ascii="Times New Roman" w:hAnsi="Times New Roman" w:cs="Times New Roman" w:eastAsia="Times New Roman" w:hint="default"/>
        </w:rPr>
        <w:t>4</w:t>
      </w:r>
      <w:r>
        <w:rPr/>
        <w:t>、股份支付的修改、终止情况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无。</w:t>
      </w:r>
    </w:p>
    <w:p>
      <w:pPr>
        <w:spacing w:line="240" w:lineRule="auto" w:before="0"/>
        <w:rPr>
          <w:rFonts w:ascii="宋体" w:hAnsi="宋体" w:cs="宋体" w:eastAsia="宋体" w:hint="default"/>
          <w:sz w:val="18"/>
          <w:szCs w:val="18"/>
        </w:rPr>
      </w:pPr>
    </w:p>
    <w:p>
      <w:pPr>
        <w:spacing w:line="487" w:lineRule="auto" w:before="118"/>
        <w:ind w:left="112" w:right="8344" w:firstLine="0"/>
        <w:jc w:val="left"/>
        <w:rPr>
          <w:rFonts w:ascii="宋体" w:hAnsi="宋体" w:cs="宋体" w:eastAsia="宋体" w:hint="default"/>
          <w:sz w:val="21"/>
          <w:szCs w:val="21"/>
        </w:rPr>
      </w:pPr>
      <w:bookmarkStart w:name="5、其他" w:id="419"/>
      <w:bookmarkEnd w:id="419"/>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十四、承诺及或有事项" w:id="420"/>
      <w:bookmarkEnd w:id="420"/>
      <w:r>
        <w:rPr>
          <w:rFonts w:ascii="宋体" w:hAnsi="宋体" w:cs="宋体" w:eastAsia="宋体" w:hint="default"/>
          <w:b/>
          <w:bCs/>
          <w:w w:val="99"/>
          <w:sz w:val="21"/>
          <w:szCs w:val="21"/>
        </w:rPr>
      </w:r>
      <w:r>
        <w:rPr>
          <w:rFonts w:ascii="宋体" w:hAnsi="宋体" w:cs="宋体" w:eastAsia="宋体" w:hint="default"/>
          <w:b/>
          <w:bCs/>
          <w:sz w:val="24"/>
          <w:szCs w:val="24"/>
        </w:rPr>
        <w:t>十四、承诺及或有事项</w:t>
      </w:r>
      <w:r>
        <w:rPr>
          <w:rFonts w:ascii="宋体" w:hAnsi="宋体" w:cs="宋体" w:eastAsia="宋体" w:hint="default"/>
          <w:b/>
          <w:bCs/>
          <w:w w:val="99"/>
          <w:sz w:val="24"/>
          <w:szCs w:val="24"/>
        </w:rPr>
        <w:t> </w:t>
      </w:r>
      <w:bookmarkStart w:name="1、重要承诺事项" w:id="421"/>
      <w:bookmarkEnd w:id="421"/>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pStyle w:val="BodyText"/>
        <w:spacing w:line="360" w:lineRule="auto" w:before="107"/>
        <w:ind w:left="472" w:right="882" w:hanging="360"/>
        <w:jc w:val="left"/>
      </w:pPr>
      <w:r>
        <w:rPr/>
        <w:t>资产负债表日存在的重要承诺 </w:t>
      </w:r>
      <w:r>
        <w:rPr>
          <w:spacing w:val="-1"/>
        </w:rPr>
        <w:t>截至</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日，本公司对已设立及投资子公司尚未履行的出资义务共计</w:t>
      </w:r>
      <w:r>
        <w:rPr>
          <w:rFonts w:ascii="Times New Roman" w:hAnsi="Times New Roman" w:cs="Times New Roman" w:eastAsia="Times New Roman" w:hint="default"/>
          <w:spacing w:val="-1"/>
        </w:rPr>
        <w:t>34,215,000.00</w:t>
      </w:r>
      <w:r>
        <w:rPr>
          <w:spacing w:val="-1"/>
        </w:rPr>
        <w:t>元，其中：天津创津科技有</w:t>
      </w:r>
    </w:p>
    <w:p>
      <w:pPr>
        <w:pStyle w:val="BodyText"/>
        <w:spacing w:line="212" w:lineRule="exact"/>
        <w:ind w:right="882"/>
        <w:jc w:val="left"/>
      </w:pPr>
      <w:r>
        <w:rPr/>
        <w:t>限公司</w:t>
      </w:r>
      <w:r>
        <w:rPr>
          <w:rFonts w:ascii="Times New Roman" w:hAnsi="Times New Roman" w:cs="Times New Roman" w:eastAsia="Times New Roman" w:hint="default"/>
        </w:rPr>
        <w:t>2,975,000.00</w:t>
      </w:r>
      <w:r>
        <w:rPr/>
        <w:t>元、宁海杭创网络科技有限公司</w:t>
      </w:r>
      <w:r>
        <w:rPr>
          <w:rFonts w:ascii="Times New Roman" w:hAnsi="Times New Roman" w:cs="Times New Roman" w:eastAsia="Times New Roman" w:hint="default"/>
        </w:rPr>
        <w:t>10,000,000.00</w:t>
      </w:r>
      <w:r>
        <w:rPr/>
        <w:t>元、浙江医康数据科技研究院有限公司</w:t>
      </w:r>
      <w:r>
        <w:rPr>
          <w:rFonts w:ascii="Times New Roman" w:hAnsi="Times New Roman" w:cs="Times New Roman" w:eastAsia="Times New Roman" w:hint="default"/>
        </w:rPr>
        <w:t>6,240,000.00</w:t>
      </w:r>
      <w:r>
        <w:rPr/>
        <w:t>元、广</w:t>
      </w:r>
    </w:p>
    <w:p>
      <w:pPr>
        <w:pStyle w:val="BodyText"/>
        <w:spacing w:line="240" w:lineRule="auto" w:before="63"/>
        <w:ind w:right="882"/>
        <w:jc w:val="left"/>
      </w:pPr>
      <w:r>
        <w:rPr/>
        <w:t>州粤湾慧康科技有限公司</w:t>
      </w:r>
      <w:r>
        <w:rPr>
          <w:rFonts w:ascii="Times New Roman" w:hAnsi="Times New Roman" w:cs="Times New Roman" w:eastAsia="Times New Roman" w:hint="default"/>
        </w:rPr>
        <w:t>9,900,000.00</w:t>
      </w:r>
      <w:r>
        <w:rPr/>
        <w:t>元、杭州慧心健康科技有限公司</w:t>
      </w:r>
      <w:r>
        <w:rPr>
          <w:rFonts w:ascii="Times New Roman" w:hAnsi="Times New Roman" w:cs="Times New Roman" w:eastAsia="Times New Roman" w:hint="default"/>
        </w:rPr>
        <w:t>5,100,000.00</w:t>
      </w:r>
      <w:r>
        <w:rPr/>
        <w:t>元。</w:t>
      </w:r>
    </w:p>
    <w:p>
      <w:pPr>
        <w:spacing w:line="240" w:lineRule="auto" w:before="10"/>
        <w:rPr>
          <w:rFonts w:ascii="宋体" w:hAnsi="宋体" w:cs="宋体" w:eastAsia="宋体" w:hint="default"/>
          <w:sz w:val="25"/>
          <w:szCs w:val="25"/>
        </w:rPr>
      </w:pPr>
    </w:p>
    <w:p>
      <w:pPr>
        <w:pStyle w:val="Heading3"/>
        <w:spacing w:line="240" w:lineRule="auto"/>
        <w:ind w:right="882"/>
        <w:jc w:val="left"/>
        <w:rPr>
          <w:b w:val="0"/>
          <w:bCs w:val="0"/>
        </w:rPr>
      </w:pPr>
      <w:bookmarkStart w:name="2、或有事项" w:id="422"/>
      <w:bookmarkEnd w:id="422"/>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资产负债表日存在的重要或有事项" w:id="423"/>
      <w:bookmarkEnd w:id="423"/>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2）公司没有需要披露的重要或有事项，也应予以说明" w:id="424"/>
      <w:bookmarkEnd w:id="424"/>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公司不存在需要披露的重要或有事项。</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spacing w:line="487" w:lineRule="auto" w:before="34"/>
        <w:ind w:left="112" w:right="7862" w:firstLine="0"/>
        <w:jc w:val="left"/>
        <w:rPr>
          <w:rFonts w:ascii="宋体" w:hAnsi="宋体" w:cs="宋体" w:eastAsia="宋体" w:hint="default"/>
          <w:sz w:val="21"/>
          <w:szCs w:val="21"/>
        </w:rPr>
      </w:pPr>
      <w:bookmarkStart w:name="3、其他" w:id="425"/>
      <w:bookmarkEnd w:id="425"/>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十五、资产负债表日后事项" w:id="426"/>
      <w:bookmarkEnd w:id="426"/>
      <w:r>
        <w:rPr>
          <w:rFonts w:ascii="宋体" w:hAnsi="宋体" w:cs="宋体" w:eastAsia="宋体" w:hint="default"/>
          <w:b/>
          <w:bCs/>
          <w:w w:val="99"/>
          <w:sz w:val="21"/>
          <w:szCs w:val="21"/>
        </w:rPr>
      </w:r>
      <w:r>
        <w:rPr>
          <w:rFonts w:ascii="宋体" w:hAnsi="宋体" w:cs="宋体" w:eastAsia="宋体" w:hint="default"/>
          <w:b/>
          <w:bCs/>
          <w:sz w:val="24"/>
          <w:szCs w:val="24"/>
        </w:rPr>
        <w:t>十五、资产负债表日后事项</w:t>
      </w:r>
      <w:r>
        <w:rPr>
          <w:rFonts w:ascii="宋体" w:hAnsi="宋体" w:cs="宋体" w:eastAsia="宋体" w:hint="default"/>
          <w:b/>
          <w:bCs/>
          <w:w w:val="99"/>
          <w:sz w:val="24"/>
          <w:szCs w:val="24"/>
        </w:rPr>
        <w:t> </w:t>
      </w:r>
      <w:bookmarkStart w:name="1、重要的非调整事项" w:id="427"/>
      <w:bookmarkEnd w:id="427"/>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、重要的非调整事项</w:t>
      </w:r>
      <w:r>
        <w:rPr>
          <w:rFonts w:ascii="宋体" w:hAnsi="宋体" w:cs="宋体" w:eastAsia="宋体" w:hint="default"/>
          <w:sz w:val="21"/>
          <w:szCs w:val="21"/>
        </w:rPr>
      </w:r>
    </w:p>
    <w:p>
      <w:pPr>
        <w:pStyle w:val="BodyText"/>
        <w:spacing w:line="240" w:lineRule="auto" w:before="10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0"/>
        <w:gridCol w:w="2390"/>
      </w:tblGrid>
      <w:tr>
        <w:trPr>
          <w:trHeight w:val="714"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内容</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09" w:right="109" w:hanging="900"/>
              <w:jc w:val="left"/>
              <w:rPr>
                <w:rFonts w:ascii="宋体" w:hAnsi="宋体" w:cs="宋体" w:eastAsia="宋体" w:hint="default"/>
                <w:sz w:val="18"/>
                <w:szCs w:val="18"/>
              </w:rPr>
            </w:pPr>
            <w:r>
              <w:rPr>
                <w:rFonts w:ascii="宋体" w:hAnsi="宋体" w:cs="宋体" w:eastAsia="宋体" w:hint="default"/>
                <w:sz w:val="18"/>
                <w:szCs w:val="18"/>
              </w:rPr>
              <w:t>对财务状况和经营成果的影 响数</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2、利润分配情况" w:id="428"/>
      <w:bookmarkEnd w:id="428"/>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3、销售退回" w:id="429"/>
      <w:bookmarkEnd w:id="429"/>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4、其他资产负债表日后事项说明" w:id="430"/>
      <w:bookmarkEnd w:id="430"/>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6"/>
        <w:rPr>
          <w:rFonts w:ascii="宋体" w:hAnsi="宋体" w:cs="宋体" w:eastAsia="宋体" w:hint="default"/>
          <w:b/>
          <w:bCs/>
          <w:sz w:val="26"/>
          <w:szCs w:val="26"/>
        </w:rPr>
      </w:pPr>
    </w:p>
    <w:p>
      <w:pPr>
        <w:pStyle w:val="BodyText"/>
        <w:spacing w:line="307" w:lineRule="auto"/>
        <w:ind w:right="1124" w:firstLine="360"/>
        <w:jc w:val="left"/>
      </w:pPr>
      <w:r>
        <w:rPr/>
        <w:t>根据公司于</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21</w:t>
      </w:r>
      <w:r>
        <w:rPr/>
        <w:t>日收到股东杭州阜康投资有限公司（以下简称杭州阜康）转来的《关于与宁波梅山保税港区平 </w:t>
      </w:r>
      <w:r>
        <w:rPr>
          <w:spacing w:val="-2"/>
        </w:rPr>
        <w:t>盛安康股权投资基金合伙企业（有限合伙）签署投资之框架协议的通知》，杭州阜康拟在符合股份转让的前提条件下促成向</w:t>
      </w:r>
      <w:r>
        <w:rPr>
          <w:spacing w:val="-66"/>
        </w:rPr>
        <w:t> </w:t>
      </w:r>
      <w:r>
        <w:rPr>
          <w:spacing w:val="-66"/>
        </w:rPr>
      </w:r>
      <w:r>
        <w:rPr>
          <w:spacing w:val="-2"/>
        </w:rPr>
        <w:t>宁波梅山保税港区平盛安康股权投资基金合伙企业（有限合伙）（以下简称平盛安康）或其指定关联方以协议转让的方式转</w:t>
      </w:r>
      <w:r>
        <w:rPr>
          <w:spacing w:val="-65"/>
        </w:rPr>
        <w:t> </w:t>
      </w:r>
      <w:r>
        <w:rPr>
          <w:spacing w:val="-65"/>
        </w:rPr>
      </w:r>
      <w:r>
        <w:rPr/>
        <w:t>让不少于</w:t>
      </w:r>
      <w:r>
        <w:rPr>
          <w:rFonts w:ascii="Times New Roman" w:hAnsi="Times New Roman" w:cs="Times New Roman" w:eastAsia="Times New Roman" w:hint="default"/>
        </w:rPr>
        <w:t>36,987,572</w:t>
      </w:r>
      <w:r>
        <w:rPr/>
        <w:t>股（占</w:t>
      </w:r>
      <w:r>
        <w:rPr>
          <w:rFonts w:ascii="Times New Roman" w:hAnsi="Times New Roman" w:cs="Times New Roman" w:eastAsia="Times New Roman" w:hint="default"/>
        </w:rPr>
        <w:t>5.00%</w:t>
      </w:r>
      <w:r>
        <w:rPr/>
        <w:t>），但不超过</w:t>
      </w:r>
      <w:r>
        <w:rPr>
          <w:rFonts w:ascii="Times New Roman" w:hAnsi="Times New Roman" w:cs="Times New Roman" w:eastAsia="Times New Roman" w:hint="default"/>
        </w:rPr>
        <w:t>69,941,710</w:t>
      </w:r>
      <w:r>
        <w:rPr/>
        <w:t>股（占</w:t>
      </w:r>
      <w:r>
        <w:rPr>
          <w:rFonts w:ascii="Times New Roman" w:hAnsi="Times New Roman" w:cs="Times New Roman" w:eastAsia="Times New Roman" w:hint="default"/>
        </w:rPr>
        <w:t>9.45%</w:t>
      </w:r>
      <w:r>
        <w:rPr/>
        <w:t>）本公司的股份，具体协议转让时间、转让股份数量 以各方签署的正式股份转让协议约定为准。若本次转让全部顺利实施完成，平盛安康或其指定关联方将成为公司持股</w:t>
      </w:r>
      <w:r>
        <w:rPr>
          <w:rFonts w:ascii="Times New Roman" w:hAnsi="Times New Roman" w:cs="Times New Roman" w:eastAsia="Times New Roman" w:hint="default"/>
        </w:rPr>
        <w:t>5%</w:t>
      </w:r>
      <w:r>
        <w:rPr/>
        <w:t>以 上股东。</w:t>
      </w:r>
    </w:p>
    <w:p>
      <w:pPr>
        <w:spacing w:line="240" w:lineRule="auto" w:before="3"/>
        <w:rPr>
          <w:rFonts w:ascii="宋体" w:hAnsi="宋体" w:cs="宋体" w:eastAsia="宋体" w:hint="default"/>
          <w:sz w:val="21"/>
          <w:szCs w:val="21"/>
        </w:rPr>
      </w:pPr>
    </w:p>
    <w:p>
      <w:pPr>
        <w:pStyle w:val="Heading2"/>
        <w:spacing w:line="240" w:lineRule="auto"/>
        <w:ind w:right="882"/>
        <w:jc w:val="left"/>
        <w:rPr>
          <w:b w:val="0"/>
          <w:bCs w:val="0"/>
        </w:rPr>
      </w:pPr>
      <w:bookmarkStart w:name="十六、其他重要事项" w:id="431"/>
      <w:bookmarkEnd w:id="431"/>
      <w:r>
        <w:rPr>
          <w:b w:val="0"/>
          <w:bCs w:val="0"/>
        </w:rPr>
      </w:r>
      <w:r>
        <w:rPr/>
        <w:t>十六、其他重要事项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前期会计差错更正" w:id="432"/>
      <w:bookmarkEnd w:id="432"/>
      <w:r>
        <w:rPr>
          <w:b w:val="0"/>
          <w:bCs w:val="0"/>
        </w:rPr>
      </w:r>
      <w:r>
        <w:rPr>
          <w:rFonts w:ascii="Times New Roman" w:hAnsi="Times New Roman" w:cs="Times New Roman" w:eastAsia="Times New Roman" w:hint="default"/>
        </w:rPr>
        <w:t>1</w:t>
      </w:r>
      <w:r>
        <w:rPr/>
        <w:t>、前期会计差错更正</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追溯重述法" w:id="433"/>
      <w:bookmarkEnd w:id="433"/>
      <w:r>
        <w:rPr>
          <w:b w:val="0"/>
          <w:bCs w:val="0"/>
        </w:rPr>
      </w:r>
      <w:r>
        <w:rPr/>
        <w:t>（</w:t>
      </w:r>
      <w:r>
        <w:rPr>
          <w:rFonts w:ascii="Times New Roman" w:hAnsi="Times New Roman" w:cs="Times New Roman" w:eastAsia="Times New Roman" w:hint="default"/>
        </w:rPr>
        <w:t>1</w:t>
      </w:r>
      <w:r>
        <w:rPr/>
        <w:t>）追溯重述法</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0"/>
        <w:gridCol w:w="2390"/>
      </w:tblGrid>
      <w:tr>
        <w:trPr>
          <w:trHeight w:val="714"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829" w:right="109" w:hanging="720"/>
              <w:jc w:val="left"/>
              <w:rPr>
                <w:rFonts w:ascii="宋体" w:hAnsi="宋体" w:cs="宋体" w:eastAsia="宋体" w:hint="default"/>
                <w:sz w:val="18"/>
                <w:szCs w:val="18"/>
              </w:rPr>
            </w:pPr>
            <w:r>
              <w:rPr>
                <w:rFonts w:ascii="宋体" w:hAnsi="宋体" w:cs="宋体" w:eastAsia="宋体" w:hint="default"/>
                <w:sz w:val="18"/>
                <w:szCs w:val="18"/>
              </w:rPr>
              <w:t>受影响的各个比较期间报表 项目名称</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line="240" w:lineRule="auto" w:before="2"/>
        <w:rPr>
          <w:rFonts w:ascii="宋体" w:hAnsi="宋体" w:cs="宋体" w:eastAsia="宋体" w:hint="default"/>
          <w:sz w:val="19"/>
          <w:szCs w:val="19"/>
        </w:rPr>
      </w:pPr>
    </w:p>
    <w:p>
      <w:pPr>
        <w:pStyle w:val="Heading3"/>
        <w:spacing w:line="240" w:lineRule="auto" w:before="34"/>
        <w:ind w:right="882"/>
        <w:jc w:val="left"/>
        <w:rPr>
          <w:b w:val="0"/>
          <w:bCs w:val="0"/>
        </w:rPr>
      </w:pPr>
      <w:bookmarkStart w:name="（2）未来适用法" w:id="434"/>
      <w:bookmarkEnd w:id="434"/>
      <w:r>
        <w:rPr>
          <w:b w:val="0"/>
          <w:bCs w:val="0"/>
        </w:rPr>
      </w:r>
      <w:r>
        <w:rPr/>
        <w:t>（</w:t>
      </w:r>
      <w:r>
        <w:rPr>
          <w:rFonts w:ascii="Times New Roman" w:hAnsi="Times New Roman" w:cs="Times New Roman" w:eastAsia="Times New Roman" w:hint="default"/>
        </w:rPr>
        <w:t>2</w:t>
      </w:r>
      <w:r>
        <w:rPr/>
        <w:t>）未来适用法</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45"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88"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0"/>
        <w:rPr>
          <w:rFonts w:ascii="宋体" w:hAnsi="宋体" w:cs="宋体" w:eastAsia="宋体" w:hint="default"/>
          <w:b/>
          <w:bCs/>
          <w:sz w:val="21"/>
          <w:szCs w:val="21"/>
        </w:rPr>
      </w:pPr>
    </w:p>
    <w:p>
      <w:pPr>
        <w:pStyle w:val="Heading3"/>
        <w:spacing w:line="240" w:lineRule="auto" w:before="34"/>
        <w:ind w:right="882"/>
        <w:jc w:val="left"/>
        <w:rPr>
          <w:b w:val="0"/>
          <w:bCs w:val="0"/>
        </w:rPr>
      </w:pPr>
      <w:bookmarkStart w:name="2、债务重组" w:id="435"/>
      <w:bookmarkEnd w:id="435"/>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3、资产置换" w:id="436"/>
      <w:bookmarkEnd w:id="436"/>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非货币性资产交换" w:id="437"/>
      <w:bookmarkEnd w:id="437"/>
      <w:r>
        <w:rPr>
          <w:b w:val="0"/>
          <w:bCs w:val="0"/>
        </w:rPr>
      </w:r>
      <w:r>
        <w:rPr/>
        <w:t>（</w:t>
      </w:r>
      <w:r>
        <w:rPr>
          <w:rFonts w:ascii="Times New Roman" w:hAnsi="Times New Roman" w:cs="Times New Roman" w:eastAsia="Times New Roman" w:hint="default"/>
        </w:rPr>
        <w:t>1</w:t>
      </w:r>
      <w:r>
        <w:rPr/>
        <w:t>）非货币性资产交换</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2）其他资产置换" w:id="438"/>
      <w:bookmarkEnd w:id="438"/>
      <w:r>
        <w:rPr>
          <w:b w:val="0"/>
          <w:bCs w:val="0"/>
        </w:rPr>
      </w:r>
      <w:r>
        <w:rPr/>
        <w:t>（</w:t>
      </w:r>
      <w:r>
        <w:rPr>
          <w:rFonts w:ascii="Times New Roman" w:hAnsi="Times New Roman" w:cs="Times New Roman" w:eastAsia="Times New Roman" w:hint="default"/>
        </w:rPr>
        <w:t>2</w:t>
      </w:r>
      <w:r>
        <w:rPr/>
        <w:t>）其他资产置换</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4、年金计划" w:id="439"/>
      <w:bookmarkEnd w:id="439"/>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5、终止经营" w:id="440"/>
      <w:bookmarkEnd w:id="440"/>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35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归属于母公司</w:t>
            </w:r>
          </w:p>
        </w:tc>
      </w:tr>
      <w:tr>
        <w:trPr>
          <w:trHeight w:val="312" w:hRule="exact"/>
        </w:trPr>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费用</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318"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28"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40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所有者的终止</w:t>
            </w:r>
          </w:p>
        </w:tc>
      </w:tr>
      <w:tr>
        <w:trPr>
          <w:trHeight w:val="358"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经营利润</w:t>
            </w:r>
          </w:p>
        </w:tc>
      </w:tr>
    </w:tbl>
    <w:p>
      <w:pPr>
        <w:pStyle w:val="BodyText"/>
        <w:spacing w:line="240" w:lineRule="auto" w:before="51"/>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6、分部信息" w:id="441"/>
      <w:bookmarkEnd w:id="441"/>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报告分部的确定依据与会计政策" w:id="442"/>
      <w:bookmarkEnd w:id="442"/>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882"/>
        <w:jc w:val="left"/>
      </w:pPr>
      <w:r>
        <w:rPr>
          <w:spacing w:val="-2"/>
        </w:rPr>
        <w:t>本公司主要业务软件销售业务、系统集成业务和技术服务业务，公司尚不能够准确划分直接归属于某一分部的经营资产和负</w:t>
      </w:r>
      <w:r>
        <w:rPr>
          <w:spacing w:val="-64"/>
        </w:rPr>
        <w:t> </w:t>
      </w:r>
      <w:r>
        <w:rPr>
          <w:spacing w:val="-64"/>
        </w:rPr>
      </w:r>
      <w:r>
        <w:rPr/>
        <w:t>债，故无报告分部。</w:t>
      </w:r>
    </w:p>
    <w:p>
      <w:pPr>
        <w:spacing w:line="240" w:lineRule="auto" w:before="6"/>
        <w:rPr>
          <w:rFonts w:ascii="宋体" w:hAnsi="宋体" w:cs="宋体" w:eastAsia="宋体" w:hint="default"/>
          <w:sz w:val="22"/>
          <w:szCs w:val="22"/>
        </w:rPr>
      </w:pPr>
    </w:p>
    <w:p>
      <w:pPr>
        <w:pStyle w:val="Heading3"/>
        <w:spacing w:line="240" w:lineRule="auto"/>
        <w:ind w:right="882"/>
        <w:jc w:val="left"/>
        <w:rPr>
          <w:b w:val="0"/>
          <w:bCs w:val="0"/>
        </w:rPr>
      </w:pPr>
      <w:bookmarkStart w:name="（2）报告分部的财务信息" w:id="443"/>
      <w:bookmarkEnd w:id="443"/>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7"/>
        <w:gridCol w:w="1367"/>
        <w:gridCol w:w="1367"/>
        <w:gridCol w:w="1209"/>
        <w:gridCol w:w="1525"/>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软件销售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系统集成</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技术服务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其他</w:t>
            </w:r>
          </w:p>
        </w:tc>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50"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5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1"/>
              <w:jc w:val="center"/>
              <w:rPr>
                <w:rFonts w:ascii="宋体" w:hAnsi="宋体" w:cs="宋体" w:eastAsia="宋体" w:hint="default"/>
                <w:sz w:val="18"/>
                <w:szCs w:val="18"/>
              </w:rPr>
            </w:pPr>
            <w:r>
              <w:rPr>
                <w:rFonts w:ascii="宋体" w:hAnsi="宋体" w:cs="宋体" w:eastAsia="宋体" w:hint="default"/>
                <w:sz w:val="18"/>
                <w:szCs w:val="18"/>
              </w:rPr>
              <w:t>主营业务收入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center"/>
              <w:rPr>
                <w:rFonts w:ascii="Times New Roman" w:hAnsi="Times New Roman" w:cs="Times New Roman" w:eastAsia="Times New Roman" w:hint="default"/>
                <w:sz w:val="18"/>
                <w:szCs w:val="18"/>
              </w:rPr>
            </w:pPr>
            <w:r>
              <w:rPr>
                <w:rFonts w:ascii="Times New Roman"/>
                <w:sz w:val="18"/>
              </w:rPr>
              <w:t>461,615,912.78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190,102,170.32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695,241,985.90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129,459,675.74</w:t>
            </w:r>
          </w:p>
        </w:tc>
        <w:tc>
          <w:tcPr>
            <w:tcW w:w="1209"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1,476,419,744.74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71"/>
              <w:jc w:val="center"/>
              <w:rPr>
                <w:rFonts w:ascii="宋体" w:hAnsi="宋体" w:cs="宋体" w:eastAsia="宋体" w:hint="default"/>
                <w:sz w:val="18"/>
                <w:szCs w:val="18"/>
              </w:rPr>
            </w:pPr>
            <w:r>
              <w:rPr>
                <w:rFonts w:ascii="宋体" w:hAnsi="宋体" w:cs="宋体" w:eastAsia="宋体" w:hint="default"/>
                <w:sz w:val="18"/>
                <w:szCs w:val="18"/>
              </w:rPr>
              <w:t>主营业务成本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8" w:right="0"/>
              <w:jc w:val="center"/>
              <w:rPr>
                <w:rFonts w:ascii="Times New Roman" w:hAnsi="Times New Roman" w:cs="Times New Roman" w:eastAsia="Times New Roman" w:hint="default"/>
                <w:sz w:val="18"/>
                <w:szCs w:val="18"/>
              </w:rPr>
            </w:pPr>
            <w:r>
              <w:rPr>
                <w:rFonts w:ascii="Times New Roman"/>
                <w:sz w:val="18"/>
              </w:rPr>
              <w:t>171,889,108.74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5" w:right="0"/>
              <w:jc w:val="center"/>
              <w:rPr>
                <w:rFonts w:ascii="Times New Roman" w:hAnsi="Times New Roman" w:cs="Times New Roman" w:eastAsia="Times New Roman" w:hint="default"/>
                <w:sz w:val="18"/>
                <w:szCs w:val="18"/>
              </w:rPr>
            </w:pPr>
            <w:r>
              <w:rPr>
                <w:rFonts w:ascii="Times New Roman"/>
                <w:sz w:val="18"/>
              </w:rPr>
              <w:t>155,828,041.65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7" w:right="0"/>
              <w:jc w:val="center"/>
              <w:rPr>
                <w:rFonts w:ascii="Times New Roman" w:hAnsi="Times New Roman" w:cs="Times New Roman" w:eastAsia="Times New Roman" w:hint="default"/>
                <w:sz w:val="18"/>
                <w:szCs w:val="18"/>
              </w:rPr>
            </w:pPr>
            <w:r>
              <w:rPr>
                <w:rFonts w:ascii="Times New Roman"/>
                <w:sz w:val="18"/>
              </w:rPr>
              <w:t>286,824,526.19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73,976,794.26</w:t>
            </w:r>
          </w:p>
        </w:tc>
        <w:tc>
          <w:tcPr>
            <w:tcW w:w="1209"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688,518,470.84</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3）公司无报告分部的，或者不能披露各报告分部的资产总额和负债总额的，应说明原因" w:id="444"/>
      <w:bookmarkEnd w:id="444"/>
      <w:r>
        <w:rPr>
          <w:b w:val="0"/>
          <w:bCs w:val="0"/>
        </w:rPr>
      </w: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4）其他说明" w:id="445"/>
      <w:bookmarkEnd w:id="445"/>
      <w:r>
        <w:rPr>
          <w:b w:val="0"/>
          <w:bCs w:val="0"/>
        </w:rPr>
      </w:r>
      <w:r>
        <w:rPr/>
        <w:t>（</w:t>
      </w:r>
      <w:r>
        <w:rPr>
          <w:rFonts w:ascii="Times New Roman" w:hAnsi="Times New Roman" w:cs="Times New Roman" w:eastAsia="Times New Roman" w:hint="default"/>
        </w:rPr>
        <w:t>4</w:t>
      </w:r>
      <w:r>
        <w:rPr/>
        <w:t>）其他说明</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7、其他对投资者决策有影响的重要交易和事项" w:id="446"/>
      <w:bookmarkEnd w:id="446"/>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right="882" w:firstLine="360"/>
        <w:jc w:val="left"/>
      </w:pPr>
      <w:r>
        <w:rPr>
          <w:spacing w:val="-2"/>
        </w:rPr>
        <w:t>根据公司</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11</w:t>
      </w:r>
      <w:r>
        <w:rPr>
          <w:spacing w:val="-2"/>
        </w:rPr>
        <w:t>日第六届董事会二十五次会议决议，公司拟非公开发行股票不超过</w:t>
      </w:r>
      <w:r>
        <w:rPr>
          <w:rFonts w:ascii="Times New Roman" w:hAnsi="Times New Roman" w:cs="Times New Roman" w:eastAsia="Times New Roman" w:hint="default"/>
          <w:spacing w:val="-2"/>
        </w:rPr>
        <w:t>145,718,108</w:t>
      </w:r>
      <w:r>
        <w:rPr>
          <w:spacing w:val="-2"/>
        </w:rPr>
        <w:t>股，拟募集资金总</w:t>
      </w:r>
      <w:r>
        <w:rPr/>
        <w:t> 额不超过</w:t>
      </w:r>
      <w:r>
        <w:rPr>
          <w:rFonts w:ascii="Times New Roman" w:hAnsi="Times New Roman" w:cs="Times New Roman" w:eastAsia="Times New Roman" w:hint="default"/>
        </w:rPr>
        <w:t>131,760.96</w:t>
      </w:r>
      <w:r>
        <w:rPr/>
        <w:t>万元。此次非公开发行股票尚待中国证券监督管理委员会核准。</w:t>
      </w:r>
    </w:p>
    <w:p>
      <w:pPr>
        <w:spacing w:after="0" w:line="30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spacing w:line="487" w:lineRule="auto" w:before="34"/>
        <w:ind w:left="112" w:right="6899" w:firstLine="0"/>
        <w:jc w:val="left"/>
        <w:rPr>
          <w:rFonts w:ascii="宋体" w:hAnsi="宋体" w:cs="宋体" w:eastAsia="宋体" w:hint="default"/>
          <w:sz w:val="21"/>
          <w:szCs w:val="21"/>
        </w:rPr>
      </w:pPr>
      <w:bookmarkStart w:name="8、其他" w:id="447"/>
      <w:bookmarkEnd w:id="447"/>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十七、母公司财务报表主要项目注释" w:id="448"/>
      <w:bookmarkEnd w:id="448"/>
      <w:r>
        <w:rPr>
          <w:rFonts w:ascii="宋体" w:hAnsi="宋体" w:cs="宋体" w:eastAsia="宋体" w:hint="default"/>
          <w:b/>
          <w:bCs/>
          <w:w w:val="99"/>
          <w:sz w:val="21"/>
          <w:szCs w:val="21"/>
        </w:rPr>
      </w:r>
      <w:r>
        <w:rPr>
          <w:rFonts w:ascii="宋体" w:hAnsi="宋体" w:cs="宋体" w:eastAsia="宋体" w:hint="default"/>
          <w:b/>
          <w:bCs/>
          <w:sz w:val="24"/>
          <w:szCs w:val="24"/>
        </w:rPr>
        <w:t>十七、母公司财务报表主要项目注释</w:t>
      </w:r>
      <w:r>
        <w:rPr>
          <w:rFonts w:ascii="宋体" w:hAnsi="宋体" w:cs="宋体" w:eastAsia="宋体" w:hint="default"/>
          <w:b/>
          <w:bCs/>
          <w:w w:val="99"/>
          <w:sz w:val="24"/>
          <w:szCs w:val="24"/>
        </w:rPr>
        <w:t> </w:t>
      </w:r>
      <w:bookmarkStart w:name="1、应收账款" w:id="449"/>
      <w:bookmarkEnd w:id="449"/>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、应收账款</w:t>
      </w:r>
      <w:r>
        <w:rPr>
          <w:rFonts w:ascii="宋体" w:hAnsi="宋体" w:cs="宋体" w:eastAsia="宋体" w:hint="default"/>
          <w:sz w:val="21"/>
          <w:szCs w:val="21"/>
        </w:rPr>
      </w:r>
    </w:p>
    <w:p>
      <w:pPr>
        <w:pStyle w:val="Heading3"/>
        <w:spacing w:line="240" w:lineRule="auto" w:before="81"/>
        <w:ind w:right="882"/>
        <w:jc w:val="left"/>
        <w:rPr>
          <w:b w:val="0"/>
          <w:bCs w:val="0"/>
        </w:rPr>
      </w:pPr>
      <w:bookmarkStart w:name="（1）应收账款分类披露" w:id="450"/>
      <w:bookmarkEnd w:id="450"/>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5"/>
        <w:gridCol w:w="763"/>
        <w:gridCol w:w="762"/>
        <w:gridCol w:w="762"/>
        <w:gridCol w:w="763"/>
        <w:gridCol w:w="789"/>
        <w:gridCol w:w="776"/>
        <w:gridCol w:w="797"/>
        <w:gridCol w:w="798"/>
        <w:gridCol w:w="790"/>
        <w:gridCol w:w="932"/>
      </w:tblGrid>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298" w:right="118"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57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371" w:right="189"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86" w:right="105"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2D2D2"/>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99" w:right="119"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1" w:right="261"/>
              <w:jc w:val="left"/>
              <w:rPr>
                <w:rFonts w:ascii="宋体" w:hAnsi="宋体" w:cs="宋体" w:eastAsia="宋体" w:hint="default"/>
                <w:sz w:val="18"/>
                <w:szCs w:val="18"/>
              </w:rPr>
            </w:pPr>
            <w:r>
              <w:rPr>
                <w:rFonts w:ascii="宋体" w:hAnsi="宋体" w:cs="宋体" w:eastAsia="宋体" w:hint="default"/>
                <w:sz w:val="18"/>
                <w:szCs w:val="18"/>
              </w:rPr>
              <w:t>按组合计提坏账 准备的应收账款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743,37</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8,075.2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115,78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2,013.1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245" w:right="0"/>
              <w:jc w:val="left"/>
              <w:rPr>
                <w:rFonts w:ascii="Times New Roman" w:hAnsi="Times New Roman" w:cs="Times New Roman" w:eastAsia="Times New Roman" w:hint="default"/>
                <w:sz w:val="18"/>
                <w:szCs w:val="18"/>
              </w:rPr>
            </w:pPr>
            <w:r>
              <w:rPr>
                <w:rFonts w:ascii="Times New Roman"/>
                <w:sz w:val="18"/>
              </w:rPr>
              <w:t>15.58</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627,59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6,062.1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529,38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4,909.6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84,969,</w:t>
            </w:r>
          </w:p>
          <w:p>
            <w:pPr>
              <w:pStyle w:val="TableParagraph"/>
              <w:spacing w:line="240" w:lineRule="auto" w:before="105"/>
              <w:ind w:left="204" w:right="0"/>
              <w:jc w:val="left"/>
              <w:rPr>
                <w:rFonts w:ascii="Times New Roman" w:hAnsi="Times New Roman" w:cs="Times New Roman" w:eastAsia="Times New Roman" w:hint="default"/>
                <w:sz w:val="18"/>
                <w:szCs w:val="18"/>
              </w:rPr>
            </w:pPr>
            <w:r>
              <w:rPr>
                <w:rFonts w:ascii="Times New Roman"/>
                <w:spacing w:val="-3"/>
                <w:sz w:val="18"/>
              </w:rPr>
              <w:t>111.91</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16.05%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444,415,</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797.69</w:t>
            </w:r>
          </w:p>
        </w:tc>
      </w:tr>
      <w:tr>
        <w:trPr>
          <w:trHeight w:val="402"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743,37</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8,075.2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115,78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2,013.1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245" w:right="0"/>
              <w:jc w:val="left"/>
              <w:rPr>
                <w:rFonts w:ascii="Times New Roman" w:hAnsi="Times New Roman" w:cs="Times New Roman" w:eastAsia="Times New Roman" w:hint="default"/>
                <w:sz w:val="18"/>
                <w:szCs w:val="18"/>
              </w:rPr>
            </w:pPr>
            <w:r>
              <w:rPr>
                <w:rFonts w:ascii="Times New Roman"/>
                <w:sz w:val="18"/>
              </w:rPr>
              <w:t>15.58</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627,59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6,062.1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529,38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4,909.6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84,969,</w:t>
            </w:r>
          </w:p>
          <w:p>
            <w:pPr>
              <w:pStyle w:val="TableParagraph"/>
              <w:spacing w:line="240" w:lineRule="auto" w:before="105"/>
              <w:ind w:left="204" w:right="0"/>
              <w:jc w:val="left"/>
              <w:rPr>
                <w:rFonts w:ascii="Times New Roman" w:hAnsi="Times New Roman" w:cs="Times New Roman" w:eastAsia="Times New Roman" w:hint="default"/>
                <w:sz w:val="18"/>
                <w:szCs w:val="18"/>
              </w:rPr>
            </w:pPr>
            <w:r>
              <w:rPr>
                <w:rFonts w:ascii="Times New Roman"/>
                <w:spacing w:val="-3"/>
                <w:sz w:val="18"/>
              </w:rPr>
              <w:t>111.91</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16.05%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444,415,</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797.69</w:t>
            </w:r>
          </w:p>
        </w:tc>
      </w:tr>
    </w:tbl>
    <w:p>
      <w:pPr>
        <w:pStyle w:val="BodyText"/>
        <w:spacing w:line="240" w:lineRule="auto" w:before="51"/>
        <w:ind w:right="882"/>
        <w:jc w:val="left"/>
      </w:pPr>
      <w:r>
        <w:rPr/>
        <w:t>按单项计提坏账准备：</w:t>
      </w:r>
    </w:p>
    <w:p>
      <w:pPr>
        <w:pStyle w:val="BodyText"/>
        <w:spacing w:line="240" w:lineRule="auto" w:before="115"/>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6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计提理由</w:t>
            </w:r>
          </w:p>
        </w:tc>
      </w:tr>
    </w:tbl>
    <w:p>
      <w:pPr>
        <w:pStyle w:val="BodyText"/>
        <w:spacing w:line="240" w:lineRule="auto" w:before="51"/>
        <w:ind w:right="882"/>
        <w:jc w:val="left"/>
        <w:rPr>
          <w:rFonts w:ascii="Times New Roman" w:hAnsi="Times New Roman" w:cs="Times New Roman" w:eastAsia="Times New Roman" w:hint="default"/>
        </w:rPr>
      </w:pPr>
      <w:r>
        <w:rPr/>
        <w:t>按组合计提坏账准备：</w:t>
      </w:r>
      <w:r>
        <w:rPr>
          <w:rFonts w:ascii="Times New Roman" w:hAnsi="Times New Roman" w:cs="Times New Roman" w:eastAsia="Times New Roman" w:hint="default"/>
        </w:rPr>
        <w:t>115,782,013.12</w:t>
      </w:r>
    </w:p>
    <w:p>
      <w:pPr>
        <w:pStyle w:val="BodyText"/>
        <w:spacing w:line="240" w:lineRule="auto" w:before="103"/>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应收账龄组合</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737,698,729.47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115,782,013.12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15.70%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应收合并范围内关联方组合</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5,679,345.77</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743,378,075.24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115,782,013.12</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357" w:lineRule="auto" w:before="52"/>
        <w:ind w:right="-20"/>
        <w:jc w:val="left"/>
      </w:pPr>
      <w:r>
        <w:rPr/>
        <w:t>确定该组合依据的说明： 按组合计提坏账准备：</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1"/>
          <w:szCs w:val="21"/>
        </w:rPr>
      </w:pPr>
    </w:p>
    <w:p>
      <w:pPr>
        <w:pStyle w:val="BodyText"/>
        <w:spacing w:line="240" w:lineRule="auto"/>
        <w:ind w:right="0"/>
        <w:jc w:val="left"/>
      </w:pPr>
      <w:r>
        <w:rPr/>
        <w:t>单位：</w:t>
      </w:r>
      <w:r>
        <w:rPr>
          <w:spacing w:val="-2"/>
        </w:rPr>
        <w:t> </w:t>
      </w:r>
      <w:r>
        <w:rPr/>
        <w:t>元</w:t>
      </w:r>
    </w:p>
    <w:p>
      <w:pPr>
        <w:spacing w:after="0" w:line="240" w:lineRule="auto"/>
        <w:jc w:val="left"/>
        <w:sectPr>
          <w:type w:val="continuous"/>
          <w:pgSz w:w="11910" w:h="16840"/>
          <w:pgMar w:top="1100" w:bottom="1200" w:left="1020" w:right="0"/>
          <w:cols w:num="2" w:equalWidth="0">
            <w:col w:w="2093" w:space="6736"/>
            <w:col w:w="2061"/>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717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pStyle w:val="BodyText"/>
        <w:spacing w:line="240" w:lineRule="auto" w:before="50"/>
        <w:ind w:right="882"/>
        <w:jc w:val="left"/>
      </w:pPr>
      <w:r>
        <w:rPr/>
        <w:t>确定该组合依据的说明：</w:t>
      </w:r>
    </w:p>
    <w:p>
      <w:pPr>
        <w:spacing w:after="0" w:line="240" w:lineRule="auto"/>
        <w:jc w:val="left"/>
        <w:sectPr>
          <w:type w:val="continuous"/>
          <w:pgSz w:w="11910" w:h="16840"/>
          <w:pgMar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882"/>
        <w:jc w:val="left"/>
      </w:pPr>
      <w:r>
        <w:rPr/>
        <w:t>如是按照预期信用损失一般模型计提应收账款坏账准备，请参照其他应收款的披露方式披露坏账准备的相关信息：</w:t>
      </w:r>
    </w:p>
    <w:p>
      <w:pPr>
        <w:pStyle w:val="BodyText"/>
        <w:spacing w:line="338" w:lineRule="auto" w:before="115"/>
        <w:ind w:right="882"/>
        <w:jc w:val="left"/>
      </w:pPr>
      <w:r>
        <w:rPr/>
        <w:t>√ 适用 □ 不适用 </w:t>
      </w:r>
      <w:r>
        <w:rPr>
          <w:spacing w:val="-2"/>
        </w:rPr>
        <w:t>参考历史信用损失经验，结合当前状况以及对未来经济状况的预测，通过违约风险敞口和整个存续期预期信用损失率，计算</w:t>
      </w:r>
      <w:r>
        <w:rPr>
          <w:spacing w:val="-65"/>
        </w:rPr>
        <w:t> </w:t>
      </w:r>
      <w:r>
        <w:rPr>
          <w:spacing w:val="-65"/>
        </w:rPr>
      </w:r>
      <w:r>
        <w:rPr/>
        <w:t>预期信用损失。对于应收外部客户账款组合，本公司认为相同账龄的客户具有类似预期损失率。</w:t>
      </w:r>
    </w:p>
    <w:p>
      <w:pPr>
        <w:pStyle w:val="BodyText"/>
        <w:spacing w:line="240" w:lineRule="auto" w:before="43"/>
        <w:ind w:right="882"/>
        <w:jc w:val="left"/>
      </w:pPr>
      <w:r>
        <w:rPr/>
        <w:t>按账龄披露</w:t>
      </w:r>
    </w:p>
    <w:p>
      <w:pPr>
        <w:pStyle w:val="BodyText"/>
        <w:spacing w:line="240" w:lineRule="auto" w:before="115"/>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491,901,978.48</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133,688,029.25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48,625,133.97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69,162,933.54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29,416,056.82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21,545,848.43</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18,201,028.29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743,378,075.24</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2）本期计提、收回或转回的坏账准备情况" w:id="451"/>
      <w:bookmarkEnd w:id="451"/>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本期计提坏账准备情况：</w:t>
      </w:r>
    </w:p>
    <w:p>
      <w:pPr>
        <w:pStyle w:val="BodyText"/>
        <w:spacing w:line="240" w:lineRule="auto" w:before="117"/>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78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1"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22"/>
              <w:jc w:val="left"/>
              <w:rPr>
                <w:rFonts w:ascii="宋体" w:hAnsi="宋体" w:cs="宋体" w:eastAsia="宋体" w:hint="default"/>
                <w:sz w:val="18"/>
                <w:szCs w:val="18"/>
              </w:rPr>
            </w:pPr>
            <w:r>
              <w:rPr>
                <w:rFonts w:ascii="宋体" w:hAnsi="宋体" w:cs="宋体" w:eastAsia="宋体" w:hint="default"/>
                <w:sz w:val="18"/>
                <w:szCs w:val="18"/>
              </w:rPr>
              <w:t>按组合计提坏账 准备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84,969,111.91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35,589,601.21</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4,776,700.00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115,782,013.12</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2"/>
                <w:sz w:val="18"/>
              </w:rPr>
              <w:t>84,969,111.91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35,589,601.21</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4,776,700.00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115,782,013.12</w:t>
            </w:r>
          </w:p>
        </w:tc>
      </w:tr>
    </w:tbl>
    <w:p>
      <w:pPr>
        <w:pStyle w:val="BodyText"/>
        <w:spacing w:line="240" w:lineRule="auto" w:before="50"/>
        <w:ind w:right="882"/>
        <w:jc w:val="left"/>
      </w:pPr>
      <w:r>
        <w:rPr/>
        <w:t>其中本期坏账准备收回或转回金额重要的：</w:t>
      </w:r>
    </w:p>
    <w:p>
      <w:pPr>
        <w:pStyle w:val="BodyText"/>
        <w:spacing w:line="240" w:lineRule="auto" w:before="117"/>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68"/>
        <w:gridCol w:w="3100"/>
        <w:gridCol w:w="3100"/>
      </w:tblGrid>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4"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5"/>
        <w:rPr>
          <w:rFonts w:ascii="宋体" w:hAnsi="宋体" w:cs="宋体" w:eastAsia="宋体" w:hint="default"/>
          <w:sz w:val="19"/>
          <w:szCs w:val="19"/>
        </w:rPr>
      </w:pPr>
    </w:p>
    <w:p>
      <w:pPr>
        <w:pStyle w:val="Heading3"/>
        <w:spacing w:line="240" w:lineRule="auto" w:before="34"/>
        <w:ind w:right="882"/>
        <w:jc w:val="left"/>
        <w:rPr>
          <w:b w:val="0"/>
          <w:bCs w:val="0"/>
        </w:rPr>
      </w:pPr>
      <w:bookmarkStart w:name="（3）本期实际核销的应收账款情况" w:id="452"/>
      <w:bookmarkEnd w:id="452"/>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3"/>
        <w:gridCol w:w="4585"/>
      </w:tblGrid>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45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4,776,700.00</w:t>
            </w:r>
          </w:p>
        </w:tc>
      </w:tr>
    </w:tbl>
    <w:p>
      <w:pPr>
        <w:pStyle w:val="BodyText"/>
        <w:spacing w:line="360" w:lineRule="auto" w:before="49"/>
        <w:ind w:right="8234"/>
        <w:jc w:val="left"/>
      </w:pPr>
      <w:r>
        <w:rPr/>
        <w:t>其中重要的应收账款核销情况： 应收账款核销说明：</w:t>
      </w:r>
    </w:p>
    <w:p>
      <w:pPr>
        <w:spacing w:after="0" w:line="360" w:lineRule="auto"/>
        <w:jc w:val="left"/>
        <w:sectPr>
          <w:footerReference w:type="default" r:id="rId51"/>
          <w:pgSz w:w="11910" w:h="16840"/>
          <w:pgMar w:footer="1016" w:header="907" w:top="1100" w:bottom="1200" w:left="1020" w:right="0"/>
          <w:pgNumType w:start="20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4）按欠款方归集的期末余额前五名的应收账款情况" w:id="453"/>
      <w:bookmarkEnd w:id="453"/>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69" w:right="0"/>
              <w:jc w:val="left"/>
              <w:rPr>
                <w:rFonts w:ascii="宋体" w:hAnsi="宋体" w:cs="宋体" w:eastAsia="宋体" w:hint="default"/>
                <w:sz w:val="18"/>
                <w:szCs w:val="18"/>
              </w:rPr>
            </w:pPr>
            <w:r>
              <w:rPr>
                <w:rFonts w:ascii="宋体" w:hAnsi="宋体" w:cs="宋体" w:eastAsia="宋体" w:hint="default"/>
                <w:sz w:val="18"/>
                <w:szCs w:val="18"/>
              </w:rPr>
              <w:t>应收账款期末余额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2" w:right="109" w:hanging="812"/>
              <w:jc w:val="left"/>
              <w:rPr>
                <w:rFonts w:ascii="宋体" w:hAnsi="宋体" w:cs="宋体" w:eastAsia="宋体" w:hint="default"/>
                <w:sz w:val="18"/>
                <w:szCs w:val="18"/>
              </w:rPr>
            </w:pPr>
            <w:r>
              <w:rPr>
                <w:rFonts w:ascii="宋体" w:hAnsi="宋体" w:cs="宋体" w:eastAsia="宋体" w:hint="default"/>
                <w:sz w:val="18"/>
                <w:szCs w:val="18"/>
              </w:rPr>
              <w:t>占应收账款期末余额合计数 的比例</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24,611,125.00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3.31%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2,130,556.25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19,532,252.19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2.63%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976,612.61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15,348,884.30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2.06%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767,444.22</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12,922,327.60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1.74%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646,116.38</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12,351,411.20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1.66%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1,352,978.71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84,766,000.29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2"/>
                <w:sz w:val="18"/>
              </w:rPr>
              <w:t>11.40%</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5）因金融资产转移而终止确认的应收账款" w:id="454"/>
      <w:bookmarkEnd w:id="454"/>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6）转移应收账款且继续涉入形成的资产、负债金额" w:id="455"/>
      <w:bookmarkEnd w:id="455"/>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其他应收款" w:id="456"/>
      <w:bookmarkEnd w:id="456"/>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70,976,951.69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51,502,688.10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70,976,951.69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51,502,688.10</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1）应收利息" w:id="457"/>
      <w:bookmarkEnd w:id="457"/>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应收利息分类" w:id="458"/>
      <w:bookmarkEnd w:id="458"/>
      <w:r>
        <w:rPr>
          <w:b w:val="0"/>
          <w:bCs w:val="0"/>
        </w:rPr>
      </w:r>
      <w:r>
        <w:rPr>
          <w:rFonts w:ascii="Times New Roman" w:hAnsi="Times New Roman" w:cs="Times New Roman" w:eastAsia="Times New Roman" w:hint="default"/>
        </w:rPr>
        <w:t>1</w:t>
      </w:r>
      <w:r>
        <w:rPr/>
        <w:t>）应收利息分类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重要逾期利息" w:id="459"/>
      <w:bookmarkEnd w:id="459"/>
      <w:r>
        <w:rPr>
          <w:b w:val="0"/>
          <w:bCs w:val="0"/>
        </w:rPr>
      </w:r>
      <w:r>
        <w:rPr>
          <w:rFonts w:ascii="Times New Roman" w:hAnsi="Times New Roman" w:cs="Times New Roman" w:eastAsia="Times New Roman" w:hint="default"/>
        </w:rPr>
        <w:t>2</w:t>
      </w:r>
      <w:r>
        <w:rPr/>
        <w:t>）重要逾期利息</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682" w:right="139"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240" w:lineRule="auto" w:before="51"/>
        <w:ind w:right="882"/>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882"/>
        <w:jc w:val="left"/>
        <w:rPr>
          <w:b w:val="0"/>
          <w:bCs w:val="0"/>
        </w:rPr>
      </w:pPr>
      <w:bookmarkStart w:name="3）坏账准备计提情况" w:id="460"/>
      <w:bookmarkEnd w:id="460"/>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2）应收股利" w:id="461"/>
      <w:bookmarkEnd w:id="461"/>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882"/>
        <w:jc w:val="left"/>
        <w:rPr>
          <w:b w:val="0"/>
          <w:bCs w:val="0"/>
        </w:rPr>
      </w:pPr>
      <w:bookmarkStart w:name="1）应收股利分类" w:id="462"/>
      <w:bookmarkEnd w:id="462"/>
      <w:r>
        <w:rPr>
          <w:b w:val="0"/>
          <w:bCs w:val="0"/>
        </w:rPr>
      </w:r>
      <w:r>
        <w:rPr>
          <w:rFonts w:ascii="Times New Roman" w:hAnsi="Times New Roman" w:cs="Times New Roman" w:eastAsia="Times New Roman" w:hint="default"/>
        </w:rPr>
        <w:t>1</w:t>
      </w:r>
      <w:r>
        <w:rPr/>
        <w:t>）应收股利分类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89" w:right="0"/>
              <w:jc w:val="left"/>
              <w:rPr>
                <w:rFonts w:ascii="宋体" w:hAnsi="宋体" w:cs="宋体" w:eastAsia="宋体" w:hint="default"/>
                <w:sz w:val="18"/>
                <w:szCs w:val="18"/>
              </w:rPr>
            </w:pPr>
            <w:r>
              <w:rPr>
                <w:rFonts w:ascii="宋体" w:hAnsi="宋体" w:cs="宋体" w:eastAsia="宋体" w:hint="default"/>
                <w:sz w:val="18"/>
                <w:szCs w:val="18"/>
              </w:rPr>
              <w:t>项目（或被投资单位）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pStyle w:val="Heading3"/>
        <w:spacing w:line="240" w:lineRule="auto" w:before="34"/>
        <w:ind w:right="882"/>
        <w:jc w:val="left"/>
        <w:rPr>
          <w:b w:val="0"/>
          <w:bCs w:val="0"/>
        </w:rPr>
      </w:pPr>
      <w:bookmarkStart w:name="2）重要的账龄超过1年的应收股利" w:id="463"/>
      <w:bookmarkEnd w:id="463"/>
      <w:r>
        <w:rPr>
          <w:b w:val="0"/>
          <w:bCs w:val="0"/>
        </w:rPr>
      </w:r>
      <w:r>
        <w:rPr>
          <w:rFonts w:ascii="Times New Roman" w:hAnsi="Times New Roman" w:cs="Times New Roman" w:eastAsia="Times New Roman" w:hint="default"/>
        </w:rPr>
        <w:t>2</w:t>
      </w:r>
      <w:r>
        <w:rPr/>
        <w:t>）重要的账龄超过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年的应收股利</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项目（或被投资单位）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682" w:right="139"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3）坏账准备计提情况" w:id="464"/>
      <w:bookmarkEnd w:id="464"/>
      <w:r>
        <w:rPr>
          <w:b w:val="0"/>
          <w:bCs w:val="0"/>
        </w:rPr>
      </w:r>
      <w:r>
        <w:rPr>
          <w:rFonts w:ascii="Times New Roman" w:hAnsi="Times New Roman" w:cs="Times New Roman" w:eastAsia="Times New Roman" w:hint="default"/>
        </w:rPr>
        <w:t>3</w:t>
      </w:r>
      <w:r>
        <w:rPr/>
        <w:t>）坏账准备计提情况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9224"/>
        <w:jc w:val="left"/>
      </w:pPr>
      <w:r>
        <w:rPr/>
        <w:t>□ 适用 √ 不适用 其他说明：</w:t>
      </w:r>
    </w:p>
    <w:p>
      <w:pPr>
        <w:spacing w:line="240" w:lineRule="auto" w:before="2"/>
        <w:rPr>
          <w:rFonts w:ascii="宋体" w:hAnsi="宋体" w:cs="宋体" w:eastAsia="宋体" w:hint="default"/>
          <w:sz w:val="20"/>
          <w:szCs w:val="20"/>
        </w:rPr>
      </w:pPr>
    </w:p>
    <w:p>
      <w:pPr>
        <w:pStyle w:val="Heading3"/>
        <w:spacing w:line="240" w:lineRule="auto"/>
        <w:ind w:right="882"/>
        <w:jc w:val="left"/>
        <w:rPr>
          <w:b w:val="0"/>
          <w:bCs w:val="0"/>
        </w:rPr>
      </w:pPr>
      <w:bookmarkStart w:name="（3）其他应收款" w:id="465"/>
      <w:bookmarkEnd w:id="465"/>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其他应收款按款项性质分类情况" w:id="466"/>
      <w:bookmarkEnd w:id="466"/>
      <w:r>
        <w:rPr>
          <w:b w:val="0"/>
          <w:bCs w:val="0"/>
        </w:rPr>
      </w:r>
      <w:r>
        <w:rPr>
          <w:rFonts w:ascii="Times New Roman" w:hAnsi="Times New Roman" w:cs="Times New Roman" w:eastAsia="Times New Roman" w:hint="default"/>
        </w:rPr>
        <w:t>1</w:t>
      </w:r>
      <w:r>
        <w:rPr/>
        <w:t>）其他应收款按款项性质分类情况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54,148,205.42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48,327,785.09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1,334,745.06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2,977,158.76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拆借款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25,796,214.62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9,214,880.15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3,706,672.78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4,944,888.62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84,985,837.88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65,464,712.62</w:t>
            </w:r>
          </w:p>
        </w:tc>
      </w:tr>
    </w:tbl>
    <w:p>
      <w:pPr>
        <w:spacing w:line="240" w:lineRule="auto" w:before="2"/>
        <w:rPr>
          <w:rFonts w:ascii="宋体" w:hAnsi="宋体" w:cs="宋体" w:eastAsia="宋体" w:hint="default"/>
          <w:sz w:val="19"/>
          <w:szCs w:val="19"/>
        </w:rPr>
      </w:pPr>
    </w:p>
    <w:p>
      <w:pPr>
        <w:pStyle w:val="Heading3"/>
        <w:spacing w:line="240" w:lineRule="auto" w:before="34"/>
        <w:ind w:right="882"/>
        <w:jc w:val="left"/>
        <w:rPr>
          <w:b w:val="0"/>
          <w:bCs w:val="0"/>
        </w:rPr>
      </w:pPr>
      <w:bookmarkStart w:name="2）坏账准备计提情况" w:id="467"/>
      <w:bookmarkEnd w:id="467"/>
      <w:r>
        <w:rPr>
          <w:b w:val="0"/>
          <w:bCs w:val="0"/>
        </w:rPr>
      </w:r>
      <w:r>
        <w:rPr>
          <w:rFonts w:ascii="Times New Roman" w:hAnsi="Times New Roman" w:cs="Times New Roman" w:eastAsia="Times New Roman" w:hint="default"/>
        </w:rPr>
        <w:t>2</w:t>
      </w:r>
      <w:r>
        <w:rPr/>
        <w:t>）坏账准备计提情况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402" w:hRule="exact"/>
        </w:trPr>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59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1" w:right="0"/>
              <w:jc w:val="left"/>
              <w:rPr>
                <w:rFonts w:ascii="宋体" w:hAnsi="宋体" w:cs="宋体" w:eastAsia="宋体" w:hint="default"/>
                <w:sz w:val="18"/>
                <w:szCs w:val="18"/>
              </w:rPr>
            </w:pPr>
            <w:r>
              <w:rPr>
                <w:rFonts w:ascii="宋体" w:hAnsi="宋体" w:cs="宋体" w:eastAsia="宋体" w:hint="default"/>
                <w:sz w:val="18"/>
                <w:szCs w:val="18"/>
              </w:rPr>
              <w:t>第一阶段</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第二阶段</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第三阶段</w:t>
            </w:r>
          </w:p>
        </w:tc>
        <w:tc>
          <w:tcPr>
            <w:tcW w:w="180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16" w:type="dxa"/>
            <w:vMerge/>
            <w:tcBorders>
              <w:left w:val="single" w:sz="4" w:space="0" w:color="000000"/>
              <w:bottom w:val="single" w:sz="4" w:space="0" w:color="000000"/>
              <w:right w:val="single" w:sz="4" w:space="0" w:color="000000"/>
            </w:tcBorders>
            <w:shd w:val="clear" w:color="auto" w:fill="D2D2D2"/>
          </w:tcPr>
          <w:p>
            <w:pPr/>
          </w:p>
        </w:tc>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461" w:right="142" w:hanging="317"/>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个月预期 信用损失</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43" w:right="144"/>
              <w:jc w:val="left"/>
              <w:rPr>
                <w:rFonts w:ascii="宋体" w:hAnsi="宋体" w:cs="宋体" w:eastAsia="宋体" w:hint="default"/>
                <w:sz w:val="18"/>
                <w:szCs w:val="18"/>
              </w:rPr>
            </w:pPr>
            <w:r>
              <w:rPr>
                <w:rFonts w:ascii="宋体" w:hAnsi="宋体" w:cs="宋体" w:eastAsia="宋体" w:hint="default"/>
                <w:sz w:val="18"/>
                <w:szCs w:val="18"/>
              </w:rPr>
              <w:t>整个存续期预期信用损 失（未发生信用减值）</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44" w:right="143"/>
              <w:jc w:val="left"/>
              <w:rPr>
                <w:rFonts w:ascii="宋体" w:hAnsi="宋体" w:cs="宋体" w:eastAsia="宋体" w:hint="default"/>
                <w:sz w:val="18"/>
                <w:szCs w:val="18"/>
              </w:rPr>
            </w:pPr>
            <w:r>
              <w:rPr>
                <w:rFonts w:ascii="宋体" w:hAnsi="宋体" w:cs="宋体" w:eastAsia="宋体" w:hint="default"/>
                <w:sz w:val="18"/>
                <w:szCs w:val="18"/>
              </w:rPr>
              <w:t>整个存续期预期信用损 失（已发生信用减值）</w:t>
            </w:r>
          </w:p>
        </w:tc>
        <w:tc>
          <w:tcPr>
            <w:tcW w:w="180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13,962,024.52</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13,962,024.52</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1"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日余额 在本期</w:t>
            </w:r>
          </w:p>
        </w:tc>
        <w:tc>
          <w:tcPr>
            <w:tcW w:w="1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w:t>
            </w:r>
          </w:p>
        </w:tc>
        <w:tc>
          <w:tcPr>
            <w:tcW w:w="20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0"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46,861.67</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46,861.67</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6"/>
        <w:gridCol w:w="1650"/>
        <w:gridCol w:w="2099"/>
        <w:gridCol w:w="2099"/>
        <w:gridCol w:w="1804"/>
      </w:tblGrid>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36"/>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日余 额</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01" w:right="0"/>
              <w:jc w:val="left"/>
              <w:rPr>
                <w:rFonts w:ascii="Times New Roman" w:hAnsi="Times New Roman" w:cs="Times New Roman" w:eastAsia="Times New Roman" w:hint="default"/>
                <w:sz w:val="18"/>
                <w:szCs w:val="18"/>
              </w:rPr>
            </w:pPr>
            <w:r>
              <w:rPr>
                <w:rFonts w:ascii="Times New Roman"/>
                <w:sz w:val="18"/>
              </w:rPr>
              <w:t>14,008,886.19</w:t>
            </w:r>
          </w:p>
        </w:tc>
        <w:tc>
          <w:tcPr>
            <w:tcW w:w="2099" w:type="dxa"/>
            <w:tcBorders>
              <w:top w:val="single" w:sz="4" w:space="0" w:color="000000"/>
              <w:left w:val="single" w:sz="4" w:space="0" w:color="000000"/>
              <w:bottom w:val="single" w:sz="4" w:space="0" w:color="000000"/>
              <w:right w:val="single" w:sz="4" w:space="0" w:color="000000"/>
            </w:tcBorders>
          </w:tcPr>
          <w:p>
            <w:pPr/>
          </w:p>
        </w:tc>
        <w:tc>
          <w:tcPr>
            <w:tcW w:w="2099"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56" w:right="0"/>
              <w:jc w:val="left"/>
              <w:rPr>
                <w:rFonts w:ascii="Times New Roman" w:hAnsi="Times New Roman" w:cs="Times New Roman" w:eastAsia="Times New Roman" w:hint="default"/>
                <w:sz w:val="18"/>
                <w:szCs w:val="18"/>
              </w:rPr>
            </w:pPr>
            <w:r>
              <w:rPr>
                <w:rFonts w:ascii="Times New Roman"/>
                <w:sz w:val="18"/>
              </w:rPr>
              <w:t>14,008,886.19</w:t>
            </w:r>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240" w:lineRule="auto" w:before="51"/>
        <w:ind w:right="-20"/>
        <w:jc w:val="left"/>
      </w:pPr>
      <w:r>
        <w:rPr/>
        <w:t>损失准备本期变动金额重大的账面余额变动情况</w:t>
      </w:r>
    </w:p>
    <w:p>
      <w:pPr>
        <w:pStyle w:val="BodyText"/>
        <w:spacing w:line="357" w:lineRule="auto" w:before="117"/>
        <w:ind w:right="2230"/>
        <w:jc w:val="left"/>
      </w:pPr>
      <w:r>
        <w:rPr/>
        <w:t>□ 适用 √ 不适用 按账龄披露</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2"/>
          <w:szCs w:val="12"/>
        </w:rPr>
      </w:pPr>
    </w:p>
    <w:p>
      <w:pPr>
        <w:pStyle w:val="BodyText"/>
        <w:spacing w:line="240" w:lineRule="auto"/>
        <w:ind w:right="0"/>
        <w:jc w:val="left"/>
      </w:pPr>
      <w:r>
        <w:rPr/>
        <w:t>单位：</w:t>
      </w:r>
      <w:r>
        <w:rPr>
          <w:spacing w:val="-2"/>
        </w:rPr>
        <w:t> </w:t>
      </w:r>
      <w:r>
        <w:rPr/>
        <w:t>元</w:t>
      </w:r>
    </w:p>
    <w:p>
      <w:pPr>
        <w:spacing w:after="0" w:line="240" w:lineRule="auto"/>
        <w:jc w:val="left"/>
        <w:sectPr>
          <w:type w:val="continuous"/>
          <w:pgSz w:w="11910" w:h="16840"/>
          <w:pgMar w:top="1100" w:bottom="1200" w:left="1020" w:right="0"/>
          <w:cols w:num="2" w:equalWidth="0">
            <w:col w:w="3893" w:space="4936"/>
            <w:col w:w="2061"/>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53,519,526.71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11,641,347.92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6,007,929.81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13,817,033.44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9,188,846.44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1,747,119.50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2,881,067.50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84,985,837.88</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3）本期计提、收回或转回的坏账准备情况" w:id="468"/>
      <w:bookmarkEnd w:id="468"/>
      <w:r>
        <w:rPr>
          <w:b w:val="0"/>
          <w:bCs w:val="0"/>
        </w:rPr>
      </w:r>
      <w:r>
        <w:rPr>
          <w:rFonts w:ascii="Times New Roman" w:hAnsi="Times New Roman" w:cs="Times New Roman" w:eastAsia="Times New Roman" w:hint="default"/>
        </w:rPr>
        <w:t>3</w:t>
      </w:r>
      <w:r>
        <w:rPr/>
        <w:t>）本期计提、收回或转回的坏账准备情况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本期计提坏账准备情况：</w:t>
      </w:r>
    </w:p>
    <w:p>
      <w:pPr>
        <w:pStyle w:val="BodyText"/>
        <w:spacing w:line="240" w:lineRule="auto" w:before="115"/>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889"/>
        <w:gridCol w:w="1302"/>
        <w:gridCol w:w="1593"/>
        <w:gridCol w:w="1592"/>
        <w:gridCol w:w="1303"/>
        <w:gridCol w:w="1889"/>
      </w:tblGrid>
      <w:tr>
        <w:trPr>
          <w:trHeight w:val="402" w:hRule="exact"/>
        </w:trPr>
        <w:tc>
          <w:tcPr>
            <w:tcW w:w="18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3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48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本期变动金额</w:t>
            </w:r>
          </w:p>
        </w:tc>
        <w:tc>
          <w:tcPr>
            <w:tcW w:w="18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7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vMerge/>
            <w:tcBorders>
              <w:left w:val="single" w:sz="4" w:space="0" w:color="000000"/>
              <w:bottom w:val="single" w:sz="4" w:space="0" w:color="000000"/>
              <w:right w:val="single" w:sz="4" w:space="0" w:color="000000"/>
            </w:tcBorders>
            <w:shd w:val="clear" w:color="auto" w:fill="D2D2D2"/>
          </w:tcPr>
          <w:p>
            <w:pPr/>
          </w:p>
        </w:tc>
        <w:tc>
          <w:tcPr>
            <w:tcW w:w="1302" w:type="dxa"/>
            <w:vMerge/>
            <w:tcBorders>
              <w:left w:val="single" w:sz="4" w:space="0" w:color="000000"/>
              <w:bottom w:val="single" w:sz="4" w:space="0" w:color="000000"/>
              <w:right w:val="single" w:sz="4" w:space="0" w:color="000000"/>
            </w:tcBorders>
            <w:shd w:val="clear" w:color="auto" w:fill="D2D2D2"/>
          </w:tcPr>
          <w:p>
            <w:pPr/>
          </w:p>
        </w:tc>
        <w:tc>
          <w:tcPr>
            <w:tcW w:w="1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41" w:right="0"/>
              <w:jc w:val="left"/>
              <w:rPr>
                <w:rFonts w:ascii="宋体" w:hAnsi="宋体" w:cs="宋体" w:eastAsia="宋体" w:hint="default"/>
                <w:sz w:val="18"/>
                <w:szCs w:val="18"/>
              </w:rPr>
            </w:pPr>
            <w:r>
              <w:rPr>
                <w:rFonts w:ascii="宋体" w:hAnsi="宋体" w:cs="宋体" w:eastAsia="宋体" w:hint="default"/>
                <w:sz w:val="18"/>
                <w:szCs w:val="18"/>
              </w:rPr>
              <w:t>收回或转回</w:t>
            </w:r>
          </w:p>
        </w:tc>
        <w:tc>
          <w:tcPr>
            <w:tcW w:w="1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核销</w:t>
            </w:r>
          </w:p>
        </w:tc>
        <w:tc>
          <w:tcPr>
            <w:tcW w:w="1889"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13,962,024.52</w:t>
            </w:r>
          </w:p>
        </w:tc>
        <w:tc>
          <w:tcPr>
            <w:tcW w:w="1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46,861.67</w:t>
            </w:r>
          </w:p>
        </w:tc>
        <w:tc>
          <w:tcPr>
            <w:tcW w:w="1592"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14,008,886.19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13,962,024.52</w:t>
            </w:r>
          </w:p>
        </w:tc>
        <w:tc>
          <w:tcPr>
            <w:tcW w:w="1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46,861.67</w:t>
            </w:r>
          </w:p>
        </w:tc>
        <w:tc>
          <w:tcPr>
            <w:tcW w:w="1592"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14,008,886.19</w:t>
            </w:r>
          </w:p>
        </w:tc>
      </w:tr>
    </w:tbl>
    <w:p>
      <w:pPr>
        <w:pStyle w:val="BodyText"/>
        <w:spacing w:line="240" w:lineRule="auto" w:before="51"/>
        <w:ind w:right="882"/>
        <w:jc w:val="left"/>
      </w:pPr>
      <w:r>
        <w:rPr/>
        <w:t>其中本期坏账准备转回或收回金额重要的：</w:t>
      </w:r>
    </w:p>
    <w:p>
      <w:pPr>
        <w:pStyle w:val="BodyText"/>
        <w:spacing w:line="240" w:lineRule="auto" w:before="117"/>
        <w:ind w:left="0" w:right="1132"/>
        <w:jc w:val="right"/>
      </w:pPr>
      <w:r>
        <w:rPr/>
        <w:t>单位：</w:t>
      </w:r>
      <w:r>
        <w:rPr>
          <w:spacing w:val="-2"/>
        </w:rPr>
        <w:t> </w:t>
      </w:r>
      <w:r>
        <w:rPr/>
        <w:t>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58"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4）本期实际核销的其他应收款情况" w:id="469"/>
      <w:bookmarkEnd w:id="469"/>
      <w:r>
        <w:rPr>
          <w:b w:val="0"/>
          <w:bCs w:val="0"/>
        </w:rPr>
      </w:r>
      <w:r>
        <w:rPr>
          <w:rFonts w:ascii="Times New Roman" w:hAnsi="Times New Roman" w:cs="Times New Roman" w:eastAsia="Times New Roman" w:hint="default"/>
        </w:rPr>
        <w:t>4</w:t>
      </w:r>
      <w:r>
        <w:rPr/>
        <w:t>）本期实际核销的其他应收款情况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1"/>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2;width:4775;height:397" coordorigin="13,12" coordsize="4775,397">
              <v:shape style="position:absolute;left:13;top:12;width:4775;height:397" coordorigin="13,12" coordsize="4775,397" path="m13,12l4788,12,4788,409,13,409,13,12xe" filled="true" fillcolor="#d2d2d2" stroked="false">
                <v:path arrowok="t"/>
                <v:fill type="solid"/>
              </v:shape>
            </v:group>
            <v:group style="position:absolute;left:4793;top:12;width:4783;height:397" coordorigin="4793,12" coordsize="4783,397">
              <v:shape style="position:absolute;left:4793;top:12;width:4783;height:397" coordorigin="4793,12" coordsize="4783,397" path="m4793,12l9576,12,9576,409,4793,409,4793,12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0;top:5;width:2;height:402" coordorigin="4790,5" coordsize="2,402">
              <v:shape style="position:absolute;left:4790;top:5;width:2;height:402" coordorigin="4790,5" coordsize="0,402" path="m4790,5l4790,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19;top:12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0;top:10;width:4788;height:402" type="#_x0000_t202" filled="false" stroked="false">
                <v:textbox inset="0,0,0,0">
                  <w:txbxContent>
                    <w:p>
                      <w:pPr>
                        <w:spacing w:before="55"/>
                        <w:ind w:left="1" w:right="0" w:firstLine="0"/>
                        <w:jc w:val="center"/>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49"/>
        <w:ind w:right="882"/>
        <w:jc w:val="left"/>
      </w:pPr>
      <w:r>
        <w:rPr/>
        <w:t>其中重要的其他应收款核销情况：</w:t>
      </w:r>
    </w:p>
    <w:p>
      <w:pPr>
        <w:pStyle w:val="BodyText"/>
        <w:spacing w:line="240" w:lineRule="auto" w:before="117"/>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84"/>
        <w:gridCol w:w="1551"/>
        <w:gridCol w:w="1552"/>
        <w:gridCol w:w="1552"/>
        <w:gridCol w:w="1615"/>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42" w:right="172" w:hanging="272"/>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pStyle w:val="BodyText"/>
        <w:spacing w:line="240" w:lineRule="auto" w:before="50"/>
        <w:ind w:right="882"/>
        <w:jc w:val="left"/>
      </w:pPr>
      <w:r>
        <w:rPr/>
        <w:t>其他应收款核销说明：</w:t>
      </w:r>
    </w:p>
    <w:p>
      <w:pPr>
        <w:spacing w:after="0" w:line="240" w:lineRule="auto"/>
        <w:jc w:val="left"/>
        <w:sectPr>
          <w:type w:val="continuous"/>
          <w:pgSz w:w="11910" w:h="16840"/>
          <w:pgMar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5）按欠款方归集的期末余额前五名的其他应收款情况" w:id="470"/>
      <w:bookmarkEnd w:id="470"/>
      <w:r>
        <w:rPr>
          <w:b w:val="0"/>
          <w:bCs w:val="0"/>
        </w:rPr>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167"/>
        <w:gridCol w:w="1200"/>
        <w:gridCol w:w="1420"/>
        <w:gridCol w:w="1552"/>
        <w:gridCol w:w="1615"/>
        <w:gridCol w:w="1615"/>
      </w:tblGrid>
      <w:tr>
        <w:trPr>
          <w:trHeight w:val="1026" w:hRule="exact"/>
        </w:trPr>
        <w:tc>
          <w:tcPr>
            <w:tcW w:w="2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1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45"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4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4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1" w:right="172"/>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711" w:right="172"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402" w:hRule="exact"/>
        </w:trPr>
        <w:tc>
          <w:tcPr>
            <w:tcW w:w="2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上海创航软件有限公司</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拆借款</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19,124,996.09</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22.50%</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1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253"/>
              <w:jc w:val="left"/>
              <w:rPr>
                <w:rFonts w:ascii="宋体" w:hAnsi="宋体" w:cs="宋体" w:eastAsia="宋体" w:hint="default"/>
                <w:sz w:val="18"/>
                <w:szCs w:val="18"/>
              </w:rPr>
            </w:pPr>
            <w:r>
              <w:rPr>
                <w:rFonts w:ascii="宋体" w:hAnsi="宋体" w:cs="宋体" w:eastAsia="宋体" w:hint="default"/>
                <w:sz w:val="18"/>
                <w:szCs w:val="18"/>
              </w:rPr>
              <w:t>福建医科大学附属协和 医院</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7,367,787.75</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8.67%</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368,389.39</w:t>
            </w:r>
          </w:p>
        </w:tc>
      </w:tr>
      <w:tr>
        <w:trPr>
          <w:trHeight w:val="714" w:hRule="exact"/>
        </w:trPr>
        <w:tc>
          <w:tcPr>
            <w:tcW w:w="21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中国人民解放军第八五 医院</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4,474,000.00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5.26%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2,237,000.00</w:t>
            </w:r>
          </w:p>
        </w:tc>
      </w:tr>
      <w:tr>
        <w:trPr>
          <w:trHeight w:val="402" w:hRule="exact"/>
        </w:trPr>
        <w:tc>
          <w:tcPr>
            <w:tcW w:w="2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天津创津科技有限公司</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拆借款</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4,679,905.94</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5.51%</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1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新疆国恒投资发展集团 有限公司</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4,257,000.00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5.01%</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212,850.00</w:t>
            </w:r>
          </w:p>
        </w:tc>
      </w:tr>
      <w:tr>
        <w:trPr>
          <w:trHeight w:val="402" w:hRule="exact"/>
        </w:trPr>
        <w:tc>
          <w:tcPr>
            <w:tcW w:w="2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39,903,689.78</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46.95%</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2,818,239.39</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6）涉及政府补助的应收款项" w:id="471"/>
      <w:bookmarkEnd w:id="471"/>
      <w:r>
        <w:rPr>
          <w:b w:val="0"/>
          <w:bCs w:val="0"/>
        </w:rPr>
      </w:r>
      <w:r>
        <w:rPr>
          <w:rFonts w:ascii="Times New Roman" w:hAnsi="Times New Roman" w:cs="Times New Roman" w:eastAsia="Times New Roman" w:hint="default"/>
        </w:rPr>
        <w:t>6</w:t>
      </w:r>
      <w:r>
        <w:rPr/>
        <w:t>）涉及政府补助的应收款项</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025"/>
        <w:gridCol w:w="1866"/>
        <w:gridCol w:w="1867"/>
        <w:gridCol w:w="1867"/>
        <w:gridCol w:w="1944"/>
      </w:tblGrid>
      <w:tr>
        <w:trPr>
          <w:trHeight w:val="714" w:hRule="exact"/>
        </w:trPr>
        <w:tc>
          <w:tcPr>
            <w:tcW w:w="20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4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8"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6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67"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97" w:right="100" w:hanging="593"/>
              <w:jc w:val="left"/>
              <w:rPr>
                <w:rFonts w:ascii="宋体" w:hAnsi="宋体" w:cs="宋体" w:eastAsia="宋体" w:hint="default"/>
                <w:sz w:val="18"/>
                <w:szCs w:val="18"/>
              </w:rPr>
            </w:pPr>
            <w:r>
              <w:rPr>
                <w:rFonts w:ascii="宋体" w:hAnsi="宋体" w:cs="宋体" w:eastAsia="宋体" w:hint="default"/>
                <w:spacing w:val="-8"/>
                <w:sz w:val="18"/>
                <w:szCs w:val="18"/>
              </w:rPr>
              <w:t>预计收取的时间、金额</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及依据</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7）因金融资产转移而终止确认的其他应收款" w:id="472"/>
      <w:bookmarkEnd w:id="472"/>
      <w:r>
        <w:rPr>
          <w:b w:val="0"/>
          <w:bCs w:val="0"/>
        </w:rPr>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8）转移其他应收款且继续涉入形成的资产、负债金额" w:id="473"/>
      <w:bookmarkEnd w:id="473"/>
      <w:r>
        <w:rPr>
          <w:b w:val="0"/>
          <w:bCs w:val="0"/>
        </w:rPr>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3、长期股权投资" w:id="474"/>
      <w:bookmarkEnd w:id="474"/>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1,658,195,883.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1,658,195,883.</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1,539,700,054.</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36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1,539,700,054.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36</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74"/>
              <w:jc w:val="left"/>
              <w:rPr>
                <w:rFonts w:ascii="宋体" w:hAnsi="宋体" w:cs="宋体" w:eastAsia="宋体" w:hint="default"/>
                <w:sz w:val="18"/>
                <w:szCs w:val="18"/>
              </w:rPr>
            </w:pPr>
            <w:r>
              <w:rPr>
                <w:rFonts w:ascii="宋体" w:hAnsi="宋体" w:cs="宋体" w:eastAsia="宋体" w:hint="default"/>
                <w:sz w:val="18"/>
                <w:szCs w:val="18"/>
              </w:rPr>
              <w:t>对联营、合营 企业投资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178,706,046.35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 w:right="0"/>
              <w:jc w:val="center"/>
              <w:rPr>
                <w:rFonts w:ascii="Times New Roman" w:hAnsi="Times New Roman" w:cs="Times New Roman" w:eastAsia="Times New Roman" w:hint="default"/>
                <w:sz w:val="18"/>
                <w:szCs w:val="18"/>
              </w:rPr>
            </w:pPr>
            <w:r>
              <w:rPr>
                <w:rFonts w:ascii="Times New Roman"/>
                <w:sz w:val="18"/>
              </w:rPr>
              <w:t>178,706,046.35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174,191,056.66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 w:right="0"/>
              <w:jc w:val="center"/>
              <w:rPr>
                <w:rFonts w:ascii="Times New Roman" w:hAnsi="Times New Roman" w:cs="Times New Roman" w:eastAsia="Times New Roman" w:hint="default"/>
                <w:sz w:val="18"/>
                <w:szCs w:val="18"/>
              </w:rPr>
            </w:pPr>
            <w:r>
              <w:rPr>
                <w:rFonts w:ascii="Times New Roman"/>
                <w:sz w:val="18"/>
              </w:rPr>
              <w:t>174,191,056.66</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1,836,901,930.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1,836,901,930.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Times New Roman" w:hAnsi="Times New Roman" w:cs="Times New Roman" w:eastAsia="Times New Roman" w:hint="default"/>
                <w:sz w:val="18"/>
                <w:szCs w:val="18"/>
              </w:rPr>
            </w:pPr>
            <w:r>
              <w:rPr>
                <w:rFonts w:ascii="Times New Roman"/>
                <w:spacing w:val="-2"/>
                <w:sz w:val="18"/>
              </w:rPr>
              <w:t>1,713,891,111.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2"/>
                <w:sz w:val="18"/>
              </w:rPr>
              <w:t>1,713,891,111.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02</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1）对子公司投资" w:id="475"/>
      <w:bookmarkEnd w:id="475"/>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67"/>
        <w:gridCol w:w="1166"/>
        <w:gridCol w:w="1166"/>
        <w:gridCol w:w="1166"/>
        <w:gridCol w:w="1166"/>
        <w:gridCol w:w="1213"/>
        <w:gridCol w:w="1213"/>
        <w:gridCol w:w="1213"/>
      </w:tblGrid>
      <w:tr>
        <w:trPr>
          <w:trHeight w:val="402" w:hRule="exact"/>
        </w:trPr>
        <w:tc>
          <w:tcPr>
            <w:tcW w:w="12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78"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1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5"/>
              <w:ind w:left="217" w:right="0"/>
              <w:jc w:val="left"/>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316" w:lineRule="auto" w:before="76"/>
              <w:ind w:left="397" w:right="217"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471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2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242" w:right="100" w:hanging="140"/>
              <w:jc w:val="left"/>
              <w:rPr>
                <w:rFonts w:ascii="宋体" w:hAnsi="宋体" w:cs="宋体" w:eastAsia="宋体" w:hint="default"/>
                <w:sz w:val="18"/>
                <w:szCs w:val="18"/>
              </w:rPr>
            </w:pPr>
            <w:r>
              <w:rPr>
                <w:rFonts w:ascii="宋体" w:hAnsi="宋体" w:cs="宋体" w:eastAsia="宋体" w:hint="default"/>
                <w:spacing w:val="-14"/>
                <w:sz w:val="18"/>
                <w:szCs w:val="18"/>
              </w:rPr>
              <w:t>期末余额（账</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面价值）</w:t>
            </w:r>
          </w:p>
        </w:tc>
        <w:tc>
          <w:tcPr>
            <w:tcW w:w="12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332" w:right="149" w:hanging="180"/>
              <w:jc w:val="left"/>
              <w:rPr>
                <w:rFonts w:ascii="宋体" w:hAnsi="宋体" w:cs="宋体" w:eastAsia="宋体" w:hint="default"/>
                <w:sz w:val="18"/>
                <w:szCs w:val="18"/>
              </w:rPr>
            </w:pPr>
            <w:r>
              <w:rPr>
                <w:rFonts w:ascii="宋体" w:hAnsi="宋体" w:cs="宋体" w:eastAsia="宋体" w:hint="default"/>
                <w:sz w:val="18"/>
                <w:szCs w:val="18"/>
              </w:rPr>
              <w:t>减值准备期 末余额</w:t>
            </w:r>
          </w:p>
        </w:tc>
      </w:tr>
      <w:tr>
        <w:trPr>
          <w:trHeight w:val="714" w:hRule="exact"/>
        </w:trPr>
        <w:tc>
          <w:tcPr>
            <w:tcW w:w="1267" w:type="dxa"/>
            <w:vMerge/>
            <w:tcBorders>
              <w:left w:val="single" w:sz="4" w:space="0" w:color="000000"/>
              <w:bottom w:val="single" w:sz="4" w:space="0" w:color="000000"/>
              <w:right w:val="single" w:sz="4" w:space="0" w:color="000000"/>
            </w:tcBorders>
            <w:shd w:val="clear" w:color="auto" w:fill="D2D2D2"/>
          </w:tcPr>
          <w:p>
            <w:pPr/>
          </w:p>
        </w:tc>
        <w:tc>
          <w:tcPr>
            <w:tcW w:w="1166" w:type="dxa"/>
            <w:vMerge/>
            <w:tcBorders>
              <w:left w:val="single" w:sz="4" w:space="0" w:color="000000"/>
              <w:bottom w:val="single" w:sz="4" w:space="0" w:color="000000"/>
              <w:right w:val="single" w:sz="4" w:space="0" w:color="000000"/>
            </w:tcBorders>
            <w:shd w:val="clear" w:color="auto" w:fill="D2D2D2"/>
          </w:tcPr>
          <w:p>
            <w:pP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7"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8"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87" w:right="127" w:hanging="360"/>
              <w:jc w:val="left"/>
              <w:rPr>
                <w:rFonts w:ascii="宋体" w:hAnsi="宋体" w:cs="宋体" w:eastAsia="宋体" w:hint="default"/>
                <w:sz w:val="18"/>
                <w:szCs w:val="18"/>
              </w:rPr>
            </w:pPr>
            <w:r>
              <w:rPr>
                <w:rFonts w:ascii="宋体" w:hAnsi="宋体" w:cs="宋体" w:eastAsia="宋体" w:hint="default"/>
                <w:sz w:val="18"/>
                <w:szCs w:val="18"/>
              </w:rPr>
              <w:t>计提减值准 备</w:t>
            </w:r>
          </w:p>
        </w:tc>
        <w:tc>
          <w:tcPr>
            <w:tcW w:w="12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213" w:type="dxa"/>
            <w:vMerge/>
            <w:tcBorders>
              <w:left w:val="single" w:sz="4" w:space="0" w:color="000000"/>
              <w:bottom w:val="single" w:sz="4" w:space="0" w:color="000000"/>
              <w:right w:val="single" w:sz="4" w:space="0" w:color="000000"/>
            </w:tcBorders>
            <w:shd w:val="clear" w:color="auto" w:fill="D2D2D2"/>
          </w:tcPr>
          <w:p>
            <w:pPr/>
          </w:p>
        </w:tc>
        <w:tc>
          <w:tcPr>
            <w:tcW w:w="1213"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253"/>
              <w:jc w:val="left"/>
              <w:rPr>
                <w:rFonts w:ascii="宋体" w:hAnsi="宋体" w:cs="宋体" w:eastAsia="宋体" w:hint="default"/>
                <w:sz w:val="18"/>
                <w:szCs w:val="18"/>
              </w:rPr>
            </w:pPr>
            <w:r>
              <w:rPr>
                <w:rFonts w:ascii="宋体" w:hAnsi="宋体" w:cs="宋体" w:eastAsia="宋体" w:hint="default"/>
                <w:sz w:val="18"/>
                <w:szCs w:val="18"/>
              </w:rPr>
              <w:t>杭州联旗科 技有限公司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8,951,051.13</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8,951,051.13</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both"/>
              <w:rPr>
                <w:rFonts w:ascii="宋体" w:hAnsi="宋体" w:cs="宋体" w:eastAsia="宋体" w:hint="default"/>
                <w:sz w:val="18"/>
                <w:szCs w:val="18"/>
              </w:rPr>
            </w:pPr>
            <w:r>
              <w:rPr>
                <w:rFonts w:ascii="宋体" w:hAnsi="宋体" w:cs="宋体" w:eastAsia="宋体" w:hint="default"/>
                <w:sz w:val="18"/>
                <w:szCs w:val="18"/>
              </w:rPr>
              <w:t>苏州创业亿 康信息科技 有限公司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6,000,000.00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6,000,000.00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253"/>
              <w:jc w:val="left"/>
              <w:rPr>
                <w:rFonts w:ascii="宋体" w:hAnsi="宋体" w:cs="宋体" w:eastAsia="宋体" w:hint="default"/>
                <w:sz w:val="18"/>
                <w:szCs w:val="18"/>
              </w:rPr>
            </w:pPr>
            <w:r>
              <w:rPr>
                <w:rFonts w:ascii="宋体" w:hAnsi="宋体" w:cs="宋体" w:eastAsia="宋体" w:hint="default"/>
                <w:sz w:val="18"/>
                <w:szCs w:val="18"/>
              </w:rPr>
              <w:t>创业软件南 京有限公司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29,632,221.2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367,778.71</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30,000,000.0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上海创航软 件有限公司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36,000,000.0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36,000,000.0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253"/>
              <w:jc w:val="both"/>
              <w:rPr>
                <w:rFonts w:ascii="宋体" w:hAnsi="宋体" w:cs="宋体" w:eastAsia="宋体" w:hint="default"/>
                <w:sz w:val="18"/>
                <w:szCs w:val="18"/>
              </w:rPr>
            </w:pPr>
            <w:r>
              <w:rPr>
                <w:rFonts w:ascii="宋体" w:hAnsi="宋体" w:cs="宋体" w:eastAsia="宋体" w:hint="default"/>
                <w:sz w:val="18"/>
                <w:szCs w:val="18"/>
              </w:rPr>
              <w:t>新疆创什信 息科技有限 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4,250,000.00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4,250,000.00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both"/>
              <w:rPr>
                <w:rFonts w:ascii="宋体" w:hAnsi="宋体" w:cs="宋体" w:eastAsia="宋体" w:hint="default"/>
                <w:sz w:val="18"/>
                <w:szCs w:val="18"/>
              </w:rPr>
            </w:pPr>
            <w:r>
              <w:rPr>
                <w:rFonts w:ascii="宋体" w:hAnsi="宋体" w:cs="宋体" w:eastAsia="宋体" w:hint="default"/>
                <w:sz w:val="18"/>
                <w:szCs w:val="18"/>
              </w:rPr>
              <w:t>重庆创易康 软件有限公 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15,361,949.1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4</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638,050.86</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253"/>
              <w:jc w:val="left"/>
              <w:rPr>
                <w:rFonts w:ascii="宋体" w:hAnsi="宋体" w:cs="宋体" w:eastAsia="宋体" w:hint="default"/>
                <w:sz w:val="18"/>
                <w:szCs w:val="18"/>
              </w:rPr>
            </w:pPr>
            <w:r>
              <w:rPr>
                <w:rFonts w:ascii="宋体" w:hAnsi="宋体" w:cs="宋体" w:eastAsia="宋体" w:hint="default"/>
                <w:sz w:val="18"/>
                <w:szCs w:val="18"/>
              </w:rPr>
              <w:t>天津创津科 技有限公司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7,025,000.00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7,025,000.00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杭州惟勤科 技有限公司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2,540,900.00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2,540,900.00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253"/>
              <w:jc w:val="both"/>
              <w:rPr>
                <w:rFonts w:ascii="宋体" w:hAnsi="宋体" w:cs="宋体" w:eastAsia="宋体" w:hint="default"/>
                <w:sz w:val="18"/>
                <w:szCs w:val="18"/>
              </w:rPr>
            </w:pPr>
            <w:r>
              <w:rPr>
                <w:rFonts w:ascii="宋体" w:hAnsi="宋体" w:cs="宋体" w:eastAsia="宋体" w:hint="default"/>
                <w:sz w:val="18"/>
                <w:szCs w:val="18"/>
              </w:rPr>
              <w:t>广东中拓信 息技术有限 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39,760,000.0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69,940,000.0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109,700,000.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both"/>
              <w:rPr>
                <w:rFonts w:ascii="宋体" w:hAnsi="宋体" w:cs="宋体" w:eastAsia="宋体" w:hint="default"/>
                <w:sz w:val="18"/>
                <w:szCs w:val="18"/>
              </w:rPr>
            </w:pPr>
            <w:r>
              <w:rPr>
                <w:rFonts w:ascii="宋体" w:hAnsi="宋体" w:cs="宋体" w:eastAsia="宋体" w:hint="default"/>
                <w:sz w:val="18"/>
                <w:szCs w:val="18"/>
              </w:rPr>
              <w:t>中山市蓝天 电脑有限公 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240,000.00</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60,000.00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253"/>
              <w:jc w:val="both"/>
              <w:rPr>
                <w:rFonts w:ascii="宋体" w:hAnsi="宋体" w:cs="宋体" w:eastAsia="宋体" w:hint="default"/>
                <w:sz w:val="18"/>
                <w:szCs w:val="18"/>
              </w:rPr>
            </w:pPr>
            <w:r>
              <w:rPr>
                <w:rFonts w:ascii="宋体" w:hAnsi="宋体" w:cs="宋体" w:eastAsia="宋体" w:hint="default"/>
                <w:sz w:val="18"/>
                <w:szCs w:val="18"/>
              </w:rPr>
              <w:t>中山市杭创 科技有限公 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4,650,000.00</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15,350,000.0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both"/>
              <w:rPr>
                <w:rFonts w:ascii="宋体" w:hAnsi="宋体" w:cs="宋体" w:eastAsia="宋体" w:hint="default"/>
                <w:sz w:val="18"/>
                <w:szCs w:val="18"/>
              </w:rPr>
            </w:pPr>
            <w:r>
              <w:rPr>
                <w:rFonts w:ascii="宋体" w:hAnsi="宋体" w:cs="宋体" w:eastAsia="宋体" w:hint="default"/>
                <w:sz w:val="18"/>
                <w:szCs w:val="18"/>
              </w:rPr>
              <w:t>杭州慧康物 联网科技有 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1,238,000,00</w:t>
            </w:r>
          </w:p>
          <w:p>
            <w:pPr>
              <w:pStyle w:val="TableParagraph"/>
              <w:spacing w:line="240" w:lineRule="auto" w:before="105"/>
              <w:ind w:left="738" w:right="0"/>
              <w:jc w:val="left"/>
              <w:rPr>
                <w:rFonts w:ascii="Times New Roman" w:hAnsi="Times New Roman" w:cs="Times New Roman" w:eastAsia="Times New Roman" w:hint="default"/>
                <w:sz w:val="18"/>
                <w:szCs w:val="18"/>
              </w:rPr>
            </w:pPr>
            <w:r>
              <w:rPr>
                <w:rFonts w:ascii="Times New Roman"/>
                <w:sz w:val="18"/>
              </w:rPr>
              <w:t>0.00</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1,258,000,00</w:t>
            </w:r>
          </w:p>
          <w:p>
            <w:pPr>
              <w:pStyle w:val="TableParagraph"/>
              <w:spacing w:line="240" w:lineRule="auto" w:before="105"/>
              <w:ind w:left="784" w:right="0"/>
              <w:jc w:val="left"/>
              <w:rPr>
                <w:rFonts w:ascii="Times New Roman" w:hAnsi="Times New Roman" w:cs="Times New Roman" w:eastAsia="Times New Roman" w:hint="default"/>
                <w:sz w:val="18"/>
                <w:szCs w:val="18"/>
              </w:rPr>
            </w:pPr>
            <w:r>
              <w:rPr>
                <w:rFonts w:ascii="Times New Roman"/>
                <w:sz w:val="18"/>
              </w:rPr>
              <w:t>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4"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253"/>
              <w:jc w:val="both"/>
              <w:rPr>
                <w:rFonts w:ascii="宋体" w:hAnsi="宋体" w:cs="宋体" w:eastAsia="宋体" w:hint="default"/>
                <w:sz w:val="18"/>
                <w:szCs w:val="18"/>
              </w:rPr>
            </w:pPr>
            <w:r>
              <w:rPr>
                <w:rFonts w:ascii="宋体" w:hAnsi="宋体" w:cs="宋体" w:eastAsia="宋体" w:hint="default"/>
                <w:sz w:val="18"/>
                <w:szCs w:val="18"/>
              </w:rPr>
              <w:t>杭州卓腾信 息技术有限 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19,329,104.8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19,329,104.8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267"/>
        <w:gridCol w:w="1166"/>
        <w:gridCol w:w="1166"/>
        <w:gridCol w:w="1166"/>
        <w:gridCol w:w="1166"/>
        <w:gridCol w:w="1213"/>
        <w:gridCol w:w="1213"/>
        <w:gridCol w:w="1213"/>
      </w:tblGrid>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both"/>
              <w:rPr>
                <w:rFonts w:ascii="宋体" w:hAnsi="宋体" w:cs="宋体" w:eastAsia="宋体" w:hint="default"/>
                <w:sz w:val="18"/>
                <w:szCs w:val="18"/>
              </w:rPr>
            </w:pPr>
            <w:r>
              <w:rPr>
                <w:rFonts w:ascii="宋体" w:hAnsi="宋体" w:cs="宋体" w:eastAsia="宋体" w:hint="default"/>
                <w:sz w:val="18"/>
                <w:szCs w:val="18"/>
              </w:rPr>
              <w:t>杭州合美物 业管理有限 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1,000,000.00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both"/>
              <w:rPr>
                <w:rFonts w:ascii="宋体" w:hAnsi="宋体" w:cs="宋体" w:eastAsia="宋体" w:hint="default"/>
                <w:sz w:val="18"/>
                <w:szCs w:val="18"/>
              </w:rPr>
            </w:pPr>
            <w:r>
              <w:rPr>
                <w:rFonts w:ascii="宋体" w:hAnsi="宋体" w:cs="宋体" w:eastAsia="宋体" w:hint="default"/>
                <w:sz w:val="18"/>
                <w:szCs w:val="18"/>
              </w:rPr>
              <w:t>杭州梅清数 码科技有限 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both"/>
              <w:rPr>
                <w:rFonts w:ascii="宋体" w:hAnsi="宋体" w:cs="宋体" w:eastAsia="宋体" w:hint="default"/>
                <w:sz w:val="18"/>
                <w:szCs w:val="18"/>
              </w:rPr>
            </w:pPr>
            <w:r>
              <w:rPr>
                <w:rFonts w:ascii="宋体" w:hAnsi="宋体" w:cs="宋体" w:eastAsia="宋体" w:hint="default"/>
                <w:sz w:val="18"/>
                <w:szCs w:val="18"/>
              </w:rPr>
              <w:t>杭州美诺泰 科科技有限 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95,399,828.0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95,399,828.0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both"/>
              <w:rPr>
                <w:rFonts w:ascii="宋体" w:hAnsi="宋体" w:cs="宋体" w:eastAsia="宋体" w:hint="default"/>
                <w:sz w:val="18"/>
                <w:szCs w:val="18"/>
              </w:rPr>
            </w:pPr>
            <w:r>
              <w:rPr>
                <w:rFonts w:ascii="宋体" w:hAnsi="宋体" w:cs="宋体" w:eastAsia="宋体" w:hint="default"/>
                <w:sz w:val="18"/>
                <w:szCs w:val="18"/>
              </w:rPr>
              <w:t>宁海杭创网 络科技有限 公司</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both"/>
              <w:rPr>
                <w:rFonts w:ascii="宋体" w:hAnsi="宋体" w:cs="宋体" w:eastAsia="宋体" w:hint="default"/>
                <w:sz w:val="18"/>
                <w:szCs w:val="18"/>
              </w:rPr>
            </w:pPr>
            <w:r>
              <w:rPr>
                <w:rFonts w:ascii="宋体" w:hAnsi="宋体" w:cs="宋体" w:eastAsia="宋体" w:hint="default"/>
                <w:sz w:val="18"/>
                <w:szCs w:val="18"/>
              </w:rPr>
              <w:t>浙江医康数 据科技研究 院有限公司</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1,560,000.00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1,560,000.00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both"/>
              <w:rPr>
                <w:rFonts w:ascii="宋体" w:hAnsi="宋体" w:cs="宋体" w:eastAsia="宋体" w:hint="default"/>
                <w:sz w:val="18"/>
                <w:szCs w:val="18"/>
              </w:rPr>
            </w:pPr>
            <w:r>
              <w:rPr>
                <w:rFonts w:ascii="宋体" w:hAnsi="宋体" w:cs="宋体" w:eastAsia="宋体" w:hint="default"/>
                <w:sz w:val="18"/>
                <w:szCs w:val="18"/>
              </w:rPr>
              <w:t>广州粤湾慧 康科技有限 公司</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left"/>
              <w:rPr>
                <w:rFonts w:ascii="宋体" w:hAnsi="宋体" w:cs="宋体" w:eastAsia="宋体" w:hint="default"/>
                <w:sz w:val="18"/>
                <w:szCs w:val="18"/>
              </w:rPr>
            </w:pPr>
            <w:r>
              <w:rPr>
                <w:rFonts w:ascii="宋体" w:hAnsi="宋体" w:cs="宋体" w:eastAsia="宋体" w:hint="default"/>
                <w:sz w:val="18"/>
                <w:szCs w:val="18"/>
              </w:rPr>
              <w:t>浙江百利医 药有限公司</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2,040,000.00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2,040,000.00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both"/>
              <w:rPr>
                <w:rFonts w:ascii="宋体" w:hAnsi="宋体" w:cs="宋体" w:eastAsia="宋体" w:hint="default"/>
                <w:sz w:val="18"/>
                <w:szCs w:val="18"/>
              </w:rPr>
            </w:pPr>
            <w:r>
              <w:rPr>
                <w:rFonts w:ascii="宋体" w:hAnsi="宋体" w:cs="宋体" w:eastAsia="宋体" w:hint="default"/>
                <w:sz w:val="18"/>
                <w:szCs w:val="18"/>
              </w:rPr>
              <w:t>自贡市杭创 科技有限公 司</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both"/>
              <w:rPr>
                <w:rFonts w:ascii="宋体" w:hAnsi="宋体" w:cs="宋体" w:eastAsia="宋体" w:hint="default"/>
                <w:sz w:val="18"/>
                <w:szCs w:val="18"/>
              </w:rPr>
            </w:pPr>
            <w:r>
              <w:rPr>
                <w:rFonts w:ascii="宋体" w:hAnsi="宋体" w:cs="宋体" w:eastAsia="宋体" w:hint="default"/>
                <w:sz w:val="18"/>
                <w:szCs w:val="18"/>
              </w:rPr>
              <w:t>杭州慧心健 康科技有限 公司</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7" w:right="0"/>
              <w:jc w:val="left"/>
              <w:rPr>
                <w:rFonts w:ascii="Times New Roman" w:hAnsi="Times New Roman" w:cs="Times New Roman" w:eastAsia="Times New Roman" w:hint="default"/>
                <w:sz w:val="18"/>
                <w:szCs w:val="18"/>
              </w:rPr>
            </w:pPr>
            <w:r>
              <w:rPr>
                <w:rFonts w:ascii="Times New Roman"/>
                <w:sz w:val="18"/>
              </w:rPr>
              <w:t>1,539,700,05</w:t>
            </w:r>
          </w:p>
          <w:p>
            <w:pPr>
              <w:pStyle w:val="TableParagraph"/>
              <w:spacing w:line="240" w:lineRule="auto" w:before="105"/>
              <w:ind w:left="738" w:right="0"/>
              <w:jc w:val="left"/>
              <w:rPr>
                <w:rFonts w:ascii="Times New Roman" w:hAnsi="Times New Roman" w:cs="Times New Roman" w:eastAsia="Times New Roman" w:hint="default"/>
                <w:sz w:val="18"/>
                <w:szCs w:val="18"/>
              </w:rPr>
            </w:pPr>
            <w:r>
              <w:rPr>
                <w:rFonts w:ascii="Times New Roman"/>
                <w:sz w:val="18"/>
              </w:rPr>
              <w:t>4.36</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118,495,829.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57</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5" w:right="0"/>
              <w:jc w:val="left"/>
              <w:rPr>
                <w:rFonts w:ascii="Times New Roman" w:hAnsi="Times New Roman" w:cs="Times New Roman" w:eastAsia="Times New Roman" w:hint="default"/>
                <w:sz w:val="18"/>
                <w:szCs w:val="18"/>
              </w:rPr>
            </w:pPr>
            <w:r>
              <w:rPr>
                <w:rFonts w:ascii="Times New Roman"/>
                <w:sz w:val="18"/>
              </w:rPr>
              <w:t>1,658,195,88</w:t>
            </w:r>
          </w:p>
          <w:p>
            <w:pPr>
              <w:pStyle w:val="TableParagraph"/>
              <w:spacing w:line="240" w:lineRule="auto" w:before="105"/>
              <w:ind w:left="784" w:right="0"/>
              <w:jc w:val="left"/>
              <w:rPr>
                <w:rFonts w:ascii="Times New Roman" w:hAnsi="Times New Roman" w:cs="Times New Roman" w:eastAsia="Times New Roman" w:hint="default"/>
                <w:sz w:val="18"/>
                <w:szCs w:val="18"/>
              </w:rPr>
            </w:pPr>
            <w:r>
              <w:rPr>
                <w:rFonts w:ascii="Times New Roman"/>
                <w:sz w:val="18"/>
              </w:rPr>
              <w:t>3.93</w:t>
            </w:r>
          </w:p>
        </w:tc>
        <w:tc>
          <w:tcPr>
            <w:tcW w:w="121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4"/>
        <w:ind w:right="882"/>
        <w:jc w:val="left"/>
        <w:rPr>
          <w:b w:val="0"/>
          <w:bCs w:val="0"/>
        </w:rPr>
      </w:pPr>
      <w:bookmarkStart w:name="（2）对联营、合营企业投资" w:id="476"/>
      <w:bookmarkEnd w:id="476"/>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316" w:lineRule="auto"/>
              <w:ind w:left="303" w:right="120" w:hanging="180"/>
              <w:jc w:val="left"/>
              <w:rPr>
                <w:rFonts w:ascii="宋体" w:hAnsi="宋体" w:cs="宋体" w:eastAsia="宋体" w:hint="default"/>
                <w:sz w:val="18"/>
                <w:szCs w:val="18"/>
              </w:rPr>
            </w:pPr>
            <w:r>
              <w:rPr>
                <w:rFonts w:ascii="宋体" w:hAnsi="宋体" w:cs="宋体" w:eastAsia="宋体" w:hint="default"/>
                <w:sz w:val="18"/>
                <w:szCs w:val="18"/>
              </w:rPr>
              <w:t>投资单 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122" w:right="123"/>
              <w:jc w:val="center"/>
              <w:rPr>
                <w:rFonts w:ascii="宋体" w:hAnsi="宋体" w:cs="宋体" w:eastAsia="宋体" w:hint="default"/>
                <w:sz w:val="18"/>
                <w:szCs w:val="18"/>
              </w:rPr>
            </w:pPr>
            <w:r>
              <w:rPr>
                <w:rFonts w:ascii="宋体" w:hAnsi="宋体" w:cs="宋体" w:eastAsia="宋体" w:hint="default"/>
                <w:sz w:val="18"/>
                <w:szCs w:val="18"/>
              </w:rPr>
              <w:t>期初余 额（账 面价 值）</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125" w:right="121"/>
              <w:jc w:val="center"/>
              <w:rPr>
                <w:rFonts w:ascii="宋体" w:hAnsi="宋体" w:cs="宋体" w:eastAsia="宋体" w:hint="default"/>
                <w:sz w:val="18"/>
                <w:szCs w:val="18"/>
              </w:rPr>
            </w:pPr>
            <w:r>
              <w:rPr>
                <w:rFonts w:ascii="宋体" w:hAnsi="宋体" w:cs="宋体" w:eastAsia="宋体" w:hint="default"/>
                <w:sz w:val="18"/>
                <w:szCs w:val="18"/>
              </w:rPr>
              <w:t>期末余 额（账 面价 值）</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338"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304" w:right="121"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303"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25" w:right="121"/>
              <w:jc w:val="both"/>
              <w:rPr>
                <w:rFonts w:ascii="宋体" w:hAnsi="宋体" w:cs="宋体" w:eastAsia="宋体" w:hint="default"/>
                <w:sz w:val="18"/>
                <w:szCs w:val="18"/>
              </w:rPr>
            </w:pPr>
            <w:r>
              <w:rPr>
                <w:rFonts w:ascii="宋体" w:hAnsi="宋体" w:cs="宋体" w:eastAsia="宋体" w:hint="default"/>
                <w:sz w:val="18"/>
                <w:szCs w:val="18"/>
              </w:rPr>
              <w:t>权益法 下确认 的投资 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25" w:right="121"/>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23" w:right="122"/>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25" w:right="121"/>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0"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北京童</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康医疗 信息技 术有限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3,506,0</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47.34</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-579,45</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7.87</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2,926,5</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89.47</w:t>
            </w:r>
          </w:p>
        </w:tc>
        <w:tc>
          <w:tcPr>
            <w:tcW w:w="798" w:type="dxa"/>
            <w:vMerge/>
            <w:tcBorders>
              <w:left w:val="single" w:sz="4" w:space="0" w:color="000000"/>
              <w:right w:val="single" w:sz="4" w:space="0" w:color="000000"/>
            </w:tcBorders>
          </w:tcPr>
          <w:p>
            <w:pPr/>
          </w:p>
        </w:tc>
      </w:tr>
      <w:tr>
        <w:trPr>
          <w:trHeight w:val="358"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浙江美</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康网新</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1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云健康</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2,606,0</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-255,59</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2,350,4</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科技股</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z w:val="18"/>
              </w:rPr>
              <w:t>47.45</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5.53</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51.92</w:t>
            </w:r>
          </w:p>
        </w:tc>
        <w:tc>
          <w:tcPr>
            <w:tcW w:w="798" w:type="dxa"/>
            <w:vMerge/>
            <w:tcBorders>
              <w:left w:val="single" w:sz="4" w:space="0" w:color="000000"/>
              <w:right w:val="single" w:sz="4" w:space="0" w:color="000000"/>
            </w:tcBorders>
          </w:tcPr>
          <w:p>
            <w:pPr/>
          </w:p>
        </w:tc>
      </w:tr>
      <w:tr>
        <w:trPr>
          <w:trHeight w:val="30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份有限</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6"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浙江创</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源环境 科技股 份有限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44,014,</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827.71</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6,029,2</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40.46</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50,044,</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068.17</w:t>
            </w:r>
          </w:p>
        </w:tc>
        <w:tc>
          <w:tcPr>
            <w:tcW w:w="798" w:type="dxa"/>
            <w:vMerge/>
            <w:tcBorders>
              <w:left w:val="single" w:sz="4" w:space="0" w:color="000000"/>
              <w:right w:val="single" w:sz="4" w:space="0" w:color="000000"/>
            </w:tcBorders>
          </w:tcPr>
          <w:p>
            <w:pPr/>
          </w:p>
        </w:tc>
      </w:tr>
      <w:tr>
        <w:trPr>
          <w:trHeight w:val="358"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浙江大</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健康产</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业股权 投资基 金（有</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49,332,</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010.64</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-753,30</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9.28</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-3,717,</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376.91</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44,861,</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324.45</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限合</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6"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伙）</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舟山创</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融投资</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31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管理合</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50,000,</w:t>
            </w:r>
          </w:p>
        </w:tc>
        <w:tc>
          <w:tcPr>
            <w:tcW w:w="797"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-49,997</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-3,455.</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伙企业</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486.82</w:t>
            </w:r>
          </w:p>
        </w:tc>
        <w:tc>
          <w:tcPr>
            <w:tcW w:w="797"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Times New Roman" w:hAnsi="Times New Roman" w:cs="Times New Roman" w:eastAsia="Times New Roman" w:hint="default"/>
                <w:sz w:val="18"/>
                <w:szCs w:val="18"/>
              </w:rPr>
            </w:pPr>
            <w:r>
              <w:rPr>
                <w:rFonts w:ascii="Times New Roman"/>
                <w:spacing w:val="-1"/>
                <w:sz w:val="18"/>
              </w:rPr>
              <w:t>,030.85</w:t>
            </w: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z w:val="18"/>
              </w:rPr>
              <w:t>97</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30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r>
      <w:tr>
        <w:trPr>
          <w:trHeight w:val="358"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杭州安</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丰创健</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创业投 资合伙 企业</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24,012,</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300.98</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-1,871,</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323.31</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22,140,</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977.67</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6"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成都米</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索信息</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719,33</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-273,13</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446,20</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技术有</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5.72</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4.93</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0.79</w:t>
            </w:r>
          </w:p>
        </w:tc>
        <w:tc>
          <w:tcPr>
            <w:tcW w:w="798" w:type="dxa"/>
            <w:vMerge/>
            <w:tcBorders>
              <w:left w:val="single" w:sz="4" w:space="0" w:color="000000"/>
              <w:right w:val="single" w:sz="4" w:space="0" w:color="000000"/>
            </w:tcBorders>
          </w:tcPr>
          <w:p>
            <w:pPr/>
          </w:p>
        </w:tc>
      </w:tr>
      <w:tr>
        <w:trPr>
          <w:trHeight w:val="351"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2"/>
              <w:ind w:left="101" w:right="114"/>
              <w:jc w:val="left"/>
              <w:rPr>
                <w:rFonts w:ascii="Times New Roman" w:hAnsi="Times New Roman" w:cs="Times New Roman" w:eastAsia="Times New Roman" w:hint="default"/>
                <w:sz w:val="18"/>
                <w:szCs w:val="18"/>
              </w:rPr>
            </w:pPr>
            <w:r>
              <w:rPr>
                <w:rFonts w:ascii="Times New Roman"/>
                <w:sz w:val="18"/>
              </w:rPr>
              <w:t>Odin Health Limited</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12,000,</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000.00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37" w:right="0"/>
              <w:jc w:val="left"/>
              <w:rPr>
                <w:rFonts w:ascii="Times New Roman" w:hAnsi="Times New Roman" w:cs="Times New Roman" w:eastAsia="Times New Roman" w:hint="default"/>
                <w:sz w:val="18"/>
                <w:szCs w:val="18"/>
              </w:rPr>
            </w:pPr>
            <w:r>
              <w:rPr>
                <w:rFonts w:ascii="Times New Roman"/>
                <w:sz w:val="18"/>
              </w:rPr>
              <w:t>-687,11</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6.86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11,312,</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883.14</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虹润风</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云（上</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629"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left"/>
              <w:rPr>
                <w:rFonts w:ascii="宋体" w:hAnsi="宋体" w:cs="宋体" w:eastAsia="宋体" w:hint="default"/>
                <w:sz w:val="18"/>
                <w:szCs w:val="18"/>
              </w:rPr>
            </w:pPr>
            <w:r>
              <w:rPr>
                <w:rFonts w:ascii="宋体" w:hAnsi="宋体" w:cs="宋体" w:eastAsia="宋体" w:hint="default"/>
                <w:sz w:val="18"/>
                <w:szCs w:val="18"/>
              </w:rPr>
              <w:t>海）医 疗管理</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43" w:right="0"/>
              <w:jc w:val="left"/>
              <w:rPr>
                <w:rFonts w:ascii="Times New Roman" w:hAnsi="Times New Roman" w:cs="Times New Roman" w:eastAsia="Times New Roman" w:hint="default"/>
                <w:sz w:val="18"/>
                <w:szCs w:val="18"/>
              </w:rPr>
            </w:pPr>
            <w:r>
              <w:rPr>
                <w:rFonts w:ascii="Times New Roman"/>
                <w:sz w:val="18"/>
              </w:rPr>
              <w:t>14,623,</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200.00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350.74</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44" w:right="0"/>
              <w:jc w:val="left"/>
              <w:rPr>
                <w:rFonts w:ascii="Times New Roman" w:hAnsi="Times New Roman" w:cs="Times New Roman" w:eastAsia="Times New Roman" w:hint="default"/>
                <w:sz w:val="18"/>
                <w:szCs w:val="18"/>
              </w:rPr>
            </w:pPr>
            <w:r>
              <w:rPr>
                <w:rFonts w:ascii="Times New Roman"/>
                <w:sz w:val="18"/>
              </w:rPr>
              <w:t>14,623,</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550.74</w:t>
            </w:r>
          </w:p>
        </w:tc>
        <w:tc>
          <w:tcPr>
            <w:tcW w:w="798" w:type="dxa"/>
            <w:vMerge/>
            <w:tcBorders>
              <w:left w:val="single" w:sz="4" w:space="0" w:color="000000"/>
              <w:right w:val="single" w:sz="4" w:space="0" w:color="000000"/>
            </w:tcBorders>
          </w:tcPr>
          <w:p>
            <w:pPr/>
          </w:p>
        </w:tc>
      </w:tr>
      <w:tr>
        <w:trPr>
          <w:trHeight w:val="30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股份有</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6"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浙江精</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锐智能</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30,000,</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30,000,</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卡有限</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000.00</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000.00</w:t>
            </w:r>
          </w:p>
        </w:tc>
        <w:tc>
          <w:tcPr>
            <w:tcW w:w="798" w:type="dxa"/>
            <w:vMerge/>
            <w:tcBorders>
              <w:left w:val="single" w:sz="4" w:space="0" w:color="000000"/>
              <w:right w:val="single" w:sz="4" w:space="0" w:color="000000"/>
            </w:tcBorders>
          </w:tcPr>
          <w:p>
            <w:pPr/>
          </w:p>
        </w:tc>
      </w:tr>
      <w:tr>
        <w:trPr>
          <w:trHeight w:val="353"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174,19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1,056.6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56,623,</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200.00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1" w:right="0"/>
              <w:jc w:val="left"/>
              <w:rPr>
                <w:rFonts w:ascii="Times New Roman" w:hAnsi="Times New Roman" w:cs="Times New Roman" w:eastAsia="Times New Roman" w:hint="default"/>
                <w:sz w:val="18"/>
                <w:szCs w:val="18"/>
              </w:rPr>
            </w:pPr>
            <w:r>
              <w:rPr>
                <w:rFonts w:ascii="Times New Roman"/>
                <w:sz w:val="18"/>
              </w:rPr>
              <w:t>-49,997</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,030.85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1,606,1</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97.45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-3,717,</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376.91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178,70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6,046.3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174,19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1,056.6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56,623,</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200.00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31" w:right="0"/>
              <w:jc w:val="left"/>
              <w:rPr>
                <w:rFonts w:ascii="Times New Roman" w:hAnsi="Times New Roman" w:cs="Times New Roman" w:eastAsia="Times New Roman" w:hint="default"/>
                <w:sz w:val="18"/>
                <w:szCs w:val="18"/>
              </w:rPr>
            </w:pPr>
            <w:r>
              <w:rPr>
                <w:rFonts w:ascii="Times New Roman"/>
                <w:sz w:val="18"/>
              </w:rPr>
              <w:t>-49,997</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,030.85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1,606,1</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97.45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-3,717,</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376.91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178,70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6,046.3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21"/>
          <w:szCs w:val="21"/>
        </w:rPr>
      </w:pPr>
    </w:p>
    <w:p>
      <w:pPr>
        <w:pStyle w:val="Heading3"/>
        <w:spacing w:line="240" w:lineRule="auto" w:before="34"/>
        <w:ind w:right="882"/>
        <w:jc w:val="left"/>
        <w:rPr>
          <w:b w:val="0"/>
          <w:bCs w:val="0"/>
        </w:rPr>
      </w:pPr>
      <w:bookmarkStart w:name="（3）其他说明" w:id="477"/>
      <w:bookmarkEnd w:id="477"/>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4、营业收入和营业成本" w:id="478"/>
      <w:bookmarkEnd w:id="478"/>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94"/>
        <w:gridCol w:w="1837"/>
        <w:gridCol w:w="1913"/>
        <w:gridCol w:w="1913"/>
        <w:gridCol w:w="1913"/>
      </w:tblGrid>
      <w:tr>
        <w:trPr>
          <w:trHeight w:val="402" w:hRule="exact"/>
        </w:trPr>
        <w:tc>
          <w:tcPr>
            <w:tcW w:w="1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1994" w:type="dxa"/>
            <w:vMerge/>
            <w:tcBorders>
              <w:left w:val="single" w:sz="4" w:space="0" w:color="000000"/>
              <w:bottom w:val="single" w:sz="4" w:space="0" w:color="000000"/>
              <w:right w:val="single" w:sz="4" w:space="0" w:color="000000"/>
            </w:tcBorders>
            <w:shd w:val="clear" w:color="auto" w:fill="D2D2D2"/>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1,036,996,954.65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509,440,252.44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794,721,939.14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400,775,339.83</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3,795,808.42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1,117,032.32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5,006,176.91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1,339,770.94</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1,040,792,763.07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510,557,284.76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799,728,116.05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2"/>
                <w:sz w:val="18"/>
              </w:rPr>
              <w:t>402,115,110.77</w:t>
            </w:r>
          </w:p>
        </w:tc>
      </w:tr>
    </w:tbl>
    <w:p>
      <w:pPr>
        <w:pStyle w:val="BodyText"/>
        <w:spacing w:line="240" w:lineRule="auto" w:before="49"/>
        <w:ind w:right="882"/>
        <w:jc w:val="left"/>
      </w:pPr>
      <w:r>
        <w:rPr/>
        <w:t>是否已执行新收入准则</w:t>
      </w:r>
    </w:p>
    <w:p>
      <w:pPr>
        <w:pStyle w:val="BodyText"/>
        <w:spacing w:line="357" w:lineRule="auto" w:before="117"/>
        <w:ind w:right="9134"/>
        <w:jc w:val="left"/>
      </w:pPr>
      <w:r>
        <w:rPr/>
        <w:t>□ 是 √ 否 其他说明：</w:t>
      </w:r>
    </w:p>
    <w:p>
      <w:pPr>
        <w:spacing w:line="240" w:lineRule="auto" w:before="3"/>
        <w:rPr>
          <w:rFonts w:ascii="宋体" w:hAnsi="宋体" w:cs="宋体" w:eastAsia="宋体" w:hint="default"/>
          <w:sz w:val="20"/>
          <w:szCs w:val="20"/>
        </w:rPr>
      </w:pPr>
    </w:p>
    <w:p>
      <w:pPr>
        <w:pStyle w:val="Heading3"/>
        <w:spacing w:line="240" w:lineRule="auto"/>
        <w:ind w:right="882"/>
        <w:jc w:val="left"/>
        <w:rPr>
          <w:b w:val="0"/>
          <w:bCs w:val="0"/>
        </w:rPr>
      </w:pPr>
      <w:bookmarkStart w:name="5、投资收益" w:id="479"/>
      <w:bookmarkEnd w:id="479"/>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w:t>
      </w:r>
      <w:r>
        <w:rPr>
          <w:spacing w:val="-2"/>
        </w:rPr>
        <w:t> </w:t>
      </w:r>
      <w:r>
        <w:rPr/>
        <w:t>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140,000,000.00</w:t>
            </w:r>
          </w:p>
        </w:tc>
      </w:tr>
      <w:tr>
        <w:trPr>
          <w:trHeight w:val="400"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00" w:right="0"/>
              <w:jc w:val="left"/>
              <w:rPr>
                <w:rFonts w:ascii="Times New Roman" w:hAnsi="Times New Roman" w:cs="Times New Roman" w:eastAsia="Times New Roman" w:hint="default"/>
                <w:sz w:val="18"/>
                <w:szCs w:val="18"/>
              </w:rPr>
            </w:pPr>
            <w:r>
              <w:rPr>
                <w:rFonts w:ascii="Times New Roman"/>
                <w:sz w:val="18"/>
              </w:rPr>
              <w:t>1,606,197.45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6,022,054.97</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2,969.15</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 益</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1,448,301.37</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金融工具持有期间的投资收益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1,485,248.27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处置金融工具取得的投资收益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42,964,407.13</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46,058,822.00</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147,470,356.34</w:t>
            </w:r>
          </w:p>
        </w:tc>
      </w:tr>
    </w:tbl>
    <w:p>
      <w:pPr>
        <w:spacing w:line="240" w:lineRule="auto" w:before="4"/>
        <w:rPr>
          <w:rFonts w:ascii="宋体" w:hAnsi="宋体" w:cs="宋体" w:eastAsia="宋体" w:hint="default"/>
          <w:sz w:val="19"/>
          <w:szCs w:val="19"/>
        </w:rPr>
      </w:pPr>
    </w:p>
    <w:p>
      <w:pPr>
        <w:pStyle w:val="Heading3"/>
        <w:spacing w:line="240" w:lineRule="auto" w:before="34"/>
        <w:ind w:right="882"/>
        <w:jc w:val="left"/>
        <w:rPr>
          <w:b w:val="0"/>
          <w:bCs w:val="0"/>
        </w:rPr>
      </w:pPr>
      <w:bookmarkStart w:name="6、其他" w:id="480"/>
      <w:bookmarkEnd w:id="480"/>
      <w:r>
        <w:rPr>
          <w:b w:val="0"/>
          <w:bCs w:val="0"/>
        </w:rPr>
      </w:r>
      <w:r>
        <w:rPr>
          <w:rFonts w:ascii="Times New Roman" w:hAnsi="Times New Roman" w:cs="Times New Roman" w:eastAsia="Times New Roman" w:hint="default"/>
        </w:rPr>
        <w:t>6</w:t>
      </w:r>
      <w:r>
        <w:rPr/>
        <w:t>、其他</w:t>
      </w:r>
      <w:r>
        <w:rPr>
          <w:b w:val="0"/>
          <w:bCs w:val="0"/>
        </w:rPr>
      </w:r>
    </w:p>
    <w:p>
      <w:pPr>
        <w:spacing w:line="240" w:lineRule="auto" w:before="10"/>
        <w:rPr>
          <w:rFonts w:ascii="宋体" w:hAnsi="宋体" w:cs="宋体" w:eastAsia="宋体" w:hint="default"/>
          <w:b/>
          <w:bCs/>
          <w:sz w:val="22"/>
          <w:szCs w:val="22"/>
        </w:rPr>
      </w:pPr>
    </w:p>
    <w:p>
      <w:pPr>
        <w:pStyle w:val="Heading2"/>
        <w:spacing w:line="240" w:lineRule="auto"/>
        <w:ind w:right="882"/>
        <w:jc w:val="left"/>
        <w:rPr>
          <w:b w:val="0"/>
          <w:bCs w:val="0"/>
        </w:rPr>
      </w:pPr>
      <w:bookmarkStart w:name="十八、补充资料" w:id="481"/>
      <w:bookmarkEnd w:id="481"/>
      <w:r>
        <w:rPr>
          <w:b w:val="0"/>
          <w:bCs w:val="0"/>
        </w:rPr>
      </w:r>
      <w:r>
        <w:rPr/>
        <w:t>十八、补充资料</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882"/>
        <w:jc w:val="left"/>
        <w:rPr>
          <w:b w:val="0"/>
          <w:bCs w:val="0"/>
        </w:rPr>
      </w:pPr>
      <w:bookmarkStart w:name="1、当期非经常性损益明细表" w:id="482"/>
      <w:bookmarkEnd w:id="482"/>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882"/>
        <w:jc w:val="left"/>
      </w:pPr>
      <w:r>
        <w:rPr/>
        <w:t>√ 适用 □ 不适用</w:t>
      </w:r>
    </w:p>
    <w:p>
      <w:pPr>
        <w:pStyle w:val="BodyText"/>
        <w:spacing w:line="240" w:lineRule="auto" w:before="115"/>
        <w:ind w:left="0" w:right="1132"/>
        <w:jc w:val="right"/>
      </w:pPr>
      <w:r>
        <w:rPr/>
        <w:t>单位：</w:t>
      </w:r>
      <w:r>
        <w:rPr>
          <w:spacing w:val="-2"/>
        </w:rPr>
        <w:t> </w:t>
      </w:r>
      <w:r>
        <w:rPr/>
        <w:t>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-68,401.36</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0"/>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 量享受的政府补助除外）</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15,096,280.47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50"/>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 的投资成本小于取得投资时应享有被投 资单位可辨认净资产公允价值产生的收 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2,156,752.15</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0"/>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 保值业务外，持有交易性金融资产、衍 生金融资产、交易性金融负债、衍生金 融负债产生的公允价值变动损益，以及 处置交易性金融资产、衍生金融资产、 交易性金融负债、衍生金融负债和其他 债权投资取得的投资收益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43,426,623.23</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5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-264,306.63</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6,222,255.83</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741,297.17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53,383,394.86</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882"/>
        <w:jc w:val="left"/>
      </w:pPr>
      <w:r>
        <w:rPr>
          <w:spacing w:val="-3"/>
        </w:rPr>
        <w:t>对公司根据《公开发行证券的公司信息披露解释性公告第</w:t>
      </w:r>
      <w:r>
        <w:rPr>
          <w:spacing w:val="-38"/>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号——非经常性损益》定义界定的非经常性损益项目，以及把《公</w:t>
      </w:r>
    </w:p>
    <w:p>
      <w:pPr>
        <w:pStyle w:val="BodyText"/>
        <w:spacing w:line="300" w:lineRule="auto" w:before="63"/>
        <w:ind w:right="1120"/>
        <w:jc w:val="left"/>
      </w:pPr>
      <w:r>
        <w:rPr/>
        <w:t>开发行证券的公司信息披露解释性公告第</w:t>
      </w:r>
      <w:r>
        <w:rPr>
          <w:spacing w:val="-35"/>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号——非经常性损益》中列举的非经常性损益项目界定为经常性损益的项目，应</w:t>
      </w:r>
      <w:r>
        <w:rPr>
          <w:spacing w:val="-88"/>
        </w:rPr>
        <w:t> </w:t>
      </w:r>
      <w:r>
        <w:rPr>
          <w:spacing w:val="-88"/>
        </w:rPr>
      </w:r>
      <w:r>
        <w:rPr/>
        <w:t>说明原因。</w:t>
      </w:r>
    </w:p>
    <w:p>
      <w:pPr>
        <w:pStyle w:val="BodyText"/>
        <w:spacing w:line="240" w:lineRule="auto" w:before="72"/>
        <w:ind w:right="882"/>
        <w:jc w:val="left"/>
      </w:pPr>
      <w:r>
        <w:rPr/>
        <w:t>□ 适用 √ 不适用</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882"/>
        <w:jc w:val="left"/>
        <w:rPr>
          <w:b w:val="0"/>
          <w:bCs w:val="0"/>
        </w:rPr>
      </w:pPr>
      <w:bookmarkStart w:name="2、净资产收益率及每股收益" w:id="483"/>
      <w:bookmarkEnd w:id="483"/>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849"/>
        <w:gridCol w:w="2893"/>
        <w:gridCol w:w="1913"/>
        <w:gridCol w:w="1913"/>
      </w:tblGrid>
      <w:tr>
        <w:trPr>
          <w:trHeight w:val="402" w:hRule="exact"/>
        </w:trPr>
        <w:tc>
          <w:tcPr>
            <w:tcW w:w="28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28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540"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402" w:hRule="exact"/>
        </w:trPr>
        <w:tc>
          <w:tcPr>
            <w:tcW w:w="2849" w:type="dxa"/>
            <w:vMerge/>
            <w:tcBorders>
              <w:left w:val="single" w:sz="4" w:space="0" w:color="000000"/>
              <w:bottom w:val="single" w:sz="4" w:space="0" w:color="000000"/>
              <w:right w:val="single" w:sz="4" w:space="0" w:color="000000"/>
            </w:tcBorders>
            <w:shd w:val="clear" w:color="auto" w:fill="D2D2D2"/>
          </w:tcPr>
          <w:p>
            <w:pPr/>
          </w:p>
        </w:tc>
        <w:tc>
          <w:tcPr>
            <w:tcW w:w="2893" w:type="dxa"/>
            <w:vMerge/>
            <w:tcBorders>
              <w:left w:val="single" w:sz="4" w:space="0" w:color="000000"/>
              <w:bottom w:val="single" w:sz="4" w:space="0" w:color="000000"/>
              <w:right w:val="single" w:sz="4" w:space="0" w:color="000000"/>
            </w:tcBorders>
            <w:shd w:val="clear" w:color="auto" w:fill="D2D2D2"/>
          </w:tcPr>
          <w:p>
            <w:pP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0"/>
              <w:jc w:val="right"/>
              <w:rPr>
                <w:rFonts w:ascii="宋体" w:hAnsi="宋体" w:cs="宋体" w:eastAsia="宋体" w:hint="default"/>
                <w:sz w:val="18"/>
                <w:szCs w:val="18"/>
              </w:rPr>
            </w:pPr>
            <w:r>
              <w:rPr>
                <w:rFonts w:ascii="宋体" w:hAnsi="宋体" w:cs="宋体" w:eastAsia="宋体" w:hint="default"/>
                <w:spacing w:val="-6"/>
                <w:sz w:val="18"/>
                <w:szCs w:val="18"/>
              </w:rPr>
              <w:t>基本每股收益（元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pacing w:val="-6"/>
                <w:sz w:val="18"/>
                <w:szCs w:val="18"/>
              </w:rPr>
              <w:t>稀释每股收益（元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r>
      <w:tr>
        <w:trPr>
          <w:trHeight w:val="402" w:hRule="exact"/>
        </w:trPr>
        <w:tc>
          <w:tcPr>
            <w:tcW w:w="28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2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12.79%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0.43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0.43</w:t>
            </w:r>
          </w:p>
        </w:tc>
      </w:tr>
      <w:tr>
        <w:trPr>
          <w:trHeight w:val="714" w:hRule="exact"/>
        </w:trPr>
        <w:tc>
          <w:tcPr>
            <w:tcW w:w="28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15"/>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2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10.61%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0.36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0.36</w:t>
            </w:r>
          </w:p>
        </w:tc>
      </w:tr>
    </w:tbl>
    <w:p>
      <w:pPr>
        <w:spacing w:line="240" w:lineRule="auto" w:before="5"/>
        <w:rPr>
          <w:rFonts w:ascii="宋体" w:hAnsi="宋体" w:cs="宋体" w:eastAsia="宋体" w:hint="default"/>
          <w:b/>
          <w:bCs/>
          <w:sz w:val="19"/>
          <w:szCs w:val="19"/>
        </w:rPr>
      </w:pPr>
    </w:p>
    <w:p>
      <w:pPr>
        <w:pStyle w:val="Heading3"/>
        <w:spacing w:line="240" w:lineRule="auto" w:before="34"/>
        <w:ind w:right="882"/>
        <w:jc w:val="left"/>
        <w:rPr>
          <w:b w:val="0"/>
          <w:bCs w:val="0"/>
        </w:rPr>
      </w:pPr>
      <w:bookmarkStart w:name="3、境内外会计准则下会计数据差异" w:id="484"/>
      <w:bookmarkEnd w:id="484"/>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882"/>
        <w:jc w:val="left"/>
        <w:rPr>
          <w:b w:val="0"/>
          <w:bCs w:val="0"/>
        </w:rPr>
      </w:pPr>
      <w:bookmarkStart w:name="（1）同时按照国际会计准则与按中国会计准则披露的财务报告中净利润和净资产差异情况" w:id="485"/>
      <w:bookmarkEnd w:id="485"/>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0"/>
        <w:rPr>
          <w:rFonts w:ascii="宋体" w:hAnsi="宋体" w:cs="宋体" w:eastAsia="宋体" w:hint="default"/>
          <w:sz w:val="18"/>
          <w:szCs w:val="18"/>
        </w:rPr>
      </w:pPr>
    </w:p>
    <w:p>
      <w:pPr>
        <w:pStyle w:val="Heading3"/>
        <w:spacing w:line="240" w:lineRule="auto" w:before="118"/>
        <w:ind w:right="882"/>
        <w:jc w:val="left"/>
        <w:rPr>
          <w:b w:val="0"/>
          <w:bCs w:val="0"/>
        </w:rPr>
      </w:pPr>
      <w:bookmarkStart w:name="（2）同时按照境外会计准则与按中国会计准则披露的财务报告中净利润和净资产差异情况" w:id="486"/>
      <w:bookmarkEnd w:id="486"/>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882"/>
        <w:jc w:val="left"/>
      </w:pPr>
      <w:r>
        <w:rPr/>
        <w:t>□ 适用 √ 不适用</w:t>
      </w:r>
    </w:p>
    <w:p>
      <w:pPr>
        <w:spacing w:line="240" w:lineRule="auto" w:before="11"/>
        <w:rPr>
          <w:rFonts w:ascii="宋体" w:hAnsi="宋体" w:cs="宋体" w:eastAsia="宋体" w:hint="default"/>
          <w:sz w:val="26"/>
          <w:szCs w:val="26"/>
        </w:rPr>
      </w:pPr>
    </w:p>
    <w:p>
      <w:pPr>
        <w:pStyle w:val="Heading3"/>
        <w:spacing w:line="259" w:lineRule="auto"/>
        <w:ind w:right="882"/>
        <w:jc w:val="left"/>
        <w:rPr>
          <w:b w:val="0"/>
          <w:bCs w:val="0"/>
        </w:rPr>
      </w:pPr>
      <w:bookmarkStart w:name="（3）境内外会计准则下会计数据差异原因说明，对已经境外审计机构审计的数据进行差异" w:id="487"/>
      <w:bookmarkEnd w:id="487"/>
      <w:r>
        <w:rPr>
          <w:b w:val="0"/>
          <w:bCs w:val="0"/>
        </w:rPr>
      </w:r>
      <w:r>
        <w:rPr>
          <w:spacing w:val="3"/>
          <w:w w:val="95"/>
        </w:rPr>
        <w:t>（</w:t>
      </w:r>
      <w:r>
        <w:rPr>
          <w:rFonts w:ascii="Times New Roman" w:hAnsi="Times New Roman" w:cs="Times New Roman" w:eastAsia="Times New Roman" w:hint="default"/>
          <w:spacing w:val="3"/>
          <w:w w:val="95"/>
        </w:rPr>
        <w:t>3</w:t>
      </w:r>
      <w:r>
        <w:rPr>
          <w:spacing w:val="3"/>
          <w:w w:val="95"/>
        </w:rPr>
        <w:t>）境内外会计准则下会计数据差异原因说明，对已经境外审计机构审计的数据进行差异调节的，应注</w:t>
      </w:r>
      <w:r>
        <w:rPr>
          <w:spacing w:val="93"/>
          <w:w w:val="95"/>
        </w:rPr>
        <w:t> </w:t>
      </w:r>
      <w:r>
        <w:rPr>
          <w:spacing w:val="93"/>
          <w:w w:val="95"/>
        </w:rPr>
      </w:r>
      <w:r>
        <w:rPr/>
        <w:t>明该境外机构的名称</w:t>
      </w:r>
      <w:r>
        <w:rPr>
          <w:b w:val="0"/>
          <w:bCs w:val="0"/>
        </w:rPr>
      </w:r>
    </w:p>
    <w:p>
      <w:pPr>
        <w:spacing w:line="240" w:lineRule="auto" w:before="6"/>
        <w:rPr>
          <w:rFonts w:ascii="宋体" w:hAnsi="宋体" w:cs="宋体" w:eastAsia="宋体" w:hint="default"/>
          <w:b/>
          <w:bCs/>
          <w:sz w:val="24"/>
          <w:szCs w:val="24"/>
        </w:rPr>
      </w:pPr>
    </w:p>
    <w:p>
      <w:pPr>
        <w:pStyle w:val="Heading3"/>
        <w:spacing w:line="240" w:lineRule="auto"/>
        <w:ind w:right="882"/>
        <w:jc w:val="left"/>
        <w:rPr>
          <w:b w:val="0"/>
          <w:bCs w:val="0"/>
        </w:rPr>
      </w:pPr>
      <w:bookmarkStart w:name="4、其他" w:id="488"/>
      <w:bookmarkEnd w:id="488"/>
      <w:r>
        <w:rPr>
          <w:b w:val="0"/>
          <w:bCs w:val="0"/>
        </w:rPr>
      </w:r>
      <w:r>
        <w:rPr>
          <w:rFonts w:ascii="Times New Roman" w:hAnsi="Times New Roman" w:cs="Times New Roman" w:eastAsia="Times New Roman" w:hint="default"/>
        </w:rPr>
        <w:t>4</w:t>
      </w:r>
      <w:r>
        <w:rPr/>
        <w:t>、其他</w:t>
      </w:r>
      <w:r>
        <w:rPr>
          <w:b w:val="0"/>
          <w:bCs w:val="0"/>
        </w:rPr>
      </w:r>
    </w:p>
    <w:p>
      <w:pPr>
        <w:spacing w:after="0" w:line="240" w:lineRule="auto"/>
        <w:jc w:val="left"/>
        <w:sectPr>
          <w:footerReference w:type="default" r:id="rId52"/>
          <w:pgSz w:w="11910" w:h="16840"/>
          <w:pgMar w:footer="1016" w:header="907" w:top="1100" w:bottom="1200" w:left="1020" w:right="0"/>
          <w:pgNumType w:start="21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pStyle w:val="Heading1"/>
        <w:spacing w:line="240" w:lineRule="auto"/>
        <w:ind w:left="3328" w:right="882"/>
        <w:jc w:val="left"/>
        <w:rPr>
          <w:b w:val="0"/>
          <w:bCs w:val="0"/>
        </w:rPr>
      </w:pPr>
      <w:bookmarkStart w:name="第十三节备查文件目录" w:id="489"/>
      <w:bookmarkEnd w:id="489"/>
      <w:r>
        <w:rPr>
          <w:b w:val="0"/>
          <w:bCs w:val="0"/>
        </w:rPr>
      </w:r>
      <w:r>
        <w:rPr/>
        <w:t>第十三节备查文件目录</w:t>
      </w:r>
      <w:r>
        <w:rPr>
          <w:b w:val="0"/>
          <w:bCs w:val="0"/>
        </w:rPr>
      </w:r>
    </w:p>
    <w:p>
      <w:pPr>
        <w:spacing w:line="240" w:lineRule="auto" w:before="6"/>
        <w:rPr>
          <w:rFonts w:ascii="宋体" w:hAnsi="宋体" w:cs="宋体" w:eastAsia="宋体" w:hint="default"/>
          <w:b/>
          <w:bCs/>
          <w:sz w:val="42"/>
          <w:szCs w:val="42"/>
        </w:rPr>
      </w:pPr>
    </w:p>
    <w:p>
      <w:pPr>
        <w:pStyle w:val="BodyText"/>
        <w:spacing w:line="240" w:lineRule="auto"/>
        <w:ind w:right="882"/>
        <w:jc w:val="left"/>
      </w:pPr>
      <w:r>
        <w:rPr/>
        <w:t>公司</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年度报告的备查文件包括：</w:t>
      </w:r>
    </w:p>
    <w:p>
      <w:pPr>
        <w:pStyle w:val="BodyText"/>
        <w:spacing w:line="240" w:lineRule="auto" w:before="101"/>
        <w:ind w:right="882"/>
        <w:jc w:val="left"/>
      </w:pPr>
      <w:r>
        <w:rPr>
          <w:rFonts w:ascii="Times New Roman" w:hAnsi="Times New Roman" w:cs="Times New Roman" w:eastAsia="Times New Roman" w:hint="default"/>
        </w:rPr>
        <w:t>1</w:t>
      </w:r>
      <w:r>
        <w:rPr/>
        <w:t>、载有公司法定代表人签名的</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年度报告全文的原件；</w:t>
      </w:r>
    </w:p>
    <w:p>
      <w:pPr>
        <w:pStyle w:val="BodyText"/>
        <w:spacing w:line="240" w:lineRule="auto" w:before="103"/>
        <w:ind w:right="882"/>
        <w:jc w:val="left"/>
      </w:pPr>
      <w:r>
        <w:rPr>
          <w:rFonts w:ascii="Times New Roman" w:hAnsi="Times New Roman" w:cs="Times New Roman" w:eastAsia="Times New Roman" w:hint="default"/>
        </w:rPr>
        <w:t>2</w:t>
      </w:r>
      <w:r>
        <w:rPr/>
        <w:t>、载有公司负责人、主管会计工作负责人、会计机构负责人签名并盖章的财务报表；</w:t>
      </w:r>
    </w:p>
    <w:p>
      <w:pPr>
        <w:pStyle w:val="BodyText"/>
        <w:spacing w:line="240" w:lineRule="auto" w:before="103"/>
        <w:ind w:right="882"/>
        <w:jc w:val="left"/>
      </w:pPr>
      <w:r>
        <w:rPr>
          <w:rFonts w:ascii="Times New Roman" w:hAnsi="Times New Roman" w:cs="Times New Roman" w:eastAsia="Times New Roman" w:hint="default"/>
        </w:rPr>
        <w:t>3</w:t>
      </w:r>
      <w:r>
        <w:rPr/>
        <w:t>、报告期内在中国证监会指定网站上公开披露过的所有文件的正本及公告原稿；</w:t>
      </w:r>
    </w:p>
    <w:p>
      <w:pPr>
        <w:pStyle w:val="BodyText"/>
        <w:spacing w:line="240" w:lineRule="auto" w:before="101"/>
        <w:ind w:right="882"/>
        <w:jc w:val="left"/>
      </w:pPr>
      <w:r>
        <w:rPr>
          <w:rFonts w:ascii="Times New Roman" w:hAnsi="Times New Roman" w:cs="Times New Roman" w:eastAsia="Times New Roman" w:hint="default"/>
        </w:rPr>
        <w:t>4</w:t>
      </w:r>
      <w:r>
        <w:rPr/>
        <w:t>、其他备查文件。</w:t>
      </w:r>
    </w:p>
    <w:sectPr>
      <w:pgSz w:w="11910" w:h="16840"/>
      <w:pgMar w:header="907" w:footer="1016" w:top="1100" w:bottom="1200" w:left="10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6256" type="#_x0000_t75" stroked="false">
          <v:imagedata r:id="rId1" o:title=""/>
        </v:shape>
      </w:pict>
    </w:r>
    <w:r>
      <w:rPr/>
      <w:pict>
        <v:shape style="position:absolute;margin-left:55.639999pt;margin-top:793.647949pt;width:6.5pt;height:11pt;mso-position-horizontal-relative:page;mso-position-vertical-relative:page;z-index:-1146232"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800" type="#_x0000_t75" stroked="false">
          <v:imagedata r:id="rId1" o:title=""/>
        </v:shape>
      </w:pict>
    </w:r>
    <w:r>
      <w:rPr/>
      <w:pict>
        <v:shape style="position:absolute;margin-left:54.639999pt;margin-top:780.087952pt;width:13.1pt;height:11pt;mso-position-horizontal-relative:page;mso-position-vertical-relative:page;z-index:-114577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80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728" type="#_x0000_t75" stroked="false">
          <v:imagedata r:id="rId1" o:title=""/>
        </v:shape>
      </w:pict>
    </w:r>
    <w:r>
      <w:rPr/>
      <w:pict>
        <v:shape style="position:absolute;margin-left:54.639999pt;margin-top:780.087952pt;width:13.1pt;height:11pt;mso-position-horizontal-relative:page;mso-position-vertical-relative:page;z-index:-114570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90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680" type="#_x0000_t75" stroked="false">
          <v:imagedata r:id="rId1" o:title=""/>
        </v:shape>
      </w:pict>
    </w:r>
    <w:r>
      <w:rPr/>
      <w:pict>
        <v:shape style="position:absolute;margin-left:54.639999pt;margin-top:780.087952pt;width:17.5pt;height:11pt;mso-position-horizontal-relative:page;mso-position-vertical-relative:page;z-index:-114565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632" type="#_x0000_t75" stroked="false">
          <v:imagedata r:id="rId1" o:title=""/>
        </v:shape>
      </w:pict>
    </w:r>
    <w:r>
      <w:rPr/>
      <w:pict>
        <v:shape style="position:absolute;margin-left:54.639999pt;margin-top:780.087952pt;width:17.3pt;height:11pt;mso-position-horizontal-relative:page;mso-position-vertical-relative:page;z-index:-114560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110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560" type="#_x0000_t75" stroked="false">
          <v:imagedata r:id="rId1" o:title=""/>
        </v:shape>
      </w:pict>
    </w:r>
    <w:r>
      <w:rPr/>
      <w:pict>
        <v:shape style="position:absolute;margin-left:54.639999pt;margin-top:780.087952pt;width:17.5pt;height:11pt;mso-position-horizontal-relative:page;mso-position-vertical-relative:page;z-index:-114553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512" type="#_x0000_t75" stroked="false">
          <v:imagedata r:id="rId1" o:title=""/>
        </v:shape>
      </w:pict>
    </w:r>
    <w:r>
      <w:rPr/>
      <w:pict>
        <v:shape style="position:absolute;margin-left:54.639999pt;margin-top:780.087952pt;width:17.5pt;height:11pt;mso-position-horizontal-relative:page;mso-position-vertical-relative:page;z-index:-114548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130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464" type="#_x0000_t75" stroked="false">
          <v:imagedata r:id="rId1" o:title=""/>
        </v:shape>
      </w:pict>
    </w:r>
    <w:r>
      <w:rPr/>
      <w:pict>
        <v:shape style="position:absolute;margin-left:54.639999pt;margin-top:780.087952pt;width:17.5pt;height:11pt;mso-position-horizontal-relative:page;mso-position-vertical-relative:page;z-index:-114544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140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416" type="#_x0000_t75" stroked="false">
          <v:imagedata r:id="rId1" o:title=""/>
        </v:shape>
      </w:pict>
    </w:r>
    <w:r>
      <w:rPr/>
      <w:pict>
        <v:shape style="position:absolute;margin-left:54.639999pt;margin-top:780.087952pt;width:17.5pt;height:11pt;mso-position-horizontal-relative:page;mso-position-vertical-relative:page;z-index:-114539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150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368" type="#_x0000_t75" stroked="false">
          <v:imagedata r:id="rId1" o:title=""/>
        </v:shape>
      </w:pict>
    </w:r>
    <w:r>
      <w:rPr/>
      <w:pict>
        <v:shape style="position:absolute;margin-left:54.639999pt;margin-top:780.087952pt;width:17.5pt;height:11pt;mso-position-horizontal-relative:page;mso-position-vertical-relative:page;z-index:-114534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160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320" type="#_x0000_t75" stroked="false">
          <v:imagedata r:id="rId1" o:title=""/>
        </v:shape>
      </w:pict>
    </w:r>
    <w:r>
      <w:rPr/>
      <w:pict>
        <v:shape style="position:absolute;margin-left:54.639999pt;margin-top:780.087952pt;width:17.5pt;height:11pt;mso-position-horizontal-relative:page;mso-position-vertical-relative:page;z-index:-114529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170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6208" type="#_x0000_t75" stroked="false">
          <v:imagedata r:id="rId1" o:title=""/>
        </v:shape>
      </w:pict>
    </w:r>
    <w:r>
      <w:rPr/>
      <w:pict>
        <v:shape style="position:absolute;margin-left:54.639999pt;margin-top:780.087952pt;width:8.5pt;height:11pt;mso-position-horizontal-relative:page;mso-position-vertical-relative:page;z-index:-114618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272" type="#_x0000_t75" stroked="false">
          <v:imagedata r:id="rId1" o:title=""/>
        </v:shape>
      </w:pict>
    </w:r>
    <w:r>
      <w:rPr/>
      <w:pict>
        <v:shape style="position:absolute;margin-left:54.639999pt;margin-top:780.087952pt;width:17.5pt;height:11pt;mso-position-horizontal-relative:page;mso-position-vertical-relative:page;z-index:-114524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180</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224" type="#_x0000_t75" stroked="false">
          <v:imagedata r:id="rId1" o:title=""/>
        </v:shape>
      </w:pict>
    </w:r>
    <w:r>
      <w:rPr/>
      <w:pict>
        <v:shape style="position:absolute;margin-left:54.639999pt;margin-top:780.087952pt;width:17.5pt;height:11pt;mso-position-horizontal-relative:page;mso-position-vertical-relative:page;z-index:-114520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190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176" type="#_x0000_t75" stroked="false">
          <v:imagedata r:id="rId1" o:title=""/>
        </v:shape>
      </w:pict>
    </w:r>
    <w:r>
      <w:rPr/>
      <w:pict>
        <v:shape style="position:absolute;margin-left:54.639999pt;margin-top:780.087952pt;width:17.5pt;height:11pt;mso-position-horizontal-relative:page;mso-position-vertical-relative:page;z-index:-114515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200</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128" type="#_x0000_t75" stroked="false">
          <v:imagedata r:id="rId1" o:title=""/>
        </v:shape>
      </w:pict>
    </w:r>
    <w:r>
      <w:rPr/>
      <w:pict>
        <v:shape style="position:absolute;margin-left:54.639999pt;margin-top:780.087952pt;width:17.5pt;height:11pt;mso-position-horizontal-relative:page;mso-position-vertical-relative:page;z-index:-114510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6136" type="#_x0000_t75" stroked="false">
          <v:imagedata r:id="rId1" o:title=""/>
        </v:shape>
      </w:pict>
    </w:r>
    <w:r>
      <w:rPr/>
      <w:pict>
        <v:shape style="position:absolute;margin-left:54.639999pt;margin-top:780.087952pt;width:13.1pt;height:11pt;mso-position-horizontal-relative:page;mso-position-vertical-relative:page;z-index:-114611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6088" type="#_x0000_t75" stroked="false">
          <v:imagedata r:id="rId1" o:title=""/>
        </v:shape>
      </w:pict>
    </w:r>
    <w:r>
      <w:rPr/>
      <w:pict>
        <v:shape style="position:absolute;margin-left:54.639999pt;margin-top:780.087952pt;width:13.1pt;height:11pt;mso-position-horizontal-relative:page;mso-position-vertical-relative:page;z-index:-114606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6040" type="#_x0000_t75" stroked="false">
          <v:imagedata r:id="rId1" o:title=""/>
        </v:shape>
      </w:pict>
    </w:r>
    <w:r>
      <w:rPr/>
      <w:pict>
        <v:shape style="position:absolute;margin-left:54.639999pt;margin-top:780.087952pt;width:13.1pt;height:11pt;mso-position-horizontal-relative:page;mso-position-vertical-relative:page;z-index:-114601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30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992" type="#_x0000_t75" stroked="false">
          <v:imagedata r:id="rId1" o:title=""/>
        </v:shape>
      </w:pict>
    </w:r>
    <w:r>
      <w:rPr/>
      <w:pict>
        <v:shape style="position:absolute;margin-left:54.639999pt;margin-top:780.087952pt;width:13.1pt;height:11pt;mso-position-horizontal-relative:page;mso-position-vertical-relative:page;z-index:-114596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40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944" type="#_x0000_t75" stroked="false">
          <v:imagedata r:id="rId1" o:title=""/>
        </v:shape>
      </w:pict>
    </w:r>
    <w:r>
      <w:rPr/>
      <w:pict>
        <v:shape style="position:absolute;margin-left:54.639999pt;margin-top:780.087952pt;width:13.1pt;height:11pt;mso-position-horizontal-relative:page;mso-position-vertical-relative:page;z-index:-114592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50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896" type="#_x0000_t75" stroked="false">
          <v:imagedata r:id="rId1" o:title=""/>
        </v:shape>
      </w:pict>
    </w:r>
    <w:r>
      <w:rPr/>
      <w:pict>
        <v:shape style="position:absolute;margin-left:54.639999pt;margin-top:780.087952pt;width:13.1pt;height:11pt;mso-position-horizontal-relative:page;mso-position-vertical-relative:page;z-index:-114587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60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145848" type="#_x0000_t75" stroked="false">
          <v:imagedata r:id="rId1" o:title=""/>
        </v:shape>
      </w:pict>
    </w:r>
    <w:r>
      <w:rPr/>
      <w:pict>
        <v:shape style="position:absolute;margin-left:54.639999pt;margin-top:780.087952pt;width:13.1pt;height:11pt;mso-position-horizontal-relative:page;mso-position-vertical-relative:page;z-index:-114582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70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55.639999pt;margin-top:38.355648pt;width:195.6pt;height:11.5pt;mso-position-horizontal-relative:page;mso-position-vertical-relative:page;z-index:-1146280" type="#_x0000_t202" filled="false" stroked="false">
          <v:textbox inset="0,0,0,0">
            <w:txbxContent>
              <w:p>
                <w:pPr>
                  <w:pStyle w:val="BodyText"/>
                  <w:spacing w:line="214" w:lineRule="exact"/>
                  <w:ind w:left="20" w:right="0"/>
                  <w:jc w:val="left"/>
                </w:pPr>
                <w:r>
                  <w:rPr/>
                  <w:t>创业慧康科技股份有限公司</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4.95565pt;width:195.6pt;height:11.4pt;mso-position-horizontal-relative:page;mso-position-vertical-relative:page;z-index:-1146160" type="#_x0000_t202" filled="false" stroked="false">
          <v:textbox inset="0,0,0,0">
            <w:txbxContent>
              <w:p>
                <w:pPr>
                  <w:pStyle w:val="BodyText"/>
                  <w:spacing w:line="214" w:lineRule="exact"/>
                  <w:ind w:left="20" w:right="0"/>
                  <w:jc w:val="left"/>
                </w:pPr>
                <w:r>
                  <w:rPr/>
                  <w:t>创业慧康科技股份有限公司</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4.95565pt;width:195.6pt;height:11.4pt;mso-position-horizontal-relative:page;mso-position-vertical-relative:page;z-index:-1145752" type="#_x0000_t202" filled="false" stroked="false">
          <v:textbox inset="0,0,0,0">
            <w:txbxContent>
              <w:p>
                <w:pPr>
                  <w:pStyle w:val="BodyText"/>
                  <w:spacing w:line="214" w:lineRule="exact"/>
                  <w:ind w:left="20" w:right="0"/>
                  <w:jc w:val="left"/>
                </w:pPr>
                <w:r>
                  <w:rPr/>
                  <w:t>创业慧康科技股份有限公司</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4.95565pt;width:195.6pt;height:11.4pt;mso-position-horizontal-relative:page;mso-position-vertical-relative:page;z-index:-1145584" type="#_x0000_t202" filled="false" stroked="false">
          <v:textbox inset="0,0,0,0">
            <w:txbxContent>
              <w:p>
                <w:pPr>
                  <w:pStyle w:val="BodyText"/>
                  <w:spacing w:line="214" w:lineRule="exact"/>
                  <w:ind w:left="20" w:right="0"/>
                  <w:jc w:val="left"/>
                </w:pPr>
                <w:r>
                  <w:rPr/>
                  <w:t>创业慧康科技股份有限公司</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12"/>
    </w:pPr>
    <w:rPr>
      <w:rFonts w:ascii="宋体" w:hAnsi="宋体" w:eastAsia="宋体"/>
      <w:b/>
      <w:bCs/>
      <w:sz w:val="24"/>
      <w:szCs w:val="24"/>
    </w:rPr>
  </w:style>
  <w:style w:styleId="BodyText" w:type="paragraph">
    <w:name w:val="Body Text"/>
    <w:basedOn w:val="Normal"/>
    <w:uiPriority w:val="1"/>
    <w:qFormat/>
    <w:pPr>
      <w:ind w:left="112"/>
    </w:pPr>
    <w:rPr>
      <w:rFonts w:ascii="宋体" w:hAnsi="宋体" w:eastAsia="宋体"/>
      <w:sz w:val="18"/>
      <w:szCs w:val="18"/>
    </w:rPr>
  </w:style>
  <w:style w:styleId="Heading1" w:type="paragraph">
    <w:name w:val="Heading 1"/>
    <w:basedOn w:val="Normal"/>
    <w:uiPriority w:val="1"/>
    <w:qFormat/>
    <w:pPr>
      <w:ind w:left="2762"/>
      <w:outlineLvl w:val="1"/>
    </w:pPr>
    <w:rPr>
      <w:rFonts w:ascii="宋体" w:hAnsi="宋体" w:eastAsia="宋体"/>
      <w:b/>
      <w:bCs/>
      <w:sz w:val="32"/>
      <w:szCs w:val="32"/>
    </w:rPr>
  </w:style>
  <w:style w:styleId="Heading2" w:type="paragraph">
    <w:name w:val="Heading 2"/>
    <w:basedOn w:val="Normal"/>
    <w:uiPriority w:val="1"/>
    <w:qFormat/>
    <w:pPr>
      <w:ind w:left="112"/>
      <w:outlineLvl w:val="2"/>
    </w:pPr>
    <w:rPr>
      <w:rFonts w:ascii="宋体" w:hAnsi="宋体" w:eastAsia="宋体"/>
      <w:b/>
      <w:bCs/>
      <w:sz w:val="24"/>
      <w:szCs w:val="24"/>
    </w:rPr>
  </w:style>
  <w:style w:styleId="Heading3" w:type="paragraph">
    <w:name w:val="Heading 3"/>
    <w:basedOn w:val="Normal"/>
    <w:uiPriority w:val="1"/>
    <w:qFormat/>
    <w:pPr>
      <w:ind w:left="112"/>
      <w:outlineLvl w:val="3"/>
    </w:pPr>
    <w:rPr>
      <w:rFonts w:ascii="宋体" w:hAnsi="宋体" w:eastAsia="宋体"/>
      <w:b/>
      <w:bCs/>
      <w:sz w:val="21"/>
      <w:szCs w:val="21"/>
    </w:rPr>
  </w:style>
  <w:style w:styleId="Heading4" w:type="paragraph">
    <w:name w:val="Heading 4"/>
    <w:basedOn w:val="Normal"/>
    <w:uiPriority w:val="1"/>
    <w:qFormat/>
    <w:pPr>
      <w:ind w:left="552"/>
      <w:outlineLvl w:val="4"/>
    </w:pPr>
    <w:rPr>
      <w:rFonts w:ascii="宋体" w:hAnsi="宋体" w:eastAsia="宋体"/>
      <w:sz w:val="21"/>
      <w:szCs w:val="21"/>
    </w:rPr>
  </w:style>
  <w:style w:styleId="Heading5" w:type="paragraph">
    <w:name w:val="Heading 5"/>
    <w:basedOn w:val="Normal"/>
    <w:uiPriority w:val="1"/>
    <w:qFormat/>
    <w:pPr>
      <w:spacing w:before="19"/>
      <w:ind w:left="472"/>
      <w:outlineLvl w:val="5"/>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hyperlink" Target="http://www.bsoft.com.cn/" TargetMode="External"/><Relationship Id="rId11" Type="http://schemas.openxmlformats.org/officeDocument/2006/relationships/hyperlink" Target="mailto:bsoft@bsoft.com.cn" TargetMode="External"/><Relationship Id="rId12" Type="http://schemas.openxmlformats.org/officeDocument/2006/relationships/hyperlink" Target="mailto:huy@bsoft.com.cn" TargetMode="External"/><Relationship Id="rId13" Type="http://schemas.openxmlformats.org/officeDocument/2006/relationships/hyperlink" Target="mailto:xus@bsoft.com.cn" TargetMode="External"/><Relationship Id="rId14" Type="http://schemas.openxmlformats.org/officeDocument/2006/relationships/hyperlink" Target="http://www.cninfo.com.cn/" TargetMode="External"/><Relationship Id="rId15" Type="http://schemas.openxmlformats.org/officeDocument/2006/relationships/footer" Target="footer3.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footer" Target="footer4.xm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footer" Target="footer5.xml"/><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footer" Target="footer6.xml"/><Relationship Id="rId32" Type="http://schemas.openxmlformats.org/officeDocument/2006/relationships/hyperlink" Target="http://www/" TargetMode="External"/><Relationship Id="rId33" Type="http://schemas.openxmlformats.org/officeDocument/2006/relationships/footer" Target="footer7.xml"/><Relationship Id="rId34" Type="http://schemas.openxmlformats.org/officeDocument/2006/relationships/footer" Target="footer8.xml"/><Relationship Id="rId35" Type="http://schemas.openxmlformats.org/officeDocument/2006/relationships/footer" Target="footer9.xml"/><Relationship Id="rId36" Type="http://schemas.openxmlformats.org/officeDocument/2006/relationships/image" Target="media/image16.jpeg"/><Relationship Id="rId37" Type="http://schemas.openxmlformats.org/officeDocument/2006/relationships/footer" Target="footer10.xml"/><Relationship Id="rId38" Type="http://schemas.openxmlformats.org/officeDocument/2006/relationships/header" Target="header3.xml"/><Relationship Id="rId39" Type="http://schemas.openxmlformats.org/officeDocument/2006/relationships/footer" Target="footer11.xml"/><Relationship Id="rId40" Type="http://schemas.openxmlformats.org/officeDocument/2006/relationships/footer" Target="footer12.xml"/><Relationship Id="rId41" Type="http://schemas.openxmlformats.org/officeDocument/2006/relationships/footer" Target="footer13.xml"/><Relationship Id="rId42" Type="http://schemas.openxmlformats.org/officeDocument/2006/relationships/header" Target="header4.xml"/><Relationship Id="rId43" Type="http://schemas.openxmlformats.org/officeDocument/2006/relationships/footer" Target="footer14.xml"/><Relationship Id="rId44" Type="http://schemas.openxmlformats.org/officeDocument/2006/relationships/footer" Target="footer15.xml"/><Relationship Id="rId45" Type="http://schemas.openxmlformats.org/officeDocument/2006/relationships/footer" Target="footer16.xml"/><Relationship Id="rId46" Type="http://schemas.openxmlformats.org/officeDocument/2006/relationships/footer" Target="footer17.xml"/><Relationship Id="rId47" Type="http://schemas.openxmlformats.org/officeDocument/2006/relationships/footer" Target="footer18.xml"/><Relationship Id="rId48" Type="http://schemas.openxmlformats.org/officeDocument/2006/relationships/footer" Target="footer19.xml"/><Relationship Id="rId49" Type="http://schemas.openxmlformats.org/officeDocument/2006/relationships/footer" Target="footer20.xml"/><Relationship Id="rId50" Type="http://schemas.openxmlformats.org/officeDocument/2006/relationships/footer" Target="footer21.xml"/><Relationship Id="rId51" Type="http://schemas.openxmlformats.org/officeDocument/2006/relationships/footer" Target="footer22.xml"/><Relationship Id="rId52" Type="http://schemas.openxmlformats.org/officeDocument/2006/relationships/footer" Target="footer23.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1.jpeg"/></Relationships>

</file>

<file path=word/_rels/footer11.xml.rels><?xml version="1.0" encoding="UTF-8" standalone="yes"?>
<Relationships xmlns="http://schemas.openxmlformats.org/package/2006/relationships"><Relationship Id="rId1" Type="http://schemas.openxmlformats.org/officeDocument/2006/relationships/image" Target="media/image1.jpeg"/></Relationships>

</file>

<file path=word/_rels/footer12.xml.rels><?xml version="1.0" encoding="UTF-8" standalone="yes"?>
<Relationships xmlns="http://schemas.openxmlformats.org/package/2006/relationships"><Relationship Id="rId1" Type="http://schemas.openxmlformats.org/officeDocument/2006/relationships/image" Target="media/image1.jpeg"/></Relationships>

</file>

<file path=word/_rels/footer13.xml.rels><?xml version="1.0" encoding="UTF-8" standalone="yes"?>
<Relationships xmlns="http://schemas.openxmlformats.org/package/2006/relationships"><Relationship Id="rId1" Type="http://schemas.openxmlformats.org/officeDocument/2006/relationships/image" Target="media/image1.jpeg"/></Relationships>

</file>

<file path=word/_rels/footer14.xml.rels><?xml version="1.0" encoding="UTF-8" standalone="yes"?>
<Relationships xmlns="http://schemas.openxmlformats.org/package/2006/relationships"><Relationship Id="rId1" Type="http://schemas.openxmlformats.org/officeDocument/2006/relationships/image" Target="media/image1.jpeg"/></Relationships>

</file>

<file path=word/_rels/footer15.xml.rels><?xml version="1.0" encoding="UTF-8" standalone="yes"?>
<Relationships xmlns="http://schemas.openxmlformats.org/package/2006/relationships"><Relationship Id="rId1" Type="http://schemas.openxmlformats.org/officeDocument/2006/relationships/image" Target="media/image1.jpeg"/></Relationships>

</file>

<file path=word/_rels/footer16.xml.rels><?xml version="1.0" encoding="UTF-8" standalone="yes"?>
<Relationships xmlns="http://schemas.openxmlformats.org/package/2006/relationships"><Relationship Id="rId1" Type="http://schemas.openxmlformats.org/officeDocument/2006/relationships/image" Target="media/image1.jpeg"/></Relationships>

</file>

<file path=word/_rels/footer17.xml.rels><?xml version="1.0" encoding="UTF-8" standalone="yes"?>
<Relationships xmlns="http://schemas.openxmlformats.org/package/2006/relationships"><Relationship Id="rId1" Type="http://schemas.openxmlformats.org/officeDocument/2006/relationships/image" Target="media/image1.jpeg"/></Relationships>

</file>

<file path=word/_rels/footer18.xml.rels><?xml version="1.0" encoding="UTF-8" standalone="yes"?>
<Relationships xmlns="http://schemas.openxmlformats.org/package/2006/relationships"><Relationship Id="rId1" Type="http://schemas.openxmlformats.org/officeDocument/2006/relationships/image" Target="media/image1.jpeg"/></Relationships>

</file>

<file path=word/_rels/footer19.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20.xml.rels><?xml version="1.0" encoding="UTF-8" standalone="yes"?>
<Relationships xmlns="http://schemas.openxmlformats.org/package/2006/relationships"><Relationship Id="rId1" Type="http://schemas.openxmlformats.org/officeDocument/2006/relationships/image" Target="media/image1.jpeg"/></Relationships>

</file>

<file path=word/_rels/footer21.xml.rels><?xml version="1.0" encoding="UTF-8" standalone="yes"?>
<Relationships xmlns="http://schemas.openxmlformats.org/package/2006/relationships"><Relationship Id="rId1" Type="http://schemas.openxmlformats.org/officeDocument/2006/relationships/image" Target="media/image1.jpeg"/></Relationships>

</file>

<file path=word/_rels/footer22.xml.rels><?xml version="1.0" encoding="UTF-8" standalone="yes"?>
<Relationships xmlns="http://schemas.openxmlformats.org/package/2006/relationships"><Relationship Id="rId1" Type="http://schemas.openxmlformats.org/officeDocument/2006/relationships/image" Target="media/image1.jpeg"/></Relationships>

</file>

<file path=word/_rels/footer23.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2020-05-19T00:51:24Z</dcterms:created>
  <dcterms:modified xsi:type="dcterms:W3CDTF">2020-05-19T00:51:24Z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2020-03-25T00:00:00Z</vt:filetime>
  </property>
  <property fmtid="{D5CDD505-2E9C-101B-9397-08002B2CF9AE}" pid="3" name="Creator">
    <vt:lpwstr>WPS 文字</vt:lpwstr>
  </property>
  <property fmtid="{D5CDD505-2E9C-101B-9397-08002B2CF9AE}" pid="4" name="LastSaved">
    <vt:filetime>2020-05-18T00:00:00Z</vt:filetime>
  </property>
</Properties>
</file>