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创业慧康科技股份有限公司</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1100" w:line="240" w:lineRule="auto"/>
        <w:ind w:left="0" w:right="0" w:firstLine="0"/>
        <w:jc w:val="center"/>
        <w:rPr>
          <w:sz w:val="32"/>
          <w:szCs w:val="32"/>
        </w:rPr>
      </w:pPr>
      <w:r>
        <w:rPr>
          <w:b/>
          <w:bCs/>
          <w:color w:val="000000"/>
          <w:spacing w:val="0"/>
          <w:w w:val="100"/>
          <w:position w:val="0"/>
          <w:sz w:val="32"/>
          <w:szCs w:val="32"/>
        </w:rPr>
        <w:t>公告编号：</w:t>
      </w:r>
      <w:r>
        <w:rPr>
          <w:rFonts w:ascii="Times New Roman" w:eastAsia="Times New Roman" w:hAnsi="Times New Roman" w:cs="Times New Roman"/>
          <w:b/>
          <w:bCs/>
          <w:color w:val="000000"/>
          <w:spacing w:val="0"/>
          <w:w w:val="100"/>
          <w:position w:val="0"/>
          <w:sz w:val="32"/>
          <w:szCs w:val="32"/>
        </w:rPr>
        <w:t>2022-006</w:t>
      </w:r>
    </w:p>
    <w:p>
      <w:pPr>
        <w:widowControl w:val="0"/>
        <w:jc w:val="center"/>
        <w:rPr>
          <w:sz w:val="2"/>
          <w:szCs w:val="2"/>
        </w:rPr>
      </w:pPr>
      <w:r>
        <w:drawing>
          <wp:inline>
            <wp:extent cx="3242945" cy="7740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242945" cy="774065"/>
                    </a:xfrm>
                    <a:prstGeom prst="rect"/>
                  </pic:spPr>
                </pic:pic>
              </a:graphicData>
            </a:graphic>
          </wp:inline>
        </w:drawing>
      </w:r>
    </w:p>
    <w:p>
      <w:pPr>
        <w:widowControl w:val="0"/>
        <w:spacing w:after="119" w:line="1" w:lineRule="exact"/>
      </w:pPr>
    </w:p>
    <w:p>
      <w:pPr>
        <w:pStyle w:val="Style2"/>
        <w:keepNext w:val="0"/>
        <w:keepLines w:val="0"/>
        <w:widowControl w:val="0"/>
        <w:shd w:val="clear" w:color="auto" w:fill="auto"/>
        <w:bidi w:val="0"/>
        <w:spacing w:before="0" w:after="2820" w:line="240" w:lineRule="auto"/>
        <w:ind w:left="0" w:right="0" w:firstLine="0"/>
        <w:jc w:val="center"/>
        <w:rPr>
          <w:sz w:val="64"/>
          <w:szCs w:val="64"/>
        </w:rPr>
      </w:pPr>
      <w:r>
        <w:rPr>
          <w:rFonts w:ascii="SimHei" w:eastAsia="SimHei" w:hAnsi="SimHei" w:cs="SimHei"/>
          <w:color w:val="585657"/>
          <w:spacing w:val="0"/>
          <w:w w:val="100"/>
          <w:position w:val="0"/>
          <w:sz w:val="64"/>
          <w:szCs w:val="64"/>
        </w:rPr>
        <w:t>刨业慧康</w:t>
      </w:r>
    </w:p>
    <w:p>
      <w:pPr>
        <w:pStyle w:val="Style2"/>
        <w:keepNext w:val="0"/>
        <w:keepLines w:val="0"/>
        <w:widowControl w:val="0"/>
        <w:shd w:val="clear" w:color="auto" w:fill="auto"/>
        <w:bidi w:val="0"/>
        <w:spacing w:before="0" w:after="760" w:line="240" w:lineRule="auto"/>
        <w:ind w:left="0" w:right="0" w:firstLine="0"/>
        <w:jc w:val="center"/>
        <w:rPr>
          <w:sz w:val="32"/>
          <w:szCs w:val="32"/>
        </w:rPr>
        <w:sectPr>
          <w:footnotePr>
            <w:pos w:val="pageBottom"/>
            <w:numFmt w:val="decimal"/>
            <w:numRestart w:val="continuous"/>
          </w:footnotePr>
          <w:pgSz w:w="11900" w:h="16840"/>
          <w:pgMar w:top="2862" w:right="1102" w:bottom="2862" w:left="110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8"/>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公司负责人葛航、主管会计工作负责人郁燕萍及会计机构负责人（会计主 管人员）陈锦剑声明：保证本年度报告中财务报告的真实、准确、完整。</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报告所包含的前瞻性分析系基于各种假设，不同假设可能导致分析结果出 现重大不同。报告中的内容和意见仅供参考，并不构成对本公司股票买卖的建 议，在任何情况下，本报告中的前瞻性描述和分析信息或所表述的意见并不构 成对任何人的投资建议。除法律或规则规定必须承担的责任外，本公司不对使 用本报告及其内容所引发的任何直接或间接损失负任何责任。</w:t>
      </w:r>
    </w:p>
    <w:p>
      <w:pPr>
        <w:pStyle w:val="Style10"/>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1</w:t>
      </w:r>
      <w:bookmarkEnd w:id="3"/>
      <w:r>
        <w:rPr>
          <w:color w:val="000000"/>
          <w:spacing w:val="0"/>
          <w:w w:val="100"/>
          <w:position w:val="0"/>
        </w:rPr>
        <w:t>、技术与产品开发风险</w:t>
      </w:r>
    </w:p>
    <w:p>
      <w:pPr>
        <w:pStyle w:val="Style10"/>
        <w:keepNext w:val="0"/>
        <w:keepLines w:val="0"/>
        <w:widowControl w:val="0"/>
        <w:shd w:val="clear" w:color="auto" w:fill="auto"/>
        <w:bidi w:val="0"/>
        <w:spacing w:before="0" w:line="621" w:lineRule="exact"/>
        <w:ind w:left="0" w:right="0"/>
        <w:jc w:val="both"/>
      </w:pPr>
      <w:r>
        <w:rPr>
          <w:color w:val="000000"/>
          <w:spacing w:val="0"/>
          <w:w w:val="100"/>
          <w:position w:val="0"/>
        </w:rPr>
        <w:t>软件产品和技术不断加速的更新换代决定了产品和技术的开发创新是一个 持续、繁杂的系统性工程，其间涉及的不确定因素较多，如不能准确把握技术 发展趋势和市场需求变化情况，从而导致技术和产品开发推广决策出现失误， 将可能导致公司丧失技术和市场优势，使公司面临技术与产品开发的风险。</w:t>
      </w:r>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应对措施：拟从研发人力、资金投入和市场调研、开发等方面加大力度， 同时加强与国内外著名高校和科研机构的合作，共同研制开发新产品，从而保 证了强大的技术后盾。对于已形成产业化的产品进行深度开发，加快其升级换</w:t>
      </w:r>
    </w:p>
    <w:p>
      <w:pPr>
        <w:pStyle w:val="Style10"/>
        <w:keepNext w:val="0"/>
        <w:keepLines w:val="0"/>
        <w:widowControl w:val="0"/>
        <w:shd w:val="clear" w:color="auto" w:fill="auto"/>
        <w:bidi w:val="0"/>
        <w:spacing w:before="0" w:line="622" w:lineRule="exact"/>
        <w:ind w:left="0" w:right="0" w:firstLine="0"/>
        <w:jc w:val="left"/>
      </w:pPr>
      <w:r>
        <w:rPr>
          <w:color w:val="000000"/>
          <w:spacing w:val="0"/>
          <w:w w:val="100"/>
          <w:position w:val="0"/>
        </w:rPr>
        <w:t>代，保持技术优势。</w:t>
      </w:r>
    </w:p>
    <w:p>
      <w:pPr>
        <w:pStyle w:val="Style10"/>
        <w:keepNext w:val="0"/>
        <w:keepLines w:val="0"/>
        <w:widowControl w:val="0"/>
        <w:shd w:val="clear" w:color="auto" w:fill="auto"/>
        <w:tabs>
          <w:tab w:pos="1007" w:val="left"/>
        </w:tabs>
        <w:bidi w:val="0"/>
        <w:spacing w:before="0" w:line="622" w:lineRule="exact"/>
        <w:ind w:left="0" w:right="0"/>
        <w:jc w:val="left"/>
      </w:pPr>
      <w:bookmarkStart w:id="4" w:name="bookmark4"/>
      <w:r>
        <w:rPr>
          <w:color w:val="000000"/>
          <w:spacing w:val="0"/>
          <w:w w:val="100"/>
          <w:position w:val="0"/>
        </w:rPr>
        <w:t>2</w:t>
      </w:r>
      <w:bookmarkEnd w:id="4"/>
      <w:r>
        <w:rPr>
          <w:color w:val="000000"/>
          <w:spacing w:val="0"/>
          <w:w w:val="100"/>
          <w:position w:val="0"/>
        </w:rPr>
        <w:t>、</w:t>
        <w:tab/>
        <w:t>创新业务拓展不确定的风险</w:t>
      </w:r>
    </w:p>
    <w:p>
      <w:pPr>
        <w:pStyle w:val="Style10"/>
        <w:keepNext w:val="0"/>
        <w:keepLines w:val="0"/>
        <w:widowControl w:val="0"/>
        <w:shd w:val="clear" w:color="auto" w:fill="auto"/>
        <w:bidi w:val="0"/>
        <w:spacing w:before="0" w:line="622" w:lineRule="exact"/>
        <w:ind w:left="0" w:right="0"/>
        <w:jc w:val="both"/>
      </w:pPr>
      <w:r>
        <w:rPr>
          <w:color w:val="000000"/>
          <w:spacing w:val="0"/>
          <w:w w:val="100"/>
          <w:position w:val="0"/>
        </w:rPr>
        <w:t>为适应国内医疗健康服务市场需求的不断变化，满足国内医疗健康服务快 速发展的市场需求，公司主营业务已从以产品开发销售为主逐渐向系统建设、 服务与运营多领域拓展，主要包括：智慧医卫、互联网医疗、医疗物联网、医 疗健康大数据、健康城市、智慧医保等整体解决方案、系统承建及运维、运营 服务等创新业务。但公司上述业务扩展计划能否顺利实施，这需要公司从经营 思路、营运模式、人员结构、产品开发及财务等资源能否提供有力支持息息相 关，因此，公司可能存在因资源不足导致市场拓展不确定的风险。</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应对措施：公司在大力推进新业务拓展的同时，也将根据用户需求情况和 市场竞争情况不断调整产品研发和市场拓展策略，加强行业间的合作力度，以 便进行合理的风险控制，同时采取较为稳健的财务控制措施，在经营策略、营 运模式方面，控制和分散相关风险。</w:t>
      </w:r>
    </w:p>
    <w:p>
      <w:pPr>
        <w:pStyle w:val="Style10"/>
        <w:keepNext w:val="0"/>
        <w:keepLines w:val="0"/>
        <w:widowControl w:val="0"/>
        <w:shd w:val="clear" w:color="auto" w:fill="auto"/>
        <w:tabs>
          <w:tab w:pos="1007" w:val="left"/>
        </w:tabs>
        <w:bidi w:val="0"/>
        <w:spacing w:before="0" w:line="622" w:lineRule="exact"/>
        <w:ind w:left="0" w:right="0"/>
        <w:jc w:val="both"/>
      </w:pPr>
      <w:bookmarkStart w:id="5" w:name="bookmark5"/>
      <w:r>
        <w:rPr>
          <w:color w:val="000000"/>
          <w:spacing w:val="0"/>
          <w:w w:val="100"/>
          <w:position w:val="0"/>
        </w:rPr>
        <w:t>3</w:t>
      </w:r>
      <w:bookmarkEnd w:id="5"/>
      <w:r>
        <w:rPr>
          <w:color w:val="000000"/>
          <w:spacing w:val="0"/>
          <w:w w:val="100"/>
          <w:position w:val="0"/>
        </w:rPr>
        <w:t>、</w:t>
        <w:tab/>
        <w:t>市场竞争加剧的风险</w:t>
      </w:r>
    </w:p>
    <w:p>
      <w:pPr>
        <w:pStyle w:val="Style10"/>
        <w:keepNext w:val="0"/>
        <w:keepLines w:val="0"/>
        <w:widowControl w:val="0"/>
        <w:shd w:val="clear" w:color="auto" w:fill="auto"/>
        <w:bidi w:val="0"/>
        <w:spacing w:before="0" w:line="622" w:lineRule="exact"/>
        <w:ind w:left="0" w:right="0"/>
        <w:jc w:val="both"/>
      </w:pPr>
      <w:r>
        <w:rPr>
          <w:color w:val="000000"/>
          <w:spacing w:val="0"/>
          <w:w w:val="100"/>
          <w:position w:val="0"/>
        </w:rPr>
        <w:t>近年来由于医疗卫生体制改革的深入推进，医疗卫生信息化领域市场空间 不断扩大，一方面吸引了大量新的市场竞争者进入这一领域，加剧了市场竞争; 另一方面，行业内的企业，特别是上市企业，依托资本市场的优势，通过业务 重组、企业并购等方式在区域医疗卫生信息化领域展开激烈竞争。</w:t>
      </w:r>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应对措施：公司需采取更加积极的经营管理措施，加大研发投入，密切跟 踪行业发展趋势和前沿创新技术，并积极关注行业竞争所带来的整合机遇，从 而维持并加强公司在用户数量、用户粘性及技术方面的核心竞争优势，促进公</w:t>
      </w:r>
    </w:p>
    <w:p>
      <w:pPr>
        <w:pStyle w:val="Style10"/>
        <w:keepNext w:val="0"/>
        <w:keepLines w:val="0"/>
        <w:widowControl w:val="0"/>
        <w:shd w:val="clear" w:color="auto" w:fill="auto"/>
        <w:bidi w:val="0"/>
        <w:spacing w:before="0"/>
        <w:ind w:left="0" w:right="0" w:firstLine="0"/>
        <w:jc w:val="left"/>
      </w:pPr>
      <w:r>
        <w:rPr>
          <w:color w:val="000000"/>
          <w:spacing w:val="0"/>
          <w:w w:val="100"/>
          <w:position w:val="0"/>
        </w:rPr>
        <w:t>司持续健康发展。</w:t>
      </w:r>
    </w:p>
    <w:p>
      <w:pPr>
        <w:pStyle w:val="Style10"/>
        <w:keepNext w:val="0"/>
        <w:keepLines w:val="0"/>
        <w:widowControl w:val="0"/>
        <w:shd w:val="clear" w:color="auto" w:fill="auto"/>
        <w:tabs>
          <w:tab w:pos="1002" w:val="left"/>
        </w:tabs>
        <w:bidi w:val="0"/>
        <w:spacing w:before="0"/>
        <w:ind w:left="0" w:right="0"/>
        <w:jc w:val="left"/>
      </w:pPr>
      <w:bookmarkStart w:id="6" w:name="bookmark6"/>
      <w:r>
        <w:rPr>
          <w:color w:val="000000"/>
          <w:spacing w:val="0"/>
          <w:w w:val="100"/>
          <w:position w:val="0"/>
        </w:rPr>
        <w:t>4</w:t>
      </w:r>
      <w:bookmarkEnd w:id="6"/>
      <w:r>
        <w:rPr>
          <w:color w:val="000000"/>
          <w:spacing w:val="0"/>
          <w:w w:val="100"/>
          <w:position w:val="0"/>
        </w:rPr>
        <w:t>、</w:t>
        <w:tab/>
        <w:t>公司经营季节性波动的风险</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公司的医疗信息化行业客户主要为公立医院、卫生管理部门，这些客户执 行严格的预算管理和集中采购制度。由于政府财政预算体制的原因，客户的信 息化产品采购需要经过立项、审批、招标等流程。一般项目的验收和回款主要 集中在每年下半年，尤其在第四季度更为集中。由于公司的人力成本、差旅费 用和研发投入等费用在年度内较为均衡地发生，造成公司的经营指标呈现明显 的季节性波动。</w:t>
      </w:r>
    </w:p>
    <w:p>
      <w:pPr>
        <w:pStyle w:val="Style10"/>
        <w:keepNext w:val="0"/>
        <w:keepLines w:val="0"/>
        <w:widowControl w:val="0"/>
        <w:shd w:val="clear" w:color="auto" w:fill="auto"/>
        <w:bidi w:val="0"/>
        <w:spacing w:before="0"/>
        <w:ind w:left="0" w:right="0"/>
        <w:jc w:val="both"/>
      </w:pPr>
      <w:r>
        <w:rPr>
          <w:color w:val="000000"/>
          <w:spacing w:val="0"/>
          <w:w w:val="100"/>
          <w:position w:val="0"/>
        </w:rPr>
        <w:t>应对措施：公司将加大市场工作力度，及时了解、掌握和引导客户的投资 计划，在不违反相关规定的前提下尽早介入项目前期规划工作，同时合理调配 人力资源，使得项目实施尽量能够均衡开展，减少因自身因素造成的项目实施 时间集中问题；同时，加大收款考核力度，与客户保持及时有效沟通，减少因 人为因素造成的收款时间集中问题。</w:t>
      </w:r>
    </w:p>
    <w:p>
      <w:pPr>
        <w:pStyle w:val="Style10"/>
        <w:keepNext w:val="0"/>
        <w:keepLines w:val="0"/>
        <w:widowControl w:val="0"/>
        <w:shd w:val="clear" w:color="auto" w:fill="auto"/>
        <w:tabs>
          <w:tab w:pos="1002" w:val="left"/>
        </w:tabs>
        <w:bidi w:val="0"/>
        <w:spacing w:before="0"/>
        <w:ind w:left="0" w:right="0"/>
        <w:jc w:val="both"/>
      </w:pPr>
      <w:bookmarkStart w:id="7" w:name="bookmark7"/>
      <w:r>
        <w:rPr>
          <w:color w:val="000000"/>
          <w:spacing w:val="0"/>
          <w:w w:val="100"/>
          <w:position w:val="0"/>
        </w:rPr>
        <w:t>5</w:t>
      </w:r>
      <w:bookmarkEnd w:id="7"/>
      <w:r>
        <w:rPr>
          <w:color w:val="000000"/>
          <w:spacing w:val="0"/>
          <w:w w:val="100"/>
          <w:position w:val="0"/>
        </w:rPr>
        <w:t>、</w:t>
        <w:tab/>
        <w:t>人才流失的风险</w:t>
      </w:r>
    </w:p>
    <w:p>
      <w:pPr>
        <w:pStyle w:val="Style10"/>
        <w:keepNext w:val="0"/>
        <w:keepLines w:val="0"/>
        <w:widowControl w:val="0"/>
        <w:shd w:val="clear" w:color="auto" w:fill="auto"/>
        <w:bidi w:val="0"/>
        <w:spacing w:before="0" w:line="628" w:lineRule="exact"/>
        <w:ind w:left="0" w:right="0"/>
        <w:jc w:val="both"/>
      </w:pPr>
      <w:r>
        <w:rPr>
          <w:color w:val="000000"/>
          <w:spacing w:val="0"/>
          <w:w w:val="100"/>
          <w:position w:val="0"/>
        </w:rPr>
        <w:t>医疗卫生信息化行业需要大量具有医疗卫生与</w:t>
      </w:r>
      <w:r>
        <w:rPr>
          <w:color w:val="000000"/>
          <w:spacing w:val="0"/>
          <w:w w:val="100"/>
          <w:position w:val="0"/>
        </w:rPr>
        <w:t>IT</w:t>
      </w:r>
      <w:r>
        <w:rPr>
          <w:color w:val="000000"/>
          <w:spacing w:val="0"/>
          <w:w w:val="100"/>
          <w:position w:val="0"/>
        </w:rPr>
        <w:t>双重知识背景的技术人 才，培养一名优秀的了解医疗卫生知识的软件开发人才是一个较漫长的过程。 同时，医疗卫生信息化行业的人才竞争非常激烈，人员流动较为频繁。因此， 若出现核心技术人员、核心营销人员外流情况，将可能在一定程度上影响公司 的产品研发能力和营销能力。</w:t>
      </w:r>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 xml:space="preserve">应对措施：人力资源一直是公司的核心战略资源，未来公司将继续坚持“以 人为本”的人才方针，根据发展战略和业务需要，不断完善人力资源建设计划， </w:t>
      </w:r>
      <w:r>
        <w:rPr>
          <w:color w:val="000000"/>
          <w:spacing w:val="0"/>
          <w:w w:val="100"/>
          <w:position w:val="0"/>
        </w:rPr>
        <w:t>设立浙江省博士后工作站，重点做好高端人才的培养与引进工作，继续开展与 全国多所高等院校的校企人才合作，进一步优化人员结构，并通过员工持股计 划、股权激励等工具避免核心人才流失。</w:t>
      </w:r>
    </w:p>
    <w:p>
      <w:pPr>
        <w:pStyle w:val="Style10"/>
        <w:keepNext w:val="0"/>
        <w:keepLines w:val="0"/>
        <w:widowControl w:val="0"/>
        <w:shd w:val="clear" w:color="auto" w:fill="auto"/>
        <w:tabs>
          <w:tab w:pos="1015" w:val="left"/>
        </w:tabs>
        <w:bidi w:val="0"/>
        <w:spacing w:before="0" w:line="626" w:lineRule="exact"/>
        <w:ind w:left="0" w:right="0"/>
        <w:jc w:val="both"/>
      </w:pPr>
      <w:bookmarkStart w:id="8" w:name="bookmark8"/>
      <w:r>
        <w:rPr>
          <w:color w:val="000000"/>
          <w:spacing w:val="0"/>
          <w:w w:val="100"/>
          <w:position w:val="0"/>
        </w:rPr>
        <w:t>6</w:t>
      </w:r>
      <w:bookmarkEnd w:id="8"/>
      <w:r>
        <w:rPr>
          <w:color w:val="000000"/>
          <w:spacing w:val="0"/>
          <w:w w:val="100"/>
          <w:position w:val="0"/>
        </w:rPr>
        <w:t>、</w:t>
        <w:tab/>
        <w:t>对外并购重组所形成商誉的减值风险</w:t>
      </w:r>
    </w:p>
    <w:p>
      <w:pPr>
        <w:pStyle w:val="Style10"/>
        <w:keepNext w:val="0"/>
        <w:keepLines w:val="0"/>
        <w:widowControl w:val="0"/>
        <w:shd w:val="clear" w:color="auto" w:fill="auto"/>
        <w:bidi w:val="0"/>
        <w:spacing w:before="0" w:line="626" w:lineRule="exact"/>
        <w:ind w:left="0" w:right="0"/>
        <w:jc w:val="both"/>
      </w:pPr>
      <w:r>
        <w:rPr>
          <w:color w:val="000000"/>
          <w:spacing w:val="0"/>
          <w:w w:val="100"/>
          <w:position w:val="0"/>
        </w:rPr>
        <w:t>公司上市后进行了收购、并购等外延式拓展，形成了多家非同一控制下的 企业合并的情况。若未来宏观经济形势变化，或被合并企业经营出现不利变化， 则存在商誉减值的风险，这也将会对上市公司当期的损益造成不利影响。</w:t>
      </w:r>
    </w:p>
    <w:p>
      <w:pPr>
        <w:pStyle w:val="Style10"/>
        <w:keepNext w:val="0"/>
        <w:keepLines w:val="0"/>
        <w:widowControl w:val="0"/>
        <w:shd w:val="clear" w:color="auto" w:fill="auto"/>
        <w:bidi w:val="0"/>
        <w:spacing w:before="0" w:line="626" w:lineRule="exact"/>
        <w:ind w:left="0" w:right="0"/>
        <w:jc w:val="both"/>
      </w:pPr>
      <w:r>
        <w:rPr>
          <w:color w:val="000000"/>
          <w:spacing w:val="0"/>
          <w:w w:val="100"/>
          <w:position w:val="0"/>
        </w:rPr>
        <w:t>应对措施：公司将对被合并企业施行完善的投后管理，并与被合并企业进 行资源整合，以发挥公司间的协同增益效果，保证被合并企业的市场竞争力及 持续稳定发展，以最大限度地降低商誉减值风险。</w:t>
      </w:r>
    </w:p>
    <w:p>
      <w:pPr>
        <w:pStyle w:val="Style10"/>
        <w:keepNext w:val="0"/>
        <w:keepLines w:val="0"/>
        <w:widowControl w:val="0"/>
        <w:shd w:val="clear" w:color="auto" w:fill="auto"/>
        <w:tabs>
          <w:tab w:pos="1015" w:val="left"/>
        </w:tabs>
        <w:bidi w:val="0"/>
        <w:spacing w:before="0" w:line="626" w:lineRule="exact"/>
        <w:ind w:left="0" w:right="0"/>
        <w:jc w:val="both"/>
      </w:pPr>
      <w:bookmarkStart w:id="9" w:name="bookmark9"/>
      <w:r>
        <w:rPr>
          <w:color w:val="000000"/>
          <w:spacing w:val="0"/>
          <w:w w:val="100"/>
          <w:position w:val="0"/>
        </w:rPr>
        <w:t>7</w:t>
      </w:r>
      <w:bookmarkEnd w:id="9"/>
      <w:r>
        <w:rPr>
          <w:color w:val="000000"/>
          <w:spacing w:val="0"/>
          <w:w w:val="100"/>
          <w:position w:val="0"/>
        </w:rPr>
        <w:t>、</w:t>
        <w:tab/>
        <w:t>外延式收购整合导致的上市公司经营管理风险</w:t>
      </w:r>
    </w:p>
    <w:p>
      <w:pPr>
        <w:pStyle w:val="Style10"/>
        <w:keepNext w:val="0"/>
        <w:keepLines w:val="0"/>
        <w:widowControl w:val="0"/>
        <w:shd w:val="clear" w:color="auto" w:fill="auto"/>
        <w:bidi w:val="0"/>
        <w:spacing w:before="0" w:line="631" w:lineRule="exact"/>
        <w:ind w:left="0" w:right="0"/>
        <w:jc w:val="both"/>
      </w:pPr>
      <w:r>
        <w:rPr>
          <w:color w:val="000000"/>
          <w:spacing w:val="0"/>
          <w:w w:val="100"/>
          <w:position w:val="0"/>
        </w:rPr>
        <w:t>公司上市后，利用资本市场进行并购重组，与产业链上下游的优势企业进 行整合，公司和被合并企业之间能否通过整合既保证公司对被合并企业的控制 力又保持被合并企业原有竞争优势并充分发挥交易的协同效应，具有不确定性。</w:t>
      </w:r>
    </w:p>
    <w:p>
      <w:pPr>
        <w:pStyle w:val="Style10"/>
        <w:keepNext w:val="0"/>
        <w:keepLines w:val="0"/>
        <w:widowControl w:val="0"/>
        <w:shd w:val="clear" w:color="auto" w:fill="auto"/>
        <w:bidi w:val="0"/>
        <w:spacing w:before="0" w:line="626" w:lineRule="exact"/>
        <w:ind w:left="0" w:right="0"/>
        <w:jc w:val="both"/>
      </w:pPr>
      <w:r>
        <w:rPr>
          <w:color w:val="000000"/>
          <w:spacing w:val="0"/>
          <w:w w:val="100"/>
          <w:position w:val="0"/>
        </w:rPr>
        <w:t>应对措施：公司将进一步完善管理制度，整合科研、生产、人才、市场、 技术和财务等各个方面资源，积累经营管理经验，使公司管理水平得到整体提 升，以保障被合并企业后续经营的平稳发展，通过完善管理来降低经营管理风 险。</w:t>
      </w:r>
    </w:p>
    <w:p>
      <w:pPr>
        <w:pStyle w:val="Style10"/>
        <w:keepNext w:val="0"/>
        <w:keepLines w:val="0"/>
        <w:widowControl w:val="0"/>
        <w:shd w:val="clear" w:color="auto" w:fill="auto"/>
        <w:tabs>
          <w:tab w:pos="1015" w:val="left"/>
        </w:tabs>
        <w:bidi w:val="0"/>
        <w:spacing w:before="0" w:line="626" w:lineRule="exact"/>
        <w:ind w:left="0" w:right="0"/>
        <w:jc w:val="both"/>
      </w:pPr>
      <w:bookmarkStart w:id="10" w:name="bookmark10"/>
      <w:r>
        <w:rPr>
          <w:color w:val="000000"/>
          <w:spacing w:val="0"/>
          <w:w w:val="100"/>
          <w:position w:val="0"/>
        </w:rPr>
        <w:t>8</w:t>
      </w:r>
      <w:bookmarkEnd w:id="10"/>
      <w:r>
        <w:rPr>
          <w:color w:val="000000"/>
          <w:spacing w:val="0"/>
          <w:w w:val="100"/>
          <w:position w:val="0"/>
        </w:rPr>
        <w:t>、</w:t>
        <w:tab/>
        <w:t>国家政策调整和宏观经济环境变化风险</w:t>
      </w:r>
    </w:p>
    <w:p>
      <w:pPr>
        <w:pStyle w:val="Style10"/>
        <w:keepNext w:val="0"/>
        <w:keepLines w:val="0"/>
        <w:widowControl w:val="0"/>
        <w:shd w:val="clear" w:color="auto" w:fill="auto"/>
        <w:bidi w:val="0"/>
        <w:spacing w:before="0" w:line="629" w:lineRule="exact"/>
        <w:ind w:left="0" w:right="0"/>
        <w:jc w:val="both"/>
      </w:pPr>
      <w:r>
        <w:rPr>
          <w:color w:val="000000"/>
          <w:spacing w:val="0"/>
          <w:w w:val="100"/>
          <w:position w:val="0"/>
        </w:rPr>
        <w:t xml:space="preserve">《“健康中国2030”规划纲要》、《“十四五”公共服务规划》及十九大 报告指出的实施健康中国战略等新政策，为医疗卫生信息化发展提供了难得的 </w:t>
      </w:r>
      <w:r>
        <w:rPr>
          <w:color w:val="000000"/>
          <w:spacing w:val="0"/>
          <w:w w:val="100"/>
          <w:position w:val="0"/>
        </w:rPr>
        <w:t>发展机遇。如果未来几年国家政策导向和宏观经济出现重大变化，将对公司经 营业务产生不确定性。</w:t>
      </w:r>
    </w:p>
    <w:p>
      <w:pPr>
        <w:pStyle w:val="Style10"/>
        <w:keepNext w:val="0"/>
        <w:keepLines w:val="0"/>
        <w:widowControl w:val="0"/>
        <w:shd w:val="clear" w:color="auto" w:fill="auto"/>
        <w:bidi w:val="0"/>
        <w:spacing w:before="0" w:line="628" w:lineRule="exact"/>
        <w:ind w:left="0" w:right="0"/>
        <w:jc w:val="both"/>
      </w:pPr>
      <w:r>
        <w:rPr>
          <w:color w:val="000000"/>
          <w:spacing w:val="0"/>
          <w:w w:val="100"/>
          <w:position w:val="0"/>
        </w:rPr>
        <w:t>应对措施：公司积极应对国家经济和产业环境的新形势，严格按照相关法 律法规和政策的规定开展公司业务。以市场为导向，持续推进新产品研发和技 术创新，同时进一步加强市场开拓力度及全国销售网络建设，巩固公司市场地 位，强化产业核心竞争力，努力拓宽产品线及健康服务生态圈，提升公司的盈 利能力。</w:t>
      </w:r>
    </w:p>
    <w:p>
      <w:pPr>
        <w:pStyle w:val="Style10"/>
        <w:keepNext w:val="0"/>
        <w:keepLines w:val="0"/>
        <w:widowControl w:val="0"/>
        <w:shd w:val="clear" w:color="auto" w:fill="auto"/>
        <w:bidi w:val="0"/>
        <w:spacing w:before="0" w:line="622" w:lineRule="exact"/>
        <w:ind w:left="0" w:right="0"/>
        <w:jc w:val="both"/>
        <w:sectPr>
          <w:footnotePr>
            <w:pos w:val="pageBottom"/>
            <w:numFmt w:val="decimal"/>
            <w:numRestart w:val="continuous"/>
          </w:footnotePr>
          <w:pgSz w:w="11900" w:h="16840"/>
          <w:pgMar w:top="1282" w:right="981" w:bottom="1628" w:left="1093" w:header="0" w:footer="3" w:gutter="0"/>
          <w:cols w:space="720"/>
          <w:noEndnote/>
          <w:rtlGutter w:val="0"/>
          <w:docGrid w:linePitch="360"/>
        </w:sectPr>
      </w:pPr>
      <w:r>
        <w:rPr>
          <w:color w:val="000000"/>
          <w:spacing w:val="0"/>
          <w:w w:val="100"/>
          <w:position w:val="0"/>
        </w:rPr>
        <w:t>公司经本次董事会审议通过的利润分配预案为：以利润分配方案未来实施 时股权登记日的股本总额为基数为基数，向全体股东每10股派发现金红利</w:t>
      </w:r>
      <w:r>
        <w:rPr>
          <w:color w:val="000000"/>
          <w:spacing w:val="0"/>
          <w:w w:val="100"/>
          <w:position w:val="0"/>
        </w:rPr>
        <w:t xml:space="preserve">0.30 </w:t>
      </w:r>
      <w:r>
        <w:rPr>
          <w:color w:val="000000"/>
          <w:spacing w:val="0"/>
          <w:w w:val="100"/>
          <w:position w:val="0"/>
        </w:rPr>
        <w:t>元（含税），送红股0股（含税），以资本公积金向全体股东每10股转增0股。</w:t>
      </w:r>
    </w:p>
    <w:p>
      <w:pPr>
        <w:pStyle w:val="Style2"/>
        <w:keepNext w:val="0"/>
        <w:keepLines w:val="0"/>
        <w:widowControl w:val="0"/>
        <w:shd w:val="clear" w:color="auto" w:fill="auto"/>
        <w:bidi w:val="0"/>
        <w:spacing w:before="0" w:after="1480" w:line="240" w:lineRule="auto"/>
        <w:ind w:left="0" w:right="0" w:firstLine="0"/>
        <w:jc w:val="center"/>
        <w:rPr>
          <w:sz w:val="36"/>
          <w:szCs w:val="36"/>
        </w:rPr>
      </w:pPr>
      <w:r>
        <w:rPr>
          <w:b/>
          <w:bCs/>
          <w:color w:val="000000"/>
          <w:spacing w:val="0"/>
          <w:w w:val="100"/>
          <w:position w:val="0"/>
          <w:sz w:val="36"/>
          <w:szCs w:val="36"/>
        </w:rPr>
        <w:t>目录</w:t>
      </w:r>
    </w:p>
    <w:p>
      <w:pPr>
        <w:pStyle w:val="Style12"/>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1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58"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276"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460"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474"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622"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696"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pPr>
      <w:hyperlink w:anchor="bookmark699"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2"/>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57" w:right="1121" w:bottom="2857" w:left="1107" w:header="0" w:footer="3" w:gutter="0"/>
          <w:cols w:space="720"/>
          <w:noEndnote/>
          <w:rtlGutter w:val="0"/>
          <w:docGrid w:linePitch="360"/>
        </w:sectPr>
      </w:pPr>
      <w:hyperlink w:anchor="bookmark702"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r>
        <w:fldChar w:fldCharType="end"/>
      </w:r>
    </w:p>
    <w:p>
      <w:pPr>
        <w:pStyle w:val="Style2"/>
        <w:keepNext w:val="0"/>
        <w:keepLines w:val="0"/>
        <w:widowControl w:val="0"/>
        <w:shd w:val="clear" w:color="auto" w:fill="auto"/>
        <w:bidi w:val="0"/>
        <w:spacing w:before="640" w:after="840" w:line="240" w:lineRule="auto"/>
        <w:ind w:left="0" w:right="0" w:firstLine="0"/>
        <w:jc w:val="center"/>
        <w:rPr>
          <w:sz w:val="32"/>
          <w:szCs w:val="32"/>
        </w:rPr>
      </w:pPr>
      <w:r>
        <w:rPr>
          <w:b/>
          <w:bCs/>
          <w:color w:val="000000"/>
          <w:spacing w:val="0"/>
          <w:w w:val="100"/>
          <w:position w:val="0"/>
          <w:sz w:val="32"/>
          <w:szCs w:val="32"/>
        </w:rPr>
        <w:t>备查文件目录</w:t>
      </w:r>
    </w:p>
    <w:p>
      <w:pPr>
        <w:pStyle w:val="Style15"/>
        <w:keepNext w:val="0"/>
        <w:keepLines w:val="0"/>
        <w:widowControl w:val="0"/>
        <w:shd w:val="clear" w:color="auto" w:fill="auto"/>
        <w:tabs>
          <w:tab w:pos="334" w:val="left"/>
        </w:tabs>
        <w:bidi w:val="0"/>
        <w:spacing w:before="0" w:after="120" w:line="240" w:lineRule="auto"/>
        <w:ind w:left="0" w:right="0" w:firstLine="0"/>
        <w:jc w:val="left"/>
      </w:pPr>
      <w:bookmarkStart w:id="11" w:name="bookmark11"/>
      <w:r>
        <w:rPr>
          <w:rFonts w:ascii="Times New Roman" w:eastAsia="Times New Roman" w:hAnsi="Times New Roman" w:cs="Times New Roman"/>
          <w:color w:val="000000"/>
          <w:spacing w:val="0"/>
          <w:w w:val="100"/>
          <w:position w:val="0"/>
        </w:rPr>
        <w:t>1</w:t>
      </w:r>
      <w:bookmarkEnd w:id="11"/>
      <w:r>
        <w:rPr>
          <w:color w:val="000000"/>
          <w:spacing w:val="0"/>
          <w:w w:val="100"/>
          <w:position w:val="0"/>
        </w:rPr>
        <w:t>、</w:t>
        <w:tab/>
        <w:t>载有公司负责人、主管会计工作负责人、会计机构负责人签名并盖章的财务报表;</w:t>
      </w:r>
    </w:p>
    <w:p>
      <w:pPr>
        <w:pStyle w:val="Style15"/>
        <w:keepNext w:val="0"/>
        <w:keepLines w:val="0"/>
        <w:widowControl w:val="0"/>
        <w:shd w:val="clear" w:color="auto" w:fill="auto"/>
        <w:tabs>
          <w:tab w:pos="354" w:val="left"/>
        </w:tabs>
        <w:bidi w:val="0"/>
        <w:spacing w:before="0" w:after="120" w:line="240" w:lineRule="auto"/>
        <w:ind w:left="0" w:right="0" w:firstLine="0"/>
        <w:jc w:val="left"/>
      </w:pPr>
      <w:bookmarkStart w:id="12" w:name="bookmark12"/>
      <w:r>
        <w:rPr>
          <w:rFonts w:ascii="Times New Roman" w:eastAsia="Times New Roman" w:hAnsi="Times New Roman" w:cs="Times New Roman"/>
          <w:color w:val="000000"/>
          <w:spacing w:val="0"/>
          <w:w w:val="100"/>
          <w:position w:val="0"/>
        </w:rPr>
        <w:t>2</w:t>
      </w:r>
      <w:bookmarkEnd w:id="12"/>
      <w:r>
        <w:rPr>
          <w:color w:val="000000"/>
          <w:spacing w:val="0"/>
          <w:w w:val="100"/>
          <w:position w:val="0"/>
        </w:rPr>
        <w:t>、</w:t>
        <w:tab/>
        <w:t>载有会计师事务所盖章、注册会计师签名并盖章的审计报告原件；</w:t>
      </w:r>
    </w:p>
    <w:p>
      <w:pPr>
        <w:pStyle w:val="Style15"/>
        <w:keepNext w:val="0"/>
        <w:keepLines w:val="0"/>
        <w:widowControl w:val="0"/>
        <w:shd w:val="clear" w:color="auto" w:fill="auto"/>
        <w:tabs>
          <w:tab w:pos="354" w:val="left"/>
        </w:tabs>
        <w:bidi w:val="0"/>
        <w:spacing w:before="0" w:after="120" w:line="240" w:lineRule="auto"/>
        <w:ind w:left="0" w:right="0" w:firstLine="0"/>
        <w:jc w:val="left"/>
      </w:pPr>
      <w:bookmarkStart w:id="13" w:name="bookmark13"/>
      <w:r>
        <w:rPr>
          <w:rFonts w:ascii="Times New Roman" w:eastAsia="Times New Roman" w:hAnsi="Times New Roman" w:cs="Times New Roman"/>
          <w:color w:val="000000"/>
          <w:spacing w:val="0"/>
          <w:w w:val="100"/>
          <w:position w:val="0"/>
        </w:rPr>
        <w:t>3</w:t>
      </w:r>
      <w:bookmarkEnd w:id="13"/>
      <w:r>
        <w:rPr>
          <w:color w:val="000000"/>
          <w:spacing w:val="0"/>
          <w:w w:val="100"/>
          <w:position w:val="0"/>
        </w:rPr>
        <w:t>、</w:t>
        <w:tab/>
        <w:t>报告期内在中国证监会指定网站上公开披露过的所有文件的正本及公告原稿；</w:t>
      </w:r>
    </w:p>
    <w:p>
      <w:pPr>
        <w:pStyle w:val="Style15"/>
        <w:keepNext w:val="0"/>
        <w:keepLines w:val="0"/>
        <w:widowControl w:val="0"/>
        <w:shd w:val="clear" w:color="auto" w:fill="auto"/>
        <w:tabs>
          <w:tab w:pos="354" w:val="left"/>
        </w:tabs>
        <w:bidi w:val="0"/>
        <w:spacing w:before="0" w:after="120" w:line="240" w:lineRule="auto"/>
        <w:ind w:left="0" w:right="0" w:firstLine="0"/>
        <w:jc w:val="left"/>
      </w:pPr>
      <w:bookmarkStart w:id="14" w:name="bookmark14"/>
      <w:r>
        <w:rPr>
          <w:rFonts w:ascii="Times New Roman" w:eastAsia="Times New Roman" w:hAnsi="Times New Roman" w:cs="Times New Roman"/>
          <w:color w:val="000000"/>
          <w:spacing w:val="0"/>
          <w:w w:val="100"/>
          <w:position w:val="0"/>
        </w:rPr>
        <w:t>4</w:t>
      </w:r>
      <w:bookmarkEnd w:id="14"/>
      <w:r>
        <w:rPr>
          <w:color w:val="000000"/>
          <w:spacing w:val="0"/>
          <w:w w:val="100"/>
          <w:position w:val="0"/>
        </w:rPr>
        <w:t>、</w:t>
        <w:tab/>
        <w:t>其他备查文件。</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以上备查文件的备置地点：公司证券部。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本公司、公司、创业慧康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创业慧康科技股份有限公司，曾用名创业软件股份有限公司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会计师、天健会计师事务所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律师、北京天元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北京市天元律师事务所</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慧康物联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杭州慧康物联网科技有限公司，曾用名杭州博泰信息技术服务有限 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鑫粟科技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浙江鑫粟科技有限公司，曾用名杭州鑫粟投资管理有限公司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铜粟投资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宁波铜粟投资管理有限公司，曾用名杭州铜粟投资管理有限公司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福鼎嘉盈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福鼎嘉盈企业管理咨询有限公司，曾用名福建嘉盈辉聚投资有限公 司，杭州阜康投资有限公司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创业软件股份有限公司发行股份及支付现金购买杭州博泰信息技 术服务有限公司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创业慧康科技股份有限公司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年度创业板非公开发行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创业慧康科技股份有限公司股东大会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创业慧康科技股份有限公司董事会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创业慧康科技股份有限公司监事会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卫健委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国家卫生健康委员会，曾用名国家卫生和计划生育委员会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医保局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国家医疗保障局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《创业慧康科技股份有限公司章程》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r>
    </w:tbl>
    <w:p>
      <w:pPr>
        <w:spacing w:lineRule="exact" w:line="1"/>
        <w:rPr>
          <w:sz w:val="2"/>
          <w:szCs w:val="2"/>
        </w:rPr>
      </w:pPr>
      <w:r>
        <w:br w:type="page"/>
      </w:r>
    </w:p>
    <w:p>
      <w:pPr>
        <w:pStyle w:val="Style8"/>
        <w:keepNext/>
        <w:keepLines/>
        <w:widowControl w:val="0"/>
        <w:shd w:val="clear" w:color="auto" w:fill="auto"/>
        <w:bidi w:val="0"/>
        <w:spacing w:before="0" w:after="54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19"/>
        <w:keepNext/>
        <w:keepLines/>
        <w:widowControl w:val="0"/>
        <w:shd w:val="clear" w:color="auto" w:fill="auto"/>
        <w:bidi w:val="0"/>
        <w:spacing w:before="0" w:after="320" w:line="240" w:lineRule="auto"/>
        <w:ind w:left="0" w:right="0" w:firstLine="240"/>
        <w:jc w:val="left"/>
      </w:pPr>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90" w:val="left"/>
                <w:tab w:pos="5059" w:val="left"/>
              </w:tabs>
              <w:bidi w:val="0"/>
              <w:spacing w:before="0" w:after="0" w:line="240" w:lineRule="auto"/>
              <w:ind w:left="0" w:right="0" w:firstLine="0"/>
              <w:jc w:val="left"/>
            </w:pPr>
            <w:r>
              <w:rPr>
                <w:color w:val="000000"/>
                <w:spacing w:val="0"/>
                <w:w w:val="100"/>
                <w:position w:val="0"/>
              </w:rPr>
              <w:t>创业慧康</w:t>
              <w:tab/>
              <w:t>股票代码</w:t>
              <w:tab/>
            </w:r>
            <w:r>
              <w:rPr>
                <w:rFonts w:ascii="Times New Roman" w:eastAsia="Times New Roman" w:hAnsi="Times New Roman" w:cs="Times New Roman"/>
                <w:color w:val="000000"/>
                <w:spacing w:val="0"/>
                <w:w w:val="100"/>
                <w:position w:val="0"/>
              </w:rPr>
              <w:t>300451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创业慧康科技股份有限公司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创业慧康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B-SOFT Co.,Ltd.</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B-SOFT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杭州市滨江区长河街道越达巷</w:t>
            </w:r>
            <w:r>
              <w:rPr>
                <w:rFonts w:ascii="Times New Roman" w:eastAsia="Times New Roman" w:hAnsi="Times New Roman" w:cs="Times New Roman"/>
                <w:color w:val="000000"/>
                <w:spacing w:val="0"/>
                <w:w w:val="100"/>
                <w:position w:val="0"/>
              </w:rPr>
              <w:t>92</w:t>
            </w:r>
            <w:r>
              <w:rPr>
                <w:color w:val="000000"/>
                <w:spacing w:val="0"/>
                <w:w w:val="100"/>
                <w:position w:val="0"/>
              </w:rPr>
              <w:t>号创业智慧大厦五楼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杭州文三路</w:t>
            </w:r>
            <w:r>
              <w:rPr>
                <w:rFonts w:ascii="Times New Roman" w:eastAsia="Times New Roman" w:hAnsi="Times New Roman" w:cs="Times New Roman"/>
                <w:color w:val="000000"/>
                <w:spacing w:val="0"/>
                <w:w w:val="100"/>
                <w:position w:val="0"/>
              </w:rPr>
              <w:t>199</w:t>
            </w:r>
            <w:r>
              <w:rPr>
                <w:color w:val="000000"/>
                <w:spacing w:val="0"/>
                <w:w w:val="100"/>
                <w:position w:val="0"/>
              </w:rPr>
              <w:t>号创业大厦三楼变更为浙江省杭州市滨江区长河街道越达巷</w:t>
            </w:r>
            <w:r>
              <w:rPr>
                <w:rFonts w:ascii="Times New Roman" w:eastAsia="Times New Roman" w:hAnsi="Times New Roman" w:cs="Times New Roman"/>
                <w:color w:val="000000"/>
                <w:spacing w:val="0"/>
                <w:w w:val="100"/>
                <w:position w:val="0"/>
              </w:rPr>
              <w:t>92</w:t>
            </w:r>
            <w:r>
              <w:rPr>
                <w:color w:val="000000"/>
                <w:spacing w:val="0"/>
                <w:w w:val="100"/>
                <w:position w:val="0"/>
              </w:rPr>
              <w:t>号创业智慧 大厦五楼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杭州市滨江区长河街道越达巷</w:t>
            </w:r>
            <w:r>
              <w:rPr>
                <w:rFonts w:ascii="Times New Roman" w:eastAsia="Times New Roman" w:hAnsi="Times New Roman" w:cs="Times New Roman"/>
                <w:color w:val="000000"/>
                <w:spacing w:val="0"/>
                <w:w w:val="100"/>
                <w:position w:val="0"/>
              </w:rPr>
              <w:t>92</w:t>
            </w:r>
            <w:r>
              <w:rPr>
                <w:color w:val="000000"/>
                <w:spacing w:val="0"/>
                <w:w w:val="100"/>
                <w:position w:val="0"/>
              </w:rPr>
              <w:t>号创业智慧大厦五楼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"https://www.bsoft.com.cn/" </w:instrText>
            </w:r>
            <w:r>
              <w:fldChar w:fldCharType="separate"/>
            </w:r>
            <w:r>
              <w:rPr>
                <w:rFonts w:ascii="Times New Roman" w:eastAsia="Times New Roman" w:hAnsi="Times New Roman" w:cs="Times New Roman"/>
                <w:color w:val="000000"/>
                <w:spacing w:val="0"/>
                <w:w w:val="100"/>
                <w:position w:val="0"/>
              </w:rPr>
              <w:t>https://www.bsoft.com.cn/</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"mailto:bsoft@bsoft.com.cn" </w:instrText>
            </w:r>
            <w:r>
              <w:fldChar w:fldCharType="separate"/>
            </w:r>
            <w:r>
              <w:rPr>
                <w:rFonts w:ascii="Times New Roman" w:eastAsia="Times New Roman" w:hAnsi="Times New Roman" w:cs="Times New Roman"/>
                <w:color w:val="000000"/>
                <w:spacing w:val="0"/>
                <w:w w:val="100"/>
                <w:position w:val="0"/>
              </w:rPr>
              <w:t>bsoft@bsoft.com.cn</w:t>
            </w:r>
            <w:r>
              <w:fldChar w:fldCharType="end"/>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徐胜</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杭州市滨江区长河街道越达巷</w:t>
            </w:r>
            <w:r>
              <w:rPr>
                <w:rFonts w:ascii="Times New Roman" w:eastAsia="Times New Roman" w:hAnsi="Times New Roman" w:cs="Times New Roman"/>
                <w:color w:val="000000"/>
                <w:spacing w:val="0"/>
                <w:w w:val="100"/>
                <w:position w:val="0"/>
              </w:rPr>
              <w:t>92</w:t>
            </w:r>
            <w:r>
              <w:rPr>
                <w:color w:val="000000"/>
                <w:spacing w:val="0"/>
                <w:w w:val="100"/>
                <w:position w:val="0"/>
              </w:rPr>
              <w:t>号创 业智慧大厦五楼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杭州市滨江区长河街道越达巷</w:t>
            </w:r>
            <w:r>
              <w:rPr>
                <w:rFonts w:ascii="Times New Roman" w:eastAsia="Times New Roman" w:hAnsi="Times New Roman" w:cs="Times New Roman"/>
                <w:color w:val="000000"/>
                <w:spacing w:val="0"/>
                <w:w w:val="100"/>
                <w:position w:val="0"/>
              </w:rPr>
              <w:t>92</w:t>
            </w:r>
            <w:r>
              <w:rPr>
                <w:color w:val="000000"/>
                <w:spacing w:val="0"/>
                <w:w w:val="100"/>
                <w:position w:val="0"/>
              </w:rPr>
              <w:t>号创 业智慧大厦五楼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0571-88925701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0571-88925701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0571-88217703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0571-88217703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"mailto:huy@bsoft.com.cn" </w:instrText>
            </w:r>
            <w:r>
              <w:fldChar w:fldCharType="separate"/>
            </w:r>
            <w:r>
              <w:rPr>
                <w:rFonts w:ascii="Times New Roman" w:eastAsia="Times New Roman" w:hAnsi="Times New Roman" w:cs="Times New Roman"/>
                <w:color w:val="000000"/>
                <w:spacing w:val="0"/>
                <w:w w:val="100"/>
                <w:position w:val="0"/>
              </w:rPr>
              <w:t>huy@bsoft.com.cn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"mailto:xus@bsoft.com.cn" </w:instrText>
            </w:r>
            <w:r>
              <w:fldChar w:fldCharType="separate"/>
            </w:r>
            <w:r>
              <w:rPr>
                <w:rFonts w:ascii="Times New Roman" w:eastAsia="Times New Roman" w:hAnsi="Times New Roman" w:cs="Times New Roman"/>
                <w:color w:val="000000"/>
                <w:spacing w:val="0"/>
                <w:w w:val="100"/>
                <w:position w:val="0"/>
              </w:rPr>
              <w:t>xus@bsoft.com.cn</w:t>
            </w:r>
            <w:r>
              <w:fldChar w:fldCharType="end"/>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《中国证券报》、《证券时报》、《证券日报》、巨潮资讯 </w:t>
            </w:r>
            <w:r>
              <w:rPr>
                <w:rFonts w:ascii="Times New Roman" w:eastAsia="Times New Roman" w:hAnsi="Times New Roman" w:cs="Times New Roman"/>
                <w:color w:val="000000"/>
                <w:spacing w:val="0"/>
                <w:w w:val="100"/>
                <w:position w:val="0"/>
              </w:rPr>
              <w:t>http://www. cninfo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公司证券部办公室</w:t>
            </w:r>
          </w:p>
        </w:tc>
      </w:tr>
    </w:tbl>
    <w:p>
      <w:pPr>
        <w:spacing w:lineRule="exact" w:line="1"/>
        <w:rPr>
          <w:sz w:val="2"/>
          <w:szCs w:val="2"/>
        </w:rPr>
      </w:pPr>
      <w:r>
        <w:br w:type="page"/>
      </w:r>
    </w:p>
    <w:p>
      <w:pPr>
        <w:pStyle w:val="Style19"/>
        <w:keepNext/>
        <w:keepLines/>
        <w:widowControl w:val="0"/>
        <w:shd w:val="clear" w:color="auto" w:fill="auto"/>
        <w:bidi w:val="0"/>
        <w:spacing w:before="0" w:after="36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、其他有关资料</w:t>
      </w:r>
      <w:bookmarkEnd w:id="29"/>
      <w:bookmarkEnd w:id="30"/>
      <w:bookmarkEnd w:id="32"/>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号华润大厦</w:t>
            </w:r>
            <w:r>
              <w:rPr>
                <w:rFonts w:ascii="Times New Roman" w:eastAsia="Times New Roman" w:hAnsi="Times New Roman" w:cs="Times New Roman"/>
                <w:color w:val="000000"/>
                <w:spacing w:val="0"/>
                <w:w w:val="100"/>
                <w:position w:val="0"/>
              </w:rPr>
              <w:t>B</w:t>
            </w:r>
            <w:r>
              <w:rPr>
                <w:color w:val="000000"/>
                <w:spacing w:val="0"/>
                <w:w w:val="100"/>
                <w:position w:val="0"/>
              </w:rPr>
              <w:t>座</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余建耀、李鸿霞</w:t>
            </w:r>
          </w:p>
        </w:tc>
      </w:tr>
    </w:tbl>
    <w:p>
      <w:pPr>
        <w:widowControl w:val="0"/>
        <w:spacing w:after="7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 xml:space="preserve">48 </w:t>
            </w:r>
            <w:r>
              <w:rPr>
                <w:color w:val="000000"/>
                <w:spacing w:val="0"/>
                <w:w w:val="100"/>
                <w:position w:val="0"/>
              </w:rPr>
              <w:t>号中信证券大厦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王彬、李亦中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2020.8.17-2022.12.31</w:t>
            </w:r>
          </w:p>
        </w:tc>
      </w:tr>
    </w:tbl>
    <w:p>
      <w:pPr>
        <w:pStyle w:val="Style1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公司聘请的报告期内履行持续督导职责的财务顾问 口适用”不适用</w:t>
      </w:r>
    </w:p>
    <w:p>
      <w:pPr>
        <w:pStyle w:val="Style19"/>
        <w:keepNext/>
        <w:keepLines/>
        <w:widowControl w:val="0"/>
        <w:shd w:val="clear" w:color="auto" w:fill="auto"/>
        <w:bidi w:val="0"/>
        <w:spacing w:before="0" w:after="2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、主要会计数据和财务指标</w:t>
      </w:r>
      <w:bookmarkEnd w:id="33"/>
      <w:bookmarkEnd w:id="34"/>
      <w:bookmarkEnd w:id="36"/>
    </w:p>
    <w:p>
      <w:pPr>
        <w:pStyle w:val="Style15"/>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1,898,976,983.54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1,632,841,326.43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1,479,824,747.66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413,039,235.38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332,337,424.49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314,070,351.32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387,332,119.99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314,615,081.36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260,686,956.46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176,219,111.83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271,326,850.03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80,158,689.37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5,609,578,430.23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5,249,128,741.16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3,589,661,923.11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4,561,801,820.95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4,139,652,614.13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2,589,733,451.76</w:t>
            </w:r>
          </w:p>
        </w:tc>
      </w:tr>
    </w:tbl>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r>
        <w:br w:type="page"/>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19"/>
        <w:keepNext/>
        <w:keepLines/>
        <w:widowControl w:val="0"/>
        <w:shd w:val="clear" w:color="auto" w:fill="auto"/>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、分季度主要财务指标</w:t>
      </w:r>
      <w:bookmarkEnd w:id="37"/>
      <w:bookmarkEnd w:id="38"/>
      <w:bookmarkEnd w:id="40"/>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402,209,573.15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375,798,177.50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431,494,954.02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689,474,278.87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90,363,704.15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52,149,833.42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87,509,738.63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183,015,959.18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83,874,973.58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32,342,332.18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87,419,001.63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183,695,812.60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-230,425,614.28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-11,808,818.11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-6,734,115.59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425,187,659.81</w:t>
            </w:r>
          </w:p>
        </w:tc>
      </w:tr>
    </w:tbl>
    <w:p>
      <w:pPr>
        <w:pStyle w:val="Style1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19"/>
        <w:keepNext/>
        <w:keepLines/>
        <w:widowControl w:val="0"/>
        <w:shd w:val="clear" w:color="auto" w:fill="auto"/>
        <w:tabs>
          <w:tab w:pos="517" w:val="left"/>
        </w:tabs>
        <w:bidi w:val="0"/>
        <w:spacing w:before="0" w:after="36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24"/>
        <w:keepNext/>
        <w:keepLines/>
        <w:widowControl w:val="0"/>
        <w:shd w:val="clear" w:color="auto" w:fill="auto"/>
        <w:tabs>
          <w:tab w:pos="410" w:val="left"/>
        </w:tabs>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4"/>
        <w:keepNext/>
        <w:keepLines/>
        <w:widowControl w:val="0"/>
        <w:shd w:val="clear" w:color="auto" w:fill="auto"/>
        <w:tabs>
          <w:tab w:pos="410" w:val="left"/>
        </w:tabs>
        <w:bidi w:val="0"/>
        <w:spacing w:before="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17" w:val="left"/>
        </w:tabs>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非经常性损益项目及金额</w:t>
      </w:r>
      <w:bookmarkEnd w:id="53"/>
      <w:bookmarkEnd w:id="54"/>
      <w:bookmarkEnd w:id="5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15,729,232.65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2,462,887.82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-68,401.36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6,064,596.37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12,677,454.17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15,096,280.47</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97,808.90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2,156,752.15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7,102,748.08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6,031,375.07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43,426,623.23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36,433.00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-273,132.74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-884,227.92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-264,306.63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2,887,504.17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2,156,734.80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6,222,255.83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65,257.80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546,521.04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741,297.17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25,707,115.39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17,722,343.13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53,383,394.86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其他符合非经常性损益定义的损益项目的具体情况：</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307" w:lineRule="exact"/>
        <w:ind w:left="0" w:right="0" w:firstLine="0"/>
        <w:jc w:val="left"/>
        <w:sectPr>
          <w:footnotePr>
            <w:pos w:val="pageBottom"/>
            <w:numFmt w:val="decimal"/>
            <w:numRestart w:val="continuous"/>
          </w:footnotePr>
          <w:pgSz w:w="11900" w:h="16840"/>
          <w:pgMar w:top="1441" w:right="1123" w:bottom="1455" w:left="1096"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8"/>
        <w:keepNext/>
        <w:keepLines/>
        <w:widowControl w:val="0"/>
        <w:shd w:val="clear" w:color="auto" w:fill="auto"/>
        <w:bidi w:val="0"/>
        <w:spacing w:line="240" w:lineRule="auto"/>
        <w:ind w:left="0" w:right="0" w:firstLine="0"/>
        <w:jc w:val="center"/>
      </w:pPr>
      <w:bookmarkStart w:id="57" w:name="bookmark57"/>
      <w:bookmarkStart w:id="58" w:name="bookmark58"/>
      <w:bookmarkStart w:id="59" w:name="bookmark59"/>
      <w:r>
        <w:rPr>
          <w:color w:val="000000"/>
          <w:spacing w:val="0"/>
          <w:w w:val="100"/>
          <w:position w:val="0"/>
        </w:rPr>
        <w:t>第三节管理层讨论与分析</w:t>
      </w:r>
      <w:bookmarkEnd w:id="57"/>
      <w:bookmarkEnd w:id="58"/>
      <w:bookmarkEnd w:id="59"/>
    </w:p>
    <w:p>
      <w:pPr>
        <w:pStyle w:val="Style19"/>
        <w:keepNext/>
        <w:keepLines/>
        <w:widowControl w:val="0"/>
        <w:shd w:val="clear" w:color="auto" w:fill="auto"/>
        <w:bidi w:val="0"/>
        <w:spacing w:before="0" w:after="26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、报告期内公司所处行业情况</w:t>
      </w:r>
      <w:bookmarkEnd w:id="60"/>
      <w:bookmarkEnd w:id="61"/>
      <w:bookmarkEnd w:id="63"/>
    </w:p>
    <w:p>
      <w:pPr>
        <w:pStyle w:val="Style15"/>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公司处于医疗卫生信息化行业，既涉及医疗卫生服务又涉及软件产业。医疗卫生服务方面与民生息息相关，属于社会公 共服务和社会保障的重要组成，而软件产业属于国家鼓励发展的战略性、基础性和先导性支柱产业，国务院及有关部门颁布 了鼓励软件产业发展的一系列优惠政策，为行业发展建立了良好的政策环境。</w:t>
      </w:r>
    </w:p>
    <w:p>
      <w:pPr>
        <w:pStyle w:val="Style15"/>
        <w:keepNext w:val="0"/>
        <w:keepLines w:val="0"/>
        <w:widowControl w:val="0"/>
        <w:shd w:val="clear" w:color="auto" w:fill="auto"/>
        <w:bidi w:val="0"/>
        <w:spacing w:before="0" w:after="0" w:line="316" w:lineRule="exact"/>
        <w:ind w:left="0" w:right="0"/>
        <w:jc w:val="both"/>
      </w:pPr>
      <w:r>
        <w:rPr>
          <w:color w:val="000000"/>
          <w:spacing w:val="0"/>
          <w:w w:val="100"/>
          <w:position w:val="0"/>
        </w:rPr>
        <w:t>十九大以来，党中央、国务院高度重视“互联网+医疗健康”工作。习近平总书记指出，要推进“互联网+医疗”，要求 不断提升公共服务均等化、普惠化、便捷化水平。同时，信息技术的创新发展，也为医疗卫生信息化行业带来了更多机遇。</w:t>
      </w:r>
    </w:p>
    <w:p>
      <w:pPr>
        <w:pStyle w:val="Style15"/>
        <w:keepNext w:val="0"/>
        <w:keepLines w:val="0"/>
        <w:widowControl w:val="0"/>
        <w:shd w:val="clear" w:color="auto" w:fill="auto"/>
        <w:tabs>
          <w:tab w:pos="669" w:val="left"/>
        </w:tabs>
        <w:bidi w:val="0"/>
        <w:spacing w:before="0" w:after="0" w:line="316" w:lineRule="exact"/>
        <w:ind w:left="0" w:right="0"/>
        <w:jc w:val="both"/>
      </w:pPr>
      <w:bookmarkStart w:id="64" w:name="bookmark64"/>
      <w:r>
        <w:rPr>
          <w:rFonts w:ascii="Times New Roman" w:eastAsia="Times New Roman" w:hAnsi="Times New Roman" w:cs="Times New Roman"/>
          <w:color w:val="000000"/>
          <w:spacing w:val="0"/>
          <w:w w:val="100"/>
          <w:position w:val="0"/>
        </w:rPr>
        <w:t>1</w:t>
      </w:r>
      <w:bookmarkEnd w:id="64"/>
      <w:r>
        <w:rPr>
          <w:color w:val="000000"/>
          <w:spacing w:val="0"/>
          <w:w w:val="100"/>
          <w:position w:val="0"/>
        </w:rPr>
        <w:t>、</w:t>
        <w:tab/>
        <w:t>公司所处行业发展现状</w:t>
      </w:r>
    </w:p>
    <w:p>
      <w:pPr>
        <w:pStyle w:val="Style15"/>
        <w:keepNext w:val="0"/>
        <w:keepLines w:val="0"/>
        <w:widowControl w:val="0"/>
        <w:shd w:val="clear" w:color="auto" w:fill="auto"/>
        <w:bidi w:val="0"/>
        <w:spacing w:before="0" w:after="0" w:line="316" w:lineRule="exact"/>
        <w:ind w:left="0" w:right="0"/>
        <w:jc w:val="both"/>
      </w:pPr>
      <w:r>
        <w:rPr>
          <w:color w:val="000000"/>
          <w:spacing w:val="0"/>
          <w:w w:val="100"/>
          <w:position w:val="0"/>
        </w:rPr>
        <w:t>我国的医疗卫生信息化开始于</w:t>
      </w:r>
      <w:r>
        <w:rPr>
          <w:rFonts w:ascii="Times New Roman" w:eastAsia="Times New Roman" w:hAnsi="Times New Roman" w:cs="Times New Roman"/>
          <w:color w:val="000000"/>
          <w:spacing w:val="0"/>
          <w:w w:val="100"/>
          <w:position w:val="0"/>
        </w:rPr>
        <w:t>20</w:t>
      </w:r>
      <w:r>
        <w:rPr>
          <w:color w:val="000000"/>
          <w:spacing w:val="0"/>
          <w:w w:val="100"/>
          <w:position w:val="0"/>
        </w:rPr>
        <w:t>世纪</w:t>
      </w:r>
      <w:r>
        <w:rPr>
          <w:rFonts w:ascii="Times New Roman" w:eastAsia="Times New Roman" w:hAnsi="Times New Roman" w:cs="Times New Roman"/>
          <w:color w:val="000000"/>
          <w:spacing w:val="0"/>
          <w:w w:val="100"/>
          <w:position w:val="0"/>
        </w:rPr>
        <w:t>90</w:t>
      </w:r>
      <w:r>
        <w:rPr>
          <w:color w:val="000000"/>
          <w:spacing w:val="0"/>
          <w:w w:val="100"/>
          <w:position w:val="0"/>
        </w:rPr>
        <w:t>年代，最初由医院自主编写医疗卫生信息化系统软件；</w:t>
      </w:r>
      <w:r>
        <w:rPr>
          <w:rFonts w:ascii="Times New Roman" w:eastAsia="Times New Roman" w:hAnsi="Times New Roman" w:cs="Times New Roman"/>
          <w:color w:val="000000"/>
          <w:spacing w:val="0"/>
          <w:w w:val="100"/>
          <w:position w:val="0"/>
        </w:rPr>
        <w:t>21</w:t>
      </w:r>
      <w:r>
        <w:rPr>
          <w:color w:val="000000"/>
          <w:spacing w:val="0"/>
          <w:w w:val="100"/>
          <w:position w:val="0"/>
        </w:rPr>
        <w:t>世纪前后，专业医疗卫 生信息化公司的出现和医疗卫生信息化系统的产品化，让医疗卫生信息化产业进入大规模发展阶段；</w:t>
      </w:r>
      <w:r>
        <w:rPr>
          <w:rFonts w:ascii="Times New Roman" w:eastAsia="Times New Roman" w:hAnsi="Times New Roman" w:cs="Times New Roman"/>
          <w:color w:val="000000"/>
          <w:spacing w:val="0"/>
          <w:w w:val="100"/>
          <w:position w:val="0"/>
        </w:rPr>
        <w:t>2009</w:t>
      </w:r>
      <w:r>
        <w:rPr>
          <w:color w:val="000000"/>
          <w:spacing w:val="0"/>
          <w:w w:val="100"/>
          <w:position w:val="0"/>
        </w:rPr>
        <w:t>年，新医改正式启 动，医疗卫生信息化随之进入新的发展阶段；</w:t>
      </w:r>
      <w:r>
        <w:rPr>
          <w:rFonts w:ascii="Times New Roman" w:eastAsia="Times New Roman" w:hAnsi="Times New Roman" w:cs="Times New Roman"/>
          <w:color w:val="000000"/>
          <w:spacing w:val="0"/>
          <w:w w:val="100"/>
          <w:position w:val="0"/>
        </w:rPr>
        <w:t>2017</w:t>
      </w:r>
      <w:r>
        <w:rPr>
          <w:color w:val="000000"/>
          <w:spacing w:val="0"/>
          <w:w w:val="100"/>
          <w:position w:val="0"/>
        </w:rPr>
        <w:t>年前后，随着医改步入深水区，相关政策频发，从新一轮密集发布的政策 来看，和医疗卫生信息化相关的着眼点主要集中在以电子病历为核心的临床信息化系统建设、以控费为目的的医保控费系统 建设、以“互联网+医疗”为重点的医疗卫生信息化改进以及以医联体为载体的区域卫生信息化建设。传统的以医疗业务流 程为驱动的医院管理信息化系统架构已经难以满足如今的社会需求，以数据融合为驱动的系统架构应运而生，并迅速占据市 场。</w:t>
      </w:r>
    </w:p>
    <w:p>
      <w:pPr>
        <w:pStyle w:val="Style15"/>
        <w:keepNext w:val="0"/>
        <w:keepLines w:val="0"/>
        <w:widowControl w:val="0"/>
        <w:shd w:val="clear" w:color="auto" w:fill="auto"/>
        <w:bidi w:val="0"/>
        <w:spacing w:before="0" w:after="80" w:line="316" w:lineRule="exact"/>
        <w:ind w:left="0" w:right="0"/>
        <w:jc w:val="both"/>
      </w:pPr>
      <w:r>
        <w:rPr>
          <w:color w:val="000000"/>
          <w:spacing w:val="0"/>
          <w:w w:val="100"/>
          <w:position w:val="0"/>
        </w:rPr>
        <w:t>随着社会的不断进步和人们对于健康需求的日益提升，医疗卫生信息化正在逐步走出医院的范畴，向公共卫生和个人健 康领域持续延伸和发展。基于此，医疗卫生信息化行业也将逐步从以往以流程建设为主向以患者为中心的面向诊疗过程以提 高医疗服务水平的方向发展，医疗卫生信息化产品也逐渐由院内向院外逐步延伸，基于物联网、</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大数据分析、</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云 计算等技术，将提供更为便捷的医疗数据集采、传输、分析服务。</w:t>
      </w:r>
    </w:p>
    <w:p>
      <w:pPr>
        <w:pStyle w:val="Style15"/>
        <w:keepNext w:val="0"/>
        <w:keepLines w:val="0"/>
        <w:widowControl w:val="0"/>
        <w:shd w:val="clear" w:color="auto" w:fill="auto"/>
        <w:tabs>
          <w:tab w:pos="688" w:val="left"/>
        </w:tabs>
        <w:bidi w:val="0"/>
        <w:spacing w:before="0" w:after="0"/>
        <w:ind w:left="0" w:right="0"/>
        <w:jc w:val="both"/>
      </w:pPr>
      <w:bookmarkStart w:id="65" w:name="bookmark65"/>
      <w:r>
        <w:rPr>
          <w:rFonts w:ascii="Times New Roman" w:eastAsia="Times New Roman" w:hAnsi="Times New Roman" w:cs="Times New Roman"/>
          <w:color w:val="000000"/>
          <w:spacing w:val="0"/>
          <w:w w:val="100"/>
          <w:position w:val="0"/>
        </w:rPr>
        <w:t>2</w:t>
      </w:r>
      <w:bookmarkEnd w:id="65"/>
      <w:r>
        <w:rPr>
          <w:color w:val="000000"/>
          <w:spacing w:val="0"/>
          <w:w w:val="100"/>
          <w:position w:val="0"/>
        </w:rPr>
        <w:t>、</w:t>
        <w:tab/>
        <w:t>行业竞争格局</w:t>
      </w:r>
    </w:p>
    <w:p>
      <w:pPr>
        <w:pStyle w:val="Style15"/>
        <w:keepNext w:val="0"/>
        <w:keepLines w:val="0"/>
        <w:widowControl w:val="0"/>
        <w:shd w:val="clear" w:color="auto" w:fill="auto"/>
        <w:tabs>
          <w:tab w:pos="894" w:val="left"/>
        </w:tabs>
        <w:bidi w:val="0"/>
        <w:spacing w:before="0" w:after="0" w:line="316" w:lineRule="exact"/>
        <w:ind w:left="0" w:right="0" w:firstLine="50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rPr>
        <w:t>1</w:t>
      </w:r>
      <w:r>
        <w:rPr>
          <w:color w:val="000000"/>
          <w:spacing w:val="0"/>
          <w:w w:val="100"/>
          <w:position w:val="0"/>
        </w:rPr>
        <w:t>）</w:t>
        <w:tab/>
        <w:t>市场规模及潜力</w:t>
      </w:r>
    </w:p>
    <w:p>
      <w:pPr>
        <w:pStyle w:val="Style15"/>
        <w:keepNext w:val="0"/>
        <w:keepLines w:val="0"/>
        <w:widowControl w:val="0"/>
        <w:shd w:val="clear" w:color="auto" w:fill="auto"/>
        <w:bidi w:val="0"/>
        <w:spacing w:before="0" w:after="0" w:line="316" w:lineRule="exact"/>
        <w:ind w:left="0" w:right="0"/>
        <w:jc w:val="left"/>
      </w:pPr>
      <w:r>
        <w:rPr>
          <w:color w:val="000000"/>
          <w:spacing w:val="0"/>
          <w:w w:val="100"/>
          <w:position w:val="0"/>
        </w:rPr>
        <w:t>信息化手段能够进一步提升医疗服务质量和患者的体验度，随着国民经济的不断增强，新医改政策进一步聚焦医疗卫生， 我国居民医疗服务的付费意愿和能力不断增强。据</w:t>
      </w:r>
      <w:r>
        <w:rPr>
          <w:rFonts w:ascii="Times New Roman" w:eastAsia="Times New Roman" w:hAnsi="Times New Roman" w:cs="Times New Roman"/>
          <w:color w:val="000000"/>
          <w:spacing w:val="0"/>
          <w:w w:val="100"/>
          <w:position w:val="0"/>
        </w:rPr>
        <w:t>IDC</w:t>
      </w:r>
      <w:r>
        <w:rPr>
          <w:color w:val="000000"/>
          <w:spacing w:val="0"/>
          <w:w w:val="100"/>
          <w:position w:val="0"/>
        </w:rPr>
        <w:t>《中国医疗行业</w:t>
      </w:r>
      <w:r>
        <w:rPr>
          <w:rFonts w:ascii="Times New Roman" w:eastAsia="Times New Roman" w:hAnsi="Times New Roman" w:cs="Times New Roman"/>
          <w:color w:val="000000"/>
          <w:spacing w:val="0"/>
          <w:w w:val="100"/>
          <w:position w:val="0"/>
        </w:rPr>
        <w:t>IT</w:t>
      </w:r>
      <w:r>
        <w:rPr>
          <w:color w:val="000000"/>
          <w:spacing w:val="0"/>
          <w:w w:val="100"/>
          <w:position w:val="0"/>
        </w:rPr>
        <w:t>市场预测</w:t>
      </w:r>
      <w:r>
        <w:rPr>
          <w:rFonts w:ascii="Times New Roman" w:eastAsia="Times New Roman" w:hAnsi="Times New Roman" w:cs="Times New Roman"/>
          <w:color w:val="000000"/>
          <w:spacing w:val="0"/>
          <w:w w:val="100"/>
          <w:position w:val="0"/>
        </w:rPr>
        <w:t>,2021-2025</w:t>
      </w:r>
      <w:r>
        <w:rPr>
          <w:color w:val="000000"/>
          <w:spacing w:val="0"/>
          <w:w w:val="100"/>
          <w:position w:val="0"/>
        </w:rPr>
        <w:t>》预测，医院、医共体和基层 医疗等提供医疗服务领域的</w:t>
      </w:r>
      <w:r>
        <w:rPr>
          <w:rFonts w:ascii="Times New Roman" w:eastAsia="Times New Roman" w:hAnsi="Times New Roman" w:cs="Times New Roman"/>
          <w:color w:val="000000"/>
          <w:spacing w:val="0"/>
          <w:w w:val="100"/>
          <w:position w:val="0"/>
        </w:rPr>
        <w:t>IT</w:t>
      </w:r>
      <w:r>
        <w:rPr>
          <w:color w:val="000000"/>
          <w:spacing w:val="0"/>
          <w:w w:val="100"/>
          <w:position w:val="0"/>
        </w:rPr>
        <w:t>支出（不包括医保和医药）预计到</w:t>
      </w:r>
      <w:r>
        <w:rPr>
          <w:rFonts w:ascii="Times New Roman" w:eastAsia="Times New Roman" w:hAnsi="Times New Roman" w:cs="Times New Roman"/>
          <w:color w:val="000000"/>
          <w:spacing w:val="0"/>
          <w:w w:val="100"/>
          <w:position w:val="0"/>
        </w:rPr>
        <w:t>2025</w:t>
      </w:r>
      <w:r>
        <w:rPr>
          <w:color w:val="000000"/>
          <w:spacing w:val="0"/>
          <w:w w:val="100"/>
          <w:position w:val="0"/>
        </w:rPr>
        <w:t>年将会达到</w:t>
      </w:r>
      <w:r>
        <w:rPr>
          <w:rFonts w:ascii="Times New Roman" w:eastAsia="Times New Roman" w:hAnsi="Times New Roman" w:cs="Times New Roman"/>
          <w:color w:val="000000"/>
          <w:spacing w:val="0"/>
          <w:w w:val="100"/>
          <w:position w:val="0"/>
        </w:rPr>
        <w:t>845.</w:t>
      </w:r>
      <w:r>
        <w:rPr>
          <w:rFonts w:ascii="Times New Roman" w:eastAsia="Times New Roman" w:hAnsi="Times New Roman" w:cs="Times New Roman"/>
          <w:color w:val="000000"/>
          <w:spacing w:val="0"/>
          <w:w w:val="100"/>
          <w:position w:val="0"/>
        </w:rPr>
        <w:t>7</w:t>
      </w:r>
      <w:r>
        <w:rPr>
          <w:color w:val="000000"/>
          <w:spacing w:val="0"/>
          <w:w w:val="100"/>
          <w:position w:val="0"/>
        </w:rPr>
        <w:t>亿元，市场空间可观。同时，随着中 国人口的老龄化问题正在逐渐加剧，老龄人口的持续增长叠加上其他诸如慢性病发病率走高，城镇医保基金的缺口正呈现逐 步扩大等因素，使得国家越来越重视软件行业的细分行业医疗信息化行业，希望借助信息化手段介入优化医疗保障体系，促 成养老模式的创新，实现“老有所养”、“智养质养”。</w:t>
      </w:r>
    </w:p>
    <w:p>
      <w:pPr>
        <w:pStyle w:val="Style15"/>
        <w:keepNext w:val="0"/>
        <w:keepLines w:val="0"/>
        <w:widowControl w:val="0"/>
        <w:shd w:val="clear" w:color="auto" w:fill="auto"/>
        <w:tabs>
          <w:tab w:pos="894" w:val="left"/>
        </w:tabs>
        <w:bidi w:val="0"/>
        <w:spacing w:before="0" w:after="0" w:line="316" w:lineRule="exact"/>
        <w:ind w:left="0" w:right="0" w:firstLine="500"/>
        <w:jc w:val="both"/>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2</w:t>
      </w:r>
      <w:r>
        <w:rPr>
          <w:color w:val="000000"/>
          <w:spacing w:val="0"/>
          <w:w w:val="100"/>
          <w:position w:val="0"/>
        </w:rPr>
        <w:t>）</w:t>
        <w:tab/>
        <w:t>行业集中度及趋势</w:t>
      </w:r>
    </w:p>
    <w:p>
      <w:pPr>
        <w:pStyle w:val="Style15"/>
        <w:keepNext w:val="0"/>
        <w:keepLines w:val="0"/>
        <w:widowControl w:val="0"/>
        <w:shd w:val="clear" w:color="auto" w:fill="auto"/>
        <w:bidi w:val="0"/>
        <w:spacing w:before="0" w:after="0" w:line="316" w:lineRule="exact"/>
        <w:ind w:left="0" w:right="0"/>
        <w:jc w:val="left"/>
      </w:pPr>
      <w:r>
        <w:rPr>
          <w:color w:val="000000"/>
          <w:spacing w:val="0"/>
          <w:w w:val="100"/>
          <w:position w:val="0"/>
        </w:rPr>
        <w:t>目前行业内厂商众多，且区域分布较为明显，市场份额较为分散。当下面对不断增长的行业规模及不断深化的行业需求， 行业大额订单比例正在不断增加，而行业中的头部公司依靠较强的综合服务能力拿单优势明显，将充分受益；同时，头部公 司多为上市公司，能够借助资本市场通过并购扩大场份额及丰富自身产品线，因此整个行业的产业集中度势必将会进一步提 升。</w:t>
      </w:r>
    </w:p>
    <w:p>
      <w:pPr>
        <w:pStyle w:val="Style15"/>
        <w:keepNext w:val="0"/>
        <w:keepLines w:val="0"/>
        <w:widowControl w:val="0"/>
        <w:shd w:val="clear" w:color="auto" w:fill="auto"/>
        <w:tabs>
          <w:tab w:pos="688" w:val="left"/>
        </w:tabs>
        <w:bidi w:val="0"/>
        <w:spacing w:before="0" w:after="0" w:line="316" w:lineRule="exact"/>
        <w:ind w:left="0" w:right="0"/>
        <w:jc w:val="both"/>
      </w:pPr>
      <w:bookmarkStart w:id="68" w:name="bookmark68"/>
      <w:r>
        <w:rPr>
          <w:rFonts w:ascii="Times New Roman" w:eastAsia="Times New Roman" w:hAnsi="Times New Roman" w:cs="Times New Roman"/>
          <w:color w:val="000000"/>
          <w:spacing w:val="0"/>
          <w:w w:val="100"/>
          <w:position w:val="0"/>
        </w:rPr>
        <w:t>3</w:t>
      </w:r>
      <w:bookmarkEnd w:id="68"/>
      <w:r>
        <w:rPr>
          <w:color w:val="000000"/>
          <w:spacing w:val="0"/>
          <w:w w:val="100"/>
          <w:position w:val="0"/>
        </w:rPr>
        <w:t>、</w:t>
        <w:tab/>
        <w:t>影响行业发展的主要因素</w:t>
      </w:r>
    </w:p>
    <w:p>
      <w:pPr>
        <w:pStyle w:val="Style15"/>
        <w:keepNext w:val="0"/>
        <w:keepLines w:val="0"/>
        <w:widowControl w:val="0"/>
        <w:shd w:val="clear" w:color="auto" w:fill="auto"/>
        <w:bidi w:val="0"/>
        <w:spacing w:before="0" w:after="0" w:line="31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）有利因素</w:t>
      </w:r>
    </w:p>
    <w:p>
      <w:pPr>
        <w:pStyle w:val="Style15"/>
        <w:keepNext w:val="0"/>
        <w:keepLines w:val="0"/>
        <w:widowControl w:val="0"/>
        <w:numPr>
          <w:ilvl w:val="0"/>
          <w:numId w:val="1"/>
        </w:numPr>
        <w:shd w:val="clear" w:color="auto" w:fill="auto"/>
        <w:bidi w:val="0"/>
        <w:spacing w:before="0" w:after="0" w:line="316" w:lineRule="exact"/>
        <w:ind w:left="0" w:right="0"/>
        <w:jc w:val="both"/>
      </w:pPr>
      <w:bookmarkStart w:id="69" w:name="bookmark69"/>
      <w:bookmarkEnd w:id="69"/>
      <w:r>
        <w:rPr>
          <w:color w:val="000000"/>
          <w:spacing w:val="0"/>
          <w:w w:val="100"/>
          <w:position w:val="0"/>
        </w:rPr>
        <w:t>产业政策的大力支持</w:t>
      </w:r>
    </w:p>
    <w:p>
      <w:pPr>
        <w:pStyle w:val="Style15"/>
        <w:keepNext w:val="0"/>
        <w:keepLines w:val="0"/>
        <w:widowControl w:val="0"/>
        <w:shd w:val="clear" w:color="auto" w:fill="auto"/>
        <w:bidi w:val="0"/>
        <w:spacing w:before="0" w:after="0" w:line="316" w:lineRule="exact"/>
        <w:ind w:left="0" w:right="0"/>
        <w:jc w:val="both"/>
      </w:pPr>
      <w:r>
        <w:rPr>
          <w:color w:val="000000"/>
          <w:spacing w:val="0"/>
          <w:w w:val="100"/>
          <w:position w:val="0"/>
        </w:rPr>
        <w:t xml:space="preserve">自“一二五”，国家明确提出加强医疗卫生领域信息化建设规划，推进基层医疗卫生信息化建设，加强公立医院信息化 建设；“一三五”期间，提出建设以电子病历为核心的临床信息化系统，加速医疗信息系统的区域信息互联互通，推进电子 健康档案建设。目前“一四五”时期，在新一代信息技术的赋能下，以加快平台标准化、一体化建设、深化新场景、新技术 应用，以“普惠民生”为核心的医疗卫生信息化建设。国家对行业政策的推动对本行业的发展均有深远且广泛的意义，信息 </w:t>
      </w:r>
      <w:r>
        <w:rPr>
          <w:color w:val="000000"/>
          <w:spacing w:val="0"/>
          <w:w w:val="100"/>
          <w:position w:val="0"/>
        </w:rPr>
        <w:t>化政策是我国医疗卫生信息化发展的核心驱动力。</w:t>
      </w:r>
    </w:p>
    <w:p>
      <w:pPr>
        <w:pStyle w:val="Style15"/>
        <w:keepNext w:val="0"/>
        <w:keepLines w:val="0"/>
        <w:widowControl w:val="0"/>
        <w:numPr>
          <w:ilvl w:val="0"/>
          <w:numId w:val="1"/>
        </w:numPr>
        <w:shd w:val="clear" w:color="auto" w:fill="auto"/>
        <w:tabs>
          <w:tab w:pos="733" w:val="left"/>
        </w:tabs>
        <w:bidi w:val="0"/>
        <w:spacing w:before="0" w:after="0" w:line="313" w:lineRule="exact"/>
        <w:ind w:left="0" w:right="0" w:firstLine="360"/>
        <w:jc w:val="both"/>
      </w:pPr>
      <w:bookmarkStart w:id="70" w:name="bookmark70"/>
      <w:bookmarkEnd w:id="70"/>
      <w:r>
        <w:rPr>
          <w:color w:val="000000"/>
          <w:spacing w:val="0"/>
          <w:w w:val="100"/>
          <w:position w:val="0"/>
        </w:rPr>
        <w:t>医卫信息化建设需求端空间依然巨大</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目前我国三级医院以及大部分二级医院已经初步建成自己的医疗信息系统，基础的计算机硬件和网络设备基本搭建完 毕，但东西部差异尚未抹平，二级及以下医院还处于基本医疗信息系统的普及应用期。另一方面，在医院信息管理系统之外， 公共卫生与区域医疗卫生信息管理系统才刚开始起步，整合社会医疗保健资源，连接医疗保险、社区医疗保健服务、远程诊 断、药品管理平台、卫生行政部门、银行等相关功能的公共卫生信息系统才开始试点。医院管理信息化系统在三级医院的存 量市场的升级替代需求尚且存在，同时受二级以下医院以及公共卫生信息平台的推动，增量市场空间依然存在且巨大。</w:t>
      </w:r>
    </w:p>
    <w:p>
      <w:pPr>
        <w:pStyle w:val="Style15"/>
        <w:keepNext w:val="0"/>
        <w:keepLines w:val="0"/>
        <w:widowControl w:val="0"/>
        <w:numPr>
          <w:ilvl w:val="0"/>
          <w:numId w:val="1"/>
        </w:numPr>
        <w:shd w:val="clear" w:color="auto" w:fill="auto"/>
        <w:tabs>
          <w:tab w:pos="733" w:val="left"/>
        </w:tabs>
        <w:bidi w:val="0"/>
        <w:spacing w:before="0" w:after="0" w:line="313" w:lineRule="exact"/>
        <w:ind w:left="0" w:right="0" w:firstLine="360"/>
        <w:jc w:val="both"/>
      </w:pPr>
      <w:bookmarkStart w:id="71" w:name="bookmark71"/>
      <w:bookmarkEnd w:id="71"/>
      <w:r>
        <w:rPr>
          <w:color w:val="000000"/>
          <w:spacing w:val="0"/>
          <w:w w:val="100"/>
          <w:position w:val="0"/>
        </w:rPr>
        <w:t>技术发展驱动医疗卫生信息化行业</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随着信息技术的创新发展，为医疗卫生信息化行业带来了更多机遇。推动医疗卫生信息化行业逐步从以往以流程建设为 主向以患者为中心的面向诊疗过程以提高医疗服务水平的方向发展，并在此基础上，不断延伸出各类以患者为中心，以医生 临床诊疗行为为导向的临床信息应用系统产品的需求。此外，物联网和云计算的引入进一步改变了医疗卫生信息化服务模式， 未来新一代信息技术与医疗信息化建设市场空间依然非常巨大。</w:t>
      </w:r>
    </w:p>
    <w:p>
      <w:pPr>
        <w:pStyle w:val="Style15"/>
        <w:keepNext w:val="0"/>
        <w:keepLines w:val="0"/>
        <w:widowControl w:val="0"/>
        <w:numPr>
          <w:ilvl w:val="0"/>
          <w:numId w:val="1"/>
        </w:numPr>
        <w:shd w:val="clear" w:color="auto" w:fill="auto"/>
        <w:tabs>
          <w:tab w:pos="733" w:val="left"/>
        </w:tabs>
        <w:bidi w:val="0"/>
        <w:spacing w:before="0" w:after="0" w:line="313" w:lineRule="exact"/>
        <w:ind w:left="0" w:right="0" w:firstLine="360"/>
        <w:jc w:val="both"/>
      </w:pPr>
      <w:bookmarkStart w:id="72" w:name="bookmark72"/>
      <w:bookmarkEnd w:id="72"/>
      <w:r>
        <w:rPr>
          <w:color w:val="000000"/>
          <w:spacing w:val="0"/>
          <w:w w:val="100"/>
          <w:position w:val="0"/>
        </w:rPr>
        <w:t>个人健康信息系统市场前景十分广阔</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随着我国人民生活水平的日益提升，人们在健康卫生方面的支出逐年提升，并且人口老龄化及慢性病的增加，使得人们 更加注重对于个人健康的需求。据统计，近年来老年护理、健康保险、慢病管理等面向个人健康服务的市场规模呈现快速增 长态势。通过信息化手段实现优化个人健康管理和服务的市场已逐渐被重视。由于我国个人健康信息系统市场尚处于起步阶 段，未来市场前景仍有十分广阔的发展空间。</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）不利因素</w:t>
      </w:r>
    </w:p>
    <w:p>
      <w:pPr>
        <w:pStyle w:val="Style15"/>
        <w:keepNext w:val="0"/>
        <w:keepLines w:val="0"/>
        <w:widowControl w:val="0"/>
        <w:numPr>
          <w:ilvl w:val="0"/>
          <w:numId w:val="3"/>
        </w:numPr>
        <w:shd w:val="clear" w:color="auto" w:fill="auto"/>
        <w:tabs>
          <w:tab w:pos="733" w:val="left"/>
        </w:tabs>
        <w:bidi w:val="0"/>
        <w:spacing w:before="0" w:after="0" w:line="313" w:lineRule="exact"/>
        <w:ind w:left="0" w:right="0" w:firstLine="360"/>
        <w:jc w:val="both"/>
      </w:pPr>
      <w:bookmarkStart w:id="73" w:name="bookmark73"/>
      <w:bookmarkEnd w:id="73"/>
      <w:r>
        <w:rPr>
          <w:color w:val="000000"/>
          <w:spacing w:val="0"/>
          <w:w w:val="100"/>
          <w:position w:val="0"/>
        </w:rPr>
        <w:t>行业技术标准化水平低</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我国地域广阔面临东西部医疗资源分布不均，服务水平差异化明显，医疗服务供需缺口大等几个基本现实。同时，医疗 卫生信息化软件开发缺少权威的标准及顶层设计，再加上客户各项特殊需求的限制，导致了行业产品及服务整体标准化水平 低，造成了软件产品及服务的实施效率低下，也在一定程度上减缓了信息化水平的提升速度。</w:t>
      </w:r>
    </w:p>
    <w:p>
      <w:pPr>
        <w:pStyle w:val="Style15"/>
        <w:keepNext w:val="0"/>
        <w:keepLines w:val="0"/>
        <w:widowControl w:val="0"/>
        <w:numPr>
          <w:ilvl w:val="0"/>
          <w:numId w:val="3"/>
        </w:numPr>
        <w:shd w:val="clear" w:color="auto" w:fill="auto"/>
        <w:tabs>
          <w:tab w:pos="733" w:val="left"/>
        </w:tabs>
        <w:bidi w:val="0"/>
        <w:spacing w:before="0" w:after="0" w:line="313" w:lineRule="exact"/>
        <w:ind w:left="0" w:right="0" w:firstLine="360"/>
        <w:jc w:val="both"/>
      </w:pPr>
      <w:bookmarkStart w:id="74" w:name="bookmark74"/>
      <w:bookmarkEnd w:id="74"/>
      <w:r>
        <w:rPr>
          <w:color w:val="000000"/>
          <w:spacing w:val="0"/>
          <w:w w:val="100"/>
          <w:position w:val="0"/>
        </w:rPr>
        <w:t>市场集中度程度低</w:t>
      </w:r>
    </w:p>
    <w:p>
      <w:pPr>
        <w:pStyle w:val="Style15"/>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目前行业内厂商众多，且区域分布较为明显，市场份额较为分散，呈现“大行业、小企业”格局。近年来，我国医疗信 息化市场需求快速增长，市场竞争日益加剧。</w:t>
      </w:r>
    </w:p>
    <w:p>
      <w:pPr>
        <w:pStyle w:val="Style15"/>
        <w:keepNext w:val="0"/>
        <w:keepLines w:val="0"/>
        <w:widowControl w:val="0"/>
        <w:shd w:val="clear" w:color="auto" w:fill="auto"/>
        <w:tabs>
          <w:tab w:pos="714" w:val="left"/>
        </w:tabs>
        <w:bidi w:val="0"/>
        <w:spacing w:before="0" w:after="0"/>
        <w:ind w:left="0" w:right="0" w:firstLine="360"/>
        <w:jc w:val="both"/>
      </w:pPr>
      <w:bookmarkStart w:id="75" w:name="bookmark75"/>
      <w:r>
        <w:rPr>
          <w:rFonts w:ascii="Times New Roman" w:eastAsia="Times New Roman" w:hAnsi="Times New Roman" w:cs="Times New Roman"/>
          <w:color w:val="000000"/>
          <w:spacing w:val="0"/>
          <w:w w:val="100"/>
          <w:position w:val="0"/>
        </w:rPr>
        <w:t>4</w:t>
      </w:r>
      <w:bookmarkEnd w:id="75"/>
      <w:r>
        <w:rPr>
          <w:color w:val="000000"/>
          <w:spacing w:val="0"/>
          <w:w w:val="100"/>
          <w:position w:val="0"/>
        </w:rPr>
        <w:t>、</w:t>
        <w:tab/>
        <w:t>公司行业地位和变动趋势</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月在创业板上市，总部位于国家十大软件产业基地之一杭州国家高新技术产业开发 区内。公司聚焦于医疗卫生信息化领域，提供医疗卫生信息化领域的软件开发和整体解决方案，在医疗卫生信息化行业跻身 前列。</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公司始终坚持技术领先的企业发展战略，经过多年的研发与积累，掌握了一批较为领先的核心技术、取得了多项科技成 果，相继被认定为国家级高新技术企业、国家规划布局内重点软件企业、国家火炬计划软件产业基地骨干企业；同时，公司 参与多项国家卫生信息标准和规范的研发和编制，成为我国医疗卫生行业应用软件发展的标杆企业。</w:t>
      </w:r>
    </w:p>
    <w:p>
      <w:pPr>
        <w:pStyle w:val="Style15"/>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报告期内，公司启动了 “慧康云</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的整体云化转型发展战略，以“一体两翼”加医保事业部的业务板块协同发展， 为公司完成从传统</w:t>
      </w:r>
      <w:r>
        <w:rPr>
          <w:color w:val="000000"/>
          <w:spacing w:val="0"/>
          <w:w w:val="100"/>
          <w:position w:val="0"/>
          <w:sz w:val="18"/>
          <w:szCs w:val="18"/>
        </w:rPr>
        <w:t>IT</w:t>
      </w:r>
      <w:r>
        <w:rPr>
          <w:color w:val="000000"/>
          <w:spacing w:val="0"/>
          <w:w w:val="100"/>
          <w:position w:val="0"/>
        </w:rPr>
        <w:t>信息产品服务公司到科技云生态企业的转变奠定基础。</w:t>
      </w:r>
    </w:p>
    <w:p>
      <w:pPr>
        <w:pStyle w:val="Style15"/>
        <w:keepNext w:val="0"/>
        <w:keepLines w:val="0"/>
        <w:widowControl w:val="0"/>
        <w:shd w:val="clear" w:color="auto" w:fill="auto"/>
        <w:tabs>
          <w:tab w:pos="714" w:val="left"/>
        </w:tabs>
        <w:bidi w:val="0"/>
        <w:spacing w:before="0" w:after="0"/>
        <w:ind w:left="0" w:right="0" w:firstLine="360"/>
        <w:jc w:val="both"/>
      </w:pPr>
      <w:bookmarkStart w:id="76" w:name="bookmark76"/>
      <w:r>
        <w:rPr>
          <w:rFonts w:ascii="Times New Roman" w:eastAsia="Times New Roman" w:hAnsi="Times New Roman" w:cs="Times New Roman"/>
          <w:color w:val="000000"/>
          <w:spacing w:val="0"/>
          <w:w w:val="100"/>
          <w:position w:val="0"/>
        </w:rPr>
        <w:t>5</w:t>
      </w:r>
      <w:bookmarkEnd w:id="76"/>
      <w:r>
        <w:rPr>
          <w:color w:val="000000"/>
          <w:spacing w:val="0"/>
          <w:w w:val="100"/>
          <w:position w:val="0"/>
        </w:rPr>
        <w:t>、</w:t>
        <w:tab/>
        <w:t>相关政策</w:t>
      </w:r>
    </w:p>
    <w:p>
      <w:pPr>
        <w:pStyle w:val="Style15"/>
        <w:keepNext w:val="0"/>
        <w:keepLines w:val="0"/>
        <w:widowControl w:val="0"/>
        <w:pBdr>
          <w:bottom w:val="single" w:sz="4" w:space="0" w:color="auto"/>
        </w:pBdr>
        <w:shd w:val="clear" w:color="auto" w:fill="auto"/>
        <w:bidi w:val="0"/>
        <w:spacing w:before="0" w:after="140" w:line="240" w:lineRule="auto"/>
        <w:ind w:left="0" w:right="0" w:firstLine="0"/>
        <w:jc w:val="center"/>
      </w:pPr>
      <w:r>
        <w:rPr>
          <w:b/>
          <w:bCs/>
          <w:color w:val="000000"/>
          <w:spacing w:val="0"/>
          <w:w w:val="100"/>
          <w:position w:val="0"/>
        </w:rPr>
        <w:t>医卫信息化行业政策</w:t>
      </w:r>
    </w:p>
    <w:p>
      <w:pPr>
        <w:pStyle w:val="Style15"/>
        <w:keepNext w:val="0"/>
        <w:keepLines w:val="0"/>
        <w:widowControl w:val="0"/>
        <w:shd w:val="clear" w:color="auto" w:fill="auto"/>
        <w:bidi w:val="0"/>
        <w:spacing w:before="0" w:after="100" w:line="130" w:lineRule="exact"/>
        <w:ind w:left="2340" w:right="0" w:firstLine="0"/>
        <w:jc w:val="left"/>
      </w:pPr>
      <w:r>
        <w:rPr>
          <w:color w:val="000000"/>
          <w:spacing w:val="0"/>
          <w:w w:val="100"/>
          <w:position w:val="0"/>
        </w:rPr>
        <w:t>《电子病历系统应用水平分级评价工作规程和专家管理办法》，提出对电子病历应用</w:t>
      </w:r>
    </w:p>
    <w:p>
      <w:pPr>
        <w:pStyle w:val="Style15"/>
        <w:keepNext w:val="0"/>
        <w:keepLines w:val="0"/>
        <w:widowControl w:val="0"/>
        <w:shd w:val="clear" w:color="auto" w:fill="auto"/>
        <w:bidi w:val="0"/>
        <w:spacing w:before="0" w:after="0" w:line="130" w:lineRule="exact"/>
        <w:ind w:left="760" w:right="0"/>
        <w:jc w:val="both"/>
      </w:pPr>
      <w:r>
        <w:rPr>
          <w:color w:val="000000"/>
          <w:spacing w:val="0"/>
          <w:w w:val="100"/>
          <w:position w:val="0"/>
        </w:rPr>
        <w:t>一 鼻壬水平</w:t>
      </w:r>
      <w:r>
        <w:rPr>
          <w:rFonts w:ascii="Times New Roman" w:eastAsia="Times New Roman" w:hAnsi="Times New Roman" w:cs="Times New Roman"/>
          <w:color w:val="000000"/>
          <w:spacing w:val="0"/>
          <w:w w:val="100"/>
          <w:position w:val="0"/>
        </w:rPr>
        <w:t>0-4</w:t>
      </w:r>
      <w:r>
        <w:rPr>
          <w:color w:val="000000"/>
          <w:spacing w:val="0"/>
          <w:w w:val="100"/>
          <w:position w:val="0"/>
        </w:rPr>
        <w:t>级的医院每年度进行监督抽查，不合格者取消评价结果；不合格率超过</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 卫健委</w:t>
      </w:r>
    </w:p>
    <w:p>
      <w:pPr>
        <w:pStyle w:val="Style15"/>
        <w:keepNext w:val="0"/>
        <w:keepLines w:val="0"/>
        <w:widowControl w:val="0"/>
        <w:shd w:val="clear" w:color="auto" w:fill="auto"/>
        <w:bidi w:val="0"/>
        <w:spacing w:before="0" w:after="100" w:line="130" w:lineRule="exact"/>
        <w:ind w:left="2340" w:right="0" w:firstLine="0"/>
        <w:jc w:val="left"/>
      </w:pPr>
      <w:r>
        <w:rPr>
          <w:color w:val="000000"/>
          <w:spacing w:val="0"/>
          <w:w w:val="100"/>
          <w:position w:val="0"/>
        </w:rPr>
        <w:t>驳回该年度该省全部审核结果。每年对既往通过</w:t>
      </w:r>
      <w:r>
        <w:rPr>
          <w:rFonts w:ascii="Times New Roman" w:eastAsia="Times New Roman" w:hAnsi="Times New Roman" w:cs="Times New Roman"/>
          <w:color w:val="000000"/>
          <w:spacing w:val="0"/>
          <w:w w:val="100"/>
          <w:position w:val="0"/>
        </w:rPr>
        <w:t>5</w:t>
      </w:r>
      <w:r>
        <w:rPr>
          <w:color w:val="000000"/>
          <w:spacing w:val="0"/>
          <w:w w:val="100"/>
          <w:position w:val="0"/>
        </w:rPr>
        <w:t>级以上的医院进行监督抽查，不合</w:t>
      </w:r>
    </w:p>
    <w:p>
      <w:pPr>
        <w:pStyle w:val="Style15"/>
        <w:keepNext w:val="0"/>
        <w:keepLines w:val="0"/>
        <w:widowControl w:val="0"/>
        <w:pBdr>
          <w:bottom w:val="single" w:sz="4" w:space="0" w:color="auto"/>
        </w:pBdr>
        <w:shd w:val="clear" w:color="auto" w:fill="auto"/>
        <w:bidi w:val="0"/>
        <w:spacing w:before="0" w:after="100" w:line="130" w:lineRule="exact"/>
        <w:ind w:left="2340" w:right="0" w:firstLine="0"/>
        <w:jc w:val="left"/>
      </w:pPr>
      <w:r>
        <w:rPr>
          <w:color w:val="000000"/>
          <w:spacing w:val="0"/>
          <w:w w:val="100"/>
          <w:position w:val="0"/>
        </w:rPr>
        <w:t>格的取消结果。</w:t>
      </w:r>
    </w:p>
    <w:p>
      <w:pPr>
        <w:pStyle w:val="Style15"/>
        <w:keepNext w:val="0"/>
        <w:keepLines w:val="0"/>
        <w:widowControl w:val="0"/>
        <w:shd w:val="clear" w:color="auto" w:fill="auto"/>
        <w:tabs>
          <w:tab w:pos="2321" w:val="left"/>
        </w:tabs>
        <w:bidi w:val="0"/>
        <w:spacing w:before="0" w:after="0" w:line="240" w:lineRule="auto"/>
        <w:ind w:left="1420" w:right="0" w:firstLine="0"/>
        <w:jc w:val="left"/>
      </w:pPr>
      <w:r>
        <w:rPr>
          <w:color w:val="000000"/>
          <w:spacing w:val="0"/>
          <w:w w:val="100"/>
          <w:position w:val="0"/>
        </w:rPr>
        <w:t>二土，口</w:t>
        <w:tab/>
        <w:t>《中华人民共和国国民经济和社会发展第十四个五年规划和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w:t>
      </w:r>
    </w:p>
    <w:p>
      <w:pPr>
        <w:pStyle w:val="Style15"/>
        <w:keepNext w:val="0"/>
        <w:keepLines w:val="0"/>
        <w:widowControl w:val="0"/>
        <w:shd w:val="clear" w:color="auto" w:fill="auto"/>
        <w:bidi w:val="0"/>
        <w:spacing w:before="0" w:after="0" w:line="240" w:lineRule="auto"/>
        <w:ind w:left="1420" w:right="0" w:firstLine="0"/>
        <w:jc w:val="both"/>
      </w:pPr>
      <w:r>
        <w:rPr>
          <w:color w:val="000000"/>
          <w:spacing w:val="0"/>
          <w:w w:val="100"/>
          <w:position w:val="0"/>
        </w:rPr>
        <w:t>中央人民政</w:t>
      </w:r>
    </w:p>
    <w:p>
      <w:pPr>
        <w:pStyle w:val="Style15"/>
        <w:keepNext w:val="0"/>
        <w:keepLines w:val="0"/>
        <w:widowControl w:val="0"/>
        <w:shd w:val="clear" w:color="auto" w:fill="auto"/>
        <w:tabs>
          <w:tab w:pos="2321" w:val="left"/>
        </w:tabs>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tab/>
        <w:t>其中第四十四章从构建强大公共卫生体系、深化医药卫生体制改革、健全全民医保制</w:t>
      </w:r>
    </w:p>
    <w:p>
      <w:pPr>
        <w:pStyle w:val="Style1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府</w:t>
      </w:r>
    </w:p>
    <w:p>
      <w:pPr>
        <w:pStyle w:val="Style15"/>
        <w:keepNext w:val="0"/>
        <w:keepLines w:val="0"/>
        <w:widowControl w:val="0"/>
        <w:pBdr>
          <w:bottom w:val="single" w:sz="4" w:space="0" w:color="auto"/>
        </w:pBdr>
        <w:shd w:val="clear" w:color="auto" w:fill="auto"/>
        <w:bidi w:val="0"/>
        <w:spacing w:before="0" w:after="100" w:line="240" w:lineRule="auto"/>
        <w:ind w:left="2340" w:right="0" w:firstLine="0"/>
        <w:jc w:val="left"/>
      </w:pPr>
      <w:r>
        <w:rPr>
          <w:color w:val="000000"/>
          <w:spacing w:val="0"/>
          <w:w w:val="100"/>
          <w:position w:val="0"/>
        </w:rPr>
        <w:t>度、推动中医药传承创新等六方面对“全面推进健康中国建设”提出具体目标。</w:t>
      </w:r>
    </w:p>
    <w:p>
      <w:pPr>
        <w:pStyle w:val="Style15"/>
        <w:keepNext w:val="0"/>
        <w:keepLines w:val="0"/>
        <w:widowControl w:val="0"/>
        <w:shd w:val="clear" w:color="auto" w:fill="auto"/>
        <w:bidi w:val="0"/>
        <w:spacing w:before="0" w:after="100" w:line="240" w:lineRule="auto"/>
        <w:ind w:left="0" w:right="0" w:firstLine="7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年国务院《关于推动公立医院高质量发展的意见》从六个方面部署了推动公立医院高质量发展</w:t>
      </w:r>
      <w:r>
        <w:br w:type="page"/>
      </w:r>
    </w:p>
    <w:tbl>
      <w:tblPr>
        <w:tblOverlap w:val="never"/>
        <w:jc w:val="center"/>
        <w:tblLayout w:type="fixed"/>
      </w:tblPr>
      <w:tblGrid>
        <w:gridCol w:w="1493"/>
        <w:gridCol w:w="6739"/>
      </w:tblGrid>
      <w:tr>
        <w:trPr>
          <w:trHeight w:val="1555" w:hRule="exact"/>
        </w:trPr>
        <w:tc>
          <w:tcPr>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的重点任务。一是构建公立医院高质量发展新体系，二是引领公立医院高质量发展新 趋势，三是提升公立医院高质量发展新效能，四是激活公立医院高质量发展新动力， 五是建设公立医院高质量发展新文化，六是坚持和加强党对公立医院的全面领导。</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《深化医药卫生体制改革</w:t>
            </w:r>
            <w:r>
              <w:rPr>
                <w:rFonts w:ascii="Times New Roman" w:eastAsia="Times New Roman" w:hAnsi="Times New Roman" w:cs="Times New Roman"/>
                <w:color w:val="000000"/>
                <w:spacing w:val="0"/>
                <w:w w:val="100"/>
                <w:position w:val="0"/>
              </w:rPr>
              <w:t>2021</w:t>
            </w:r>
            <w:r>
              <w:rPr>
                <w:color w:val="000000"/>
                <w:spacing w:val="0"/>
                <w:w w:val="100"/>
                <w:position w:val="0"/>
              </w:rPr>
              <w:t>年重点工作任务》，提到推进全民健康信息化建，制定 全国医疗卫生机构医疗健康信息互通共享实施方案，破除信息壁垒，促进数据共享互</w:t>
            </w:r>
          </w:p>
        </w:tc>
      </w:tr>
      <w:tr>
        <w:trPr>
          <w:trHeight w:val="89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 国务院</w:t>
            </w:r>
          </w:p>
        </w:tc>
        <w:tc>
          <w:tcPr>
            <w:tcBorders>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认。加强智慧医院建设，推动人工智能、第五代移动通信</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等新技术应用；推进 医保支付方式改革。推进按疾病诊断相关分组付费、按病种分值付费试点，促进精细 管理，适时总结经验并向全国推广。</w:t>
            </w:r>
          </w:p>
        </w:tc>
      </w:tr>
    </w:tbl>
    <w:p>
      <w:pPr>
        <w:widowControl w:val="0"/>
        <w:spacing w:after="119" w:line="1" w:lineRule="exact"/>
      </w:pPr>
    </w:p>
    <w:p>
      <w:pPr>
        <w:pStyle w:val="Style15"/>
        <w:keepNext w:val="0"/>
        <w:keepLines w:val="0"/>
        <w:widowControl w:val="0"/>
        <w:pBdr>
          <w:top w:val="single" w:sz="4" w:space="0" w:color="auto"/>
        </w:pBdr>
        <w:shd w:val="clear" w:color="auto" w:fill="auto"/>
        <w:tabs>
          <w:tab w:pos="2447" w:val="left"/>
        </w:tabs>
        <w:bidi w:val="0"/>
        <w:spacing w:before="0" w:after="0" w:line="161" w:lineRule="exact"/>
        <w:ind w:left="1420" w:right="0" w:firstLine="0"/>
        <w:jc w:val="left"/>
      </w:pPr>
      <w:r>
        <w:rPr>
          <w:color w:val="000000"/>
          <w:spacing w:val="0"/>
          <w:w w:val="100"/>
          <w:position w:val="0"/>
        </w:rPr>
        <w:t>心，壬</w:t>
        <w:tab/>
        <w:t>《“十四五”优质高效医疗卫生服务体系建设实施方案》，推动打造国际先进水平</w:t>
      </w:r>
    </w:p>
    <w:p>
      <w:pPr>
        <w:pStyle w:val="Style15"/>
        <w:keepNext w:val="0"/>
        <w:keepLines w:val="0"/>
        <w:widowControl w:val="0"/>
        <w:shd w:val="clear" w:color="auto" w:fill="auto"/>
        <w:bidi w:val="0"/>
        <w:spacing w:before="0" w:after="0" w:line="161" w:lineRule="exact"/>
        <w:ind w:left="1420" w:right="0" w:firstLine="0"/>
        <w:jc w:val="left"/>
      </w:pPr>
      <w:r>
        <w:rPr>
          <w:color w:val="000000"/>
          <w:spacing w:val="0"/>
          <w:w w:val="100"/>
          <w:position w:val="0"/>
        </w:rPr>
        <w:t>发改委、卫</w:t>
      </w:r>
    </w:p>
    <w:p>
      <w:pPr>
        <w:pStyle w:val="Style15"/>
        <w:keepNext w:val="0"/>
        <w:keepLines w:val="0"/>
        <w:widowControl w:val="0"/>
        <w:shd w:val="clear" w:color="auto" w:fill="auto"/>
        <w:bidi w:val="0"/>
        <w:spacing w:before="0" w:after="0" w:line="161" w:lineRule="exact"/>
        <w:ind w:left="1420" w:right="0" w:firstLine="0"/>
        <w:jc w:val="both"/>
      </w:pPr>
      <w:r>
        <w:rPr>
          <w:color w:val="000000"/>
          <w:spacing w:val="0"/>
          <w:w w:val="100"/>
          <w:position w:val="0"/>
        </w:rPr>
        <w:t>鼻壬 二心的智慧医院，建设重大疾病数据中心，推进信息互联互通、互认共享、数据规范以及 健委、中医</w:t>
      </w:r>
    </w:p>
    <w:p>
      <w:pPr>
        <w:pStyle w:val="Style15"/>
        <w:keepNext w:val="0"/>
        <w:keepLines w:val="0"/>
        <w:widowControl w:val="0"/>
        <w:shd w:val="clear" w:color="auto" w:fill="auto"/>
        <w:bidi w:val="0"/>
        <w:spacing w:before="0" w:after="0" w:line="161" w:lineRule="exact"/>
        <w:ind w:left="1420" w:right="0" w:hanging="6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年口占数据整合管理，为医院高质量发展提供有力支撑。深度运用</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人工智能等技术，打 药局、疾病</w:t>
      </w:r>
    </w:p>
    <w:p>
      <w:pPr>
        <w:pStyle w:val="Style15"/>
        <w:keepNext w:val="0"/>
        <w:keepLines w:val="0"/>
        <w:widowControl w:val="0"/>
        <w:shd w:val="clear" w:color="auto" w:fill="auto"/>
        <w:bidi w:val="0"/>
        <w:spacing w:before="0" w:after="80" w:line="240" w:lineRule="auto"/>
        <w:ind w:left="2340" w:right="0" w:firstLine="0"/>
        <w:jc w:val="left"/>
      </w:pPr>
      <w:r>
        <w:rPr>
          <w:color w:val="000000"/>
          <w:spacing w:val="0"/>
          <w:w w:val="100"/>
          <w:position w:val="0"/>
        </w:rPr>
        <w:t>造国际先进水平的智慧医院，建设重大疾病数据中心，为医院高质量发展提供有力支</w:t>
      </w:r>
    </w:p>
    <w:tbl>
      <w:tblPr>
        <w:tblOverlap w:val="never"/>
        <w:jc w:val="center"/>
        <w:tblLayout w:type="fixed"/>
      </w:tblPr>
      <w:tblGrid>
        <w:gridCol w:w="1493"/>
        <w:gridCol w:w="6739"/>
      </w:tblGrid>
      <w:tr>
        <w:trPr>
          <w:trHeight w:val="1411"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年卫健委</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80" w:line="294" w:lineRule="exact"/>
              <w:ind w:left="0" w:right="0" w:firstLine="0"/>
              <w:jc w:val="both"/>
            </w:pPr>
            <w:r>
              <w:rPr>
                <w:color w:val="000000"/>
                <w:spacing w:val="0"/>
                <w:w w:val="100"/>
                <w:position w:val="0"/>
              </w:rPr>
              <w:t>撑。</w:t>
            </w:r>
          </w:p>
          <w:p>
            <w:pPr>
              <w:pStyle w:val="Style2"/>
              <w:keepNext w:val="0"/>
              <w:keepLines w:val="0"/>
              <w:widowControl w:val="0"/>
              <w:shd w:val="clear" w:color="auto" w:fill="auto"/>
              <w:bidi w:val="0"/>
              <w:spacing w:before="0" w:after="0" w:line="294" w:lineRule="exact"/>
              <w:ind w:left="0" w:right="0" w:firstLine="0"/>
              <w:jc w:val="both"/>
              <w:rPr>
                <w:sz w:val="12"/>
                <w:szCs w:val="12"/>
              </w:rPr>
            </w:pPr>
            <w:r>
              <w:rPr>
                <w:color w:val="000000"/>
                <w:spacing w:val="0"/>
                <w:w w:val="100"/>
                <w:position w:val="0"/>
                <w:sz w:val="18"/>
                <w:szCs w:val="18"/>
              </w:rPr>
              <w:t>《“千县工程”县医院综合能力提升工作方案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2021-2025</w:t>
            </w:r>
            <w:r>
              <w:rPr>
                <w:color w:val="000000"/>
                <w:spacing w:val="0"/>
                <w:w w:val="100"/>
                <w:position w:val="0"/>
                <w:sz w:val="18"/>
                <w:szCs w:val="18"/>
              </w:rPr>
              <w:t xml:space="preserve">年）》，提到依托信息数据 中心在县域医共体内逐步实现电子健康档案和电子病历的连续记录，医疗服务、公共 卫生服务、医疗保障和综合管理系统的信息共享，并保障信息系统运行安全和网络安 </w:t>
            </w:r>
            <w:r>
              <w:rPr>
                <w:rFonts w:ascii="SimHei" w:eastAsia="SimHei" w:hAnsi="SimHei" w:cs="SimHei"/>
                <w:color w:val="000000"/>
                <w:spacing w:val="0"/>
                <w:w w:val="100"/>
                <w:position w:val="0"/>
                <w:sz w:val="12"/>
                <w:szCs w:val="12"/>
                <w:vertAlign w:val="subscript"/>
              </w:rPr>
              <w:t>全</w:t>
            </w:r>
          </w:p>
        </w:tc>
      </w:tr>
      <w:tr>
        <w:trPr>
          <w:trHeight w:val="1416" w:hRule="exact"/>
        </w:trPr>
        <w:tc>
          <w:tcPr>
            <w:tcBorders>
              <w:left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年卫健委</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《国家癌症医学中心设置标准》，对开展医疗联合体建设、远程医疗服务、信息化建 设等方面提出要求。</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《“十四五”医疗装备产业发展规划》中提到，加快智能医疗装备发展：聚焦智慧医 院建设需求；推动</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医疗健康”新模式发展，推动运用</w:t>
            </w:r>
            <w:r>
              <w:rPr>
                <w:rFonts w:ascii="Times New Roman" w:eastAsia="Times New Roman" w:hAnsi="Times New Roman" w:cs="Times New Roman"/>
                <w:color w:val="000000"/>
                <w:spacing w:val="0"/>
                <w:w w:val="100"/>
                <w:position w:val="0"/>
              </w:rPr>
              <w:t>5G</w:t>
            </w:r>
            <w:r>
              <w:rPr>
                <w:color w:val="000000"/>
                <w:spacing w:val="0"/>
                <w:w w:val="100"/>
                <w:position w:val="0"/>
              </w:rPr>
              <w:t>改造提升医疗卫生健康</w:t>
            </w:r>
          </w:p>
        </w:tc>
      </w:tr>
    </w:tbl>
    <w:p>
      <w:pPr>
        <w:pStyle w:val="Style15"/>
        <w:keepNext w:val="0"/>
        <w:keepLines w:val="0"/>
        <w:widowControl w:val="0"/>
        <w:shd w:val="clear" w:color="auto" w:fill="auto"/>
        <w:bidi w:val="0"/>
        <w:spacing w:before="0" w:after="80" w:line="307" w:lineRule="exact"/>
        <w:ind w:left="740" w:right="0" w:firstLine="680"/>
        <w:jc w:val="left"/>
      </w:pPr>
      <w:r>
        <w:rPr>
          <w:color w:val="000000"/>
          <w:spacing w:val="0"/>
          <w:w w:val="100"/>
          <w:position w:val="0"/>
        </w:rPr>
        <w:t xml:space="preserve">卫健委、工网络基础设施，搭建新型数字基础设施和医疗平台；推进居家社区、医养康养一体化 </w:t>
      </w:r>
      <w:r>
        <w:rPr>
          <w:rFonts w:ascii="Times New Roman" w:eastAsia="Times New Roman" w:hAnsi="Times New Roman" w:cs="Times New Roman"/>
          <w:color w:val="000000"/>
          <w:spacing w:val="0"/>
          <w:w w:val="100"/>
          <w:position w:val="0"/>
        </w:rPr>
        <w:t>2022</w:t>
      </w:r>
      <w:r>
        <w:rPr>
          <w:color w:val="000000"/>
          <w:spacing w:val="0"/>
          <w:w w:val="100"/>
          <w:position w:val="0"/>
        </w:rPr>
        <w:t>年信部等十部发展，探索在办公场所、公共场所、家庭等健康建筑内嵌入基础医疗设施装备，建立</w:t>
      </w:r>
    </w:p>
    <w:tbl>
      <w:tblPr>
        <w:tblOverlap w:val="never"/>
        <w:jc w:val="center"/>
        <w:tblLayout w:type="fixed"/>
      </w:tblPr>
      <w:tblGrid>
        <w:gridCol w:w="1493"/>
        <w:gridCol w:w="6739"/>
      </w:tblGrid>
      <w:tr>
        <w:trPr>
          <w:trHeight w:val="123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门</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健全重点人群健康信息的自动感知、存储传输、智能计算、评估预警等全程管理体系， 实现个人健康实时监测与评估、疾病预警、慢病筛查、主动干预；建立健全医疗网络 与信息安全保护体系，强化电子健康档案、病历、处方等安全管理。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《“十四五”公共服务规划》，在医疗数字化方面，明确积极发展智慧医疗，鼓励医</w:t>
            </w:r>
          </w:p>
        </w:tc>
      </w:tr>
      <w:tr>
        <w:trPr>
          <w:trHeight w:val="1632" w:hRule="exact"/>
        </w:trPr>
        <w:tc>
          <w:tcPr>
            <w:tcBorders>
              <w:left w:val="single" w:sz="4"/>
            </w:tcBorders>
            <w:shd w:val="clear" w:color="auto" w:fill="FFFFFF"/>
            <w:vAlign w:val="top"/>
          </w:tcPr>
          <w:p>
            <w:pPr>
              <w:pStyle w:val="Style2"/>
              <w:keepNext w:val="0"/>
              <w:keepLines w:val="0"/>
              <w:widowControl w:val="0"/>
              <w:shd w:val="clear" w:color="auto" w:fill="auto"/>
              <w:tabs>
                <w:tab w:pos="763" w:val="left"/>
              </w:tabs>
              <w:bidi w:val="0"/>
              <w:spacing w:before="18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tab/>
              <w:t>发改委</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疗机构提升信息化、智能化水平，支持健康医疗大数据资源开发应用。丰富商业健康 保险产品。推动检验检查结果互认。同时，推动数字化服务普惠应用与服务数据互联 互通，推动医疗卫生、养老等公共服务领域和政府部门数据有序开放。</w:t>
            </w:r>
          </w:p>
          <w:p>
            <w:pPr>
              <w:pStyle w:val="Style2"/>
              <w:keepNext w:val="0"/>
              <w:keepLines w:val="0"/>
              <w:widowControl w:val="0"/>
              <w:shd w:val="clear" w:color="auto" w:fill="auto"/>
              <w:bidi w:val="0"/>
              <w:spacing w:before="0" w:after="0" w:line="310" w:lineRule="exact"/>
              <w:ind w:left="1660" w:right="0" w:firstLine="0"/>
              <w:jc w:val="left"/>
            </w:pPr>
            <w:r>
              <w:rPr>
                <w:b/>
                <w:bCs/>
                <w:color w:val="000000"/>
                <w:spacing w:val="0"/>
                <w:w w:val="100"/>
                <w:position w:val="0"/>
              </w:rPr>
              <w:t>医卫物联网、互联网业务政策</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《互联网诊疗监管细则（征求意见稿）》，涵盖互联网诊疗的医疗机构监管、人员监</w:t>
            </w:r>
          </w:p>
        </w:tc>
      </w:tr>
      <w:tr>
        <w:trPr>
          <w:trHeight w:val="97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年卫健委</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管、业务监管、质量安全监管、监管责任等多个方面，提高行业准入门槛，推动互联 网诊疗服务统一标准的建立和数据互联互通、数据共享等功能。</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《医院智慧管理分级评估标准体系（试行）》，指出医院智慧管理是“三位一体”智</w:t>
            </w:r>
          </w:p>
        </w:tc>
      </w:tr>
      <w:tr>
        <w:trPr>
          <w:trHeight w:val="123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 卫建委</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慧医院建设的重要组成部分。文件针对医院管理的核心内容，从智慧管理的功能和效 果两个方面进行评估，评估结果分为</w:t>
            </w:r>
            <w:r>
              <w:rPr>
                <w:rFonts w:ascii="Times New Roman" w:eastAsia="Times New Roman" w:hAnsi="Times New Roman" w:cs="Times New Roman"/>
                <w:color w:val="000000"/>
                <w:spacing w:val="0"/>
                <w:w w:val="100"/>
                <w:position w:val="0"/>
              </w:rPr>
              <w:t>0</w:t>
            </w:r>
            <w:r>
              <w:rPr>
                <w:color w:val="000000"/>
                <w:spacing w:val="0"/>
                <w:w w:val="100"/>
                <w:position w:val="0"/>
              </w:rPr>
              <w:t>级至</w:t>
            </w:r>
            <w:r>
              <w:rPr>
                <w:rFonts w:ascii="Times New Roman" w:eastAsia="Times New Roman" w:hAnsi="Times New Roman" w:cs="Times New Roman"/>
                <w:color w:val="000000"/>
                <w:spacing w:val="0"/>
                <w:w w:val="100"/>
                <w:position w:val="0"/>
              </w:rPr>
              <w:t>5</w:t>
            </w:r>
            <w:r>
              <w:rPr>
                <w:color w:val="000000"/>
                <w:spacing w:val="0"/>
                <w:w w:val="100"/>
                <w:position w:val="0"/>
              </w:rPr>
              <w:t>级。</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《公立医院高质量发展促进行动</w:t>
            </w:r>
            <w:r>
              <w:rPr>
                <w:color w:val="000000"/>
                <w:spacing w:val="0"/>
                <w:w w:val="100"/>
                <w:position w:val="0"/>
              </w:rPr>
              <w:t>（</w:t>
            </w:r>
            <w:r>
              <w:rPr>
                <w:rFonts w:ascii="Times New Roman" w:eastAsia="Times New Roman" w:hAnsi="Times New Roman" w:cs="Times New Roman"/>
                <w:color w:val="000000"/>
                <w:spacing w:val="0"/>
                <w:w w:val="100"/>
                <w:position w:val="0"/>
              </w:rPr>
              <w:t>2021-2025</w:t>
            </w:r>
            <w:r>
              <w:rPr>
                <w:color w:val="000000"/>
                <w:spacing w:val="0"/>
                <w:w w:val="100"/>
                <w:position w:val="0"/>
              </w:rPr>
              <w:t>年）》，要求将信息化作为医院基本建设 的优先领域，建设电子病历、智慧服务、智慧管理''三位一体”的智慧医院信息系统，</w:t>
            </w:r>
          </w:p>
        </w:tc>
      </w:tr>
    </w:tbl>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653" w:right="0" w:firstLine="0"/>
        <w:jc w:val="left"/>
      </w:pPr>
      <w:r>
        <w:rPr>
          <w:b w:val="0"/>
          <w:bCs w:val="0"/>
          <w:color w:val="000000"/>
          <w:spacing w:val="0"/>
          <w:w w:val="100"/>
          <w:position w:val="0"/>
        </w:rPr>
        <w:t>卫健委、中完善智慧医院分级评估顶层设计，鼓励有条件的公立医院加快应用智能可穿戴设备、</w:t>
      </w:r>
    </w:p>
    <w:tbl>
      <w:tblPr>
        <w:tblOverlap w:val="never"/>
        <w:jc w:val="center"/>
        <w:tblLayout w:type="fixed"/>
      </w:tblPr>
      <w:tblGrid>
        <w:gridCol w:w="1402"/>
        <w:gridCol w:w="6830"/>
      </w:tblGrid>
      <w:tr>
        <w:trPr>
          <w:trHeight w:val="100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医药局</w:t>
            </w:r>
          </w:p>
        </w:tc>
        <w:tc>
          <w:tcPr>
            <w:tcBorders>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180" w:right="0" w:firstLine="20"/>
              <w:jc w:val="both"/>
            </w:pPr>
            <w:r>
              <w:rPr>
                <w:color w:val="000000"/>
                <w:spacing w:val="0"/>
                <w:w w:val="100"/>
                <w:position w:val="0"/>
              </w:rPr>
              <w:t xml:space="preserve">人工智能辅助诊断和治疗系统等智慧服务软硬件，提高医疗服务的智慧化、个性化水 平，推进医院信息化建设标准化、规范化水平，落实国家和行业信息化标准。提出到 </w:t>
            </w:r>
            <w:r>
              <w:rPr>
                <w:rFonts w:ascii="Times New Roman" w:eastAsia="Times New Roman" w:hAnsi="Times New Roman" w:cs="Times New Roman"/>
                <w:color w:val="000000"/>
                <w:spacing w:val="0"/>
                <w:w w:val="100"/>
                <w:position w:val="0"/>
              </w:rPr>
              <w:t>2022</w:t>
            </w:r>
            <w:r>
              <w:rPr>
                <w:color w:val="000000"/>
                <w:spacing w:val="0"/>
                <w:w w:val="100"/>
                <w:position w:val="0"/>
              </w:rPr>
              <w:t>年，全国二级和三级公立医院电子病历应用水平平均级别分别达到</w:t>
            </w:r>
            <w:r>
              <w:rPr>
                <w:rFonts w:ascii="Times New Roman" w:eastAsia="Times New Roman" w:hAnsi="Times New Roman" w:cs="Times New Roman"/>
                <w:color w:val="000000"/>
                <w:spacing w:val="0"/>
                <w:w w:val="100"/>
                <w:position w:val="0"/>
              </w:rPr>
              <w:t>3</w:t>
            </w:r>
            <w:r>
              <w:rPr>
                <w:color w:val="000000"/>
                <w:spacing w:val="0"/>
                <w:w w:val="100"/>
                <w:position w:val="0"/>
              </w:rPr>
              <w:t>级和</w:t>
            </w:r>
            <w:r>
              <w:rPr>
                <w:rFonts w:ascii="Times New Roman" w:eastAsia="Times New Roman" w:hAnsi="Times New Roman" w:cs="Times New Roman"/>
                <w:color w:val="000000"/>
                <w:spacing w:val="0"/>
                <w:w w:val="100"/>
                <w:position w:val="0"/>
              </w:rPr>
              <w:t>4</w:t>
            </w:r>
            <w:r>
              <w:rPr>
                <w:color w:val="000000"/>
                <w:spacing w:val="0"/>
                <w:w w:val="100"/>
                <w:position w:val="0"/>
              </w:rPr>
              <w:t>级，智</w:t>
            </w:r>
          </w:p>
        </w:tc>
      </w:tr>
    </w:tbl>
    <w:p>
      <w:pPr>
        <w:widowControl w:val="0"/>
        <w:spacing w:line="1" w:lineRule="exact"/>
      </w:pPr>
      <w:r>
        <w:br w:type="page"/>
      </w:r>
    </w:p>
    <w:tbl>
      <w:tblPr>
        <w:tblOverlap w:val="never"/>
        <w:jc w:val="center"/>
        <w:tblLayout w:type="fixed"/>
      </w:tblPr>
      <w:tblGrid>
        <w:gridCol w:w="8333"/>
      </w:tblGrid>
      <w:tr>
        <w:trPr>
          <w:trHeight w:val="974"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1660" w:right="0" w:firstLine="0"/>
              <w:jc w:val="both"/>
            </w:pPr>
            <w:r>
              <w:rPr>
                <w:color w:val="000000"/>
                <w:spacing w:val="0"/>
                <w:w w:val="100"/>
                <w:position w:val="0"/>
              </w:rPr>
              <w:t>慧服务平均级别力争达到</w:t>
            </w:r>
            <w:r>
              <w:rPr>
                <w:rFonts w:ascii="Times New Roman" w:eastAsia="Times New Roman" w:hAnsi="Times New Roman" w:cs="Times New Roman"/>
                <w:color w:val="000000"/>
                <w:spacing w:val="0"/>
                <w:w w:val="100"/>
                <w:position w:val="0"/>
              </w:rPr>
              <w:t>2</w:t>
            </w:r>
            <w:r>
              <w:rPr>
                <w:color w:val="000000"/>
                <w:spacing w:val="0"/>
                <w:w w:val="100"/>
                <w:position w:val="0"/>
              </w:rPr>
              <w:t>级和</w:t>
            </w:r>
            <w:r>
              <w:rPr>
                <w:rFonts w:ascii="Times New Roman" w:eastAsia="Times New Roman" w:hAnsi="Times New Roman" w:cs="Times New Roman"/>
                <w:color w:val="000000"/>
                <w:spacing w:val="0"/>
                <w:w w:val="100"/>
                <w:position w:val="0"/>
              </w:rPr>
              <w:t>3</w:t>
            </w:r>
            <w:r>
              <w:rPr>
                <w:color w:val="000000"/>
                <w:spacing w:val="0"/>
                <w:w w:val="100"/>
                <w:position w:val="0"/>
              </w:rPr>
              <w:t>级，智慧管理平均级别力争达到</w:t>
            </w:r>
            <w:r>
              <w:rPr>
                <w:rFonts w:ascii="Times New Roman" w:eastAsia="Times New Roman" w:hAnsi="Times New Roman" w:cs="Times New Roman"/>
                <w:color w:val="000000"/>
                <w:spacing w:val="0"/>
                <w:w w:val="100"/>
                <w:position w:val="0"/>
              </w:rPr>
              <w:t>1</w:t>
            </w:r>
            <w:r>
              <w:rPr>
                <w:color w:val="000000"/>
                <w:spacing w:val="0"/>
                <w:w w:val="100"/>
                <w:position w:val="0"/>
              </w:rPr>
              <w:t>级和</w:t>
            </w:r>
            <w:r>
              <w:rPr>
                <w:rFonts w:ascii="Times New Roman" w:eastAsia="Times New Roman" w:hAnsi="Times New Roman" w:cs="Times New Roman"/>
                <w:color w:val="000000"/>
                <w:spacing w:val="0"/>
                <w:w w:val="100"/>
                <w:position w:val="0"/>
              </w:rPr>
              <w:t>2</w:t>
            </w:r>
            <w:r>
              <w:rPr>
                <w:color w:val="000000"/>
                <w:spacing w:val="0"/>
                <w:w w:val="100"/>
                <w:position w:val="0"/>
              </w:rPr>
              <w:t>级，能够支撑 线上线下一体化的医疗服务新模式；至</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2025</w:t>
            </w:r>
            <w:r>
              <w:rPr>
                <w:color w:val="000000"/>
                <w:spacing w:val="0"/>
                <w:w w:val="100"/>
                <w:position w:val="0"/>
              </w:rPr>
              <w:t>年，建成一批发挥示范引领作用的智慧医 院，线上线下一体化医疗服务模式形成，医疗服务区域均衡性进一步增强。</w:t>
            </w:r>
          </w:p>
        </w:tc>
      </w:tr>
      <w:tr>
        <w:trPr>
          <w:trHeight w:val="128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1660" w:right="0" w:firstLine="0"/>
              <w:jc w:val="both"/>
            </w:pPr>
            <w:r>
              <w:rPr>
                <w:color w:val="000000"/>
                <w:spacing w:val="0"/>
                <w:w w:val="100"/>
                <w:position w:val="0"/>
              </w:rPr>
              <w:t>《“十四五"国家临床专科能力建设规划》，积极推动智慧医疗体系建设，加强人工</w:t>
            </w:r>
          </w:p>
          <w:p>
            <w:pPr>
              <w:pStyle w:val="Style2"/>
              <w:keepNext w:val="0"/>
              <w:keepLines w:val="0"/>
              <w:widowControl w:val="0"/>
              <w:shd w:val="clear" w:color="auto" w:fill="auto"/>
              <w:tabs>
                <w:tab w:pos="1128" w:val="left"/>
              </w:tabs>
              <w:bidi w:val="0"/>
              <w:spacing w:before="0" w:after="0" w:line="240" w:lineRule="auto"/>
              <w:ind w:left="0" w:right="0" w:firstLine="480"/>
              <w:jc w:val="both"/>
            </w:pPr>
            <w:r>
              <w:rPr>
                <w:rFonts w:ascii="SimHei" w:eastAsia="SimHei" w:hAnsi="SimHei" w:cs="SimHei"/>
                <w:i/>
                <w:iCs/>
                <w:color w:val="000000"/>
                <w:spacing w:val="0"/>
                <w:w w:val="100"/>
                <w:position w:val="0"/>
                <w:sz w:val="12"/>
                <w:szCs w:val="12"/>
              </w:rPr>
              <w:t>一</w:t>
            </w:r>
            <w:r>
              <w:rPr>
                <w:color w:val="000000"/>
                <w:spacing w:val="0"/>
                <w:w w:val="100"/>
                <w:position w:val="0"/>
              </w:rPr>
              <w:tab/>
              <w:t>鼻壬智能、传感技术在医疗行业的探索实践，推广“互联网+”医疗服务新模式，争取在</w:t>
            </w:r>
          </w:p>
          <w:p>
            <w:pPr>
              <w:pStyle w:val="Style2"/>
              <w:keepNext w:val="0"/>
              <w:keepLines w:val="0"/>
              <w:widowControl w:val="0"/>
              <w:shd w:val="clear" w:color="auto" w:fill="auto"/>
              <w:tabs>
                <w:tab w:pos="797"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tab/>
              <w:t>卫健委</w:t>
            </w:r>
          </w:p>
          <w:p>
            <w:pPr>
              <w:pStyle w:val="Style2"/>
              <w:keepNext w:val="0"/>
              <w:keepLines w:val="0"/>
              <w:widowControl w:val="0"/>
              <w:shd w:val="clear" w:color="auto" w:fill="auto"/>
              <w:bidi w:val="0"/>
              <w:spacing w:before="0" w:after="0" w:line="322" w:lineRule="exact"/>
              <w:ind w:left="1660" w:right="0" w:firstLine="0"/>
              <w:jc w:val="both"/>
            </w:pPr>
            <w:r>
              <w:rPr>
                <w:color w:val="000000"/>
                <w:spacing w:val="0"/>
                <w:w w:val="100"/>
                <w:position w:val="0"/>
              </w:rPr>
              <w:t>手术机器人、</w:t>
            </w:r>
            <w:r>
              <w:rPr>
                <w:rFonts w:ascii="Times New Roman" w:eastAsia="Times New Roman" w:hAnsi="Times New Roman" w:cs="Times New Roman"/>
                <w:color w:val="000000"/>
                <w:spacing w:val="0"/>
                <w:w w:val="100"/>
                <w:position w:val="0"/>
              </w:rPr>
              <w:t>3D</w:t>
            </w:r>
            <w:r>
              <w:rPr>
                <w:color w:val="000000"/>
                <w:spacing w:val="0"/>
                <w:w w:val="100"/>
                <w:position w:val="0"/>
              </w:rPr>
              <w:t>打印、新医学材料应用、计算机智能辅助诊疗、远程医疗等方面取得 积极进展。</w:t>
            </w:r>
          </w:p>
        </w:tc>
      </w:tr>
      <w:tr>
        <w:trPr>
          <w:trHeight w:val="97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1660" w:right="0" w:firstLine="0"/>
              <w:jc w:val="both"/>
            </w:pPr>
            <w:r>
              <w:rPr>
                <w:color w:val="000000"/>
                <w:spacing w:val="0"/>
                <w:w w:val="100"/>
                <w:position w:val="0"/>
              </w:rPr>
              <w:t>《关于印发</w:t>
            </w:r>
            <w:r>
              <w:rPr>
                <w:rFonts w:ascii="Times New Roman" w:eastAsia="Times New Roman" w:hAnsi="Times New Roman" w:cs="Times New Roman"/>
                <w:color w:val="000000"/>
                <w:spacing w:val="0"/>
                <w:w w:val="100"/>
                <w:position w:val="0"/>
              </w:rPr>
              <w:t>DRG/DIP</w:t>
            </w:r>
            <w:r>
              <w:rPr>
                <w:color w:val="000000"/>
                <w:spacing w:val="0"/>
                <w:w w:val="100"/>
                <w:position w:val="0"/>
              </w:rPr>
              <w:t>付费示范点名单的通知》，明确聚焦重点难点问题率先突破，着</w:t>
            </w:r>
          </w:p>
          <w:p>
            <w:pPr>
              <w:pStyle w:val="Style2"/>
              <w:keepNext w:val="0"/>
              <w:keepLines w:val="0"/>
              <w:widowControl w:val="0"/>
              <w:shd w:val="clear" w:color="auto" w:fill="auto"/>
              <w:tabs>
                <w:tab w:pos="797"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tab/>
              <w:t>医保局 力提高专业能力和信息化水平，推进实现</w:t>
            </w:r>
            <w:r>
              <w:rPr>
                <w:rFonts w:ascii="Times New Roman" w:eastAsia="Times New Roman" w:hAnsi="Times New Roman" w:cs="Times New Roman"/>
                <w:color w:val="000000"/>
                <w:spacing w:val="0"/>
                <w:w w:val="100"/>
                <w:position w:val="0"/>
              </w:rPr>
              <w:t>DRG/DIP</w:t>
            </w:r>
            <w:r>
              <w:rPr>
                <w:color w:val="000000"/>
                <w:spacing w:val="0"/>
                <w:w w:val="100"/>
                <w:position w:val="0"/>
              </w:rPr>
              <w:t>付费医院、病种全覆盖，促进</w:t>
            </w:r>
          </w:p>
          <w:p>
            <w:pPr>
              <w:pStyle w:val="Style2"/>
              <w:keepNext w:val="0"/>
              <w:keepLines w:val="0"/>
              <w:widowControl w:val="0"/>
              <w:shd w:val="clear" w:color="auto" w:fill="auto"/>
              <w:bidi w:val="0"/>
              <w:spacing w:before="0" w:after="80" w:line="240" w:lineRule="auto"/>
              <w:ind w:left="1660" w:right="0" w:firstLine="0"/>
              <w:jc w:val="left"/>
            </w:pPr>
            <w:r>
              <w:rPr>
                <w:rFonts w:ascii="Times New Roman" w:eastAsia="Times New Roman" w:hAnsi="Times New Roman" w:cs="Times New Roman"/>
                <w:color w:val="000000"/>
                <w:spacing w:val="0"/>
                <w:w w:val="100"/>
                <w:position w:val="0"/>
              </w:rPr>
              <w:t>DRG/DIP</w:t>
            </w:r>
            <w:r>
              <w:rPr>
                <w:color w:val="000000"/>
                <w:spacing w:val="0"/>
                <w:w w:val="100"/>
                <w:position w:val="0"/>
              </w:rPr>
              <w:t>改革在医疗机构顺利落地。</w:t>
            </w:r>
          </w:p>
        </w:tc>
      </w:tr>
      <w:tr>
        <w:trPr>
          <w:trHeight w:val="970"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722" w:val="left"/>
              </w:tabs>
              <w:bidi w:val="0"/>
              <w:spacing w:before="0" w:after="0" w:line="240" w:lineRule="auto"/>
              <w:ind w:left="0" w:right="0" w:firstLine="820"/>
              <w:jc w:val="both"/>
            </w:pPr>
            <w:r>
              <w:rPr>
                <w:color w:val="000000"/>
                <w:spacing w:val="0"/>
                <w:w w:val="100"/>
                <w:position w:val="0"/>
              </w:rPr>
              <w:t>―.土</w:t>
              <w:tab/>
              <w:t>《关于组织申报中央财政支持公立医院改革与高质量发展示范项目的通知》，明确公</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财政部、卫</w:t>
            </w:r>
          </w:p>
          <w:p>
            <w:pPr>
              <w:pStyle w:val="Style2"/>
              <w:keepNext w:val="0"/>
              <w:keepLines w:val="0"/>
              <w:widowControl w:val="0"/>
              <w:shd w:val="clear" w:color="auto" w:fill="auto"/>
              <w:tabs>
                <w:tab w:pos="936" w:val="left"/>
              </w:tabs>
              <w:bidi w:val="0"/>
              <w:spacing w:before="0" w:after="0" w:line="182"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tab/>
              <w:t>孔壬立医院改革与高质量发展示范项目主要聚焦三个方面：一是着力提升市县级公立医院</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健委</w:t>
            </w:r>
          </w:p>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诊疗能力；二是着力加强智慧医院建设；三是着力控制医疗费用不合理增长。</w:t>
            </w:r>
          </w:p>
        </w:tc>
      </w:tr>
      <w:tr>
        <w:trPr>
          <w:trHeight w:val="346"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医保业务政策</w:t>
            </w:r>
          </w:p>
        </w:tc>
      </w:tr>
      <w:tr>
        <w:trPr>
          <w:trHeight w:val="974"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1660" w:right="0" w:firstLine="0"/>
              <w:jc w:val="left"/>
            </w:pPr>
            <w:r>
              <w:rPr>
                <w:color w:val="000000"/>
                <w:spacing w:val="0"/>
                <w:w w:val="100"/>
                <w:position w:val="0"/>
              </w:rPr>
              <w:t>《关于印发按病种分值付费</w:t>
            </w:r>
            <w:r>
              <w:rPr>
                <w:color w:val="000000"/>
                <w:spacing w:val="0"/>
                <w:w w:val="100"/>
                <w:position w:val="0"/>
              </w:rPr>
              <w:t>（</w:t>
            </w:r>
            <w:r>
              <w:rPr>
                <w:rFonts w:ascii="Times New Roman" w:eastAsia="Times New Roman" w:hAnsi="Times New Roman" w:cs="Times New Roman"/>
                <w:color w:val="000000"/>
                <w:spacing w:val="0"/>
                <w:w w:val="100"/>
                <w:position w:val="0"/>
              </w:rPr>
              <w:t>DIP</w:t>
            </w:r>
            <w:r>
              <w:rPr>
                <w:color w:val="000000"/>
                <w:spacing w:val="0"/>
                <w:w w:val="100"/>
                <w:position w:val="0"/>
              </w:rPr>
              <w:t>）</w:t>
            </w:r>
            <w:r>
              <w:rPr>
                <w:color w:val="000000"/>
                <w:spacing w:val="0"/>
                <w:w w:val="100"/>
                <w:position w:val="0"/>
              </w:rPr>
              <w:t>医疗保障经办管理规程（试行）的通知》，规范</w:t>
            </w:r>
          </w:p>
          <w:p>
            <w:pPr>
              <w:pStyle w:val="Style2"/>
              <w:keepNext w:val="0"/>
              <w:keepLines w:val="0"/>
              <w:widowControl w:val="0"/>
              <w:shd w:val="clear" w:color="auto" w:fill="auto"/>
              <w:tabs>
                <w:tab w:pos="802" w:val="left"/>
              </w:tabs>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tab/>
              <w:t>医保局 按病种分值付费</w:t>
            </w:r>
            <w:r>
              <w:rPr>
                <w:color w:val="000000"/>
                <w:spacing w:val="0"/>
                <w:w w:val="100"/>
                <w:position w:val="0"/>
              </w:rPr>
              <w:t>（</w:t>
            </w:r>
            <w:r>
              <w:rPr>
                <w:rFonts w:ascii="Times New Roman" w:eastAsia="Times New Roman" w:hAnsi="Times New Roman" w:cs="Times New Roman"/>
                <w:color w:val="000000"/>
                <w:spacing w:val="0"/>
                <w:w w:val="100"/>
                <w:position w:val="0"/>
              </w:rPr>
              <w:t>DIP</w:t>
            </w:r>
            <w:r>
              <w:rPr>
                <w:color w:val="000000"/>
                <w:spacing w:val="0"/>
                <w:w w:val="100"/>
                <w:position w:val="0"/>
              </w:rPr>
              <w:t>）</w:t>
            </w:r>
            <w:r>
              <w:rPr>
                <w:color w:val="000000"/>
                <w:spacing w:val="0"/>
                <w:w w:val="100"/>
                <w:position w:val="0"/>
              </w:rPr>
              <w:t>的经办管理工作，包括协议管理、信息系统建设与数据采集、</w:t>
            </w:r>
          </w:p>
          <w:p>
            <w:pPr>
              <w:pStyle w:val="Style2"/>
              <w:keepNext w:val="0"/>
              <w:keepLines w:val="0"/>
              <w:widowControl w:val="0"/>
              <w:shd w:val="clear" w:color="auto" w:fill="auto"/>
              <w:bidi w:val="0"/>
              <w:spacing w:before="0" w:after="80" w:line="240" w:lineRule="auto"/>
              <w:ind w:left="1660" w:right="0" w:firstLine="0"/>
              <w:jc w:val="both"/>
            </w:pPr>
            <w:r>
              <w:rPr>
                <w:color w:val="000000"/>
                <w:spacing w:val="0"/>
                <w:w w:val="100"/>
                <w:position w:val="0"/>
              </w:rPr>
              <w:t>预算管理、病种分值确定、审核结算、考核评价等方面。</w:t>
            </w:r>
          </w:p>
        </w:tc>
      </w:tr>
      <w:tr>
        <w:trPr>
          <w:trHeight w:val="1282"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660" w:right="0" w:firstLine="0"/>
              <w:jc w:val="both"/>
            </w:pPr>
            <w:r>
              <w:rPr>
                <w:color w:val="000000"/>
                <w:spacing w:val="0"/>
                <w:w w:val="100"/>
                <w:position w:val="0"/>
              </w:rPr>
              <w:t>《关于优化医保领域便民服务的意见》，提到推动医保服务标准化规范化建设，积极</w:t>
            </w:r>
          </w:p>
          <w:p>
            <w:pPr>
              <w:pStyle w:val="Style2"/>
              <w:keepNext w:val="0"/>
              <w:keepLines w:val="0"/>
              <w:widowControl w:val="0"/>
              <w:shd w:val="clear" w:color="auto" w:fill="auto"/>
              <w:tabs>
                <w:tab w:pos="1128" w:val="left"/>
                <w:tab w:pos="1608" w:val="left"/>
              </w:tabs>
              <w:bidi w:val="0"/>
              <w:spacing w:before="0" w:after="0" w:line="240" w:lineRule="auto"/>
              <w:ind w:left="0" w:right="0" w:firstLine="480"/>
              <w:jc w:val="both"/>
            </w:pPr>
            <w:r>
              <w:rPr>
                <w:color w:val="000000"/>
                <w:spacing w:val="0"/>
                <w:w w:val="100"/>
                <w:position w:val="0"/>
              </w:rPr>
              <w:t>八</w:t>
              <w:tab/>
              <w:t>，</w:t>
              <w:tab/>
              <w:t>推行按疾病诊断相关分组付费、区域点数法总额预算和按病种分值付费；积极推进“互</w:t>
            </w:r>
          </w:p>
          <w:p>
            <w:pPr>
              <w:pStyle w:val="Style2"/>
              <w:keepNext w:val="0"/>
              <w:keepLines w:val="0"/>
              <w:widowControl w:val="0"/>
              <w:shd w:val="clear" w:color="auto" w:fill="auto"/>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 医保局</w:t>
            </w:r>
          </w:p>
          <w:p>
            <w:pPr>
              <w:pStyle w:val="Style2"/>
              <w:keepNext w:val="0"/>
              <w:keepLines w:val="0"/>
              <w:widowControl w:val="0"/>
              <w:shd w:val="clear" w:color="auto" w:fill="auto"/>
              <w:bidi w:val="0"/>
              <w:spacing w:before="0" w:after="100" w:line="240" w:lineRule="auto"/>
              <w:ind w:left="1660" w:right="0" w:firstLine="0"/>
              <w:jc w:val="both"/>
            </w:pPr>
            <w:r>
              <w:rPr>
                <w:color w:val="000000"/>
                <w:spacing w:val="0"/>
                <w:w w:val="100"/>
                <w:position w:val="0"/>
              </w:rPr>
              <w:t>联网+医保服务”，根据服务特点完善协议管理、结算流程，积极探索信息共享，实</w:t>
            </w:r>
          </w:p>
          <w:p>
            <w:pPr>
              <w:pStyle w:val="Style2"/>
              <w:keepNext w:val="0"/>
              <w:keepLines w:val="0"/>
              <w:widowControl w:val="0"/>
              <w:shd w:val="clear" w:color="auto" w:fill="auto"/>
              <w:bidi w:val="0"/>
              <w:spacing w:before="0" w:after="100" w:line="240" w:lineRule="auto"/>
              <w:ind w:left="1660" w:right="0" w:firstLine="0"/>
              <w:jc w:val="both"/>
            </w:pPr>
            <w:r>
              <w:rPr>
                <w:color w:val="000000"/>
                <w:spacing w:val="0"/>
                <w:w w:val="100"/>
                <w:position w:val="0"/>
              </w:rPr>
              <w:t>现处方流转、在线支付结算、送药上门一体化服务</w:t>
            </w:r>
          </w:p>
        </w:tc>
      </w:tr>
      <w:tr>
        <w:trPr>
          <w:trHeight w:val="1282"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7" w:lineRule="exact"/>
              <w:ind w:left="1660" w:right="0" w:firstLine="0"/>
              <w:jc w:val="both"/>
            </w:pPr>
            <w:r>
              <w:rPr>
                <w:color w:val="000000"/>
                <w:spacing w:val="0"/>
                <w:w w:val="100"/>
                <w:position w:val="0"/>
              </w:rPr>
              <w:t>《关于印发“十四五”全民医疗保障规划的通知》，健全多层次医疗保障制度体系，</w:t>
            </w:r>
          </w:p>
          <w:p>
            <w:pPr>
              <w:pStyle w:val="Style2"/>
              <w:keepNext w:val="0"/>
              <w:keepLines w:val="0"/>
              <w:widowControl w:val="0"/>
              <w:shd w:val="clear" w:color="auto" w:fill="auto"/>
              <w:tabs>
                <w:tab w:pos="1637" w:val="left"/>
              </w:tabs>
              <w:bidi w:val="0"/>
              <w:spacing w:before="0" w:after="0" w:line="240" w:lineRule="auto"/>
              <w:ind w:left="0" w:right="0" w:firstLine="480"/>
              <w:jc w:val="both"/>
            </w:pPr>
            <w:r>
              <w:rPr>
                <w:color w:val="000000"/>
                <w:spacing w:val="0"/>
                <w:w w:val="100"/>
                <w:position w:val="0"/>
              </w:rPr>
              <w:t>_</w:t>
              <w:tab/>
              <w:t>提出建设公平医保、法治医保、安全医保、智慧医保、协同医保，要求到</w:t>
            </w:r>
            <w:r>
              <w:rPr>
                <w:rFonts w:ascii="Times New Roman" w:eastAsia="Times New Roman" w:hAnsi="Times New Roman" w:cs="Times New Roman"/>
                <w:color w:val="000000"/>
                <w:spacing w:val="0"/>
                <w:w w:val="100"/>
                <w:position w:val="0"/>
              </w:rPr>
              <w:t>2025</w:t>
            </w:r>
            <w:r>
              <w:rPr>
                <w:color w:val="000000"/>
                <w:spacing w:val="0"/>
                <w:w w:val="100"/>
                <w:position w:val="0"/>
              </w:rPr>
              <w:t>年，医</w:t>
            </w:r>
          </w:p>
          <w:p>
            <w:pPr>
              <w:pStyle w:val="Style2"/>
              <w:keepNext w:val="0"/>
              <w:keepLines w:val="0"/>
              <w:widowControl w:val="0"/>
              <w:shd w:val="clear" w:color="auto" w:fill="auto"/>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 国务院</w:t>
            </w:r>
          </w:p>
          <w:p>
            <w:pPr>
              <w:pStyle w:val="Style2"/>
              <w:keepNext w:val="0"/>
              <w:keepLines w:val="0"/>
              <w:widowControl w:val="0"/>
              <w:shd w:val="clear" w:color="auto" w:fill="auto"/>
              <w:bidi w:val="0"/>
              <w:spacing w:before="0" w:after="0" w:line="307" w:lineRule="exact"/>
              <w:ind w:left="1660" w:right="0" w:firstLine="0"/>
              <w:jc w:val="both"/>
            </w:pPr>
            <w:r>
              <w:rPr>
                <w:color w:val="000000"/>
                <w:spacing w:val="0"/>
                <w:w w:val="100"/>
                <w:position w:val="0"/>
              </w:rPr>
              <w:t>疗保障制度更加成熟定型，基本完成待遇保障、筹资运行、医保支付、基金监管等重 要机制和医药服务供给、医保管理服务等关键领域的改革任务，</w:t>
            </w:r>
          </w:p>
        </w:tc>
      </w:tr>
      <w:tr>
        <w:trPr>
          <w:trHeight w:val="128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22" w:lineRule="exact"/>
              <w:ind w:left="166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DRG/DIP</w:t>
            </w:r>
            <w:r>
              <w:rPr>
                <w:color w:val="000000"/>
                <w:spacing w:val="0"/>
                <w:w w:val="100"/>
                <w:position w:val="0"/>
              </w:rPr>
              <w:t>支付方式改革三年行动计划》，提出到</w:t>
            </w:r>
            <w:r>
              <w:rPr>
                <w:rFonts w:ascii="Times New Roman" w:eastAsia="Times New Roman" w:hAnsi="Times New Roman" w:cs="Times New Roman"/>
                <w:color w:val="000000"/>
                <w:spacing w:val="0"/>
                <w:w w:val="100"/>
                <w:position w:val="0"/>
              </w:rPr>
              <w:t>2024</w:t>
            </w:r>
            <w:r>
              <w:rPr>
                <w:color w:val="000000"/>
                <w:spacing w:val="0"/>
                <w:w w:val="100"/>
                <w:position w:val="0"/>
              </w:rPr>
              <w:t>年底，全国所有统筹地区全部</w:t>
            </w:r>
          </w:p>
          <w:p>
            <w:pPr>
              <w:pStyle w:val="Style2"/>
              <w:keepNext w:val="0"/>
              <w:keepLines w:val="0"/>
              <w:widowControl w:val="0"/>
              <w:shd w:val="clear" w:color="auto" w:fill="auto"/>
              <w:tabs>
                <w:tab w:pos="1618" w:val="left"/>
              </w:tabs>
              <w:bidi w:val="0"/>
              <w:spacing w:before="0" w:after="0" w:line="240" w:lineRule="auto"/>
              <w:ind w:left="0" w:right="0" w:firstLine="480"/>
              <w:jc w:val="both"/>
            </w:pPr>
            <w:r>
              <w:rPr>
                <w:color w:val="000000"/>
                <w:spacing w:val="0"/>
                <w:w w:val="100"/>
                <w:position w:val="0"/>
              </w:rPr>
              <w:t>一 …</w:t>
              <w:tab/>
              <w:t>开展</w:t>
            </w:r>
            <w:r>
              <w:rPr>
                <w:rFonts w:ascii="Times New Roman" w:eastAsia="Times New Roman" w:hAnsi="Times New Roman" w:cs="Times New Roman"/>
                <w:color w:val="000000"/>
                <w:spacing w:val="0"/>
                <w:w w:val="100"/>
                <w:position w:val="0"/>
              </w:rPr>
              <w:t>DRG/DIP</w:t>
            </w:r>
            <w:r>
              <w:rPr>
                <w:color w:val="000000"/>
                <w:spacing w:val="0"/>
                <w:w w:val="100"/>
                <w:position w:val="0"/>
              </w:rPr>
              <w:t>付费方式改革工作，先期启动试点地区不断巩固改革成果；到</w:t>
            </w:r>
            <w:r>
              <w:rPr>
                <w:rFonts w:ascii="Times New Roman" w:eastAsia="Times New Roman" w:hAnsi="Times New Roman" w:cs="Times New Roman"/>
                <w:color w:val="000000"/>
                <w:spacing w:val="0"/>
                <w:w w:val="100"/>
                <w:position w:val="0"/>
              </w:rPr>
              <w:t>2025</w:t>
            </w:r>
            <w:r>
              <w:rPr>
                <w:color w:val="000000"/>
                <w:spacing w:val="0"/>
                <w:w w:val="100"/>
                <w:position w:val="0"/>
              </w:rPr>
              <w:t>年底，</w:t>
            </w:r>
          </w:p>
          <w:p>
            <w:pPr>
              <w:pStyle w:val="Style2"/>
              <w:keepNext w:val="0"/>
              <w:keepLines w:val="0"/>
              <w:widowControl w:val="0"/>
              <w:shd w:val="clear" w:color="auto" w:fill="auto"/>
              <w:tabs>
                <w:tab w:pos="80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tab/>
              <w:t>医保局</w:t>
            </w:r>
          </w:p>
          <w:p>
            <w:pPr>
              <w:pStyle w:val="Style2"/>
              <w:keepNext w:val="0"/>
              <w:keepLines w:val="0"/>
              <w:widowControl w:val="0"/>
              <w:shd w:val="clear" w:color="auto" w:fill="auto"/>
              <w:bidi w:val="0"/>
              <w:spacing w:before="0" w:after="0" w:line="322" w:lineRule="exact"/>
              <w:ind w:left="1660" w:right="0" w:firstLine="0"/>
              <w:jc w:val="both"/>
            </w:pPr>
            <w:r>
              <w:rPr>
                <w:rFonts w:ascii="Times New Roman" w:eastAsia="Times New Roman" w:hAnsi="Times New Roman" w:cs="Times New Roman"/>
                <w:color w:val="000000"/>
                <w:spacing w:val="0"/>
                <w:w w:val="100"/>
                <w:position w:val="0"/>
              </w:rPr>
              <w:t>DRG/DIP</w:t>
            </w:r>
            <w:r>
              <w:rPr>
                <w:color w:val="000000"/>
                <w:spacing w:val="0"/>
                <w:w w:val="100"/>
                <w:position w:val="0"/>
              </w:rPr>
              <w:t>支付方式覆盖所有符合条件的开展住院服务的医疗机构，基本实现病种、医 保基金全覆盖目标。</w:t>
            </w:r>
          </w:p>
        </w:tc>
      </w:tr>
      <w:tr>
        <w:trPr>
          <w:trHeight w:val="346"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养老业务政策</w:t>
            </w:r>
          </w:p>
        </w:tc>
      </w:tr>
      <w:tr>
        <w:trPr>
          <w:trHeight w:val="1906"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149" w:lineRule="exact"/>
              <w:ind w:left="1660" w:right="0" w:firstLine="0"/>
              <w:jc w:val="both"/>
            </w:pPr>
            <w:r>
              <w:rPr>
                <w:color w:val="000000"/>
                <w:spacing w:val="0"/>
                <w:w w:val="100"/>
                <w:position w:val="0"/>
              </w:rPr>
              <w:t>《智慧健康养老产业发展行动计划</w:t>
            </w:r>
            <w:r>
              <w:rPr>
                <w:color w:val="000000"/>
                <w:spacing w:val="0"/>
                <w:w w:val="100"/>
                <w:position w:val="0"/>
              </w:rPr>
              <w:t>（</w:t>
            </w:r>
            <w:r>
              <w:rPr>
                <w:rFonts w:ascii="Times New Roman" w:eastAsia="Times New Roman" w:hAnsi="Times New Roman" w:cs="Times New Roman"/>
                <w:color w:val="000000"/>
                <w:spacing w:val="0"/>
                <w:w w:val="100"/>
                <w:position w:val="0"/>
              </w:rPr>
              <w:t>2021-2025</w:t>
            </w:r>
            <w:r>
              <w:rPr>
                <w:color w:val="000000"/>
                <w:spacing w:val="0"/>
                <w:w w:val="100"/>
                <w:position w:val="0"/>
              </w:rPr>
              <w:t>年）》，提出强化信息技术支撑，提升</w:t>
            </w:r>
          </w:p>
          <w:p>
            <w:pPr>
              <w:pStyle w:val="Style2"/>
              <w:keepNext w:val="0"/>
              <w:keepLines w:val="0"/>
              <w:widowControl w:val="0"/>
              <w:shd w:val="clear" w:color="auto" w:fill="auto"/>
              <w:bidi w:val="0"/>
              <w:spacing w:before="0" w:after="0" w:line="149" w:lineRule="exact"/>
              <w:ind w:left="740" w:right="0" w:firstLine="200"/>
              <w:jc w:val="both"/>
            </w:pPr>
            <w:r>
              <w:rPr>
                <w:color w:val="000000"/>
                <w:spacing w:val="0"/>
                <w:w w:val="100"/>
                <w:position w:val="0"/>
              </w:rPr>
              <w:t>"土 口产品供给能力；推进平台提质升级，提升数据应用能力；丰富智慧健康服务，提升健 工信部、民</w:t>
            </w:r>
          </w:p>
          <w:p>
            <w:pPr>
              <w:pStyle w:val="Style2"/>
              <w:keepNext w:val="0"/>
              <w:keepLines w:val="0"/>
              <w:widowControl w:val="0"/>
              <w:shd w:val="clear" w:color="auto" w:fill="auto"/>
              <w:tabs>
                <w:tab w:pos="1478" w:val="left"/>
              </w:tabs>
              <w:bidi w:val="0"/>
              <w:spacing w:before="0" w:after="0" w:line="149" w:lineRule="exact"/>
              <w:ind w:left="0" w:right="0" w:firstLine="480"/>
              <w:jc w:val="both"/>
            </w:pPr>
            <w:r>
              <w:rPr>
                <w:color w:val="000000"/>
                <w:spacing w:val="0"/>
                <w:w w:val="100"/>
                <w:position w:val="0"/>
              </w:rPr>
              <w:t>-</w:t>
            </w:r>
            <w:r>
              <w:rPr>
                <w:color w:val="000000"/>
                <w:spacing w:val="0"/>
                <w:w w:val="100"/>
                <w:position w:val="0"/>
              </w:rPr>
              <w:t>_</w:t>
              <w:tab/>
              <w:t>孔康管理能力；拓展智慧养老场景，提升养老服务能力；推动智能产品适老化设计，提</w:t>
            </w:r>
          </w:p>
          <w:p>
            <w:pPr>
              <w:pStyle w:val="Style2"/>
              <w:keepNext w:val="0"/>
              <w:keepLines w:val="0"/>
              <w:widowControl w:val="0"/>
              <w:shd w:val="clear" w:color="auto" w:fill="auto"/>
              <w:bidi w:val="0"/>
              <w:spacing w:before="0" w:after="0" w:line="173"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年政部、卫健</w:t>
            </w:r>
          </w:p>
          <w:p>
            <w:pPr>
              <w:pStyle w:val="Style2"/>
              <w:keepNext w:val="0"/>
              <w:keepLines w:val="0"/>
              <w:widowControl w:val="0"/>
              <w:shd w:val="clear" w:color="auto" w:fill="auto"/>
              <w:tabs>
                <w:tab w:pos="1599" w:val="left"/>
              </w:tabs>
              <w:bidi w:val="0"/>
              <w:spacing w:before="0" w:after="0" w:line="149" w:lineRule="exact"/>
              <w:ind w:left="1100" w:right="0" w:firstLine="0"/>
              <w:jc w:val="both"/>
            </w:pPr>
            <w:r>
              <w:rPr>
                <w:color w:val="000000"/>
                <w:spacing w:val="0"/>
                <w:w w:val="100"/>
                <w:position w:val="0"/>
              </w:rPr>
              <w:t>若</w:t>
              <w:tab/>
              <w:t>升老年人智能技术运用能力；优化产业发展环境，提升公共服务能力六大重点工作任</w:t>
            </w:r>
          </w:p>
          <w:p>
            <w:pPr>
              <w:pStyle w:val="Style2"/>
              <w:keepNext w:val="0"/>
              <w:keepLines w:val="0"/>
              <w:widowControl w:val="0"/>
              <w:shd w:val="clear" w:color="auto" w:fill="auto"/>
              <w:bidi w:val="0"/>
              <w:spacing w:before="0" w:after="0" w:line="149" w:lineRule="exact"/>
              <w:ind w:left="1100" w:right="0" w:firstLine="0"/>
              <w:jc w:val="left"/>
            </w:pPr>
            <w:r>
              <w:rPr>
                <w:color w:val="000000"/>
                <w:spacing w:val="0"/>
                <w:w w:val="100"/>
                <w:position w:val="0"/>
              </w:rPr>
              <w:t>委</w:t>
            </w:r>
          </w:p>
          <w:p>
            <w:pPr>
              <w:pStyle w:val="Style2"/>
              <w:keepNext w:val="0"/>
              <w:keepLines w:val="0"/>
              <w:widowControl w:val="0"/>
              <w:shd w:val="clear" w:color="auto" w:fill="auto"/>
              <w:bidi w:val="0"/>
              <w:spacing w:before="0" w:after="100" w:line="149" w:lineRule="exact"/>
              <w:ind w:left="1660" w:right="0" w:firstLine="0"/>
              <w:jc w:val="both"/>
            </w:pPr>
            <w:r>
              <w:rPr>
                <w:color w:val="000000"/>
                <w:spacing w:val="0"/>
                <w:w w:val="100"/>
                <w:position w:val="0"/>
              </w:rPr>
              <w:t>务及智慧健养老产品供给工程、智慧健康创新应用工程和智慧养老服务推广工程三个</w:t>
            </w:r>
          </w:p>
          <w:p>
            <w:pPr>
              <w:pStyle w:val="Style2"/>
              <w:keepNext w:val="0"/>
              <w:keepLines w:val="0"/>
              <w:widowControl w:val="0"/>
              <w:shd w:val="clear" w:color="auto" w:fill="auto"/>
              <w:bidi w:val="0"/>
              <w:spacing w:before="0" w:after="100" w:line="149" w:lineRule="exact"/>
              <w:ind w:left="1660" w:right="0" w:firstLine="0"/>
              <w:jc w:val="both"/>
            </w:pPr>
            <w:r>
              <w:rPr>
                <w:color w:val="000000"/>
                <w:spacing w:val="0"/>
                <w:w w:val="100"/>
                <w:position w:val="0"/>
              </w:rPr>
              <w:t>专项工程。</w:t>
            </w:r>
          </w:p>
        </w:tc>
      </w:tr>
      <w:tr>
        <w:trPr>
          <w:trHeight w:val="1282"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660" w:right="0" w:firstLine="0"/>
              <w:jc w:val="both"/>
            </w:pPr>
            <w:r>
              <w:rPr>
                <w:color w:val="000000"/>
                <w:spacing w:val="0"/>
                <w:w w:val="100"/>
                <w:position w:val="0"/>
              </w:rPr>
              <w:t>《关于开展老年医疗护理服务试点工作的通知》，明确提出试点地区和医疗机构要积</w:t>
            </w:r>
          </w:p>
          <w:p>
            <w:pPr>
              <w:pStyle w:val="Style2"/>
              <w:keepNext w:val="0"/>
              <w:keepLines w:val="0"/>
              <w:widowControl w:val="0"/>
              <w:shd w:val="clear" w:color="auto" w:fill="auto"/>
              <w:tabs>
                <w:tab w:pos="1123" w:val="left"/>
              </w:tabs>
              <w:bidi w:val="0"/>
              <w:spacing w:before="0" w:after="0" w:line="240" w:lineRule="auto"/>
              <w:ind w:left="0" w:right="0" w:firstLine="480"/>
              <w:jc w:val="both"/>
            </w:pPr>
            <w:r>
              <w:rPr>
                <w:color w:val="000000"/>
                <w:spacing w:val="0"/>
                <w:w w:val="100"/>
                <w:position w:val="0"/>
              </w:rPr>
              <w:t>-</w:t>
              <w:tab/>
            </w:r>
            <w:r>
              <w:rPr>
                <w:color w:val="000000"/>
                <w:spacing w:val="0"/>
                <w:w w:val="100"/>
                <w:position w:val="0"/>
              </w:rPr>
              <w:t>如壬极探索创新多元化老年医疗护理服务模式，支持有条件的医疗机构开展"互联网+护</w:t>
            </w:r>
          </w:p>
          <w:p>
            <w:pPr>
              <w:pStyle w:val="Style2"/>
              <w:keepNext w:val="0"/>
              <w:keepLines w:val="0"/>
              <w:widowControl w:val="0"/>
              <w:shd w:val="clear" w:color="auto" w:fill="auto"/>
              <w:tabs>
                <w:tab w:pos="806" w:val="left"/>
              </w:tabs>
              <w:bidi w:val="0"/>
              <w:spacing w:before="0" w:after="0" w:line="18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tab/>
              <w:t>卫健委</w:t>
            </w:r>
          </w:p>
          <w:p>
            <w:pPr>
              <w:pStyle w:val="Style2"/>
              <w:keepNext w:val="0"/>
              <w:keepLines w:val="0"/>
              <w:widowControl w:val="0"/>
              <w:shd w:val="clear" w:color="auto" w:fill="auto"/>
              <w:bidi w:val="0"/>
              <w:spacing w:before="0" w:after="100" w:line="240" w:lineRule="auto"/>
              <w:ind w:left="1660" w:right="0" w:firstLine="0"/>
              <w:jc w:val="left"/>
            </w:pPr>
            <w:r>
              <w:rPr>
                <w:color w:val="000000"/>
                <w:spacing w:val="0"/>
                <w:w w:val="100"/>
                <w:position w:val="0"/>
              </w:rPr>
              <w:t>理服务”和延伸护理服务，将机构内医疗护理服务拓展到社区和居家。鼓励发展社区</w:t>
            </w:r>
          </w:p>
          <w:p>
            <w:pPr>
              <w:pStyle w:val="Style2"/>
              <w:keepNext w:val="0"/>
              <w:keepLines w:val="0"/>
              <w:widowControl w:val="0"/>
              <w:shd w:val="clear" w:color="auto" w:fill="auto"/>
              <w:bidi w:val="0"/>
              <w:spacing w:before="0" w:after="100" w:line="240" w:lineRule="auto"/>
              <w:ind w:left="1660" w:right="0" w:firstLine="0"/>
              <w:jc w:val="left"/>
            </w:pPr>
            <w:r>
              <w:rPr>
                <w:color w:val="000000"/>
                <w:spacing w:val="0"/>
                <w:w w:val="100"/>
                <w:position w:val="0"/>
              </w:rPr>
              <w:t>嵌入式老年护理服务机构，为老年人提供专业、便捷的医疗护理服务。</w:t>
            </w:r>
          </w:p>
        </w:tc>
      </w:tr>
      <w:tr>
        <w:trPr>
          <w:trHeight w:val="979" w:hRule="exact"/>
        </w:trPr>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134" w:lineRule="exact"/>
              <w:ind w:left="740" w:right="0" w:firstLine="200"/>
              <w:jc w:val="both"/>
            </w:pPr>
            <w:r>
              <w:rPr>
                <w:color w:val="000000"/>
                <w:spacing w:val="0"/>
                <w:w w:val="100"/>
                <w:position w:val="0"/>
              </w:rPr>
              <w:t>鼻壬二《关于全面加强老年健康服务工作的通知》，要求利用多种渠道动态更新和完善老年 卫健委、中</w:t>
            </w:r>
          </w:p>
          <w:p>
            <w:pPr>
              <w:pStyle w:val="Style2"/>
              <w:keepNext w:val="0"/>
              <w:keepLines w:val="0"/>
              <w:widowControl w:val="0"/>
              <w:shd w:val="clear" w:color="auto" w:fill="auto"/>
              <w:tabs>
                <w:tab w:pos="782" w:val="left"/>
              </w:tabs>
              <w:bidi w:val="0"/>
              <w:spacing w:before="0" w:after="0" w:line="134" w:lineRule="exact"/>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tab/>
              <w:t>心舟口 人健康档案内容，包括个人基本信息、健康体检信息、重点人群健康管理记录和其他</w:t>
            </w:r>
          </w:p>
          <w:p>
            <w:pPr>
              <w:pStyle w:val="Style2"/>
              <w:keepNext w:val="0"/>
              <w:keepLines w:val="0"/>
              <w:widowControl w:val="0"/>
              <w:shd w:val="clear" w:color="auto" w:fill="auto"/>
              <w:bidi w:val="0"/>
              <w:spacing w:before="0" w:after="0" w:line="134" w:lineRule="exact"/>
              <w:ind w:left="0" w:right="0" w:firstLine="920"/>
              <w:jc w:val="left"/>
            </w:pPr>
            <w:r>
              <w:rPr>
                <w:color w:val="000000"/>
                <w:spacing w:val="0"/>
                <w:w w:val="100"/>
                <w:position w:val="0"/>
              </w:rPr>
              <w:t>医药局</w:t>
            </w:r>
          </w:p>
          <w:p>
            <w:pPr>
              <w:pStyle w:val="Style2"/>
              <w:keepNext w:val="0"/>
              <w:keepLines w:val="0"/>
              <w:widowControl w:val="0"/>
              <w:shd w:val="clear" w:color="auto" w:fill="auto"/>
              <w:bidi w:val="0"/>
              <w:spacing w:before="0" w:after="0" w:line="134" w:lineRule="exact"/>
              <w:ind w:left="1660" w:right="0" w:firstLine="0"/>
              <w:jc w:val="both"/>
            </w:pPr>
            <w:r>
              <w:rPr>
                <w:color w:val="000000"/>
                <w:spacing w:val="0"/>
                <w:w w:val="100"/>
                <w:position w:val="0"/>
              </w:rPr>
              <w:t>医疗卫生服务记录，推动健康档案的务实应用；加强老年人用药保障，鼓励医疗机构</w:t>
            </w:r>
          </w:p>
        </w:tc>
      </w:tr>
    </w:tbl>
    <w:p>
      <w:pPr>
        <w:spacing w:lineRule="exact" w:line="1"/>
        <w:rPr>
          <w:sz w:val="2"/>
          <w:szCs w:val="2"/>
        </w:rPr>
      </w:pPr>
      <w:r>
        <w:br w:type="page"/>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2340" w:right="0" w:firstLine="0"/>
        <w:jc w:val="left"/>
      </w:pPr>
      <w:r>
        <w:rPr>
          <w:color w:val="000000"/>
          <w:spacing w:val="0"/>
          <w:w w:val="100"/>
          <w:position w:val="0"/>
        </w:rPr>
        <w:t>开设药学门诊，发展居家社区药学服务和“互联网+药学服务”，鼓励医疗机构开展 老年人用药监测；大力发展老年护理、康复服务，鼓励有条件的地区和医疗机构开展 “互联网+护理服务”等。</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4" w:lineRule="exact"/>
        <w:ind w:left="760" w:right="0" w:firstLine="1580"/>
        <w:jc w:val="left"/>
      </w:pPr>
      <w:r>
        <w:rPr>
          <w:color w:val="000000"/>
          <w:spacing w:val="0"/>
          <w:w w:val="100"/>
          <w:position w:val="0"/>
        </w:rPr>
        <w:t xml:space="preserve">《“十四五”健康老龄化规划》，提出强化信息化支撑。建立老年健康数据的收集和 卫健委、教发布机制。充分运用互联网、物联网、大数据等信息技术手段，创新服务模式，提升 </w:t>
      </w:r>
      <w:r>
        <w:rPr>
          <w:rFonts w:ascii="Times New Roman" w:eastAsia="Times New Roman" w:hAnsi="Times New Roman" w:cs="Times New Roman"/>
          <w:color w:val="000000"/>
          <w:spacing w:val="0"/>
          <w:w w:val="100"/>
          <w:position w:val="0"/>
        </w:rPr>
        <w:t>2022</w:t>
      </w:r>
      <w:r>
        <w:rPr>
          <w:color w:val="000000"/>
          <w:spacing w:val="0"/>
          <w:w w:val="100"/>
          <w:position w:val="0"/>
        </w:rPr>
        <w:t>年育部、科技老年健康智能化服务质量和效率。依托国家全民健康信息平台，完善全国老龄健康信 部等</w:t>
      </w:r>
      <w:r>
        <w:rPr>
          <w:rFonts w:ascii="Times New Roman" w:eastAsia="Times New Roman" w:hAnsi="Times New Roman" w:cs="Times New Roman"/>
          <w:color w:val="000000"/>
          <w:spacing w:val="0"/>
          <w:w w:val="100"/>
          <w:position w:val="0"/>
        </w:rPr>
        <w:t>15</w:t>
      </w:r>
      <w:r>
        <w:rPr>
          <w:color w:val="000000"/>
          <w:spacing w:val="0"/>
          <w:w w:val="100"/>
          <w:position w:val="0"/>
        </w:rPr>
        <w:t>部门息管理系统，整合各类老年健康相关数据，实现信息共享，为服务老年人提供信息化 支撑。</w:t>
      </w:r>
    </w:p>
    <w:p>
      <w:pPr>
        <w:pStyle w:val="Style19"/>
        <w:keepNext/>
        <w:keepLines/>
        <w:widowControl w:val="0"/>
        <w:shd w:val="clear" w:color="auto" w:fill="auto"/>
        <w:bidi w:val="0"/>
        <w:spacing w:before="0" w:after="380" w:line="240" w:lineRule="auto"/>
        <w:ind w:left="0" w:right="0" w:firstLine="500"/>
        <w:jc w:val="left"/>
      </w:pPr>
      <w:bookmarkStart w:id="77" w:name="bookmark77"/>
      <w:bookmarkStart w:id="78" w:name="bookmark78"/>
      <w:bookmarkStart w:id="79" w:name="bookmark79"/>
      <w:bookmarkStart w:id="80" w:name="bookmark80"/>
      <w:r>
        <w:rPr>
          <w:color w:val="000000"/>
          <w:spacing w:val="0"/>
          <w:w w:val="100"/>
          <w:position w:val="0"/>
          <w:sz w:val="24"/>
          <w:szCs w:val="24"/>
        </w:rPr>
        <w:t>二</w:t>
      </w:r>
      <w:bookmarkEnd w:id="79"/>
      <w:r>
        <w:rPr>
          <w:color w:val="000000"/>
          <w:spacing w:val="0"/>
          <w:w w:val="100"/>
          <w:position w:val="0"/>
          <w:sz w:val="24"/>
          <w:szCs w:val="24"/>
        </w:rPr>
        <w:t>、报告期内公司从事的主要业务</w:t>
      </w:r>
      <w:bookmarkEnd w:id="77"/>
      <w:bookmarkEnd w:id="78"/>
      <w:bookmarkEnd w:id="80"/>
    </w:p>
    <w:p>
      <w:pPr>
        <w:pStyle w:val="Style15"/>
        <w:keepNext w:val="0"/>
        <w:keepLines w:val="0"/>
        <w:widowControl w:val="0"/>
        <w:shd w:val="clear" w:color="auto" w:fill="auto"/>
        <w:bidi w:val="0"/>
        <w:spacing w:before="0" w:after="80" w:line="240" w:lineRule="auto"/>
        <w:ind w:left="0" w:right="0"/>
        <w:jc w:val="left"/>
      </w:pPr>
      <w:bookmarkStart w:id="81" w:name="bookmark81"/>
      <w:r>
        <w:rPr>
          <w:b/>
          <w:bCs/>
          <w:color w:val="000000"/>
          <w:spacing w:val="0"/>
          <w:w w:val="100"/>
          <w:position w:val="0"/>
        </w:rPr>
        <w:t>（</w:t>
      </w:r>
      <w:bookmarkEnd w:id="81"/>
      <w:r>
        <w:rPr>
          <w:b/>
          <w:bCs/>
          <w:color w:val="000000"/>
          <w:spacing w:val="0"/>
          <w:w w:val="100"/>
          <w:position w:val="0"/>
        </w:rPr>
        <w:t>一）公司的主要业务</w:t>
      </w:r>
    </w:p>
    <w:p>
      <w:pPr>
        <w:pStyle w:val="Style15"/>
        <w:keepNext w:val="0"/>
        <w:keepLines w:val="0"/>
        <w:widowControl w:val="0"/>
        <w:shd w:val="clear" w:color="auto" w:fill="auto"/>
        <w:bidi w:val="0"/>
        <w:spacing w:before="0" w:after="80" w:line="240" w:lineRule="auto"/>
        <w:ind w:left="0" w:right="0"/>
        <w:jc w:val="left"/>
      </w:pPr>
      <w:r>
        <w:rPr>
          <w:color w:val="000000"/>
          <w:spacing w:val="0"/>
          <w:w w:val="100"/>
          <w:position w:val="0"/>
        </w:rPr>
        <w:t xml:space="preserve">公司成立以来始终秉承“创造智慧医卫，服务健康事业”的企业宗旨，专注于医疗卫生健康信息化的建设、研发及服务 </w:t>
      </w:r>
      <w:r>
        <w:rPr>
          <w:color w:val="000000"/>
          <w:spacing w:val="0"/>
          <w:w w:val="100"/>
          <w:position w:val="0"/>
        </w:rPr>
        <w:t>创新，公司始终坚持以市场为导向，以客户需求为出发点，不断深化拓展医疗卫生健康信息化行业市场。</w:t>
      </w:r>
    </w:p>
    <w:p>
      <w:pPr>
        <w:pStyle w:val="Style15"/>
        <w:keepNext w:val="0"/>
        <w:keepLines w:val="0"/>
        <w:widowControl w:val="0"/>
        <w:shd w:val="clear" w:color="auto" w:fill="auto"/>
        <w:bidi w:val="0"/>
        <w:spacing w:before="0" w:after="80" w:line="240" w:lineRule="auto"/>
        <w:ind w:left="0" w:right="0"/>
        <w:jc w:val="left"/>
      </w:pPr>
      <w:r>
        <w:rPr>
          <w:color w:val="000000"/>
          <w:spacing w:val="0"/>
          <w:w w:val="100"/>
          <w:position w:val="0"/>
        </w:rPr>
        <w:t>近年，在《“健康中国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 xml:space="preserve">年远景目标纲要》等新政策导 </w:t>
      </w:r>
      <w:r>
        <w:rPr>
          <w:color w:val="000000"/>
          <w:spacing w:val="0"/>
          <w:w w:val="100"/>
          <w:position w:val="0"/>
        </w:rPr>
        <w:t>向下，公司紧跟产业步伐，顺应行业的发展，结合自身市场拓展、业务特点及产品服务优势，启动“慧康云</w:t>
      </w:r>
      <w:r>
        <w:rPr>
          <w:rFonts w:ascii="Times New Roman" w:eastAsia="Times New Roman" w:hAnsi="Times New Roman" w:cs="Times New Roman"/>
          <w:color w:val="000000"/>
          <w:spacing w:val="0"/>
          <w:w w:val="100"/>
          <w:position w:val="0"/>
        </w:rPr>
        <w:t>2.0</w:t>
      </w:r>
      <w:r>
        <w:rPr>
          <w:color w:val="000000"/>
          <w:spacing w:val="0"/>
          <w:w w:val="100"/>
          <w:position w:val="0"/>
        </w:rPr>
        <w:t xml:space="preserve">”的整体云 </w:t>
      </w:r>
      <w:r>
        <w:rPr>
          <w:color w:val="000000"/>
          <w:spacing w:val="0"/>
          <w:w w:val="100"/>
          <w:position w:val="0"/>
        </w:rPr>
        <w:t>化转型发展战略，并以“一体两翼”加医保事业部的业务划分，构建横向业务发展经营模式，产品涵盖医疗、卫生、医保、</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健康、养老等各种服务场景。</w:t>
      </w:r>
    </w:p>
    <w:p>
      <w:pPr>
        <w:widowControl w:val="0"/>
        <w:spacing w:line="1" w:lineRule="exact"/>
      </w:pPr>
      <w:r>
        <mc:AlternateContent>
          <mc:Choice Requires="wps">
            <w:drawing>
              <wp:anchor distT="88900" distB="0" distL="0" distR="0" simplePos="0" relativeHeight="125829378" behindDoc="0" locked="0" layoutInCell="1" allowOverlap="1">
                <wp:simplePos x="0" y="0"/>
                <wp:positionH relativeFrom="page">
                  <wp:posOffset>1141095</wp:posOffset>
                </wp:positionH>
                <wp:positionV relativeFrom="paragraph">
                  <wp:posOffset>88900</wp:posOffset>
                </wp:positionV>
                <wp:extent cx="2508250" cy="1703705"/>
                <wp:wrapTopAndBottom/>
                <wp:docPr id="2" name="Shape 2"/>
                <a:graphic xmlns:a="http://schemas.openxmlformats.org/drawingml/2006/main">
                  <a:graphicData uri="http://schemas.microsoft.com/office/word/2010/wordprocessingShape">
                    <wps:wsp>
                      <wps:cNvSpPr txBox="1"/>
                      <wps:spPr>
                        <a:xfrm>
                          <a:ext cx="2508250" cy="1703705"/>
                        </a:xfrm>
                        <a:prstGeom prst="rect"/>
                        <a:noFill/>
                      </wps:spPr>
                      <wps:txbx>
                        <w:txbxContent>
                          <w:tbl>
                            <w:tblPr>
                              <w:tblOverlap w:val="never"/>
                              <w:jc w:val="left"/>
                              <w:tblLayout w:type="fixed"/>
                            </w:tblPr>
                            <w:tblGrid>
                              <w:gridCol w:w="101"/>
                              <w:gridCol w:w="1862"/>
                              <w:gridCol w:w="1987"/>
                            </w:tblGrid>
                            <w:tr>
                              <w:trPr>
                                <w:tblHeader/>
                                <w:trHeight w:val="461" w:hRule="exact"/>
                              </w:trPr>
                              <w:tc>
                                <w:tcPr>
                                  <w:tcBorders>
                                    <w:top w:val="single" w:sz="4"/>
                                    <w:left w:val="single" w:sz="4"/>
                                  </w:tcBorders>
                                  <w:shd w:val="clear" w:color="auto" w:fill="93CF53"/>
                                  <w:vAlign w:val="top"/>
                                </w:tcPr>
                                <w:p>
                                  <w:pPr>
                                    <w:widowControl w:val="0"/>
                                    <w:rPr>
                                      <w:sz w:val="10"/>
                                      <w:szCs w:val="10"/>
                                    </w:rPr>
                                  </w:pPr>
                                </w:p>
                              </w:tc>
                              <w:tc>
                                <w:tcPr>
                                  <w:tcBorders>
                                    <w:top w:val="single" w:sz="4"/>
                                  </w:tcBorders>
                                  <w:shd w:val="clear" w:color="auto" w:fill="93CF53"/>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医卫信息化事业群</w:t>
                                  </w:r>
                                </w:p>
                              </w:tc>
                              <w:tc>
                                <w:tcPr>
                                  <w:tcBorders>
                                    <w:left w:val="single" w:sz="4"/>
                                  </w:tcBorders>
                                  <w:shd w:val="clear" w:color="auto" w:fill="FBBF09"/>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321806"/>
                                      <w:spacing w:val="0"/>
                                      <w:w w:val="100"/>
                                      <w:position w:val="0"/>
                                    </w:rPr>
                                    <w:t>医卫互联网事业群</w:t>
                                  </w:r>
                                </w:p>
                              </w:tc>
                            </w:tr>
                            <w:tr>
                              <w:trPr>
                                <w:trHeight w:val="193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1584" w:val="right"/>
                                    </w:tabs>
                                    <w:bidi w:val="0"/>
                                    <w:spacing w:before="0" w:after="40" w:line="240" w:lineRule="auto"/>
                                    <w:ind w:left="0" w:right="0" w:firstLine="0"/>
                                    <w:jc w:val="left"/>
                                    <w:rPr>
                                      <w:sz w:val="12"/>
                                      <w:szCs w:val="12"/>
                                    </w:rPr>
                                  </w:pPr>
                                  <w:r>
                                    <w:rPr>
                                      <w:rFonts w:ascii="SimHei" w:eastAsia="SimHei" w:hAnsi="SimHei" w:cs="SimHei"/>
                                      <w:color w:val="A2C57A"/>
                                      <w:spacing w:val="0"/>
                                      <w:w w:val="100"/>
                                      <w:position w:val="0"/>
                                      <w:sz w:val="12"/>
                                      <w:szCs w:val="12"/>
                                    </w:rPr>
                                    <w:t>智慧医疗</w:t>
                                    <w:tab/>
                                    <w:t>区域卫生</w:t>
                                  </w:r>
                                </w:p>
                                <w:p>
                                  <w:pPr>
                                    <w:pStyle w:val="Style2"/>
                                    <w:keepNext w:val="0"/>
                                    <w:keepLines w:val="0"/>
                                    <w:widowControl w:val="0"/>
                                    <w:shd w:val="clear" w:color="auto" w:fill="auto"/>
                                    <w:tabs>
                                      <w:tab w:pos="1478" w:val="right"/>
                                    </w:tabs>
                                    <w:bidi w:val="0"/>
                                    <w:spacing w:before="0" w:after="0" w:line="240" w:lineRule="auto"/>
                                    <w:ind w:left="0" w:right="0" w:firstLine="0"/>
                                    <w:jc w:val="left"/>
                                    <w:rPr>
                                      <w:sz w:val="11"/>
                                      <w:szCs w:val="11"/>
                                    </w:rPr>
                                  </w:pPr>
                                  <w:r>
                                    <w:rPr>
                                      <w:rFonts w:ascii="SimHei" w:eastAsia="SimHei" w:hAnsi="SimHei" w:cs="SimHei"/>
                                      <w:color w:val="1B1B1B"/>
                                      <w:spacing w:val="0"/>
                                      <w:w w:val="100"/>
                                      <w:position w:val="0"/>
                                      <w:sz w:val="11"/>
                                      <w:szCs w:val="11"/>
                                    </w:rPr>
                                    <w:t>医疗管理</w:t>
                                    <w:tab/>
                                    <w:t>基层医卫</w:t>
                                  </w:r>
                                </w:p>
                                <w:p>
                                  <w:pPr>
                                    <w:pStyle w:val="Style2"/>
                                    <w:keepNext w:val="0"/>
                                    <w:keepLines w:val="0"/>
                                    <w:widowControl w:val="0"/>
                                    <w:shd w:val="clear" w:color="auto" w:fill="auto"/>
                                    <w:tabs>
                                      <w:tab w:pos="1478" w:val="right"/>
                                    </w:tabs>
                                    <w:bidi w:val="0"/>
                                    <w:spacing w:before="0" w:after="0" w:line="240" w:lineRule="auto"/>
                                    <w:ind w:left="0" w:right="0" w:firstLine="0"/>
                                    <w:jc w:val="left"/>
                                    <w:rPr>
                                      <w:sz w:val="11"/>
                                      <w:szCs w:val="11"/>
                                    </w:rPr>
                                  </w:pPr>
                                  <w:r>
                                    <w:rPr>
                                      <w:rFonts w:ascii="SimHei" w:eastAsia="SimHei" w:hAnsi="SimHei" w:cs="SimHei"/>
                                      <w:color w:val="1B1B1B"/>
                                      <w:spacing w:val="0"/>
                                      <w:w w:val="100"/>
                                      <w:position w:val="0"/>
                                      <w:sz w:val="11"/>
                                      <w:szCs w:val="11"/>
                                    </w:rPr>
                                    <w:t>临床系统</w:t>
                                    <w:tab/>
                                    <w:t>区域平台</w:t>
                                  </w:r>
                                </w:p>
                                <w:p>
                                  <w:pPr>
                                    <w:pStyle w:val="Style2"/>
                                    <w:keepNext w:val="0"/>
                                    <w:keepLines w:val="0"/>
                                    <w:widowControl w:val="0"/>
                                    <w:shd w:val="clear" w:color="auto" w:fill="auto"/>
                                    <w:tabs>
                                      <w:tab w:pos="1478" w:val="right"/>
                                    </w:tabs>
                                    <w:bidi w:val="0"/>
                                    <w:spacing w:before="0" w:after="0" w:line="163" w:lineRule="exact"/>
                                    <w:ind w:left="0" w:right="0" w:firstLine="0"/>
                                    <w:jc w:val="left"/>
                                    <w:rPr>
                                      <w:sz w:val="11"/>
                                      <w:szCs w:val="11"/>
                                    </w:rPr>
                                  </w:pPr>
                                  <w:r>
                                    <w:rPr>
                                      <w:rFonts w:ascii="SimHei" w:eastAsia="SimHei" w:hAnsi="SimHei" w:cs="SimHei"/>
                                      <w:color w:val="1B1B1B"/>
                                      <w:spacing w:val="0"/>
                                      <w:w w:val="100"/>
                                      <w:position w:val="0"/>
                                      <w:sz w:val="11"/>
                                      <w:szCs w:val="11"/>
                                    </w:rPr>
                                    <w:t>护理管理</w:t>
                                    <w:tab/>
                                    <w:t>区域协同</w:t>
                                  </w:r>
                                </w:p>
                                <w:p>
                                  <w:pPr>
                                    <w:pStyle w:val="Style2"/>
                                    <w:keepNext w:val="0"/>
                                    <w:keepLines w:val="0"/>
                                    <w:widowControl w:val="0"/>
                                    <w:shd w:val="clear" w:color="auto" w:fill="auto"/>
                                    <w:tabs>
                                      <w:tab w:pos="1478" w:val="right"/>
                                    </w:tabs>
                                    <w:bidi w:val="0"/>
                                    <w:spacing w:before="0" w:after="0" w:line="163" w:lineRule="exact"/>
                                    <w:ind w:left="0" w:right="0" w:firstLine="0"/>
                                    <w:jc w:val="left"/>
                                    <w:rPr>
                                      <w:sz w:val="11"/>
                                      <w:szCs w:val="11"/>
                                    </w:rPr>
                                  </w:pPr>
                                  <w:r>
                                    <w:rPr>
                                      <w:rFonts w:ascii="SimHei" w:eastAsia="SimHei" w:hAnsi="SimHei" w:cs="SimHei"/>
                                      <w:color w:val="1B1B1B"/>
                                      <w:spacing w:val="0"/>
                                      <w:w w:val="100"/>
                                      <w:position w:val="0"/>
                                      <w:sz w:val="11"/>
                                      <w:szCs w:val="11"/>
                                    </w:rPr>
                                    <w:t>医技辅助</w:t>
                                    <w:tab/>
                                    <w:t>区域综管</w:t>
                                  </w:r>
                                </w:p>
                                <w:p>
                                  <w:pPr>
                                    <w:pStyle w:val="Style2"/>
                                    <w:keepNext w:val="0"/>
                                    <w:keepLines w:val="0"/>
                                    <w:widowControl w:val="0"/>
                                    <w:shd w:val="clear" w:color="auto" w:fill="auto"/>
                                    <w:tabs>
                                      <w:tab w:pos="1483" w:val="right"/>
                                    </w:tabs>
                                    <w:bidi w:val="0"/>
                                    <w:spacing w:before="0" w:after="120" w:line="163" w:lineRule="exact"/>
                                    <w:ind w:left="0" w:right="0" w:firstLine="0"/>
                                    <w:jc w:val="left"/>
                                    <w:rPr>
                                      <w:sz w:val="11"/>
                                      <w:szCs w:val="11"/>
                                    </w:rPr>
                                  </w:pPr>
                                  <w:r>
                                    <w:rPr>
                                      <w:rFonts w:ascii="SimHei" w:eastAsia="SimHei" w:hAnsi="SimHei" w:cs="SimHei"/>
                                      <w:color w:val="1B1B1B"/>
                                      <w:spacing w:val="0"/>
                                      <w:w w:val="100"/>
                                      <w:position w:val="0"/>
                                      <w:sz w:val="11"/>
                                      <w:szCs w:val="11"/>
                                    </w:rPr>
                                    <w:t>急救</w:t>
                                    <w:tab/>
                                    <w:t>专业条线</w:t>
                                  </w:r>
                                </w:p>
                                <w:p>
                                  <w:pPr>
                                    <w:pStyle w:val="Style2"/>
                                    <w:keepNext w:val="0"/>
                                    <w:keepLines w:val="0"/>
                                    <w:widowControl w:val="0"/>
                                    <w:shd w:val="clear" w:color="auto" w:fill="auto"/>
                                    <w:bidi w:val="0"/>
                                    <w:spacing w:before="0" w:after="120" w:line="163" w:lineRule="exact"/>
                                    <w:ind w:left="0" w:right="0" w:firstLine="0"/>
                                    <w:jc w:val="left"/>
                                    <w:rPr>
                                      <w:sz w:val="11"/>
                                      <w:szCs w:val="11"/>
                                    </w:rPr>
                                  </w:pPr>
                                  <w:r>
                                    <w:rPr>
                                      <w:rFonts w:ascii="SimHei" w:eastAsia="SimHei" w:hAnsi="SimHei" w:cs="SimHei"/>
                                      <w:color w:val="1B1B1B"/>
                                      <w:spacing w:val="0"/>
                                      <w:w w:val="100"/>
                                      <w:position w:val="0"/>
                                      <w:sz w:val="11"/>
                                      <w:szCs w:val="11"/>
                                    </w:rPr>
                                    <w:t>医院运营</w:t>
                                  </w:r>
                                </w:p>
                                <w:p>
                                  <w:pPr>
                                    <w:pStyle w:val="Style2"/>
                                    <w:keepNext w:val="0"/>
                                    <w:keepLines w:val="0"/>
                                    <w:widowControl w:val="0"/>
                                    <w:shd w:val="clear" w:color="auto" w:fill="auto"/>
                                    <w:bidi w:val="0"/>
                                    <w:spacing w:before="0" w:after="120" w:line="163" w:lineRule="exact"/>
                                    <w:ind w:left="0" w:right="0" w:firstLine="0"/>
                                    <w:jc w:val="left"/>
                                    <w:rPr>
                                      <w:sz w:val="11"/>
                                      <w:szCs w:val="11"/>
                                    </w:rPr>
                                  </w:pPr>
                                  <w:r>
                                    <w:rPr>
                                      <w:rFonts w:ascii="SimHei" w:eastAsia="SimHei" w:hAnsi="SimHei" w:cs="SimHei"/>
                                      <w:color w:val="A2C57A"/>
                                      <w:spacing w:val="0"/>
                                      <w:w w:val="100"/>
                                      <w:position w:val="0"/>
                                      <w:sz w:val="12"/>
                                      <w:szCs w:val="12"/>
                                    </w:rPr>
                                    <w:t xml:space="preserve">互联网医院 健康城市 </w:t>
                                  </w:r>
                                  <w:r>
                                    <w:rPr>
                                      <w:rFonts w:ascii="SimHei" w:eastAsia="SimHei" w:hAnsi="SimHei" w:cs="SimHei"/>
                                      <w:color w:val="1B1B1B"/>
                                      <w:spacing w:val="0"/>
                                      <w:w w:val="100"/>
                                      <w:position w:val="0"/>
                                      <w:sz w:val="11"/>
                                      <w:szCs w:val="11"/>
                                    </w:rPr>
                                    <w:t>便捷就医服务 基本医卫服努</w:t>
                                  </w:r>
                                </w:p>
                              </w:tc>
                              <w:tc>
                                <w:tcPr>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260"/>
                                    <w:jc w:val="left"/>
                                    <w:rPr>
                                      <w:sz w:val="12"/>
                                      <w:szCs w:val="12"/>
                                    </w:rPr>
                                  </w:pPr>
                                  <w:r>
                                    <w:rPr>
                                      <w:rFonts w:ascii="SimHei" w:eastAsia="SimHei" w:hAnsi="SimHei" w:cs="SimHei"/>
                                      <w:color w:val="DAC45F"/>
                                      <w:spacing w:val="0"/>
                                      <w:w w:val="100"/>
                                      <w:position w:val="0"/>
                                      <w:sz w:val="12"/>
                                      <w:szCs w:val="12"/>
                                    </w:rPr>
                                    <w:t>互哪医院健麽城市</w:t>
                                  </w:r>
                                </w:p>
                                <w:p>
                                  <w:pPr>
                                    <w:pStyle w:val="Style2"/>
                                    <w:keepNext w:val="0"/>
                                    <w:keepLines w:val="0"/>
                                    <w:widowControl w:val="0"/>
                                    <w:shd w:val="clear" w:color="auto" w:fill="auto"/>
                                    <w:tabs>
                                      <w:tab w:pos="1431" w:val="left"/>
                                    </w:tabs>
                                    <w:bidi w:val="0"/>
                                    <w:spacing w:before="0" w:after="0" w:line="240" w:lineRule="auto"/>
                                    <w:ind w:left="0" w:right="0" w:firstLine="260"/>
                                    <w:jc w:val="left"/>
                                    <w:rPr>
                                      <w:sz w:val="28"/>
                                      <w:szCs w:val="28"/>
                                    </w:rPr>
                                  </w:pPr>
                                  <w:r>
                                    <w:rPr>
                                      <w:rFonts w:ascii="SimHei" w:eastAsia="SimHei" w:hAnsi="SimHei" w:cs="SimHei"/>
                                      <w:color w:val="1B1B1B"/>
                                      <w:spacing w:val="0"/>
                                      <w:w w:val="100"/>
                                      <w:position w:val="0"/>
                                      <w:sz w:val="11"/>
                                      <w:szCs w:val="11"/>
                                    </w:rPr>
                                    <w:t>增值医疗服务</w:t>
                                    <w:tab/>
                                  </w:r>
                                  <w:r>
                                    <w:rPr>
                                      <w:b/>
                                      <w:bCs/>
                                      <w:color w:val="6B462C"/>
                                      <w:spacing w:val="0"/>
                                      <w:w w:val="100"/>
                                      <w:position w:val="0"/>
                                      <w:sz w:val="28"/>
                                      <w:szCs w:val="28"/>
                                    </w:rPr>
                                    <w:t>2</w:t>
                                  </w:r>
                                </w:p>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SimHei" w:eastAsia="SimHei" w:hAnsi="SimHei" w:cs="SimHei"/>
                                      <w:color w:val="1B1B1B"/>
                                      <w:spacing w:val="0"/>
                                      <w:w w:val="100"/>
                                      <w:position w:val="0"/>
                                      <w:sz w:val="11"/>
                                      <w:szCs w:val="11"/>
                                    </w:rPr>
                                    <w:t>特色健康服务</w:t>
                                  </w:r>
                                </w:p>
                                <w:p>
                                  <w:pPr>
                                    <w:pStyle w:val="Style2"/>
                                    <w:keepNext w:val="0"/>
                                    <w:keepLines w:val="0"/>
                                    <w:widowControl w:val="0"/>
                                    <w:shd w:val="clear" w:color="auto" w:fill="auto"/>
                                    <w:tabs>
                                      <w:tab w:pos="1431" w:val="left"/>
                                    </w:tabs>
                                    <w:bidi w:val="0"/>
                                    <w:spacing w:before="0" w:after="380" w:line="240" w:lineRule="auto"/>
                                    <w:ind w:left="0" w:right="0" w:firstLine="260"/>
                                    <w:jc w:val="left"/>
                                    <w:rPr>
                                      <w:sz w:val="11"/>
                                      <w:szCs w:val="11"/>
                                    </w:rPr>
                                  </w:pPr>
                                  <w:r>
                                    <w:rPr>
                                      <w:rFonts w:ascii="SimHei" w:eastAsia="SimHei" w:hAnsi="SimHei" w:cs="SimHei"/>
                                      <w:color w:val="1B1B1B"/>
                                      <w:spacing w:val="0"/>
                                      <w:w w:val="100"/>
                                      <w:position w:val="0"/>
                                      <w:sz w:val="11"/>
                                      <w:szCs w:val="11"/>
                                    </w:rPr>
                                    <w:t>网上健康商城</w:t>
                                    <w:tab/>
                                  </w:r>
                                  <w:r>
                                    <w:rPr>
                                      <w:rFonts w:ascii="SimHei" w:eastAsia="SimHei" w:hAnsi="SimHei" w:cs="SimHei"/>
                                      <w:color w:val="585657"/>
                                      <w:spacing w:val="0"/>
                                      <w:w w:val="100"/>
                                      <w:position w:val="0"/>
                                      <w:sz w:val="11"/>
                                      <w:szCs w:val="11"/>
                                    </w:rPr>
                                    <w:t>居民</w:t>
                                  </w:r>
                                </w:p>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DAC45F"/>
                                      <w:spacing w:val="0"/>
                                      <w:w w:val="100"/>
                                      <w:position w:val="0"/>
                                      <w:sz w:val="12"/>
                                      <w:szCs w:val="12"/>
                                    </w:rPr>
                                    <w:t>运营平台第三方合作</w:t>
                                  </w:r>
                                </w:p>
                                <w:p>
                                  <w:pPr>
                                    <w:pStyle w:val="Style2"/>
                                    <w:keepNext w:val="0"/>
                                    <w:keepLines w:val="0"/>
                                    <w:widowControl w:val="0"/>
                                    <w:shd w:val="clear" w:color="auto" w:fill="auto"/>
                                    <w:bidi w:val="0"/>
                                    <w:spacing w:before="0" w:after="120" w:line="240" w:lineRule="auto"/>
                                    <w:ind w:left="0" w:right="0" w:firstLine="140"/>
                                    <w:jc w:val="left"/>
                                    <w:rPr>
                                      <w:sz w:val="11"/>
                                      <w:szCs w:val="11"/>
                                    </w:rPr>
                                  </w:pPr>
                                  <w:r>
                                    <w:rPr>
                                      <w:rFonts w:ascii="SimHei" w:eastAsia="SimHei" w:hAnsi="SimHei" w:cs="SimHei"/>
                                      <w:color w:val="1B1B1B"/>
                                      <w:spacing w:val="0"/>
                                      <w:w w:val="100"/>
                                      <w:position w:val="0"/>
                                      <w:sz w:val="11"/>
                                      <w:szCs w:val="11"/>
                                    </w:rPr>
                                    <w:t>保险支付药品… 医疗健康服务机构</w:t>
                                  </w:r>
                                </w:p>
                              </w:tc>
                            </w:tr>
                            <w:tr>
                              <w:trPr>
                                <w:trHeight w:val="28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93CF53"/>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000000"/>
                                      <w:spacing w:val="0"/>
                                      <w:w w:val="100"/>
                                      <w:position w:val="0"/>
                                      <w:sz w:val="12"/>
                                      <w:szCs w:val="12"/>
                                    </w:rPr>
                                    <w:t>蜒软件，</w:t>
                                  </w:r>
                                  <w:r>
                                    <w:rPr>
                                      <w:rFonts w:ascii="Arial" w:eastAsia="Arial" w:hAnsi="Arial" w:cs="Arial"/>
                                      <w:b/>
                                      <w:bCs/>
                                      <w:color w:val="000000"/>
                                      <w:spacing w:val="0"/>
                                      <w:w w:val="100"/>
                                      <w:position w:val="0"/>
                                      <w:sz w:val="15"/>
                                      <w:szCs w:val="15"/>
                                    </w:rPr>
                                    <w:t>ToGToB</w:t>
                                  </w:r>
                                </w:p>
                              </w:tc>
                              <w:tc>
                                <w:tcPr>
                                  <w:tcBorders/>
                                  <w:shd w:val="clear" w:color="auto" w:fill="FBBF09"/>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321806"/>
                                      <w:spacing w:val="0"/>
                                      <w:w w:val="100"/>
                                      <w:position w:val="0"/>
                                      <w:sz w:val="12"/>
                                      <w:szCs w:val="12"/>
                                    </w:rPr>
                                    <w:t>定位：平台，</w:t>
                                  </w:r>
                                  <w:r>
                                    <w:rPr>
                                      <w:rFonts w:ascii="Arial" w:eastAsia="Arial" w:hAnsi="Arial" w:cs="Arial"/>
                                      <w:b/>
                                      <w:bCs/>
                                      <w:color w:val="321806"/>
                                      <w:spacing w:val="0"/>
                                      <w:w w:val="100"/>
                                      <w:position w:val="0"/>
                                      <w:sz w:val="15"/>
                                      <w:szCs w:val="15"/>
                                    </w:rPr>
                                    <w:t>+B ToC</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9.850000000000009pt;margin-top:7.pt;width:197.5pt;height:134.15000000000001pt;z-index:-125829375;mso-wrap-distance-left:0;mso-wrap-distance-top:7.pt;mso-wrap-distance-right:0;mso-position-horizontal-relative:page" filled="f" stroked="f">
                <v:textbox inset="0,0,0,0">
                  <w:txbxContent>
                    <w:tbl>
                      <w:tblPr>
                        <w:tblOverlap w:val="never"/>
                        <w:jc w:val="left"/>
                        <w:tblLayout w:type="fixed"/>
                      </w:tblPr>
                      <w:tblGrid>
                        <w:gridCol w:w="101"/>
                        <w:gridCol w:w="1862"/>
                        <w:gridCol w:w="1987"/>
                      </w:tblGrid>
                      <w:tr>
                        <w:trPr>
                          <w:tblHeader/>
                          <w:trHeight w:val="461" w:hRule="exact"/>
                        </w:trPr>
                        <w:tc>
                          <w:tcPr>
                            <w:tcBorders>
                              <w:top w:val="single" w:sz="4"/>
                              <w:left w:val="single" w:sz="4"/>
                            </w:tcBorders>
                            <w:shd w:val="clear" w:color="auto" w:fill="93CF53"/>
                            <w:vAlign w:val="top"/>
                          </w:tcPr>
                          <w:p>
                            <w:pPr>
                              <w:widowControl w:val="0"/>
                              <w:rPr>
                                <w:sz w:val="10"/>
                                <w:szCs w:val="10"/>
                              </w:rPr>
                            </w:pPr>
                          </w:p>
                        </w:tc>
                        <w:tc>
                          <w:tcPr>
                            <w:tcBorders>
                              <w:top w:val="single" w:sz="4"/>
                            </w:tcBorders>
                            <w:shd w:val="clear" w:color="auto" w:fill="93CF53"/>
                            <w:vAlign w:val="center"/>
                          </w:tcPr>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医卫信息化事业群</w:t>
                            </w:r>
                          </w:p>
                        </w:tc>
                        <w:tc>
                          <w:tcPr>
                            <w:tcBorders>
                              <w:left w:val="single" w:sz="4"/>
                            </w:tcBorders>
                            <w:shd w:val="clear" w:color="auto" w:fill="FBBF09"/>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Hei" w:eastAsia="SimHei" w:hAnsi="SimHei" w:cs="SimHei"/>
                                <w:color w:val="321806"/>
                                <w:spacing w:val="0"/>
                                <w:w w:val="100"/>
                                <w:position w:val="0"/>
                              </w:rPr>
                              <w:t>医卫互联网事业群</w:t>
                            </w:r>
                          </w:p>
                        </w:tc>
                      </w:tr>
                      <w:tr>
                        <w:trPr>
                          <w:trHeight w:val="193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1584" w:val="right"/>
                              </w:tabs>
                              <w:bidi w:val="0"/>
                              <w:spacing w:before="0" w:after="40" w:line="240" w:lineRule="auto"/>
                              <w:ind w:left="0" w:right="0" w:firstLine="0"/>
                              <w:jc w:val="left"/>
                              <w:rPr>
                                <w:sz w:val="12"/>
                                <w:szCs w:val="12"/>
                              </w:rPr>
                            </w:pPr>
                            <w:r>
                              <w:rPr>
                                <w:rFonts w:ascii="SimHei" w:eastAsia="SimHei" w:hAnsi="SimHei" w:cs="SimHei"/>
                                <w:color w:val="A2C57A"/>
                                <w:spacing w:val="0"/>
                                <w:w w:val="100"/>
                                <w:position w:val="0"/>
                                <w:sz w:val="12"/>
                                <w:szCs w:val="12"/>
                              </w:rPr>
                              <w:t>智慧医疗</w:t>
                              <w:tab/>
                              <w:t>区域卫生</w:t>
                            </w:r>
                          </w:p>
                          <w:p>
                            <w:pPr>
                              <w:pStyle w:val="Style2"/>
                              <w:keepNext w:val="0"/>
                              <w:keepLines w:val="0"/>
                              <w:widowControl w:val="0"/>
                              <w:shd w:val="clear" w:color="auto" w:fill="auto"/>
                              <w:tabs>
                                <w:tab w:pos="1478" w:val="right"/>
                              </w:tabs>
                              <w:bidi w:val="0"/>
                              <w:spacing w:before="0" w:after="0" w:line="240" w:lineRule="auto"/>
                              <w:ind w:left="0" w:right="0" w:firstLine="0"/>
                              <w:jc w:val="left"/>
                              <w:rPr>
                                <w:sz w:val="11"/>
                                <w:szCs w:val="11"/>
                              </w:rPr>
                            </w:pPr>
                            <w:r>
                              <w:rPr>
                                <w:rFonts w:ascii="SimHei" w:eastAsia="SimHei" w:hAnsi="SimHei" w:cs="SimHei"/>
                                <w:color w:val="1B1B1B"/>
                                <w:spacing w:val="0"/>
                                <w:w w:val="100"/>
                                <w:position w:val="0"/>
                                <w:sz w:val="11"/>
                                <w:szCs w:val="11"/>
                              </w:rPr>
                              <w:t>医疗管理</w:t>
                              <w:tab/>
                              <w:t>基层医卫</w:t>
                            </w:r>
                          </w:p>
                          <w:p>
                            <w:pPr>
                              <w:pStyle w:val="Style2"/>
                              <w:keepNext w:val="0"/>
                              <w:keepLines w:val="0"/>
                              <w:widowControl w:val="0"/>
                              <w:shd w:val="clear" w:color="auto" w:fill="auto"/>
                              <w:tabs>
                                <w:tab w:pos="1478" w:val="right"/>
                              </w:tabs>
                              <w:bidi w:val="0"/>
                              <w:spacing w:before="0" w:after="0" w:line="240" w:lineRule="auto"/>
                              <w:ind w:left="0" w:right="0" w:firstLine="0"/>
                              <w:jc w:val="left"/>
                              <w:rPr>
                                <w:sz w:val="11"/>
                                <w:szCs w:val="11"/>
                              </w:rPr>
                            </w:pPr>
                            <w:r>
                              <w:rPr>
                                <w:rFonts w:ascii="SimHei" w:eastAsia="SimHei" w:hAnsi="SimHei" w:cs="SimHei"/>
                                <w:color w:val="1B1B1B"/>
                                <w:spacing w:val="0"/>
                                <w:w w:val="100"/>
                                <w:position w:val="0"/>
                                <w:sz w:val="11"/>
                                <w:szCs w:val="11"/>
                              </w:rPr>
                              <w:t>临床系统</w:t>
                              <w:tab/>
                              <w:t>区域平台</w:t>
                            </w:r>
                          </w:p>
                          <w:p>
                            <w:pPr>
                              <w:pStyle w:val="Style2"/>
                              <w:keepNext w:val="0"/>
                              <w:keepLines w:val="0"/>
                              <w:widowControl w:val="0"/>
                              <w:shd w:val="clear" w:color="auto" w:fill="auto"/>
                              <w:tabs>
                                <w:tab w:pos="1478" w:val="right"/>
                              </w:tabs>
                              <w:bidi w:val="0"/>
                              <w:spacing w:before="0" w:after="0" w:line="163" w:lineRule="exact"/>
                              <w:ind w:left="0" w:right="0" w:firstLine="0"/>
                              <w:jc w:val="left"/>
                              <w:rPr>
                                <w:sz w:val="11"/>
                                <w:szCs w:val="11"/>
                              </w:rPr>
                            </w:pPr>
                            <w:r>
                              <w:rPr>
                                <w:rFonts w:ascii="SimHei" w:eastAsia="SimHei" w:hAnsi="SimHei" w:cs="SimHei"/>
                                <w:color w:val="1B1B1B"/>
                                <w:spacing w:val="0"/>
                                <w:w w:val="100"/>
                                <w:position w:val="0"/>
                                <w:sz w:val="11"/>
                                <w:szCs w:val="11"/>
                              </w:rPr>
                              <w:t>护理管理</w:t>
                              <w:tab/>
                              <w:t>区域协同</w:t>
                            </w:r>
                          </w:p>
                          <w:p>
                            <w:pPr>
                              <w:pStyle w:val="Style2"/>
                              <w:keepNext w:val="0"/>
                              <w:keepLines w:val="0"/>
                              <w:widowControl w:val="0"/>
                              <w:shd w:val="clear" w:color="auto" w:fill="auto"/>
                              <w:tabs>
                                <w:tab w:pos="1478" w:val="right"/>
                              </w:tabs>
                              <w:bidi w:val="0"/>
                              <w:spacing w:before="0" w:after="0" w:line="163" w:lineRule="exact"/>
                              <w:ind w:left="0" w:right="0" w:firstLine="0"/>
                              <w:jc w:val="left"/>
                              <w:rPr>
                                <w:sz w:val="11"/>
                                <w:szCs w:val="11"/>
                              </w:rPr>
                            </w:pPr>
                            <w:r>
                              <w:rPr>
                                <w:rFonts w:ascii="SimHei" w:eastAsia="SimHei" w:hAnsi="SimHei" w:cs="SimHei"/>
                                <w:color w:val="1B1B1B"/>
                                <w:spacing w:val="0"/>
                                <w:w w:val="100"/>
                                <w:position w:val="0"/>
                                <w:sz w:val="11"/>
                                <w:szCs w:val="11"/>
                              </w:rPr>
                              <w:t>医技辅助</w:t>
                              <w:tab/>
                              <w:t>区域综管</w:t>
                            </w:r>
                          </w:p>
                          <w:p>
                            <w:pPr>
                              <w:pStyle w:val="Style2"/>
                              <w:keepNext w:val="0"/>
                              <w:keepLines w:val="0"/>
                              <w:widowControl w:val="0"/>
                              <w:shd w:val="clear" w:color="auto" w:fill="auto"/>
                              <w:tabs>
                                <w:tab w:pos="1483" w:val="right"/>
                              </w:tabs>
                              <w:bidi w:val="0"/>
                              <w:spacing w:before="0" w:after="120" w:line="163" w:lineRule="exact"/>
                              <w:ind w:left="0" w:right="0" w:firstLine="0"/>
                              <w:jc w:val="left"/>
                              <w:rPr>
                                <w:sz w:val="11"/>
                                <w:szCs w:val="11"/>
                              </w:rPr>
                            </w:pPr>
                            <w:r>
                              <w:rPr>
                                <w:rFonts w:ascii="SimHei" w:eastAsia="SimHei" w:hAnsi="SimHei" w:cs="SimHei"/>
                                <w:color w:val="1B1B1B"/>
                                <w:spacing w:val="0"/>
                                <w:w w:val="100"/>
                                <w:position w:val="0"/>
                                <w:sz w:val="11"/>
                                <w:szCs w:val="11"/>
                              </w:rPr>
                              <w:t>急救</w:t>
                              <w:tab/>
                              <w:t>专业条线</w:t>
                            </w:r>
                          </w:p>
                          <w:p>
                            <w:pPr>
                              <w:pStyle w:val="Style2"/>
                              <w:keepNext w:val="0"/>
                              <w:keepLines w:val="0"/>
                              <w:widowControl w:val="0"/>
                              <w:shd w:val="clear" w:color="auto" w:fill="auto"/>
                              <w:bidi w:val="0"/>
                              <w:spacing w:before="0" w:after="120" w:line="163" w:lineRule="exact"/>
                              <w:ind w:left="0" w:right="0" w:firstLine="0"/>
                              <w:jc w:val="left"/>
                              <w:rPr>
                                <w:sz w:val="11"/>
                                <w:szCs w:val="11"/>
                              </w:rPr>
                            </w:pPr>
                            <w:r>
                              <w:rPr>
                                <w:rFonts w:ascii="SimHei" w:eastAsia="SimHei" w:hAnsi="SimHei" w:cs="SimHei"/>
                                <w:color w:val="1B1B1B"/>
                                <w:spacing w:val="0"/>
                                <w:w w:val="100"/>
                                <w:position w:val="0"/>
                                <w:sz w:val="11"/>
                                <w:szCs w:val="11"/>
                              </w:rPr>
                              <w:t>医院运营</w:t>
                            </w:r>
                          </w:p>
                          <w:p>
                            <w:pPr>
                              <w:pStyle w:val="Style2"/>
                              <w:keepNext w:val="0"/>
                              <w:keepLines w:val="0"/>
                              <w:widowControl w:val="0"/>
                              <w:shd w:val="clear" w:color="auto" w:fill="auto"/>
                              <w:bidi w:val="0"/>
                              <w:spacing w:before="0" w:after="120" w:line="163" w:lineRule="exact"/>
                              <w:ind w:left="0" w:right="0" w:firstLine="0"/>
                              <w:jc w:val="left"/>
                              <w:rPr>
                                <w:sz w:val="11"/>
                                <w:szCs w:val="11"/>
                              </w:rPr>
                            </w:pPr>
                            <w:r>
                              <w:rPr>
                                <w:rFonts w:ascii="SimHei" w:eastAsia="SimHei" w:hAnsi="SimHei" w:cs="SimHei"/>
                                <w:color w:val="A2C57A"/>
                                <w:spacing w:val="0"/>
                                <w:w w:val="100"/>
                                <w:position w:val="0"/>
                                <w:sz w:val="12"/>
                                <w:szCs w:val="12"/>
                              </w:rPr>
                              <w:t xml:space="preserve">互联网医院 健康城市 </w:t>
                            </w:r>
                            <w:r>
                              <w:rPr>
                                <w:rFonts w:ascii="SimHei" w:eastAsia="SimHei" w:hAnsi="SimHei" w:cs="SimHei"/>
                                <w:color w:val="1B1B1B"/>
                                <w:spacing w:val="0"/>
                                <w:w w:val="100"/>
                                <w:position w:val="0"/>
                                <w:sz w:val="11"/>
                                <w:szCs w:val="11"/>
                              </w:rPr>
                              <w:t>便捷就医服务 基本医卫服努</w:t>
                            </w:r>
                          </w:p>
                        </w:tc>
                        <w:tc>
                          <w:tcPr>
                            <w:tcBorders/>
                            <w:shd w:val="clear" w:color="auto" w:fill="FFFFFF"/>
                            <w:vAlign w:val="center"/>
                          </w:tcPr>
                          <w:p>
                            <w:pPr>
                              <w:pStyle w:val="Style2"/>
                              <w:keepNext w:val="0"/>
                              <w:keepLines w:val="0"/>
                              <w:widowControl w:val="0"/>
                              <w:shd w:val="clear" w:color="auto" w:fill="auto"/>
                              <w:bidi w:val="0"/>
                              <w:spacing w:before="0" w:after="220" w:line="240" w:lineRule="auto"/>
                              <w:ind w:left="0" w:right="0" w:firstLine="260"/>
                              <w:jc w:val="left"/>
                              <w:rPr>
                                <w:sz w:val="12"/>
                                <w:szCs w:val="12"/>
                              </w:rPr>
                            </w:pPr>
                            <w:r>
                              <w:rPr>
                                <w:rFonts w:ascii="SimHei" w:eastAsia="SimHei" w:hAnsi="SimHei" w:cs="SimHei"/>
                                <w:color w:val="DAC45F"/>
                                <w:spacing w:val="0"/>
                                <w:w w:val="100"/>
                                <w:position w:val="0"/>
                                <w:sz w:val="12"/>
                                <w:szCs w:val="12"/>
                              </w:rPr>
                              <w:t>互哪医院健麽城市</w:t>
                            </w:r>
                          </w:p>
                          <w:p>
                            <w:pPr>
                              <w:pStyle w:val="Style2"/>
                              <w:keepNext w:val="0"/>
                              <w:keepLines w:val="0"/>
                              <w:widowControl w:val="0"/>
                              <w:shd w:val="clear" w:color="auto" w:fill="auto"/>
                              <w:tabs>
                                <w:tab w:pos="1431" w:val="left"/>
                              </w:tabs>
                              <w:bidi w:val="0"/>
                              <w:spacing w:before="0" w:after="0" w:line="240" w:lineRule="auto"/>
                              <w:ind w:left="0" w:right="0" w:firstLine="260"/>
                              <w:jc w:val="left"/>
                              <w:rPr>
                                <w:sz w:val="28"/>
                                <w:szCs w:val="28"/>
                              </w:rPr>
                            </w:pPr>
                            <w:r>
                              <w:rPr>
                                <w:rFonts w:ascii="SimHei" w:eastAsia="SimHei" w:hAnsi="SimHei" w:cs="SimHei"/>
                                <w:color w:val="1B1B1B"/>
                                <w:spacing w:val="0"/>
                                <w:w w:val="100"/>
                                <w:position w:val="0"/>
                                <w:sz w:val="11"/>
                                <w:szCs w:val="11"/>
                              </w:rPr>
                              <w:t>增值医疗服务</w:t>
                              <w:tab/>
                            </w:r>
                            <w:r>
                              <w:rPr>
                                <w:b/>
                                <w:bCs/>
                                <w:color w:val="6B462C"/>
                                <w:spacing w:val="0"/>
                                <w:w w:val="100"/>
                                <w:position w:val="0"/>
                                <w:sz w:val="28"/>
                                <w:szCs w:val="28"/>
                              </w:rPr>
                              <w:t>2</w:t>
                            </w:r>
                          </w:p>
                          <w:p>
                            <w:pPr>
                              <w:pStyle w:val="Style2"/>
                              <w:keepNext w:val="0"/>
                              <w:keepLines w:val="0"/>
                              <w:widowControl w:val="0"/>
                              <w:shd w:val="clear" w:color="auto" w:fill="auto"/>
                              <w:bidi w:val="0"/>
                              <w:spacing w:before="0" w:after="0" w:line="240" w:lineRule="auto"/>
                              <w:ind w:left="0" w:right="0" w:firstLine="260"/>
                              <w:jc w:val="left"/>
                              <w:rPr>
                                <w:sz w:val="11"/>
                                <w:szCs w:val="11"/>
                              </w:rPr>
                            </w:pPr>
                            <w:r>
                              <w:rPr>
                                <w:rFonts w:ascii="SimHei" w:eastAsia="SimHei" w:hAnsi="SimHei" w:cs="SimHei"/>
                                <w:color w:val="1B1B1B"/>
                                <w:spacing w:val="0"/>
                                <w:w w:val="100"/>
                                <w:position w:val="0"/>
                                <w:sz w:val="11"/>
                                <w:szCs w:val="11"/>
                              </w:rPr>
                              <w:t>特色健康服务</w:t>
                            </w:r>
                          </w:p>
                          <w:p>
                            <w:pPr>
                              <w:pStyle w:val="Style2"/>
                              <w:keepNext w:val="0"/>
                              <w:keepLines w:val="0"/>
                              <w:widowControl w:val="0"/>
                              <w:shd w:val="clear" w:color="auto" w:fill="auto"/>
                              <w:tabs>
                                <w:tab w:pos="1431" w:val="left"/>
                              </w:tabs>
                              <w:bidi w:val="0"/>
                              <w:spacing w:before="0" w:after="380" w:line="240" w:lineRule="auto"/>
                              <w:ind w:left="0" w:right="0" w:firstLine="260"/>
                              <w:jc w:val="left"/>
                              <w:rPr>
                                <w:sz w:val="11"/>
                                <w:szCs w:val="11"/>
                              </w:rPr>
                            </w:pPr>
                            <w:r>
                              <w:rPr>
                                <w:rFonts w:ascii="SimHei" w:eastAsia="SimHei" w:hAnsi="SimHei" w:cs="SimHei"/>
                                <w:color w:val="1B1B1B"/>
                                <w:spacing w:val="0"/>
                                <w:w w:val="100"/>
                                <w:position w:val="0"/>
                                <w:sz w:val="11"/>
                                <w:szCs w:val="11"/>
                              </w:rPr>
                              <w:t>网上健康商城</w:t>
                              <w:tab/>
                            </w:r>
                            <w:r>
                              <w:rPr>
                                <w:rFonts w:ascii="SimHei" w:eastAsia="SimHei" w:hAnsi="SimHei" w:cs="SimHei"/>
                                <w:color w:val="585657"/>
                                <w:spacing w:val="0"/>
                                <w:w w:val="100"/>
                                <w:position w:val="0"/>
                                <w:sz w:val="11"/>
                                <w:szCs w:val="11"/>
                              </w:rPr>
                              <w:t>居民</w:t>
                            </w:r>
                          </w:p>
                          <w:p>
                            <w:pPr>
                              <w:pStyle w:val="Style2"/>
                              <w:keepNext w:val="0"/>
                              <w:keepLines w:val="0"/>
                              <w:widowControl w:val="0"/>
                              <w:shd w:val="clear" w:color="auto" w:fill="auto"/>
                              <w:bidi w:val="0"/>
                              <w:spacing w:before="0" w:after="0" w:line="240" w:lineRule="auto"/>
                              <w:ind w:left="0" w:right="0" w:firstLine="140"/>
                              <w:jc w:val="left"/>
                              <w:rPr>
                                <w:sz w:val="12"/>
                                <w:szCs w:val="12"/>
                              </w:rPr>
                            </w:pPr>
                            <w:r>
                              <w:rPr>
                                <w:rFonts w:ascii="SimHei" w:eastAsia="SimHei" w:hAnsi="SimHei" w:cs="SimHei"/>
                                <w:color w:val="DAC45F"/>
                                <w:spacing w:val="0"/>
                                <w:w w:val="100"/>
                                <w:position w:val="0"/>
                                <w:sz w:val="12"/>
                                <w:szCs w:val="12"/>
                              </w:rPr>
                              <w:t>运营平台第三方合作</w:t>
                            </w:r>
                          </w:p>
                          <w:p>
                            <w:pPr>
                              <w:pStyle w:val="Style2"/>
                              <w:keepNext w:val="0"/>
                              <w:keepLines w:val="0"/>
                              <w:widowControl w:val="0"/>
                              <w:shd w:val="clear" w:color="auto" w:fill="auto"/>
                              <w:bidi w:val="0"/>
                              <w:spacing w:before="0" w:after="120" w:line="240" w:lineRule="auto"/>
                              <w:ind w:left="0" w:right="0" w:firstLine="140"/>
                              <w:jc w:val="left"/>
                              <w:rPr>
                                <w:sz w:val="11"/>
                                <w:szCs w:val="11"/>
                              </w:rPr>
                            </w:pPr>
                            <w:r>
                              <w:rPr>
                                <w:rFonts w:ascii="SimHei" w:eastAsia="SimHei" w:hAnsi="SimHei" w:cs="SimHei"/>
                                <w:color w:val="1B1B1B"/>
                                <w:spacing w:val="0"/>
                                <w:w w:val="100"/>
                                <w:position w:val="0"/>
                                <w:sz w:val="11"/>
                                <w:szCs w:val="11"/>
                              </w:rPr>
                              <w:t>保险支付药品… 医疗健康服务机构</w:t>
                            </w:r>
                          </w:p>
                        </w:tc>
                      </w:tr>
                      <w:tr>
                        <w:trPr>
                          <w:trHeight w:val="28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93CF53"/>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SimHei" w:eastAsia="SimHei" w:hAnsi="SimHei" w:cs="SimHei"/>
                                <w:color w:val="000000"/>
                                <w:spacing w:val="0"/>
                                <w:w w:val="100"/>
                                <w:position w:val="0"/>
                                <w:sz w:val="12"/>
                                <w:szCs w:val="12"/>
                              </w:rPr>
                              <w:t>蜒软件，</w:t>
                            </w:r>
                            <w:r>
                              <w:rPr>
                                <w:rFonts w:ascii="Arial" w:eastAsia="Arial" w:hAnsi="Arial" w:cs="Arial"/>
                                <w:b/>
                                <w:bCs/>
                                <w:color w:val="000000"/>
                                <w:spacing w:val="0"/>
                                <w:w w:val="100"/>
                                <w:position w:val="0"/>
                                <w:sz w:val="15"/>
                                <w:szCs w:val="15"/>
                              </w:rPr>
                              <w:t>ToGToB</w:t>
                            </w:r>
                          </w:p>
                        </w:tc>
                        <w:tc>
                          <w:tcPr>
                            <w:tcBorders/>
                            <w:shd w:val="clear" w:color="auto" w:fill="FBBF09"/>
                            <w:vAlign w:val="top"/>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SimHei" w:eastAsia="SimHei" w:hAnsi="SimHei" w:cs="SimHei"/>
                                <w:color w:val="321806"/>
                                <w:spacing w:val="0"/>
                                <w:w w:val="100"/>
                                <w:position w:val="0"/>
                                <w:sz w:val="12"/>
                                <w:szCs w:val="12"/>
                              </w:rPr>
                              <w:t>定位：平台，</w:t>
                            </w:r>
                            <w:r>
                              <w:rPr>
                                <w:rFonts w:ascii="Arial" w:eastAsia="Arial" w:hAnsi="Arial" w:cs="Arial"/>
                                <w:b/>
                                <w:bCs/>
                                <w:color w:val="321806"/>
                                <w:spacing w:val="0"/>
                                <w:w w:val="100"/>
                                <w:position w:val="0"/>
                                <w:sz w:val="15"/>
                                <w:szCs w:val="15"/>
                              </w:rPr>
                              <w:t>+B ToC</w:t>
                            </w:r>
                          </w:p>
                        </w:tc>
                      </w:tr>
                    </w:tbl>
                    <w:p>
                      <w:pPr>
                        <w:widowControl w:val="0"/>
                        <w:spacing w:line="1" w:lineRule="exact"/>
                      </w:pPr>
                    </w:p>
                  </w:txbxContent>
                </v:textbox>
                <w10:wrap type="topAndBottom" anchorx="page"/>
              </v:shape>
            </w:pict>
          </mc:Fallback>
        </mc:AlternateContent>
      </w:r>
      <w:r>
        <mc:AlternateContent>
          <mc:Choice Requires="wps">
            <w:drawing>
              <wp:anchor distT="161925" distB="1475105" distL="0" distR="0" simplePos="0" relativeHeight="125829380" behindDoc="0" locked="0" layoutInCell="1" allowOverlap="1">
                <wp:simplePos x="0" y="0"/>
                <wp:positionH relativeFrom="page">
                  <wp:posOffset>3875405</wp:posOffset>
                </wp:positionH>
                <wp:positionV relativeFrom="paragraph">
                  <wp:posOffset>161925</wp:posOffset>
                </wp:positionV>
                <wp:extent cx="941705" cy="155575"/>
                <wp:wrapTopAndBottom/>
                <wp:docPr id="4" name="Shape 4"/>
                <a:graphic xmlns:a="http://schemas.openxmlformats.org/drawingml/2006/main">
                  <a:graphicData uri="http://schemas.microsoft.com/office/word/2010/wordprocessingShape">
                    <wps:wsp>
                      <wps:cNvSpPr txBox="1"/>
                      <wps:spPr>
                        <a:xfrm>
                          <a:ext cx="941705"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51A29"/>
                                <w:spacing w:val="0"/>
                                <w:w w:val="100"/>
                                <w:position w:val="0"/>
                              </w:rPr>
                              <w:t>医卫物联网事业群</w:t>
                            </w:r>
                          </w:p>
                        </w:txbxContent>
                      </wps:txbx>
                      <wps:bodyPr wrap="none" lIns="0" tIns="0" rIns="0" bIns="0">
                        <a:noAutoFit/>
                      </wps:bodyPr>
                    </wps:wsp>
                  </a:graphicData>
                </a:graphic>
              </wp:anchor>
            </w:drawing>
          </mc:Choice>
          <mc:Fallback>
            <w:pict>
              <v:shape id="_x0000_s1030" type="#_x0000_t202" style="position:absolute;margin-left:305.15000000000003pt;margin-top:12.75pt;width:74.150000000000006pt;height:12.25pt;z-index:-125829373;mso-wrap-distance-left:0;mso-wrap-distance-top:12.75pt;mso-wrap-distance-right:0;mso-wrap-distance-bottom:116.15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51A29"/>
                          <w:spacing w:val="0"/>
                          <w:w w:val="100"/>
                          <w:position w:val="0"/>
                        </w:rPr>
                        <w:t>医卫物联网事业群</w:t>
                      </w:r>
                    </w:p>
                  </w:txbxContent>
                </v:textbox>
                <w10:wrap type="topAndBottom" anchorx="page"/>
              </v:shape>
            </w:pict>
          </mc:Fallback>
        </mc:AlternateContent>
      </w:r>
      <w:r>
        <mc:AlternateContent>
          <mc:Choice Requires="wps">
            <w:drawing>
              <wp:anchor distT="436245" distB="231775" distL="0" distR="0" simplePos="0" relativeHeight="125829382" behindDoc="0" locked="0" layoutInCell="1" allowOverlap="1">
                <wp:simplePos x="0" y="0"/>
                <wp:positionH relativeFrom="page">
                  <wp:posOffset>3923665</wp:posOffset>
                </wp:positionH>
                <wp:positionV relativeFrom="paragraph">
                  <wp:posOffset>436245</wp:posOffset>
                </wp:positionV>
                <wp:extent cx="826135" cy="1124585"/>
                <wp:wrapTopAndBottom/>
                <wp:docPr id="6" name="Shape 6"/>
                <a:graphic xmlns:a="http://schemas.openxmlformats.org/drawingml/2006/main">
                  <a:graphicData uri="http://schemas.microsoft.com/office/word/2010/wordprocessingShape">
                    <wps:wsp>
                      <wps:cNvSpPr txBox="1"/>
                      <wps:spPr>
                        <a:xfrm>
                          <a:ext cx="826135" cy="1124585"/>
                        </a:xfrm>
                        <a:prstGeom prst="rect"/>
                        <a:noFill/>
                      </wps:spPr>
                      <wps:txbx>
                        <w:txbxContent>
                          <w:p>
                            <w:pPr>
                              <w:pStyle w:val="Style39"/>
                              <w:keepNext w:val="0"/>
                              <w:keepLines w:val="0"/>
                              <w:widowControl w:val="0"/>
                              <w:shd w:val="clear" w:color="auto" w:fill="auto"/>
                              <w:bidi w:val="0"/>
                              <w:spacing w:before="0" w:line="203" w:lineRule="exact"/>
                              <w:ind w:left="0" w:right="0" w:firstLine="0"/>
                              <w:jc w:val="right"/>
                              <w:rPr>
                                <w:sz w:val="12"/>
                                <w:szCs w:val="12"/>
                              </w:rPr>
                            </w:pPr>
                            <w:r>
                              <w:rPr>
                                <w:rFonts w:ascii="Arial" w:eastAsia="Arial" w:hAnsi="Arial" w:cs="Arial"/>
                                <w:b/>
                                <w:bCs/>
                                <w:color w:val="466673"/>
                                <w:spacing w:val="0"/>
                                <w:w w:val="100"/>
                                <w:position w:val="0"/>
                                <w:sz w:val="15"/>
                                <w:szCs w:val="15"/>
                              </w:rPr>
                              <w:t>f</w:t>
                            </w:r>
                            <w:r>
                              <w:rPr>
                                <w:color w:val="3E3E3E"/>
                                <w:spacing w:val="0"/>
                                <w:w w:val="100"/>
                                <w:position w:val="0"/>
                                <w:sz w:val="12"/>
                                <w:szCs w:val="12"/>
                              </w:rPr>
                              <w:t>敢字病房</w:t>
                            </w:r>
                          </w:p>
                          <w:p>
                            <w:pPr>
                              <w:pStyle w:val="Style39"/>
                              <w:keepNext w:val="0"/>
                              <w:keepLines w:val="0"/>
                              <w:widowControl w:val="0"/>
                              <w:shd w:val="clear" w:color="auto" w:fill="auto"/>
                              <w:bidi w:val="0"/>
                              <w:spacing w:before="0" w:line="203" w:lineRule="exact"/>
                              <w:ind w:left="740" w:right="0" w:hanging="160"/>
                              <w:jc w:val="left"/>
                              <w:rPr>
                                <w:sz w:val="12"/>
                                <w:szCs w:val="12"/>
                              </w:rPr>
                            </w:pPr>
                            <w:r>
                              <w:rPr>
                                <w:i/>
                                <w:iCs/>
                                <w:color w:val="466673"/>
                                <w:spacing w:val="0"/>
                                <w:w w:val="100"/>
                                <w:position w:val="0"/>
                                <w:sz w:val="12"/>
                                <w:szCs w:val="12"/>
                              </w:rPr>
                              <w:t>［</w:t>
                            </w:r>
                            <w:r>
                              <w:rPr>
                                <w:color w:val="3E3E3E"/>
                                <w:spacing w:val="0"/>
                                <w:w w:val="100"/>
                                <w:position w:val="0"/>
                                <w:sz w:val="12"/>
                                <w:szCs w:val="12"/>
                              </w:rPr>
                              <w:t>智能教研 台独体检 健</w:t>
                            </w:r>
                            <w:r>
                              <w:rPr>
                                <w:rFonts w:ascii="Arial" w:eastAsia="Arial" w:hAnsi="Arial" w:cs="Arial"/>
                                <w:b/>
                                <w:bCs/>
                                <w:color w:val="3E3E3E"/>
                                <w:spacing w:val="0"/>
                                <w:w w:val="100"/>
                                <w:position w:val="0"/>
                                <w:sz w:val="15"/>
                                <w:szCs w:val="15"/>
                              </w:rPr>
                              <w:t>nt</w:t>
                            </w:r>
                            <w:r>
                              <w:rPr>
                                <w:color w:val="3E3E3E"/>
                                <w:spacing w:val="0"/>
                                <w:w w:val="100"/>
                                <w:position w:val="0"/>
                                <w:sz w:val="12"/>
                                <w:szCs w:val="12"/>
                              </w:rPr>
                              <w:t>府诱可 家尾机器人</w:t>
                            </w:r>
                          </w:p>
                          <w:p>
                            <w:pPr>
                              <w:pStyle w:val="Style39"/>
                              <w:keepNext w:val="0"/>
                              <w:keepLines w:val="0"/>
                              <w:widowControl w:val="0"/>
                              <w:pBdr>
                                <w:bottom w:val="single" w:sz="4" w:space="0" w:color="auto"/>
                              </w:pBdr>
                              <w:shd w:val="clear" w:color="auto" w:fill="auto"/>
                              <w:bidi w:val="0"/>
                              <w:spacing w:before="0"/>
                              <w:ind w:left="0" w:right="0" w:firstLine="0"/>
                              <w:jc w:val="right"/>
                              <w:rPr>
                                <w:sz w:val="15"/>
                                <w:szCs w:val="15"/>
                              </w:rPr>
                            </w:pPr>
                            <w:r>
                              <w:rPr>
                                <w:color w:val="59ACB2"/>
                                <w:spacing w:val="0"/>
                                <w:w w:val="100"/>
                                <w:position w:val="0"/>
                                <w:sz w:val="12"/>
                                <w:szCs w:val="12"/>
                              </w:rPr>
                              <w:t>数据引擎集成 人工智能</w:t>
                            </w:r>
                            <w:r>
                              <w:rPr>
                                <w:rFonts w:ascii="Arial" w:eastAsia="Arial" w:hAnsi="Arial" w:cs="Arial"/>
                                <w:b/>
                                <w:bCs/>
                                <w:color w:val="59ACB2"/>
                                <w:spacing w:val="0"/>
                                <w:w w:val="100"/>
                                <w:position w:val="0"/>
                                <w:sz w:val="15"/>
                                <w:szCs w:val="15"/>
                              </w:rPr>
                              <w:t>iTisiS</w:t>
                            </w:r>
                          </w:p>
                        </w:txbxContent>
                      </wps:txbx>
                      <wps:bodyPr lIns="0" tIns="0" rIns="0" bIns="0">
                        <a:noAutoFit/>
                      </wps:bodyPr>
                    </wps:wsp>
                  </a:graphicData>
                </a:graphic>
              </wp:anchor>
            </w:drawing>
          </mc:Choice>
          <mc:Fallback>
            <w:pict>
              <v:shape id="_x0000_s1032" type="#_x0000_t202" style="position:absolute;margin-left:308.94999999999999pt;margin-top:34.350000000000001pt;width:65.049999999999997pt;height:88.549999999999997pt;z-index:-125829371;mso-wrap-distance-left:0;mso-wrap-distance-top:34.350000000000001pt;mso-wrap-distance-right:0;mso-wrap-distance-bottom:18.25pt;mso-position-horizontal-relative:page" filled="f" stroked="f">
                <v:textbox inset="0,0,0,0">
                  <w:txbxContent>
                    <w:p>
                      <w:pPr>
                        <w:pStyle w:val="Style39"/>
                        <w:keepNext w:val="0"/>
                        <w:keepLines w:val="0"/>
                        <w:widowControl w:val="0"/>
                        <w:shd w:val="clear" w:color="auto" w:fill="auto"/>
                        <w:bidi w:val="0"/>
                        <w:spacing w:before="0" w:line="203" w:lineRule="exact"/>
                        <w:ind w:left="0" w:right="0" w:firstLine="0"/>
                        <w:jc w:val="right"/>
                        <w:rPr>
                          <w:sz w:val="12"/>
                          <w:szCs w:val="12"/>
                        </w:rPr>
                      </w:pPr>
                      <w:r>
                        <w:rPr>
                          <w:rFonts w:ascii="Arial" w:eastAsia="Arial" w:hAnsi="Arial" w:cs="Arial"/>
                          <w:b/>
                          <w:bCs/>
                          <w:color w:val="466673"/>
                          <w:spacing w:val="0"/>
                          <w:w w:val="100"/>
                          <w:position w:val="0"/>
                          <w:sz w:val="15"/>
                          <w:szCs w:val="15"/>
                        </w:rPr>
                        <w:t>f</w:t>
                      </w:r>
                      <w:r>
                        <w:rPr>
                          <w:color w:val="3E3E3E"/>
                          <w:spacing w:val="0"/>
                          <w:w w:val="100"/>
                          <w:position w:val="0"/>
                          <w:sz w:val="12"/>
                          <w:szCs w:val="12"/>
                        </w:rPr>
                        <w:t>敢字病房</w:t>
                      </w:r>
                    </w:p>
                    <w:p>
                      <w:pPr>
                        <w:pStyle w:val="Style39"/>
                        <w:keepNext w:val="0"/>
                        <w:keepLines w:val="0"/>
                        <w:widowControl w:val="0"/>
                        <w:shd w:val="clear" w:color="auto" w:fill="auto"/>
                        <w:bidi w:val="0"/>
                        <w:spacing w:before="0" w:line="203" w:lineRule="exact"/>
                        <w:ind w:left="740" w:right="0" w:hanging="160"/>
                        <w:jc w:val="left"/>
                        <w:rPr>
                          <w:sz w:val="12"/>
                          <w:szCs w:val="12"/>
                        </w:rPr>
                      </w:pPr>
                      <w:r>
                        <w:rPr>
                          <w:i/>
                          <w:iCs/>
                          <w:color w:val="466673"/>
                          <w:spacing w:val="0"/>
                          <w:w w:val="100"/>
                          <w:position w:val="0"/>
                          <w:sz w:val="12"/>
                          <w:szCs w:val="12"/>
                        </w:rPr>
                        <w:t>［</w:t>
                      </w:r>
                      <w:r>
                        <w:rPr>
                          <w:color w:val="3E3E3E"/>
                          <w:spacing w:val="0"/>
                          <w:w w:val="100"/>
                          <w:position w:val="0"/>
                          <w:sz w:val="12"/>
                          <w:szCs w:val="12"/>
                        </w:rPr>
                        <w:t>智能教研 台独体检 健</w:t>
                      </w:r>
                      <w:r>
                        <w:rPr>
                          <w:rFonts w:ascii="Arial" w:eastAsia="Arial" w:hAnsi="Arial" w:cs="Arial"/>
                          <w:b/>
                          <w:bCs/>
                          <w:color w:val="3E3E3E"/>
                          <w:spacing w:val="0"/>
                          <w:w w:val="100"/>
                          <w:position w:val="0"/>
                          <w:sz w:val="15"/>
                          <w:szCs w:val="15"/>
                        </w:rPr>
                        <w:t>nt</w:t>
                      </w:r>
                      <w:r>
                        <w:rPr>
                          <w:color w:val="3E3E3E"/>
                          <w:spacing w:val="0"/>
                          <w:w w:val="100"/>
                          <w:position w:val="0"/>
                          <w:sz w:val="12"/>
                          <w:szCs w:val="12"/>
                        </w:rPr>
                        <w:t>府诱可 家尾机器人</w:t>
                      </w:r>
                    </w:p>
                    <w:p>
                      <w:pPr>
                        <w:pStyle w:val="Style39"/>
                        <w:keepNext w:val="0"/>
                        <w:keepLines w:val="0"/>
                        <w:widowControl w:val="0"/>
                        <w:pBdr>
                          <w:bottom w:val="single" w:sz="4" w:space="0" w:color="auto"/>
                        </w:pBdr>
                        <w:shd w:val="clear" w:color="auto" w:fill="auto"/>
                        <w:bidi w:val="0"/>
                        <w:spacing w:before="0"/>
                        <w:ind w:left="0" w:right="0" w:firstLine="0"/>
                        <w:jc w:val="right"/>
                        <w:rPr>
                          <w:sz w:val="15"/>
                          <w:szCs w:val="15"/>
                        </w:rPr>
                      </w:pPr>
                      <w:r>
                        <w:rPr>
                          <w:color w:val="59ACB2"/>
                          <w:spacing w:val="0"/>
                          <w:w w:val="100"/>
                          <w:position w:val="0"/>
                          <w:sz w:val="12"/>
                          <w:szCs w:val="12"/>
                        </w:rPr>
                        <w:t>数据引擎集成 人工智能</w:t>
                      </w:r>
                      <w:r>
                        <w:rPr>
                          <w:rFonts w:ascii="Arial" w:eastAsia="Arial" w:hAnsi="Arial" w:cs="Arial"/>
                          <w:b/>
                          <w:bCs/>
                          <w:color w:val="59ACB2"/>
                          <w:spacing w:val="0"/>
                          <w:w w:val="100"/>
                          <w:position w:val="0"/>
                          <w:sz w:val="15"/>
                          <w:szCs w:val="15"/>
                        </w:rPr>
                        <w:t>iTisiS</w:t>
                      </w:r>
                    </w:p>
                  </w:txbxContent>
                </v:textbox>
                <w10:wrap type="topAndBottom" anchorx="page"/>
              </v:shape>
            </w:pict>
          </mc:Fallback>
        </mc:AlternateContent>
      </w:r>
      <w:r>
        <mc:AlternateContent>
          <mc:Choice Requires="wps">
            <w:drawing>
              <wp:anchor distT="153035" distB="1475105" distL="0" distR="0" simplePos="0" relativeHeight="125829384" behindDoc="0" locked="0" layoutInCell="1" allowOverlap="1">
                <wp:simplePos x="0" y="0"/>
                <wp:positionH relativeFrom="page">
                  <wp:posOffset>5359400</wp:posOffset>
                </wp:positionH>
                <wp:positionV relativeFrom="paragraph">
                  <wp:posOffset>153035</wp:posOffset>
                </wp:positionV>
                <wp:extent cx="618490" cy="164465"/>
                <wp:wrapTopAndBottom/>
                <wp:docPr id="8" name="Shape 8"/>
                <a:graphic xmlns:a="http://schemas.openxmlformats.org/drawingml/2006/main">
                  <a:graphicData uri="http://schemas.microsoft.com/office/word/2010/wordprocessingShape">
                    <wps:wsp>
                      <wps:cNvSpPr txBox="1"/>
                      <wps:spPr>
                        <a:xfrm>
                          <a:ext cx="61849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51A29"/>
                                <w:spacing w:val="0"/>
                                <w:w w:val="100"/>
                                <w:position w:val="0"/>
                              </w:rPr>
                              <w:t>医保事业部</w:t>
                            </w:r>
                          </w:p>
                        </w:txbxContent>
                      </wps:txbx>
                      <wps:bodyPr wrap="none" lIns="0" tIns="0" rIns="0" bIns="0">
                        <a:noAutoFit/>
                      </wps:bodyPr>
                    </wps:wsp>
                  </a:graphicData>
                </a:graphic>
              </wp:anchor>
            </w:drawing>
          </mc:Choice>
          <mc:Fallback>
            <w:pict>
              <v:shape id="_x0000_s1034" type="#_x0000_t202" style="position:absolute;margin-left:422.pt;margin-top:12.050000000000001pt;width:48.700000000000003pt;height:12.950000000000001pt;z-index:-125829369;mso-wrap-distance-left:0;mso-wrap-distance-top:12.050000000000001pt;mso-wrap-distance-right:0;mso-wrap-distance-bottom:116.15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51A29"/>
                          <w:spacing w:val="0"/>
                          <w:w w:val="100"/>
                          <w:position w:val="0"/>
                        </w:rPr>
                        <w:t>医保事业部</w:t>
                      </w:r>
                    </w:p>
                  </w:txbxContent>
                </v:textbox>
                <w10:wrap type="topAndBottom" anchorx="page"/>
              </v:shape>
            </w:pict>
          </mc:Fallback>
        </mc:AlternateContent>
      </w:r>
      <w:r>
        <mc:AlternateContent>
          <mc:Choice Requires="wps">
            <w:drawing>
              <wp:anchor distT="515620" distB="316865" distL="0" distR="0" simplePos="0" relativeHeight="125829386" behindDoc="0" locked="0" layoutInCell="1" allowOverlap="1">
                <wp:simplePos x="0" y="0"/>
                <wp:positionH relativeFrom="page">
                  <wp:posOffset>5112385</wp:posOffset>
                </wp:positionH>
                <wp:positionV relativeFrom="paragraph">
                  <wp:posOffset>515620</wp:posOffset>
                </wp:positionV>
                <wp:extent cx="1024255" cy="960120"/>
                <wp:wrapTopAndBottom/>
                <wp:docPr id="10" name="Shape 10"/>
                <a:graphic xmlns:a="http://schemas.openxmlformats.org/drawingml/2006/main">
                  <a:graphicData uri="http://schemas.microsoft.com/office/word/2010/wordprocessingShape">
                    <wps:wsp>
                      <wps:cNvSpPr txBox="1"/>
                      <wps:spPr>
                        <a:xfrm>
                          <a:ext cx="1024255" cy="960120"/>
                        </a:xfrm>
                        <a:prstGeom prst="rect"/>
                        <a:noFill/>
                      </wps:spPr>
                      <wps:txbx>
                        <w:txbxContent>
                          <w:p>
                            <w:pPr>
                              <w:pStyle w:val="Style39"/>
                              <w:keepNext w:val="0"/>
                              <w:keepLines w:val="0"/>
                              <w:widowControl w:val="0"/>
                              <w:shd w:val="clear" w:color="auto" w:fill="auto"/>
                              <w:bidi w:val="0"/>
                              <w:spacing w:before="0" w:after="80" w:line="240" w:lineRule="auto"/>
                              <w:ind w:left="0" w:right="0" w:firstLine="0"/>
                              <w:jc w:val="left"/>
                            </w:pPr>
                            <w:r>
                              <w:rPr>
                                <w:spacing w:val="0"/>
                                <w:w w:val="100"/>
                                <w:position w:val="0"/>
                              </w:rPr>
                              <w:t>应用支撑</w:t>
                            </w:r>
                          </w:p>
                          <w:p>
                            <w:pPr>
                              <w:pStyle w:val="Style39"/>
                              <w:keepNext w:val="0"/>
                              <w:keepLines w:val="0"/>
                              <w:widowControl w:val="0"/>
                              <w:shd w:val="clear" w:color="auto" w:fill="auto"/>
                              <w:bidi w:val="0"/>
                              <w:spacing w:before="0" w:after="80" w:line="240" w:lineRule="auto"/>
                              <w:ind w:left="0" w:right="0" w:firstLine="0"/>
                              <w:jc w:val="left"/>
                            </w:pPr>
                            <w:r>
                              <w:rPr>
                                <w:spacing w:val="0"/>
                                <w:w w:val="100"/>
                                <w:position w:val="0"/>
                              </w:rPr>
                              <w:t>基本信息管理</w:t>
                            </w:r>
                          </w:p>
                          <w:p>
                            <w:pPr>
                              <w:pStyle w:val="Style39"/>
                              <w:keepNext w:val="0"/>
                              <w:keepLines w:val="0"/>
                              <w:widowControl w:val="0"/>
                              <w:shd w:val="clear" w:color="auto" w:fill="auto"/>
                              <w:bidi w:val="0"/>
                              <w:spacing w:before="0" w:after="260" w:line="240" w:lineRule="auto"/>
                              <w:ind w:left="0" w:right="0" w:firstLine="0"/>
                              <w:jc w:val="left"/>
                            </w:pPr>
                            <w:r>
                              <w:rPr>
                                <w:spacing w:val="0"/>
                                <w:w w:val="100"/>
                                <w:position w:val="0"/>
                              </w:rPr>
                              <w:t>整本医保业务</w:t>
                            </w:r>
                          </w:p>
                          <w:p>
                            <w:pPr>
                              <w:pStyle w:val="Style39"/>
                              <w:keepNext w:val="0"/>
                              <w:keepLines w:val="0"/>
                              <w:widowControl w:val="0"/>
                              <w:shd w:val="clear" w:color="auto" w:fill="auto"/>
                              <w:bidi w:val="0"/>
                              <w:spacing w:before="0" w:after="80" w:line="240" w:lineRule="auto"/>
                              <w:ind w:left="0" w:right="0" w:firstLine="820"/>
                              <w:jc w:val="left"/>
                            </w:pPr>
                            <w:r>
                              <w:rPr>
                                <w:spacing w:val="0"/>
                                <w:w w:val="100"/>
                                <w:position w:val="0"/>
                              </w:rPr>
                              <w:t>医保控费</w:t>
                            </w:r>
                          </w:p>
                          <w:p>
                            <w:pPr>
                              <w:pStyle w:val="Style39"/>
                              <w:keepNext w:val="0"/>
                              <w:keepLines w:val="0"/>
                              <w:widowControl w:val="0"/>
                              <w:shd w:val="clear" w:color="auto" w:fill="auto"/>
                              <w:bidi w:val="0"/>
                              <w:spacing w:before="0" w:after="80" w:line="240" w:lineRule="auto"/>
                              <w:ind w:left="0" w:right="0" w:firstLine="820"/>
                              <w:jc w:val="left"/>
                            </w:pPr>
                            <w:r>
                              <w:rPr>
                                <w:spacing w:val="0"/>
                                <w:w w:val="100"/>
                                <w:position w:val="0"/>
                              </w:rPr>
                              <w:t>医保决策支持</w:t>
                            </w:r>
                          </w:p>
                          <w:p>
                            <w:pPr>
                              <w:pStyle w:val="Style39"/>
                              <w:keepNext w:val="0"/>
                              <w:keepLines w:val="0"/>
                              <w:widowControl w:val="0"/>
                              <w:shd w:val="clear" w:color="auto" w:fill="auto"/>
                              <w:bidi w:val="0"/>
                              <w:spacing w:before="0" w:after="80" w:line="240" w:lineRule="auto"/>
                              <w:ind w:left="0" w:right="0" w:firstLine="820"/>
                              <w:jc w:val="left"/>
                            </w:pPr>
                            <w:r>
                              <w:rPr>
                                <w:spacing w:val="0"/>
                                <w:w w:val="100"/>
                                <w:position w:val="0"/>
                              </w:rPr>
                              <w:t>医疗行为监管</w:t>
                            </w:r>
                          </w:p>
                        </w:txbxContent>
                      </wps:txbx>
                      <wps:bodyPr lIns="0" tIns="0" rIns="0" bIns="0">
                        <a:noAutoFit/>
                      </wps:bodyPr>
                    </wps:wsp>
                  </a:graphicData>
                </a:graphic>
              </wp:anchor>
            </w:drawing>
          </mc:Choice>
          <mc:Fallback>
            <w:pict>
              <v:shape id="_x0000_s1036" type="#_x0000_t202" style="position:absolute;margin-left:402.55000000000001pt;margin-top:40.600000000000001pt;width:80.650000000000006pt;height:75.600000000000009pt;z-index:-125829367;mso-wrap-distance-left:0;mso-wrap-distance-top:40.600000000000001pt;mso-wrap-distance-right:0;mso-wrap-distance-bottom:24.949999999999999pt;mso-position-horizontal-relative:page" filled="f" stroked="f">
                <v:textbox inset="0,0,0,0">
                  <w:txbxContent>
                    <w:p>
                      <w:pPr>
                        <w:pStyle w:val="Style39"/>
                        <w:keepNext w:val="0"/>
                        <w:keepLines w:val="0"/>
                        <w:widowControl w:val="0"/>
                        <w:shd w:val="clear" w:color="auto" w:fill="auto"/>
                        <w:bidi w:val="0"/>
                        <w:spacing w:before="0" w:after="80" w:line="240" w:lineRule="auto"/>
                        <w:ind w:left="0" w:right="0" w:firstLine="0"/>
                        <w:jc w:val="left"/>
                      </w:pPr>
                      <w:r>
                        <w:rPr>
                          <w:spacing w:val="0"/>
                          <w:w w:val="100"/>
                          <w:position w:val="0"/>
                        </w:rPr>
                        <w:t>应用支撑</w:t>
                      </w:r>
                    </w:p>
                    <w:p>
                      <w:pPr>
                        <w:pStyle w:val="Style39"/>
                        <w:keepNext w:val="0"/>
                        <w:keepLines w:val="0"/>
                        <w:widowControl w:val="0"/>
                        <w:shd w:val="clear" w:color="auto" w:fill="auto"/>
                        <w:bidi w:val="0"/>
                        <w:spacing w:before="0" w:after="80" w:line="240" w:lineRule="auto"/>
                        <w:ind w:left="0" w:right="0" w:firstLine="0"/>
                        <w:jc w:val="left"/>
                      </w:pPr>
                      <w:r>
                        <w:rPr>
                          <w:spacing w:val="0"/>
                          <w:w w:val="100"/>
                          <w:position w:val="0"/>
                        </w:rPr>
                        <w:t>基本信息管理</w:t>
                      </w:r>
                    </w:p>
                    <w:p>
                      <w:pPr>
                        <w:pStyle w:val="Style39"/>
                        <w:keepNext w:val="0"/>
                        <w:keepLines w:val="0"/>
                        <w:widowControl w:val="0"/>
                        <w:shd w:val="clear" w:color="auto" w:fill="auto"/>
                        <w:bidi w:val="0"/>
                        <w:spacing w:before="0" w:after="260" w:line="240" w:lineRule="auto"/>
                        <w:ind w:left="0" w:right="0" w:firstLine="0"/>
                        <w:jc w:val="left"/>
                      </w:pPr>
                      <w:r>
                        <w:rPr>
                          <w:spacing w:val="0"/>
                          <w:w w:val="100"/>
                          <w:position w:val="0"/>
                        </w:rPr>
                        <w:t>整本医保业务</w:t>
                      </w:r>
                    </w:p>
                    <w:p>
                      <w:pPr>
                        <w:pStyle w:val="Style39"/>
                        <w:keepNext w:val="0"/>
                        <w:keepLines w:val="0"/>
                        <w:widowControl w:val="0"/>
                        <w:shd w:val="clear" w:color="auto" w:fill="auto"/>
                        <w:bidi w:val="0"/>
                        <w:spacing w:before="0" w:after="80" w:line="240" w:lineRule="auto"/>
                        <w:ind w:left="0" w:right="0" w:firstLine="820"/>
                        <w:jc w:val="left"/>
                      </w:pPr>
                      <w:r>
                        <w:rPr>
                          <w:spacing w:val="0"/>
                          <w:w w:val="100"/>
                          <w:position w:val="0"/>
                        </w:rPr>
                        <w:t>医保控费</w:t>
                      </w:r>
                    </w:p>
                    <w:p>
                      <w:pPr>
                        <w:pStyle w:val="Style39"/>
                        <w:keepNext w:val="0"/>
                        <w:keepLines w:val="0"/>
                        <w:widowControl w:val="0"/>
                        <w:shd w:val="clear" w:color="auto" w:fill="auto"/>
                        <w:bidi w:val="0"/>
                        <w:spacing w:before="0" w:after="80" w:line="240" w:lineRule="auto"/>
                        <w:ind w:left="0" w:right="0" w:firstLine="820"/>
                        <w:jc w:val="left"/>
                      </w:pPr>
                      <w:r>
                        <w:rPr>
                          <w:spacing w:val="0"/>
                          <w:w w:val="100"/>
                          <w:position w:val="0"/>
                        </w:rPr>
                        <w:t>医保决策支持</w:t>
                      </w:r>
                    </w:p>
                    <w:p>
                      <w:pPr>
                        <w:pStyle w:val="Style39"/>
                        <w:keepNext w:val="0"/>
                        <w:keepLines w:val="0"/>
                        <w:widowControl w:val="0"/>
                        <w:shd w:val="clear" w:color="auto" w:fill="auto"/>
                        <w:bidi w:val="0"/>
                        <w:spacing w:before="0" w:after="80" w:line="240" w:lineRule="auto"/>
                        <w:ind w:left="0" w:right="0" w:firstLine="820"/>
                        <w:jc w:val="left"/>
                      </w:pPr>
                      <w:r>
                        <w:rPr>
                          <w:spacing w:val="0"/>
                          <w:w w:val="100"/>
                          <w:position w:val="0"/>
                        </w:rPr>
                        <w:t>医疗行为监管</w:t>
                      </w:r>
                    </w:p>
                  </w:txbxContent>
                </v:textbox>
                <w10:wrap type="topAndBottom" anchorx="page"/>
              </v:shape>
            </w:pict>
          </mc:Fallback>
        </mc:AlternateContent>
      </w:r>
      <w:r>
        <mc:AlternateContent>
          <mc:Choice Requires="wps">
            <w:drawing>
              <wp:anchor distT="1604010" distB="0" distL="0" distR="0" simplePos="0" relativeHeight="125829388" behindDoc="0" locked="0" layoutInCell="1" allowOverlap="1">
                <wp:simplePos x="0" y="0"/>
                <wp:positionH relativeFrom="page">
                  <wp:posOffset>3890645</wp:posOffset>
                </wp:positionH>
                <wp:positionV relativeFrom="paragraph">
                  <wp:posOffset>1604010</wp:posOffset>
                </wp:positionV>
                <wp:extent cx="2233930" cy="189230"/>
                <wp:wrapTopAndBottom/>
                <wp:docPr id="12" name="Shape 12"/>
                <a:graphic xmlns:a="http://schemas.openxmlformats.org/drawingml/2006/main">
                  <a:graphicData uri="http://schemas.microsoft.com/office/word/2010/wordprocessingShape">
                    <wps:wsp>
                      <wps:cNvSpPr txBox="1"/>
                      <wps:spPr>
                        <a:xfrm>
                          <a:ext cx="2233930" cy="189230"/>
                        </a:xfrm>
                        <a:prstGeom prst="rect"/>
                        <a:noFill/>
                      </wps:spPr>
                      <wps:txbx>
                        <w:txbxContent>
                          <w:p>
                            <w:pPr>
                              <w:pStyle w:val="Style2"/>
                              <w:keepNext w:val="0"/>
                              <w:keepLines w:val="0"/>
                              <w:widowControl w:val="0"/>
                              <w:shd w:val="clear" w:color="auto" w:fill="auto"/>
                              <w:tabs>
                                <w:tab w:pos="2040" w:val="left"/>
                              </w:tabs>
                              <w:bidi w:val="0"/>
                              <w:spacing w:before="0" w:after="0" w:line="240" w:lineRule="auto"/>
                              <w:ind w:left="0" w:right="0" w:firstLine="0"/>
                              <w:jc w:val="left"/>
                              <w:rPr>
                                <w:sz w:val="15"/>
                                <w:szCs w:val="15"/>
                              </w:rPr>
                            </w:pPr>
                            <w:r>
                              <w:rPr>
                                <w:rFonts w:ascii="SimHei" w:eastAsia="SimHei" w:hAnsi="SimHei" w:cs="SimHei"/>
                                <w:color w:val="062942"/>
                                <w:spacing w:val="0"/>
                                <w:w w:val="100"/>
                                <w:position w:val="0"/>
                                <w:sz w:val="12"/>
                                <w:szCs w:val="12"/>
                              </w:rPr>
                              <w:t>定位：物联，</w:t>
                            </w:r>
                            <w:r>
                              <w:rPr>
                                <w:rFonts w:ascii="Arial" w:eastAsia="Arial" w:hAnsi="Arial" w:cs="Arial"/>
                                <w:b/>
                                <w:bCs/>
                                <w:color w:val="062942"/>
                                <w:spacing w:val="0"/>
                                <w:w w:val="100"/>
                                <w:position w:val="0"/>
                                <w:sz w:val="15"/>
                                <w:szCs w:val="15"/>
                              </w:rPr>
                              <w:t>ToBToC</w:t>
                              <w:tab/>
                            </w:r>
                            <w:r>
                              <w:rPr>
                                <w:rFonts w:ascii="SimHei" w:eastAsia="SimHei" w:hAnsi="SimHei" w:cs="SimHei"/>
                                <w:color w:val="062942"/>
                                <w:spacing w:val="0"/>
                                <w:w w:val="100"/>
                                <w:position w:val="0"/>
                                <w:sz w:val="12"/>
                                <w:szCs w:val="12"/>
                              </w:rPr>
                              <w:t>定位：软件，</w:t>
                            </w:r>
                            <w:r>
                              <w:rPr>
                                <w:rFonts w:ascii="Arial" w:eastAsia="Arial" w:hAnsi="Arial" w:cs="Arial"/>
                                <w:b/>
                                <w:bCs/>
                                <w:color w:val="062942"/>
                                <w:spacing w:val="0"/>
                                <w:w w:val="100"/>
                                <w:position w:val="0"/>
                                <w:sz w:val="15"/>
                                <w:szCs w:val="15"/>
                              </w:rPr>
                              <w:t>ToGToB</w:t>
                            </w:r>
                          </w:p>
                        </w:txbxContent>
                      </wps:txbx>
                      <wps:bodyPr wrap="none" lIns="0" tIns="0" rIns="0" bIns="0">
                        <a:noAutoFit/>
                      </wps:bodyPr>
                    </wps:wsp>
                  </a:graphicData>
                </a:graphic>
              </wp:anchor>
            </w:drawing>
          </mc:Choice>
          <mc:Fallback>
            <w:pict>
              <v:shape id="_x0000_s1038" type="#_x0000_t202" style="position:absolute;margin-left:306.35000000000002pt;margin-top:126.3pt;width:175.90000000000001pt;height:14.9pt;z-index:-125829365;mso-wrap-distance-left:0;mso-wrap-distance-top:126.3pt;mso-wrap-distance-right:0;mso-position-horizontal-relative:page" filled="f" stroked="f">
                <v:textbox inset="0,0,0,0">
                  <w:txbxContent>
                    <w:p>
                      <w:pPr>
                        <w:pStyle w:val="Style2"/>
                        <w:keepNext w:val="0"/>
                        <w:keepLines w:val="0"/>
                        <w:widowControl w:val="0"/>
                        <w:shd w:val="clear" w:color="auto" w:fill="auto"/>
                        <w:tabs>
                          <w:tab w:pos="2040" w:val="left"/>
                        </w:tabs>
                        <w:bidi w:val="0"/>
                        <w:spacing w:before="0" w:after="0" w:line="240" w:lineRule="auto"/>
                        <w:ind w:left="0" w:right="0" w:firstLine="0"/>
                        <w:jc w:val="left"/>
                        <w:rPr>
                          <w:sz w:val="15"/>
                          <w:szCs w:val="15"/>
                        </w:rPr>
                      </w:pPr>
                      <w:r>
                        <w:rPr>
                          <w:rFonts w:ascii="SimHei" w:eastAsia="SimHei" w:hAnsi="SimHei" w:cs="SimHei"/>
                          <w:color w:val="062942"/>
                          <w:spacing w:val="0"/>
                          <w:w w:val="100"/>
                          <w:position w:val="0"/>
                          <w:sz w:val="12"/>
                          <w:szCs w:val="12"/>
                        </w:rPr>
                        <w:t>定位：物联，</w:t>
                      </w:r>
                      <w:r>
                        <w:rPr>
                          <w:rFonts w:ascii="Arial" w:eastAsia="Arial" w:hAnsi="Arial" w:cs="Arial"/>
                          <w:b/>
                          <w:bCs/>
                          <w:color w:val="062942"/>
                          <w:spacing w:val="0"/>
                          <w:w w:val="100"/>
                          <w:position w:val="0"/>
                          <w:sz w:val="15"/>
                          <w:szCs w:val="15"/>
                        </w:rPr>
                        <w:t>ToBToC</w:t>
                        <w:tab/>
                      </w:r>
                      <w:r>
                        <w:rPr>
                          <w:rFonts w:ascii="SimHei" w:eastAsia="SimHei" w:hAnsi="SimHei" w:cs="SimHei"/>
                          <w:color w:val="062942"/>
                          <w:spacing w:val="0"/>
                          <w:w w:val="100"/>
                          <w:position w:val="0"/>
                          <w:sz w:val="12"/>
                          <w:szCs w:val="12"/>
                        </w:rPr>
                        <w:t>定位：软件，</w:t>
                      </w:r>
                      <w:r>
                        <w:rPr>
                          <w:rFonts w:ascii="Arial" w:eastAsia="Arial" w:hAnsi="Arial" w:cs="Arial"/>
                          <w:b/>
                          <w:bCs/>
                          <w:color w:val="062942"/>
                          <w:spacing w:val="0"/>
                          <w:w w:val="100"/>
                          <w:position w:val="0"/>
                          <w:sz w:val="15"/>
                          <w:szCs w:val="15"/>
                        </w:rPr>
                        <w:t>ToGToB</w:t>
                      </w:r>
                    </w:p>
                  </w:txbxContent>
                </v:textbox>
                <w10:wrap type="topAndBottom" anchorx="page"/>
              </v:shape>
            </w:pict>
          </mc:Fallback>
        </mc:AlternateContent>
      </w:r>
    </w:p>
    <w:p>
      <w:pPr>
        <w:pStyle w:val="Style15"/>
        <w:keepNext w:val="0"/>
        <w:keepLines w:val="0"/>
        <w:widowControl w:val="0"/>
        <w:shd w:val="clear" w:color="auto" w:fill="auto"/>
        <w:bidi w:val="0"/>
        <w:spacing w:before="0" w:after="0" w:line="315" w:lineRule="exact"/>
        <w:ind w:left="0" w:right="0"/>
        <w:jc w:val="both"/>
      </w:pPr>
      <w:bookmarkStart w:id="82" w:name="bookmark82"/>
      <w:r>
        <w:rPr>
          <w:b/>
          <w:bCs/>
          <w:color w:val="000000"/>
          <w:spacing w:val="0"/>
          <w:w w:val="100"/>
          <w:position w:val="0"/>
        </w:rPr>
        <w:t>（</w:t>
      </w:r>
      <w:bookmarkEnd w:id="82"/>
      <w:r>
        <w:rPr>
          <w:b/>
          <w:bCs/>
          <w:color w:val="000000"/>
          <w:spacing w:val="0"/>
          <w:w w:val="100"/>
          <w:position w:val="0"/>
        </w:rPr>
        <w:t>二）公司主要产品及服务</w:t>
      </w:r>
    </w:p>
    <w:p>
      <w:pPr>
        <w:pStyle w:val="Style15"/>
        <w:keepNext w:val="0"/>
        <w:keepLines w:val="0"/>
        <w:widowControl w:val="0"/>
        <w:shd w:val="clear" w:color="auto" w:fill="auto"/>
        <w:bidi w:val="0"/>
        <w:spacing w:before="0" w:after="0" w:line="315" w:lineRule="exact"/>
        <w:ind w:left="0" w:right="0"/>
        <w:jc w:val="left"/>
      </w:pPr>
      <w:r>
        <w:rPr>
          <w:color w:val="000000"/>
          <w:spacing w:val="0"/>
          <w:w w:val="100"/>
          <w:position w:val="0"/>
        </w:rPr>
        <w:t>自上市以来，随着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互联网、物联网、大数据等技术的发展，公司通过“一体两翼”的发展战略，构建横向业务发 展经营模式，产品涵盖医疗、卫生、医保、健康、养老等各种服务场景，产品及服务可以划分为“一体两翼”及医保事业部， 四大产品服务板块。同时，经过多年云技术和多态智联的研发推进，目前公司产品已经基本具备了业务全面云化的技术和架 构基础工作。</w:t>
      </w:r>
    </w:p>
    <w:p>
      <w:pPr>
        <w:pStyle w:val="Style15"/>
        <w:keepNext w:val="0"/>
        <w:keepLines w:val="0"/>
        <w:widowControl w:val="0"/>
        <w:shd w:val="clear" w:color="auto" w:fill="auto"/>
        <w:bidi w:val="0"/>
        <w:spacing w:before="0" w:after="0" w:line="315" w:lineRule="exact"/>
        <w:ind w:left="0" w:right="0"/>
        <w:jc w:val="left"/>
      </w:pPr>
      <w:bookmarkStart w:id="83" w:name="bookmark83"/>
      <w:r>
        <w:rPr>
          <w:rFonts w:ascii="Times New Roman" w:eastAsia="Times New Roman" w:hAnsi="Times New Roman" w:cs="Times New Roman"/>
          <w:b/>
          <w:bCs/>
          <w:color w:val="000000"/>
          <w:spacing w:val="0"/>
          <w:w w:val="100"/>
          <w:position w:val="0"/>
        </w:rPr>
        <w:t>1</w:t>
      </w:r>
      <w:bookmarkEnd w:id="83"/>
      <w:r>
        <w:rPr>
          <w:b/>
          <w:bCs/>
          <w:color w:val="000000"/>
          <w:spacing w:val="0"/>
          <w:w w:val="100"/>
          <w:position w:val="0"/>
        </w:rPr>
        <w:t>、医疗卫生信息化应用软件产品服务板块</w:t>
      </w:r>
    </w:p>
    <w:p>
      <w:pPr>
        <w:pStyle w:val="Style15"/>
        <w:keepNext w:val="0"/>
        <w:keepLines w:val="0"/>
        <w:widowControl w:val="0"/>
        <w:shd w:val="clear" w:color="auto" w:fill="auto"/>
        <w:bidi w:val="0"/>
        <w:spacing w:before="0" w:after="0" w:line="315" w:lineRule="exact"/>
        <w:ind w:left="0" w:right="0"/>
        <w:jc w:val="left"/>
      </w:pPr>
      <w:r>
        <w:rPr>
          <w:color w:val="000000"/>
          <w:spacing w:val="0"/>
          <w:w w:val="100"/>
          <w:position w:val="0"/>
        </w:rPr>
        <w:t>经过多年的研发，公司医疗卫生信息化应用软件产品服务板块已建立了较为完整的产品体系，拥有八大系列</w:t>
      </w:r>
      <w:r>
        <w:rPr>
          <w:rFonts w:ascii="Times New Roman" w:eastAsia="Times New Roman" w:hAnsi="Times New Roman" w:cs="Times New Roman"/>
          <w:color w:val="000000"/>
          <w:spacing w:val="0"/>
          <w:w w:val="100"/>
          <w:position w:val="0"/>
        </w:rPr>
        <w:t>300</w:t>
      </w:r>
      <w:r>
        <w:rPr>
          <w:color w:val="000000"/>
          <w:spacing w:val="0"/>
          <w:w w:val="100"/>
          <w:position w:val="0"/>
        </w:rPr>
        <w:t>多个自 主研发产品，可以满足各大中型医院和县级以上卫生管理机构的信息化需求。</w:t>
      </w:r>
    </w:p>
    <w:p>
      <w:pPr>
        <w:pStyle w:val="Style15"/>
        <w:keepNext w:val="0"/>
        <w:keepLines w:val="0"/>
        <w:widowControl w:val="0"/>
        <w:shd w:val="clear" w:color="auto" w:fill="auto"/>
        <w:bidi w:val="0"/>
        <w:spacing w:before="0" w:after="0" w:line="315" w:lineRule="exact"/>
        <w:ind w:left="0" w:right="0"/>
        <w:jc w:val="left"/>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rPr>
        <w:t>1</w:t>
      </w:r>
      <w:r>
        <w:rPr>
          <w:b/>
          <w:bCs/>
          <w:color w:val="000000"/>
          <w:spacing w:val="0"/>
          <w:w w:val="100"/>
          <w:position w:val="0"/>
        </w:rPr>
        <w:t>）医院信息化应用软件服务板块</w:t>
      </w:r>
    </w:p>
    <w:p>
      <w:pPr>
        <w:pStyle w:val="Style15"/>
        <w:keepNext w:val="0"/>
        <w:keepLines w:val="0"/>
        <w:widowControl w:val="0"/>
        <w:shd w:val="clear" w:color="auto" w:fill="auto"/>
        <w:bidi w:val="0"/>
        <w:spacing w:before="0" w:after="0" w:line="315" w:lineRule="exact"/>
        <w:ind w:left="0" w:right="0"/>
        <w:jc w:val="left"/>
      </w:pPr>
      <w:r>
        <w:rPr>
          <w:color w:val="000000"/>
          <w:spacing w:val="0"/>
          <w:w w:val="100"/>
          <w:position w:val="0"/>
        </w:rPr>
        <w:t>医院信息化应用软件是以电子病历为核心，以全面集成为手段，采用先进的</w:t>
      </w:r>
      <w:r>
        <w:rPr>
          <w:rFonts w:ascii="Times New Roman" w:eastAsia="Times New Roman" w:hAnsi="Times New Roman" w:cs="Times New Roman"/>
          <w:color w:val="000000"/>
          <w:spacing w:val="0"/>
          <w:w w:val="100"/>
          <w:position w:val="0"/>
        </w:rPr>
        <w:t>IT</w:t>
      </w:r>
      <w:r>
        <w:rPr>
          <w:color w:val="000000"/>
          <w:spacing w:val="0"/>
          <w:w w:val="100"/>
          <w:position w:val="0"/>
        </w:rPr>
        <w:t>技术框架，遵循国内外通用标准和规范， 支持医院内部医疗信息和管理信息的数据采集、处理、存储、传输和共享，实现病人信息数字化、医疗过程数字化、管理流 程数字化、医疗服务数字化、信息交互数字化。在价值链上实现病人、医院、供应商的信息集成；在管理链上实现人、财、 物、药、设备等的管理与战略目标的集成，内容涵盖医院临床、医技、护理、科研、教学、管理等多个方面。</w:t>
      </w:r>
      <w:r>
        <w:br w:type="page"/>
      </w:r>
    </w:p>
    <w:p>
      <w:pPr>
        <w:widowControl w:val="0"/>
        <w:jc w:val="center"/>
        <w:rPr>
          <w:sz w:val="2"/>
          <w:szCs w:val="2"/>
        </w:rPr>
      </w:pPr>
      <w:r>
        <w:drawing>
          <wp:inline>
            <wp:extent cx="4126865" cy="306641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pic:blipFill>
                  <pic:spPr>
                    <a:xfrm>
                      <a:ext cx="4126865" cy="3066415"/>
                    </a:xfrm>
                    <a:prstGeom prst="rect"/>
                  </pic:spPr>
                </pic:pic>
              </a:graphicData>
            </a:graphic>
          </wp:inline>
        </w:drawing>
      </w:r>
    </w:p>
    <w:p>
      <w:pPr>
        <w:widowControl w:val="0"/>
        <w:spacing w:after="1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①重要产品</w:t>
      </w:r>
    </w:p>
    <w:tbl>
      <w:tblPr>
        <w:tblOverlap w:val="never"/>
        <w:jc w:val="center"/>
        <w:tblLayout w:type="fixed"/>
      </w:tblPr>
      <w:tblGrid>
        <w:gridCol w:w="720"/>
        <w:gridCol w:w="1699"/>
        <w:gridCol w:w="5832"/>
      </w:tblGrid>
      <w:tr>
        <w:trPr>
          <w:trHeight w:val="370"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产品简介</w:t>
            </w:r>
          </w:p>
        </w:tc>
      </w:tr>
      <w:tr>
        <w:trPr>
          <w:trHeight w:val="22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慧康云</w:t>
            </w:r>
            <w:r>
              <w:rPr>
                <w:rFonts w:ascii="Times New Roman" w:eastAsia="Times New Roman" w:hAnsi="Times New Roman" w:cs="Times New Roman"/>
                <w:color w:val="000000"/>
                <w:spacing w:val="0"/>
                <w:w w:val="100"/>
                <w:position w:val="0"/>
              </w:rPr>
              <w:t>HIS</w:t>
            </w:r>
            <w:r>
              <w:rPr>
                <w:color w:val="000000"/>
                <w:spacing w:val="0"/>
                <w:w w:val="100"/>
                <w:position w:val="0"/>
              </w:rPr>
              <w:t>整体解决 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为基层医疗机构、集团医院、专科联盟等提供医疗卫生一体化云服务。平 台具有互联网性、多租户、可配置、可扩展等特性，客户可根据自身需求， 实现灵活配置，快速上线。平台可对医疗机构相关业务系统进行统一管理， 实现居民健康档案、基本医疗服务、基本公共卫生、医疗机构运营的一体 化管理，辅助信息共享、流程整合、运营管理、区域协作等业务，最终提 升区域化医疗服务水平，提高医疗服务效率，节省患者支出，缓解居民看 病难、看病贵问题，加强医疗协同与医疗监管。</w:t>
            </w:r>
          </w:p>
        </w:tc>
      </w:tr>
      <w:tr>
        <w:trPr>
          <w:trHeight w:val="22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多学科远程医疗平台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基于国际标准，采用诊断级的图像和“互联网+”的平台技术，面向各类 大型医联体，以高端中心医疗机构为核心，聚合医联体内外专家资源，形 成多学科诊教研协作体，通过云</w:t>
            </w:r>
            <w:r>
              <w:rPr>
                <w:rFonts w:ascii="Times New Roman" w:eastAsia="Times New Roman" w:hAnsi="Times New Roman" w:cs="Times New Roman"/>
                <w:color w:val="000000"/>
                <w:spacing w:val="0"/>
                <w:w w:val="100"/>
                <w:position w:val="0"/>
              </w:rPr>
              <w:t>MDT</w:t>
            </w:r>
            <w:r>
              <w:rPr>
                <w:color w:val="000000"/>
                <w:spacing w:val="0"/>
                <w:w w:val="100"/>
                <w:position w:val="0"/>
              </w:rPr>
              <w:t>、</w:t>
            </w:r>
            <w:r>
              <w:rPr>
                <w:color w:val="000000"/>
                <w:spacing w:val="0"/>
                <w:w w:val="100"/>
                <w:position w:val="0"/>
              </w:rPr>
              <w:t>云病理和云影像等互联网协同诊断 手段，攻克传统</w:t>
            </w:r>
            <w:r>
              <w:rPr>
                <w:rFonts w:ascii="Times New Roman" w:eastAsia="Times New Roman" w:hAnsi="Times New Roman" w:cs="Times New Roman"/>
                <w:color w:val="000000"/>
                <w:spacing w:val="0"/>
                <w:w w:val="100"/>
                <w:position w:val="0"/>
              </w:rPr>
              <w:t>MDT</w:t>
            </w:r>
            <w:r>
              <w:rPr>
                <w:color w:val="000000"/>
                <w:spacing w:val="0"/>
                <w:w w:val="100"/>
                <w:position w:val="0"/>
              </w:rPr>
              <w:t>的地域与时空等关键障碍，在线上实现多学科、多机 构、多专家的</w:t>
            </w:r>
            <w:r>
              <w:rPr>
                <w:rFonts w:ascii="Times New Roman" w:eastAsia="Times New Roman" w:hAnsi="Times New Roman" w:cs="Times New Roman"/>
                <w:color w:val="000000"/>
                <w:spacing w:val="0"/>
                <w:w w:val="100"/>
                <w:position w:val="0"/>
              </w:rPr>
              <w:t>MDT</w:t>
            </w:r>
            <w:r>
              <w:rPr>
                <w:color w:val="000000"/>
                <w:spacing w:val="0"/>
                <w:w w:val="100"/>
                <w:position w:val="0"/>
              </w:rPr>
              <w:t>全程协同诊疗，极大程度地提高专家资源的工作效率， 加速专家资源的下沉和基层医疗水平的提升，有效推进分级诊疗和精准医 疗的实现，普惠民众。</w:t>
            </w:r>
          </w:p>
        </w:tc>
      </w:tr>
      <w:tr>
        <w:trPr>
          <w:trHeight w:val="15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医学影像大数据智能 分析平台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是基于大数据存储及人工智能的区域医学影像智能分析系统。实现从各级 的</w:t>
            </w:r>
            <w:r>
              <w:rPr>
                <w:rFonts w:ascii="Times New Roman" w:eastAsia="Times New Roman" w:hAnsi="Times New Roman" w:cs="Times New Roman"/>
                <w:color w:val="000000"/>
                <w:spacing w:val="0"/>
                <w:w w:val="100"/>
                <w:position w:val="0"/>
              </w:rPr>
              <w:t>PACS</w:t>
            </w:r>
            <w:r>
              <w:rPr>
                <w:color w:val="000000"/>
                <w:spacing w:val="0"/>
                <w:w w:val="100"/>
                <w:position w:val="0"/>
              </w:rPr>
              <w:t>系统同步影像数据与图片到大数据的云平台，避免纸质胶片的浪 费，提供诊断的精准度，减少患者重复拍片的痛苦和成本，使医生阅片更 灵活、更敏捷；实现智慧医疗平台，并通过数据建模、深度学习算法提供 个性化智能医疗服务，为医生提供快速响应的医学影像自动分析结果。</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大数据商业智能分析 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实现将各类数据进行整合分析，并可通过即席查询、报表、</w:t>
            </w:r>
            <w:r>
              <w:rPr>
                <w:rFonts w:ascii="Times New Roman" w:eastAsia="Times New Roman" w:hAnsi="Times New Roman" w:cs="Times New Roman"/>
                <w:color w:val="000000"/>
                <w:spacing w:val="0"/>
                <w:w w:val="100"/>
                <w:position w:val="0"/>
              </w:rPr>
              <w:t>CDE</w:t>
            </w:r>
            <w:r>
              <w:rPr>
                <w:color w:val="000000"/>
                <w:spacing w:val="0"/>
                <w:w w:val="100"/>
                <w:position w:val="0"/>
              </w:rPr>
              <w:t>仪表板等 丰富的可视化分析和展现方式，为用户提供灵活直观的交互分析能力和信 息展现能力，借助此平台用户可以挖掘海量医疗卫生数据背后蕴含的价值。</w:t>
            </w:r>
          </w:p>
        </w:tc>
      </w:tr>
    </w:tbl>
    <w:p>
      <w:pPr>
        <w:widowControl w:val="0"/>
        <w:spacing w:line="1" w:lineRule="exact"/>
      </w:pPr>
    </w:p>
    <w:p>
      <w:pPr>
        <w:pStyle w:val="Style21"/>
        <w:keepNext w:val="0"/>
        <w:keepLines w:val="0"/>
        <w:widowControl w:val="0"/>
        <w:shd w:val="clear" w:color="auto" w:fill="auto"/>
        <w:bidi w:val="0"/>
        <w:spacing w:before="0" w:after="0" w:line="240" w:lineRule="auto"/>
        <w:ind w:left="10" w:right="0" w:firstLine="0"/>
        <w:jc w:val="left"/>
      </w:pPr>
      <w:r>
        <w:rPr>
          <w:color w:val="000000"/>
          <w:spacing w:val="0"/>
          <w:w w:val="100"/>
          <w:position w:val="0"/>
        </w:rPr>
        <w:t>②经典案例</w:t>
      </w:r>
    </w:p>
    <w:tbl>
      <w:tblPr>
        <w:tblOverlap w:val="never"/>
        <w:jc w:val="center"/>
        <w:tblLayout w:type="fixed"/>
      </w:tblPr>
      <w:tblGrid>
        <w:gridCol w:w="725"/>
        <w:gridCol w:w="1699"/>
        <w:gridCol w:w="5832"/>
      </w:tblGrid>
      <w:tr>
        <w:trPr>
          <w:trHeight w:val="370"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案例简介</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该院通过与公司合作，通过上线慧康云整体解决方案建立了全院信息标准</w:t>
            </w:r>
          </w:p>
        </w:tc>
      </w:tr>
    </w:tbl>
    <w:p>
      <w:pPr>
        <w:widowControl w:val="0"/>
        <w:spacing w:line="1" w:lineRule="exact"/>
      </w:pPr>
      <w:r>
        <w:br w:type="page"/>
      </w:r>
    </w:p>
    <w:tbl>
      <w:tblPr>
        <w:tblOverlap w:val="never"/>
        <w:jc w:val="center"/>
        <w:tblLayout w:type="fixed"/>
      </w:tblPr>
      <w:tblGrid>
        <w:gridCol w:w="720"/>
        <w:gridCol w:w="1699"/>
        <w:gridCol w:w="5832"/>
      </w:tblGrid>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pPr>
            <w:r>
              <w:rPr>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浙江省某三甲医院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体系，整合下属集团下各医疗机构，注重多组织架构的业务流程协同、决 策预警和战略管控，实现医院内部的业务一体，外部的医卫健一体，集团 管理的上下一体。</w:t>
            </w:r>
          </w:p>
        </w:tc>
      </w:tr>
      <w:tr>
        <w:trPr>
          <w:trHeight w:val="9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深圳市某三甲医院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该院于</w:t>
            </w:r>
            <w:r>
              <w:rPr>
                <w:rFonts w:ascii="Times New Roman" w:eastAsia="Times New Roman" w:hAnsi="Times New Roman" w:cs="Times New Roman"/>
                <w:color w:val="000000"/>
                <w:spacing w:val="0"/>
                <w:w w:val="100"/>
                <w:position w:val="0"/>
              </w:rPr>
              <w:t>2003</w:t>
            </w:r>
            <w:r>
              <w:rPr>
                <w:color w:val="000000"/>
                <w:spacing w:val="0"/>
                <w:w w:val="100"/>
                <w:position w:val="0"/>
              </w:rPr>
              <w:t>年与公司合作，采用了公司包括</w:t>
            </w:r>
            <w:r>
              <w:rPr>
                <w:rFonts w:ascii="Times New Roman" w:eastAsia="Times New Roman" w:hAnsi="Times New Roman" w:cs="Times New Roman"/>
                <w:color w:val="000000"/>
                <w:spacing w:val="0"/>
                <w:w w:val="100"/>
                <w:position w:val="0"/>
              </w:rPr>
              <w:t>HIS</w:t>
            </w:r>
            <w:r>
              <w:rPr>
                <w:color w:val="000000"/>
                <w:spacing w:val="0"/>
                <w:w w:val="100"/>
                <w:position w:val="0"/>
              </w:rPr>
              <w:t>系统、电子病历系统、集 成平台和临床知识库系统等全系列产品，均进行了深入建设和应用，帮助 医院实现了信息化从无到有，从弱到强，全院信息化不断提升。</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福建省某三甲医院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该院在公司的帮助下现已建成以围绕电子病历与医院管理为核心的数十个 子系统互联互通、信息全面共享的医疗门户平台。整合资源，提高资源利 用率，优化业务流程，构建全方位的医疗服务体系。</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江苏省某三甲医院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随着医院建设进入快车道，该医院希望通过</w:t>
            </w:r>
            <w:r>
              <w:rPr>
                <w:rFonts w:ascii="Times New Roman" w:eastAsia="Times New Roman" w:hAnsi="Times New Roman" w:cs="Times New Roman"/>
                <w:color w:val="000000"/>
                <w:spacing w:val="0"/>
                <w:w w:val="100"/>
                <w:position w:val="0"/>
              </w:rPr>
              <w:t>3-5</w:t>
            </w:r>
            <w:r>
              <w:rPr>
                <w:color w:val="000000"/>
                <w:spacing w:val="0"/>
                <w:w w:val="100"/>
                <w:position w:val="0"/>
              </w:rPr>
              <w:t>年的建设，借助信息化的手 段，达到电子病历七级，智慧服务五级，更方便快捷为患者提供优质的服 务。创业同用户一道，充分发挥公司的产品优势，借助公司新产品，来为 用户提供全新的信息化建设模式，实现用户愿景。</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)公共卫生信息化应用软件服务板块</w:t>
      </w:r>
    </w:p>
    <w:p>
      <w:pPr>
        <w:pStyle w:val="Style15"/>
        <w:keepNext w:val="0"/>
        <w:keepLines w:val="0"/>
        <w:widowControl w:val="0"/>
        <w:shd w:val="clear" w:color="auto" w:fill="auto"/>
        <w:bidi w:val="0"/>
        <w:spacing w:before="0" w:after="180" w:line="312" w:lineRule="exact"/>
        <w:ind w:left="0" w:right="0" w:firstLine="360"/>
        <w:jc w:val="both"/>
      </w:pPr>
      <w:r>
        <w:rPr>
          <w:color w:val="000000"/>
          <w:spacing w:val="0"/>
          <w:w w:val="100"/>
          <w:position w:val="0"/>
        </w:rPr>
        <w:t>以各地人口健康需求为导向，参照国家卫健委人口健康信息“</w:t>
      </w:r>
      <w:r>
        <w:rPr>
          <w:rFonts w:ascii="Times New Roman" w:eastAsia="Times New Roman" w:hAnsi="Times New Roman" w:cs="Times New Roman"/>
          <w:color w:val="000000"/>
          <w:spacing w:val="0"/>
          <w:w w:val="100"/>
          <w:position w:val="0"/>
        </w:rPr>
        <w:t>46321</w:t>
      </w:r>
      <w:r>
        <w:rPr>
          <w:color w:val="000000"/>
          <w:spacing w:val="0"/>
          <w:w w:val="100"/>
          <w:position w:val="0"/>
        </w:rPr>
        <w:t>”工程要求，公司构建完备的智慧卫生解决方案， 帮助各地政府建设区域卫生信息化服务体系，重点实现卫生计生一网覆盖、居民电子健康一卡通、健康信息资源统一融合； 实现人口全覆盖、生命全过程、中西医并重、工作全天候的全民医疗健康信息服务体制；建设健康医疗大数据分析应用体系， 促进各地卫生管理水平提升；运营发展居民个性化医疗服务，支撑创新智能医疗业态和运行模式，推进实现预防、治疗、康 复和健康管理的一体化。与此同时，公司全面助力各区域开展国家医疗健康信息互联互通标准化成熟度测评，并协助多个区 域通过互联互通标准化成熟度评测。</w:t>
      </w:r>
    </w:p>
    <w:p>
      <w:pPr>
        <w:widowControl w:val="0"/>
        <w:jc w:val="center"/>
        <w:rPr>
          <w:sz w:val="2"/>
          <w:szCs w:val="2"/>
        </w:rPr>
      </w:pPr>
      <w:r>
        <w:drawing>
          <wp:inline>
            <wp:extent cx="5273040" cy="299910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pic:blipFill>
                  <pic:spPr>
                    <a:xfrm>
                      <a:ext cx="5273040" cy="2999105"/>
                    </a:xfrm>
                    <a:prstGeom prst="rect"/>
                  </pic:spPr>
                </pic:pic>
              </a:graphicData>
            </a:graphic>
          </wp:inline>
        </w:drawing>
      </w:r>
    </w:p>
    <w:p>
      <w:pPr>
        <w:widowControl w:val="0"/>
        <w:spacing w:after="1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38" w:right="0" w:firstLine="0"/>
        <w:jc w:val="left"/>
      </w:pPr>
      <w:r>
        <w:rPr>
          <w:color w:val="000000"/>
          <w:spacing w:val="0"/>
          <w:w w:val="100"/>
          <w:position w:val="0"/>
        </w:rPr>
        <w:t>①重要产品</w:t>
      </w:r>
    </w:p>
    <w:tbl>
      <w:tblPr>
        <w:tblOverlap w:val="never"/>
        <w:jc w:val="center"/>
        <w:tblLayout w:type="fixed"/>
      </w:tblPr>
      <w:tblGrid>
        <w:gridCol w:w="715"/>
        <w:gridCol w:w="1560"/>
        <w:gridCol w:w="6048"/>
      </w:tblGrid>
      <w:tr>
        <w:trPr>
          <w:trHeight w:val="370"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产品简介</w:t>
            </w:r>
          </w:p>
        </w:tc>
      </w:tr>
      <w:tr>
        <w:trPr>
          <w:trHeight w:val="16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智慧卫生整体解决 方案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帮助各地政府建设区域卫生信息化服务体系， 重点实现卫生计生一网覆盖、 居民电子健康一卡通、健康信息资源统一融合；实现人口全覆盖、生命全过 程、中西医并重、工作全天候的全民医疗健康信息服务机制；建设健康医疗 大数据分析应用体系，促进各地卫生管理水平提升；运营发展居民个性化医 疗服务，支撑创新智能医疗业态和运行模式，推进实现预防、治疗、扆复和</w:t>
            </w:r>
          </w:p>
        </w:tc>
      </w:tr>
    </w:tbl>
    <w:p>
      <w:pPr>
        <w:widowControl w:val="0"/>
        <w:spacing w:line="1" w:lineRule="exact"/>
      </w:pPr>
      <w:r>
        <w:br w:type="page"/>
      </w:r>
    </w:p>
    <w:tbl>
      <w:tblPr>
        <w:tblOverlap w:val="never"/>
        <w:jc w:val="center"/>
        <w:tblLayout w:type="fixed"/>
      </w:tblPr>
      <w:tblGrid>
        <w:gridCol w:w="715"/>
        <w:gridCol w:w="1560"/>
        <w:gridCol w:w="604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健康管理的一体化。</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医共体整体解决方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通过建立统一的临床数据中心和医疗信息服务云平台，完善和整合医共体各 级各类医疗机构的信息系统，实现对医疗信息的全面共享、挖掘、利用和信 息系统的互联互通，从而辅助和支持开展病人服务、信息共享、资源预约、 双向转诊、综合监管、绩效考核等业务，推动和支持医共体的建立和运行。</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区域流行病防控整 体解决方案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基于创业慧康大数据技术，构建区域流行病防控大数据平台，实现对于区域 内所有流行病相关的数据源的收集整理，形成区域集中、互通共享的防疫大 数据中心，并运用大数据分析技术，构建完备的区域防疫管理体系。</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全民健康信息平台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明确网络联通、数据报送、平台功能、数据质控和隐私保护等方面的具体要 求，畅通部门、区域、行业之间的数据共享通道，促进全民健康信息共享应 用，建立各级医疗卫生机构、相关部门之间统一高效、互联互通、信息共享 的区域卫生协同服务模式，提高医疗卫生服务质量和效率，提高医疗卫生服 务能力和可及性，提高卫生管理效率和决策水平。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智慧养老云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基于公司最新云框架</w:t>
            </w:r>
            <w:r>
              <w:rPr>
                <w:rFonts w:ascii="Times New Roman" w:eastAsia="Times New Roman" w:hAnsi="Times New Roman" w:cs="Times New Roman"/>
                <w:color w:val="000000"/>
                <w:spacing w:val="0"/>
                <w:w w:val="100"/>
                <w:position w:val="0"/>
              </w:rPr>
              <w:t>4.0</w:t>
            </w:r>
            <w:r>
              <w:rPr>
                <w:color w:val="000000"/>
                <w:spacing w:val="0"/>
                <w:w w:val="100"/>
                <w:position w:val="0"/>
              </w:rPr>
              <w:t>，采用先进的领域驱动、分层架构设计思想，以未来 养老服务人本化、智慧化、场景化为目标，构建居家养老、社区养老、机构 养老三大解决方案，全过程养老数据支撑养老机构的科学管理，标准化服务 流程升级医护的服务质量，个性化康养服务提升长者及家属的贴心体验。</w:t>
            </w:r>
          </w:p>
        </w:tc>
      </w:tr>
    </w:tbl>
    <w:p>
      <w:pPr>
        <w:pStyle w:val="Style21"/>
        <w:keepNext w:val="0"/>
        <w:keepLines w:val="0"/>
        <w:widowControl w:val="0"/>
        <w:shd w:val="clear" w:color="auto" w:fill="auto"/>
        <w:bidi w:val="0"/>
        <w:spacing w:before="0" w:after="0" w:line="240" w:lineRule="auto"/>
        <w:ind w:left="38" w:right="0" w:firstLine="0"/>
        <w:jc w:val="left"/>
      </w:pPr>
      <w:r>
        <w:rPr>
          <w:color w:val="000000"/>
          <w:spacing w:val="0"/>
          <w:w w:val="100"/>
          <w:position w:val="0"/>
        </w:rPr>
        <w:t>②经典案例</w:t>
      </w:r>
    </w:p>
    <w:p>
      <w:pPr>
        <w:widowControl w:val="0"/>
        <w:spacing w:line="1" w:lineRule="exact"/>
      </w:pPr>
    </w:p>
    <w:tbl>
      <w:tblPr>
        <w:tblOverlap w:val="never"/>
        <w:jc w:val="center"/>
        <w:tblLayout w:type="fixed"/>
      </w:tblPr>
      <w:tblGrid>
        <w:gridCol w:w="715"/>
        <w:gridCol w:w="1560"/>
        <w:gridCol w:w="6048"/>
      </w:tblGrid>
      <w:tr>
        <w:trPr>
          <w:trHeight w:val="365"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案例简介</w:t>
            </w:r>
          </w:p>
        </w:tc>
      </w:tr>
      <w:tr>
        <w:trPr>
          <w:trHeight w:val="15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广东省某地级市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公司受该市卫生健康局委托承建该市“区域卫生信息平台建设营运项目”。 经过几年的建设，已完成的惠民利民工程包括：居民电子健康卡平台、区域 数据中心、卫生专网、交读平台、数据质量检测平台、预约挂号平台、医疗 健康云平台、家医签服务平台、药品监管平台、慢病管理系统、区域影像数 据中心、</w:t>
            </w:r>
            <w:r>
              <w:rPr>
                <w:rFonts w:ascii="Times New Roman" w:eastAsia="Times New Roman" w:hAnsi="Times New Roman" w:cs="Times New Roman"/>
                <w:color w:val="000000"/>
                <w:spacing w:val="0"/>
                <w:w w:val="100"/>
                <w:position w:val="0"/>
              </w:rPr>
              <w:t>120</w:t>
            </w:r>
            <w:r>
              <w:rPr>
                <w:color w:val="000000"/>
                <w:spacing w:val="0"/>
                <w:w w:val="100"/>
                <w:position w:val="0"/>
              </w:rPr>
              <w:t>急救服务平台、等系统。</w:t>
            </w:r>
          </w:p>
        </w:tc>
      </w:tr>
      <w:tr>
        <w:trPr>
          <w:trHeight w:val="15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某直辖市所属区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公司承建该区卫生信息化建设，以服务居民为中心，以电子健康档案为核心， 综合运用计算机技术、网络技术和通讯技术，遵循卫生部统一标准，建立区 域卫生数据中心和数据交换平台（集成平台）等，开发和整合了集医疗服务、 医疗保障、医疗协作、妇幼保健、慢病管理、疾病预防、绩效考核、业务监 督、卫生管理等多功能为一体的高效、快速、通畅的卫生信息网络平台。</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长三角地区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某省会城市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公司先后承建了该市统一集中部署的社区卫生服务信息系统、区域卫生信息 平台。社区卫生服务信息系统按照建立健康档案与信息化建设、与责任医生 网格化工作有机结合的思路，依照居民电子健康档案的标准，规范开发了新 版居民电子健康档案。伴随健康档案信息的采集、录入、调整、修改，最终 形成既符合国家规范要求、又具特色，即可入户采集、又可信息输入的城乡 居民健康档案建档模式和网格化管理、责任医生制的公卫服务模式。</w:t>
            </w:r>
          </w:p>
        </w:tc>
      </w:tr>
    </w:tbl>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、医疗卫生互联网应用产品及服务板块</w: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公司积极响应国家促进“互联网+医疗健康”发展的意见，以创新、互联、融合、开放、共享的发展理念，坚持新时期 卫生与健康工作方针，以保障城市人民健康为出发点，以提高人民群众医疗服务获得感为目标，建设城市全民健康信息化服 务体系，推动政府健康医疗信息系统和公众健康医疗数据互联融合、开放共享，构建“互联网+医疗健康”的新型服务模式， 为深化医药卫生体制改革、推动全生命周期健康管理和建设智慧高效的医疗卫生服务体系提供强大动力。</w:t>
      </w:r>
      <w:r>
        <w:br w:type="page"/>
      </w:r>
    </w:p>
    <w:p>
      <w:pPr>
        <w:framePr w:w="6797" w:h="3950" w:wrap="notBeside" w:vAnchor="text" w:hAnchor="text" w:x="1493" w:y="1"/>
        <w:widowControl w:val="0"/>
        <w:rPr>
          <w:sz w:val="2"/>
          <w:szCs w:val="2"/>
        </w:rPr>
      </w:pPr>
      <w:r>
        <w:drawing>
          <wp:inline>
            <wp:extent cx="4316095" cy="251142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4316095" cy="2511425"/>
                    </a:xfrm>
                    <a:prstGeom prst="rect"/>
                  </pic:spPr>
                </pic:pic>
              </a:graphicData>
            </a:graphic>
          </wp:inline>
        </w:drawing>
      </w:r>
    </w:p>
    <w:p>
      <w:pPr>
        <w:widowControl w:val="0"/>
        <w:spacing w:line="1" w:lineRule="exact"/>
      </w:pPr>
      <w:r>
        <mc:AlternateContent>
          <mc:Choice Requires="wps">
            <w:drawing>
              <wp:anchor distT="0" distB="0" distL="947420" distR="4901565" simplePos="0" relativeHeight="125829390" behindDoc="0" locked="0" layoutInCell="1" allowOverlap="1">
                <wp:simplePos x="0" y="0"/>
                <wp:positionH relativeFrom="column">
                  <wp:posOffset>1340485</wp:posOffset>
                </wp:positionH>
                <wp:positionV relativeFrom="paragraph">
                  <wp:posOffset>1913890</wp:posOffset>
                </wp:positionV>
                <wp:extent cx="362585" cy="179705"/>
                <wp:wrapTopAndBottom/>
                <wp:docPr id="17" name="Shape 17"/>
                <a:graphic xmlns:a="http://schemas.openxmlformats.org/drawingml/2006/main">
                  <a:graphicData uri="http://schemas.microsoft.com/office/word/2010/wordprocessingShape">
                    <wps:wsp>
                      <wps:cNvSpPr txBox="1"/>
                      <wps:spPr>
                        <a:xfrm>
                          <a:ext cx="362585" cy="179705"/>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val="0"/>
                                <w:bCs w:val="0"/>
                                <w:color w:val="7FADB5"/>
                                <w:spacing w:val="0"/>
                                <w:w w:val="100"/>
                                <w:position w:val="0"/>
                                <w:sz w:val="22"/>
                                <w:szCs w:val="22"/>
                              </w:rPr>
                              <w:t>开放</w:t>
                            </w:r>
                          </w:p>
                        </w:txbxContent>
                      </wps:txbx>
                      <wps:bodyPr lIns="0" tIns="0" rIns="0" bIns="0">
                        <a:noAutoFit/>
                      </wps:bodyPr>
                    </wps:wsp>
                  </a:graphicData>
                </a:graphic>
              </wp:anchor>
            </w:drawing>
          </mc:Choice>
          <mc:Fallback>
            <w:pict>
              <v:shape id="_x0000_s1043" type="#_x0000_t202" style="position:absolute;margin-left:105.55pt;margin-top:150.70000000000002pt;width:28.550000000000001pt;height:14.15pt;z-index:-125829363;mso-wrap-distance-left:74.600000000000009pt;mso-wrap-distance-right:385.94999999999999pt" filled="f" stroked="f">
                <v:textbox inset="0,0,0,0">
                  <w:txbxContent>
                    <w:p>
                      <w:pPr>
                        <w:pStyle w:val="Style83"/>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val="0"/>
                          <w:bCs w:val="0"/>
                          <w:color w:val="7FADB5"/>
                          <w:spacing w:val="0"/>
                          <w:w w:val="100"/>
                          <w:position w:val="0"/>
                          <w:sz w:val="22"/>
                          <w:szCs w:val="22"/>
                        </w:rPr>
                        <w:t>开放</w:t>
                      </w:r>
                    </w:p>
                  </w:txbxContent>
                </v:textbox>
                <w10:wrap type="topAndBottom"/>
              </v:shape>
            </w:pict>
          </mc:Fallback>
        </mc:AlternateContent>
      </w:r>
      <w:r>
        <mc:AlternateContent>
          <mc:Choice Requires="wps">
            <w:drawing>
              <wp:anchor distT="0" distB="0" distL="947420" distR="3676015" simplePos="0" relativeHeight="125829392" behindDoc="0" locked="0" layoutInCell="1" allowOverlap="1">
                <wp:simplePos x="0" y="0"/>
                <wp:positionH relativeFrom="column">
                  <wp:posOffset>981075</wp:posOffset>
                </wp:positionH>
                <wp:positionV relativeFrom="paragraph">
                  <wp:posOffset>18415</wp:posOffset>
                </wp:positionV>
                <wp:extent cx="1588135" cy="426720"/>
                <wp:wrapTopAndBottom/>
                <wp:docPr id="19" name="Shape 19"/>
                <a:graphic xmlns:a="http://schemas.openxmlformats.org/drawingml/2006/main">
                  <a:graphicData uri="http://schemas.microsoft.com/office/word/2010/wordprocessingShape">
                    <wps:wsp>
                      <wps:cNvSpPr txBox="1"/>
                      <wps:spPr>
                        <a:xfrm>
                          <a:ext cx="1588135" cy="42672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rPr>
                                <w:sz w:val="24"/>
                                <w:szCs w:val="24"/>
                              </w:rPr>
                            </w:pPr>
                            <w:r>
                              <w:rPr>
                                <w:b w:val="0"/>
                                <w:bCs w:val="0"/>
                                <w:color w:val="7FADB5"/>
                                <w:spacing w:val="0"/>
                                <w:w w:val="100"/>
                                <w:position w:val="0"/>
                                <w:sz w:val="24"/>
                                <w:szCs w:val="24"/>
                              </w:rPr>
                              <w:t>?•*</w:t>
                            </w:r>
                          </w:p>
                          <w:p>
                            <w:pPr>
                              <w:pStyle w:val="Style83"/>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val="0"/>
                                <w:bCs w:val="0"/>
                                <w:color w:val="7FADB5"/>
                                <w:spacing w:val="0"/>
                                <w:w w:val="100"/>
                                <w:position w:val="0"/>
                                <w:sz w:val="18"/>
                                <w:szCs w:val="18"/>
                              </w:rPr>
                              <w:t>创业智慧互联</w:t>
                            </w:r>
                          </w:p>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rPr>
                              <w:t>B-SOFT INTELLIGENT INTERNET</w:t>
                            </w:r>
                          </w:p>
                        </w:txbxContent>
                      </wps:txbx>
                      <wps:bodyPr lIns="0" tIns="0" rIns="0" bIns="0">
                        <a:noAutoFit/>
                      </wps:bodyPr>
                    </wps:wsp>
                  </a:graphicData>
                </a:graphic>
              </wp:anchor>
            </w:drawing>
          </mc:Choice>
          <mc:Fallback>
            <w:pict>
              <v:shape id="_x0000_s1045" type="#_x0000_t202" style="position:absolute;margin-left:77.25pt;margin-top:1.45pt;width:125.05pt;height:33.600000000000001pt;z-index:-125829361;mso-wrap-distance-left:74.600000000000009pt;mso-wrap-distance-right:289.44999999999999pt" filled="f" stroked="f">
                <v:textbox inset="0,0,0,0">
                  <w:txbxContent>
                    <w:p>
                      <w:pPr>
                        <w:pStyle w:val="Style83"/>
                        <w:keepNext w:val="0"/>
                        <w:keepLines w:val="0"/>
                        <w:widowControl w:val="0"/>
                        <w:shd w:val="clear" w:color="auto" w:fill="auto"/>
                        <w:bidi w:val="0"/>
                        <w:spacing w:before="0" w:after="0" w:line="240" w:lineRule="auto"/>
                        <w:ind w:left="0" w:right="0" w:firstLine="0"/>
                        <w:jc w:val="left"/>
                        <w:rPr>
                          <w:sz w:val="24"/>
                          <w:szCs w:val="24"/>
                        </w:rPr>
                      </w:pPr>
                      <w:r>
                        <w:rPr>
                          <w:b w:val="0"/>
                          <w:bCs w:val="0"/>
                          <w:color w:val="7FADB5"/>
                          <w:spacing w:val="0"/>
                          <w:w w:val="100"/>
                          <w:position w:val="0"/>
                          <w:sz w:val="24"/>
                          <w:szCs w:val="24"/>
                        </w:rPr>
                        <w:t>?•*</w:t>
                      </w:r>
                    </w:p>
                    <w:p>
                      <w:pPr>
                        <w:pStyle w:val="Style83"/>
                        <w:keepNext w:val="0"/>
                        <w:keepLines w:val="0"/>
                        <w:widowControl w:val="0"/>
                        <w:shd w:val="clear" w:color="auto" w:fill="auto"/>
                        <w:bidi w:val="0"/>
                        <w:spacing w:before="0" w:after="0" w:line="240" w:lineRule="auto"/>
                        <w:ind w:left="0" w:right="0" w:firstLine="0"/>
                        <w:jc w:val="left"/>
                        <w:rPr>
                          <w:sz w:val="18"/>
                          <w:szCs w:val="18"/>
                        </w:rPr>
                      </w:pPr>
                      <w:r>
                        <w:rPr>
                          <w:rFonts w:ascii="SimHei" w:eastAsia="SimHei" w:hAnsi="SimHei" w:cs="SimHei"/>
                          <w:b w:val="0"/>
                          <w:bCs w:val="0"/>
                          <w:color w:val="7FADB5"/>
                          <w:spacing w:val="0"/>
                          <w:w w:val="100"/>
                          <w:position w:val="0"/>
                          <w:sz w:val="18"/>
                          <w:szCs w:val="18"/>
                        </w:rPr>
                        <w:t>创业智慧互联</w:t>
                      </w:r>
                    </w:p>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rPr>
                        <w:t>B-SOFT INTELLIGENT INTERNET</w:t>
                      </w:r>
                    </w:p>
                  </w:txbxContent>
                </v:textbox>
                <w10:wrap type="topAndBottom"/>
              </v:shape>
            </w:pict>
          </mc:Fallback>
        </mc:AlternateContent>
      </w:r>
      <w:r>
        <mc:AlternateContent>
          <mc:Choice Requires="wps">
            <w:drawing>
              <wp:anchor distT="0" distB="0" distL="947420" distR="4145280" simplePos="0" relativeHeight="125829394" behindDoc="0" locked="0" layoutInCell="1" allowOverlap="1">
                <wp:simplePos x="0" y="0"/>
                <wp:positionH relativeFrom="column">
                  <wp:posOffset>2642235</wp:posOffset>
                </wp:positionH>
                <wp:positionV relativeFrom="paragraph">
                  <wp:posOffset>2176145</wp:posOffset>
                </wp:positionV>
                <wp:extent cx="1118870" cy="143510"/>
                <wp:wrapTopAndBottom/>
                <wp:docPr id="21" name="Shape 21"/>
                <a:graphic xmlns:a="http://schemas.openxmlformats.org/drawingml/2006/main">
                  <a:graphicData uri="http://schemas.microsoft.com/office/word/2010/wordprocessingShape">
                    <wps:wsp>
                      <wps:cNvSpPr txBox="1"/>
                      <wps:spPr>
                        <a:xfrm>
                          <a:ext cx="1118870" cy="143510"/>
                        </a:xfrm>
                        <a:prstGeom prst="rect"/>
                        <a:noFill/>
                      </wps:spPr>
                      <wps:txbx>
                        <w:txbxContent>
                          <w:p>
                            <w:pPr>
                              <w:pStyle w:val="Style83"/>
                              <w:keepNext w:val="0"/>
                              <w:keepLines w:val="0"/>
                              <w:widowControl w:val="0"/>
                              <w:pBdr>
                                <w:top w:val="single" w:sz="0" w:space="0" w:color="69B5C8"/>
                                <w:left w:val="single" w:sz="0" w:space="0" w:color="69B5C8"/>
                                <w:bottom w:val="single" w:sz="0" w:space="0" w:color="69B5C8"/>
                                <w:right w:val="single" w:sz="0" w:space="0" w:color="69B5C8"/>
                              </w:pBdr>
                              <w:shd w:val="clear" w:color="auto" w:fill="69B5C8"/>
                              <w:tabs>
                                <w:tab w:pos="946" w:val="left"/>
                              </w:tabs>
                              <w:bidi w:val="0"/>
                              <w:spacing w:before="0" w:after="0" w:line="240" w:lineRule="auto"/>
                              <w:ind w:left="0" w:right="0" w:firstLine="0"/>
                              <w:jc w:val="left"/>
                              <w:rPr>
                                <w:sz w:val="17"/>
                                <w:szCs w:val="17"/>
                              </w:rPr>
                            </w:pPr>
                            <w:r>
                              <w:rPr>
                                <w:rFonts w:ascii="SimHei" w:eastAsia="SimHei" w:hAnsi="SimHei" w:cs="SimHei"/>
                                <w:b w:val="0"/>
                                <w:bCs w:val="0"/>
                                <w:color w:val="FFFFFF"/>
                                <w:spacing w:val="0"/>
                                <w:w w:val="100"/>
                                <w:position w:val="0"/>
                                <w:sz w:val="17"/>
                                <w:szCs w:val="17"/>
                              </w:rPr>
                              <w:t>健康城</w:t>
                              <w:tab/>
                              <w:t>市云平台</w:t>
                            </w:r>
                          </w:p>
                        </w:txbxContent>
                      </wps:txbx>
                      <wps:bodyPr lIns="0" tIns="0" rIns="0" bIns="0">
                        <a:noAutoFit/>
                      </wps:bodyPr>
                    </wps:wsp>
                  </a:graphicData>
                </a:graphic>
              </wp:anchor>
            </w:drawing>
          </mc:Choice>
          <mc:Fallback>
            <w:pict>
              <v:shape id="_x0000_s1047" type="#_x0000_t202" style="position:absolute;margin-left:208.05000000000001pt;margin-top:171.34999999999999pt;width:88.100000000000009pt;height:11.300000000000001pt;z-index:-125829359;mso-wrap-distance-left:74.600000000000009pt;mso-wrap-distance-right:326.40000000000003pt" filled="f" stroked="f">
                <v:textbox inset="0,0,0,0">
                  <w:txbxContent>
                    <w:p>
                      <w:pPr>
                        <w:pStyle w:val="Style83"/>
                        <w:keepNext w:val="0"/>
                        <w:keepLines w:val="0"/>
                        <w:widowControl w:val="0"/>
                        <w:pBdr>
                          <w:top w:val="single" w:sz="0" w:space="0" w:color="69B5C8"/>
                          <w:left w:val="single" w:sz="0" w:space="0" w:color="69B5C8"/>
                          <w:bottom w:val="single" w:sz="0" w:space="0" w:color="69B5C8"/>
                          <w:right w:val="single" w:sz="0" w:space="0" w:color="69B5C8"/>
                        </w:pBdr>
                        <w:shd w:val="clear" w:color="auto" w:fill="69B5C8"/>
                        <w:tabs>
                          <w:tab w:pos="946" w:val="left"/>
                        </w:tabs>
                        <w:bidi w:val="0"/>
                        <w:spacing w:before="0" w:after="0" w:line="240" w:lineRule="auto"/>
                        <w:ind w:left="0" w:right="0" w:firstLine="0"/>
                        <w:jc w:val="left"/>
                        <w:rPr>
                          <w:sz w:val="17"/>
                          <w:szCs w:val="17"/>
                        </w:rPr>
                      </w:pPr>
                      <w:r>
                        <w:rPr>
                          <w:rFonts w:ascii="SimHei" w:eastAsia="SimHei" w:hAnsi="SimHei" w:cs="SimHei"/>
                          <w:b w:val="0"/>
                          <w:bCs w:val="0"/>
                          <w:color w:val="FFFFFF"/>
                          <w:spacing w:val="0"/>
                          <w:w w:val="100"/>
                          <w:position w:val="0"/>
                          <w:sz w:val="17"/>
                          <w:szCs w:val="17"/>
                        </w:rPr>
                        <w:t>健康城</w:t>
                        <w:tab/>
                        <w:t>市云平台</w:t>
                      </w:r>
                    </w:p>
                  </w:txbxContent>
                </v:textbox>
                <w10:wrap type="topAndBottom"/>
              </v:shape>
            </w:pict>
          </mc:Fallback>
        </mc:AlternateConten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①重要产品</w:t>
      </w:r>
    </w:p>
    <w:tbl>
      <w:tblPr>
        <w:tblOverlap w:val="never"/>
        <w:jc w:val="center"/>
        <w:tblLayout w:type="fixed"/>
      </w:tblPr>
      <w:tblGrid>
        <w:gridCol w:w="715"/>
        <w:gridCol w:w="1560"/>
        <w:gridCol w:w="6048"/>
      </w:tblGrid>
      <w:tr>
        <w:trPr>
          <w:trHeight w:val="365"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产品简介</w:t>
            </w:r>
          </w:p>
        </w:tc>
      </w:tr>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混合云互联网医院 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在实现数据混合的基础上，将互联网医疗的业务融入混合云系统，以医疗专 业的角度构建整体架构。实现基础数据在云上、私密数据在云下，基础服务 在云上、个性化服务在云下，云上与云下真正实现业务可联动、数据可共享、 服务可定制的互联网医疗专属混合云方案。</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创业健康城市云平 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坚持政府主导，以满足居民健康需求为目标。整合城市医健资源，通过互联 网化提升开放能力，优化重构服务流程，构建以城市为单位的医疗健康服务 平台，为居民提供精准、便捷、可信的一站式服务。</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处方共享平台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通过接入医院</w:t>
            </w:r>
            <w:r>
              <w:rPr>
                <w:color w:val="000000"/>
                <w:spacing w:val="0"/>
                <w:w w:val="100"/>
                <w:position w:val="0"/>
                <w:sz w:val="18"/>
                <w:szCs w:val="18"/>
              </w:rPr>
              <w:t>HIS</w:t>
            </w:r>
            <w:r>
              <w:rPr>
                <w:color w:val="000000"/>
                <w:spacing w:val="0"/>
                <w:w w:val="100"/>
                <w:position w:val="0"/>
              </w:rPr>
              <w:t>把符合院外支付购药的门诊处方从平台推送至院外经审核 符合条件的社会零售药店，由患者在线支付并自主选择药店自取或配送上门 的智能药品配送平台。</w:t>
            </w:r>
          </w:p>
        </w:tc>
      </w:tr>
      <w:tr>
        <w:trPr>
          <w:trHeight w:val="22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护理云平台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以创生态、促便民、建次序为产品目标，以“互联网+护理服务”政策为依据， 通过互联网信息技术，整合第三方市场资源，在满足网约护士场景基础上， 扩充了院内护工陪护、月嫂上门、保姆上门、增值服务销售等服务场景，并 扩展了线上运营和线下推广的互联网运营服务。创业慧康护理云平台通过公 有云</w:t>
            </w:r>
            <w:r>
              <w:rPr>
                <w:color w:val="000000"/>
                <w:spacing w:val="0"/>
                <w:w w:val="100"/>
                <w:position w:val="0"/>
              </w:rPr>
              <w:t>（</w:t>
            </w:r>
            <w:r>
              <w:rPr>
                <w:rFonts w:ascii="Times New Roman" w:eastAsia="Times New Roman" w:hAnsi="Times New Roman" w:cs="Times New Roman"/>
                <w:color w:val="000000"/>
                <w:spacing w:val="0"/>
                <w:w w:val="100"/>
                <w:position w:val="0"/>
              </w:rPr>
              <w:t>SAAS</w:t>
            </w:r>
            <w:r>
              <w:rPr>
                <w:color w:val="000000"/>
                <w:spacing w:val="0"/>
                <w:w w:val="100"/>
                <w:position w:val="0"/>
              </w:rPr>
              <w:t>）</w:t>
            </w:r>
            <w:r>
              <w:rPr>
                <w:color w:val="000000"/>
                <w:spacing w:val="0"/>
                <w:w w:val="100"/>
                <w:position w:val="0"/>
              </w:rPr>
              <w:t>快速部署推广方案，医疗机构可以快速入驻快速交付，以居民 端、医护端、医院管理平台、卫健委监管平台、运营管理平台为产品形态， 可通过</w:t>
            </w:r>
            <w:r>
              <w:rPr>
                <w:color w:val="000000"/>
                <w:spacing w:val="0"/>
                <w:w w:val="100"/>
                <w:position w:val="0"/>
                <w:sz w:val="18"/>
                <w:szCs w:val="18"/>
              </w:rPr>
              <w:t>H5/SDK</w:t>
            </w:r>
            <w:r>
              <w:rPr>
                <w:color w:val="000000"/>
                <w:spacing w:val="0"/>
                <w:w w:val="100"/>
                <w:position w:val="0"/>
              </w:rPr>
              <w:t>方式快速嵌入至其他服务载体。</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电商云平台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以互联网+医疗健康服务为核心内容，为大健康大医疗领域的线下店铺、供应 链商家、医院等主体提供</w:t>
            </w:r>
            <w:r>
              <w:rPr>
                <w:color w:val="000000"/>
                <w:spacing w:val="0"/>
                <w:w w:val="100"/>
                <w:position w:val="0"/>
                <w:sz w:val="18"/>
                <w:szCs w:val="18"/>
              </w:rPr>
              <w:t>B2B2C</w:t>
            </w:r>
            <w:r>
              <w:rPr>
                <w:color w:val="000000"/>
                <w:spacing w:val="0"/>
                <w:w w:val="100"/>
                <w:position w:val="0"/>
              </w:rPr>
              <w:t>批发零售+多租户多商户+多门店</w:t>
            </w:r>
            <w:r>
              <w:rPr>
                <w:color w:val="000000"/>
                <w:spacing w:val="0"/>
                <w:w w:val="100"/>
                <w:position w:val="0"/>
                <w:sz w:val="18"/>
                <w:szCs w:val="18"/>
              </w:rPr>
              <w:t>O2O</w:t>
            </w:r>
            <w:r>
              <w:rPr>
                <w:color w:val="000000"/>
                <w:spacing w:val="0"/>
                <w:w w:val="100"/>
                <w:position w:val="0"/>
              </w:rPr>
              <w:t>模式，可 以快速实现线上线下资源整合，扩大营收渠道。</w:t>
            </w:r>
          </w:p>
        </w:tc>
      </w:tr>
    </w:tbl>
    <w:p>
      <w:pPr>
        <w:widowControl w:val="0"/>
        <w:spacing w:line="1" w:lineRule="exact"/>
      </w:pPr>
    </w:p>
    <w:p>
      <w:pPr>
        <w:pStyle w:val="Style21"/>
        <w:keepNext w:val="0"/>
        <w:keepLines w:val="0"/>
        <w:widowControl w:val="0"/>
        <w:shd w:val="clear" w:color="auto" w:fill="auto"/>
        <w:bidi w:val="0"/>
        <w:spacing w:before="0" w:after="0" w:line="240" w:lineRule="auto"/>
        <w:ind w:left="38" w:right="0" w:firstLine="0"/>
        <w:jc w:val="left"/>
      </w:pPr>
      <w:r>
        <w:rPr>
          <w:color w:val="000000"/>
          <w:spacing w:val="0"/>
          <w:w w:val="100"/>
          <w:position w:val="0"/>
        </w:rPr>
        <w:t>②经典案例</w:t>
      </w:r>
    </w:p>
    <w:tbl>
      <w:tblPr>
        <w:tblOverlap w:val="never"/>
        <w:jc w:val="center"/>
        <w:tblLayout w:type="fixed"/>
      </w:tblPr>
      <w:tblGrid>
        <w:gridCol w:w="715"/>
        <w:gridCol w:w="1560"/>
        <w:gridCol w:w="6048"/>
      </w:tblGrid>
      <w:tr>
        <w:trPr>
          <w:trHeight w:val="360"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案例简介</w:t>
            </w:r>
          </w:p>
        </w:tc>
      </w:tr>
      <w:tr>
        <w:trPr>
          <w:trHeight w:val="16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广东省地级市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该市卫健局授予创业慧康运营服务平台</w:t>
            </w:r>
            <w:r>
              <w:rPr>
                <w:rFonts w:ascii="Times New Roman" w:eastAsia="Times New Roman" w:hAnsi="Times New Roman" w:cs="Times New Roman"/>
                <w:color w:val="000000"/>
                <w:spacing w:val="0"/>
                <w:w w:val="100"/>
                <w:position w:val="0"/>
              </w:rPr>
              <w:t>10</w:t>
            </w:r>
            <w:r>
              <w:rPr>
                <w:color w:val="000000"/>
                <w:spacing w:val="0"/>
                <w:w w:val="100"/>
                <w:position w:val="0"/>
              </w:rPr>
              <w:t>年特许经营权。创业慧康基于区域 卫生信息平台，运营打通全市健康服务产业链。健康城市运营服务平台把医、 药、检、险、健、养老等与居民、政府进行有效链接，以居民需求为导向， 整合全市医疗服务资源，实现“医养防护” 一体化管理，进一步促进该市健 康产业发展。</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创业慧康目前正参与该市健康城市建设，助力该市开展未来社区健康场景、</w:t>
            </w:r>
          </w:p>
        </w:tc>
      </w:tr>
    </w:tbl>
    <w:p>
      <w:pPr>
        <w:widowControl w:val="0"/>
        <w:spacing w:line="1" w:lineRule="exact"/>
      </w:pPr>
      <w:r>
        <w:br w:type="page"/>
      </w:r>
    </w:p>
    <w:tbl>
      <w:tblPr>
        <w:tblOverlap w:val="never"/>
        <w:jc w:val="center"/>
        <w:tblLayout w:type="fixed"/>
      </w:tblPr>
      <w:tblGrid>
        <w:gridCol w:w="715"/>
        <w:gridCol w:w="1560"/>
        <w:gridCol w:w="6048"/>
      </w:tblGrid>
      <w:tr>
        <w:trPr>
          <w:trHeight w:val="22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浙江省某地级市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健康城市的升级建设。通过信息化手段，建立完整的人口健康档案，提升医 疗机构服务效率和可及度，促进基层医疗服务逐步均等化，进一步提升温州 市整体医疗水平。还将开展多元化的健康服务运营，围绕医疗中心、养老中 心、物业健康站、旁边药店、护理中心和妇幼保健中心六大场景，打造未来 社区医疗健康服务新模式，为市民提供全面、及时、有效的医疗健康管理项 目，并充分利用现有医疗卫生信息化基础，基于城市大脑，构建健康城市生 态圈。</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江苏省某三 甲中医院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该院为顺应行业发展趋势及医疗内部服务需求，携手创业开始打造互联网云 诊室项目，利用移动互联网，结合医院中医特色，开展互联网+膏方养生、互 联网+中医医疗等中医创新应用，开展在线预约诊疗、候诊提醒、划价缴费、 报告查询、中药配送等便捷服务；通过互联网云诊室、远程会诊引导医疗机 构面向中小城市和农村地区开展基层检查、上级诊断等远程医疗服务；同时 积极探索互联网延伸医嘱、电子处方等网络医疗健康服务应用。</w:t>
            </w:r>
          </w:p>
        </w:tc>
      </w:tr>
    </w:tbl>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、医疗卫生智慧物联网应用产品及服务板块</w:t>
      </w:r>
    </w:p>
    <w:p>
      <w:pPr>
        <w:widowControl w:val="0"/>
        <w:spacing w:after="39" w:line="1" w:lineRule="exact"/>
      </w:pPr>
    </w:p>
    <w:p>
      <w:pPr>
        <w:pStyle w:val="Style15"/>
        <w:keepNext w:val="0"/>
        <w:keepLines w:val="0"/>
        <w:widowControl w:val="0"/>
        <w:shd w:val="clear" w:color="auto" w:fill="auto"/>
        <w:bidi w:val="0"/>
        <w:spacing w:before="0" w:after="180" w:line="314" w:lineRule="exact"/>
        <w:ind w:left="0" w:right="0" w:firstLine="360"/>
        <w:jc w:val="left"/>
      </w:pPr>
      <w:r>
        <w:rPr>
          <w:color w:val="000000"/>
          <w:spacing w:val="0"/>
          <w:w w:val="100"/>
          <w:position w:val="0"/>
        </w:rPr>
        <w:t>公司依托大数据应用技术和健康城市运营业务，进行整体市场布局，以“未来医疗”新模式为基础构建医疗健康产业的 物联网生态体系。目前，基于自主开发的智能物联支撑平台，已逐步形成了以物联网技术为核心的便民服务、临床应用服务、 运营管理服务、健康服务等医疗应用服务体系和战略部署。同时，公司将不断根据院内场景需求定向打造物联网模块产品， 力求达到院内就医场景基本覆盖。</w:t>
      </w:r>
    </w:p>
    <w:p>
      <w:pPr>
        <w:widowControl w:val="0"/>
        <w:jc w:val="center"/>
        <w:rPr>
          <w:sz w:val="2"/>
          <w:szCs w:val="2"/>
        </w:rPr>
      </w:pPr>
      <w:r>
        <w:drawing>
          <wp:inline>
            <wp:extent cx="4724400" cy="2633345"/>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4724400" cy="2633345"/>
                    </a:xfrm>
                    <a:prstGeom prst="rect"/>
                  </pic:spPr>
                </pic:pic>
              </a:graphicData>
            </a:graphic>
          </wp:inline>
        </w:drawing>
      </w:r>
    </w:p>
    <w:p>
      <w:pPr>
        <w:widowControl w:val="0"/>
        <w:spacing w:after="1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38" w:right="0" w:firstLine="0"/>
        <w:jc w:val="left"/>
      </w:pPr>
      <w:r>
        <w:rPr>
          <w:color w:val="000000"/>
          <w:spacing w:val="0"/>
          <w:w w:val="100"/>
          <w:position w:val="0"/>
        </w:rPr>
        <w:t>①重要产品</w:t>
      </w:r>
    </w:p>
    <w:tbl>
      <w:tblPr>
        <w:tblOverlap w:val="never"/>
        <w:jc w:val="center"/>
        <w:tblLayout w:type="fixed"/>
      </w:tblPr>
      <w:tblGrid>
        <w:gridCol w:w="715"/>
        <w:gridCol w:w="1560"/>
        <w:gridCol w:w="6048"/>
      </w:tblGrid>
      <w:tr>
        <w:trPr>
          <w:trHeight w:val="365"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产品简介</w:t>
            </w:r>
          </w:p>
        </w:tc>
      </w:tr>
      <w:tr>
        <w:trPr>
          <w:trHeight w:val="19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医疗物联网接入基 础平台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为医院提供一套完善的物联网接入方案,主要作用是支持各种物联网通信协 议的转换和接入，达到多厂家多设备多协议的统一集中接入的目的，避免由 于不同协议不同厂家不同设备导致医院方物联网设备管理难、维护难的基本 问题。平台提供应用层基础业务支撑如地图、定位等的基础服务，解耦人、 物（设备）、业务流，让业务平台专注业务应用开发，降低对应用和硬件的 依赖，缩短信息化建设周期，有效降低信息化升级成本。</w:t>
            </w:r>
          </w:p>
        </w:tc>
      </w:tr>
      <w:tr>
        <w:trPr>
          <w:trHeight w:val="97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运维云平台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基于平台云化技术，从业务运行的角度，将客户的实际业务模块、开发效率 与运维工作紧密结合，形成基于医疗行业系统运维知识体系，打造支持各类 型需求的云端运维服务，并通过全自动采集方式获取业务环境运行状态，利</w:t>
            </w:r>
          </w:p>
        </w:tc>
      </w:tr>
    </w:tbl>
    <w:p>
      <w:pPr>
        <w:widowControl w:val="0"/>
        <w:spacing w:line="1" w:lineRule="exact"/>
      </w:pPr>
      <w:r>
        <w:br w:type="page"/>
      </w:r>
    </w:p>
    <w:tbl>
      <w:tblPr>
        <w:tblOverlap w:val="never"/>
        <w:jc w:val="center"/>
        <w:tblLayout w:type="fixed"/>
      </w:tblPr>
      <w:tblGrid>
        <w:gridCol w:w="715"/>
        <w:gridCol w:w="1560"/>
        <w:gridCol w:w="6048"/>
      </w:tblGrid>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用云端专家知识库和规则引擎，全面分析医院的集成环境和业务使用状态， 提供历史维度的数据对比和分析，及时发现运行隐患、故障和业务性能等问 题，为客户提供更加精准的运维、分析、诊断服务。</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数字病房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通过与医院临床业务系统、管理信息系统深度融合，利用多款智能终端设备， 实现病区医疗信息的全流程自动化采集，满足“医-护-患”各个角色之间信 息共享、服务交互的需求，是“以患者为中心医疗服务模式”的重要体现。</w:t>
            </w:r>
          </w:p>
        </w:tc>
      </w:tr>
      <w:tr>
        <w:trPr>
          <w:trHeight w:val="7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床旁智能交互系统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集患者、护士、护工的一体化信息平台，通过多系统信息融合，创新的医患 交互方式，满足患者信息共享全面性和实时性的要求。</w:t>
            </w:r>
          </w:p>
        </w:tc>
      </w:tr>
    </w:tbl>
    <w:p>
      <w:pPr>
        <w:pStyle w:val="Style21"/>
        <w:keepNext w:val="0"/>
        <w:keepLines w:val="0"/>
        <w:widowControl w:val="0"/>
        <w:shd w:val="clear" w:color="auto" w:fill="auto"/>
        <w:bidi w:val="0"/>
        <w:spacing w:before="0" w:after="0" w:line="240" w:lineRule="auto"/>
        <w:ind w:left="38" w:right="0" w:firstLine="0"/>
        <w:jc w:val="left"/>
      </w:pPr>
      <w:r>
        <w:rPr>
          <w:color w:val="000000"/>
          <w:spacing w:val="0"/>
          <w:w w:val="100"/>
          <w:position w:val="0"/>
        </w:rPr>
        <w:t>②经典案例</w:t>
      </w:r>
    </w:p>
    <w:p>
      <w:pPr>
        <w:widowControl w:val="0"/>
        <w:spacing w:line="1" w:lineRule="exact"/>
      </w:pPr>
    </w:p>
    <w:tbl>
      <w:tblPr>
        <w:tblOverlap w:val="never"/>
        <w:jc w:val="center"/>
        <w:tblLayout w:type="fixed"/>
      </w:tblPr>
      <w:tblGrid>
        <w:gridCol w:w="715"/>
        <w:gridCol w:w="1133"/>
        <w:gridCol w:w="6475"/>
      </w:tblGrid>
      <w:tr>
        <w:trPr>
          <w:trHeight w:val="446"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案例简介</w:t>
            </w:r>
          </w:p>
        </w:tc>
      </w:tr>
      <w:tr>
        <w:trPr>
          <w:trHeight w:val="19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浙江省某</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三甲医院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该院已上线创业数字病房的床旁智能交互系统、智能呼叫系统、电子护理白板、数 字病房管理平台等，数字病房以服务模式流程优化为切入点，以方便医患、提高医 疗服务质量为目标，创新融合互联网、云计算、大数据、物联网等新技术，实现病 区内部的临床信息数字化、医院与患者之间的交互智能化、病区点到面的管理精细 化，建立起信息连贯，护理闭环可追溯，业务应用可拓展的管理体系，从而打造该 院智能化的病区生态环境。</w:t>
            </w:r>
          </w:p>
        </w:tc>
      </w:tr>
      <w:tr>
        <w:trPr>
          <w:trHeight w:val="22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江苏省某</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三甲医院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该院采用了公司数字家庭化产房信息化整体解决方案及全系列产品，根据“以家 庭为中心产科监护”服务模式的要求，从五个方面为产妇、家属、医护人员等对象 服务。通过智能交互服务为孕产妇及其家属提供分娩信息知情选择和优质的便民服 务；接入智能监测设备，实现分娩数据监测的自动化采集和多终端展示；打通医护 临床信息系统，满足医疗信息的交互和共享；对产房环境的智能控制，为孕产妇及 其家属提供温馨、舒适的产房环境；通过物联网技术打造产科区域全面的智能安全 控制，帮助医院实现了家庭化产房信息化不断提升。</w:t>
            </w:r>
          </w:p>
        </w:tc>
      </w:tr>
      <w:tr>
        <w:trPr>
          <w:trHeight w:val="16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深圳市某二甲 专科医院</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该院上线创业数字病房，目前已有</w:t>
            </w:r>
            <w:r>
              <w:rPr>
                <w:rFonts w:ascii="Times New Roman" w:eastAsia="Times New Roman" w:hAnsi="Times New Roman" w:cs="Times New Roman"/>
                <w:color w:val="000000"/>
                <w:spacing w:val="0"/>
                <w:w w:val="100"/>
                <w:position w:val="0"/>
              </w:rPr>
              <w:t>10</w:t>
            </w:r>
            <w:r>
              <w:rPr>
                <w:color w:val="000000"/>
                <w:spacing w:val="0"/>
                <w:w w:val="100"/>
                <w:position w:val="0"/>
              </w:rPr>
              <w:t>个病区使用，数字化病房建设作为医院智能化 整体建设中的一个重要组成部分，为改善患者医疗环境、提高医疗服务质量、提升 医院综合管理水平等方面，都起到了重要的促进作用。系统具有实效功用，各项设 计指标可以长期、稳定地被医护人员及患者方便使用。设计上以功能实用有效为根 本，以用户使用方便为原则。医护人员学习成本低，患者操作方便。</w:t>
            </w:r>
          </w:p>
        </w:tc>
      </w:tr>
    </w:tbl>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、医疗保障应用产品模块</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公司依托承建的国家医保局医疗保障信息平台核心包项目，布局省、地市级医疗信息平台市场，打造智慧医保解决方案。 同时，为应对</w:t>
      </w:r>
      <w:r>
        <w:rPr>
          <w:rFonts w:ascii="Times New Roman" w:eastAsia="Times New Roman" w:hAnsi="Times New Roman" w:cs="Times New Roman"/>
          <w:color w:val="000000"/>
          <w:spacing w:val="0"/>
          <w:w w:val="100"/>
          <w:position w:val="0"/>
        </w:rPr>
        <w:t>DRG/DIP</w:t>
      </w:r>
      <w:r>
        <w:rPr>
          <w:color w:val="000000"/>
          <w:spacing w:val="0"/>
          <w:w w:val="100"/>
          <w:position w:val="0"/>
        </w:rPr>
        <w:t>支付改革进程，将基于公司现有自主识识产权的</w:t>
      </w:r>
      <w:r>
        <w:rPr>
          <w:rFonts w:ascii="Times New Roman" w:eastAsia="Times New Roman" w:hAnsi="Times New Roman" w:cs="Times New Roman"/>
          <w:color w:val="000000"/>
          <w:spacing w:val="0"/>
          <w:w w:val="100"/>
          <w:position w:val="0"/>
        </w:rPr>
        <w:t>DRG/DIP</w:t>
      </w:r>
      <w:r>
        <w:rPr>
          <w:color w:val="000000"/>
          <w:spacing w:val="0"/>
          <w:w w:val="100"/>
          <w:position w:val="0"/>
        </w:rPr>
        <w:t>产品，打造</w:t>
      </w:r>
      <w:r>
        <w:rPr>
          <w:rFonts w:ascii="Times New Roman" w:eastAsia="Times New Roman" w:hAnsi="Times New Roman" w:cs="Times New Roman"/>
          <w:color w:val="000000"/>
          <w:spacing w:val="0"/>
          <w:w w:val="100"/>
          <w:position w:val="0"/>
        </w:rPr>
        <w:t>DRG/DIP</w:t>
      </w:r>
      <w:r>
        <w:rPr>
          <w:color w:val="000000"/>
          <w:spacing w:val="0"/>
          <w:w w:val="100"/>
          <w:position w:val="0"/>
        </w:rPr>
        <w:t>统一分组和服务平台， 其不仅能满足医保局端的应用，还能同时支撑公司现有面向医疗机构（医院）和卫健委（局）的生产和管理系统对于</w:t>
      </w:r>
      <w:r>
        <w:rPr>
          <w:rFonts w:ascii="Times New Roman" w:eastAsia="Times New Roman" w:hAnsi="Times New Roman" w:cs="Times New Roman"/>
          <w:color w:val="000000"/>
          <w:spacing w:val="0"/>
          <w:w w:val="100"/>
          <w:position w:val="0"/>
        </w:rPr>
        <w:t xml:space="preserve">DRG/DIP </w:t>
      </w:r>
      <w:r>
        <w:rPr>
          <w:color w:val="000000"/>
          <w:spacing w:val="0"/>
          <w:w w:val="100"/>
          <w:position w:val="0"/>
        </w:rPr>
        <w:t>支付改革需求的功能升级。此外，公司关注商业医疗保险行业发展，提供以商业医疗保险信息化服务平台为核心的解决方案。</w:t>
      </w:r>
      <w:r>
        <w:br w:type="page"/>
      </w:r>
    </w:p>
    <w:p>
      <w:pPr>
        <w:widowControl w:val="0"/>
        <w:jc w:val="center"/>
        <w:rPr>
          <w:sz w:val="2"/>
          <w:szCs w:val="2"/>
        </w:rPr>
      </w:pPr>
      <w:r>
        <w:drawing>
          <wp:inline>
            <wp:extent cx="4212590" cy="232854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stretch/>
                  </pic:blipFill>
                  <pic:spPr>
                    <a:xfrm>
                      <a:ext cx="4212590" cy="2328545"/>
                    </a:xfrm>
                    <a:prstGeom prst="rect"/>
                  </pic:spPr>
                </pic:pic>
              </a:graphicData>
            </a:graphic>
          </wp:inline>
        </w:drawing>
      </w:r>
    </w:p>
    <w:p>
      <w:pPr>
        <w:widowControl w:val="0"/>
        <w:spacing w:after="5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38" w:right="0" w:firstLine="0"/>
        <w:jc w:val="left"/>
      </w:pPr>
      <w:r>
        <w:rPr>
          <w:color w:val="000000"/>
          <w:spacing w:val="0"/>
          <w:w w:val="100"/>
          <w:position w:val="0"/>
        </w:rPr>
        <w:t>①重要产品</w:t>
      </w:r>
    </w:p>
    <w:tbl>
      <w:tblPr>
        <w:tblOverlap w:val="never"/>
        <w:jc w:val="center"/>
        <w:tblLayout w:type="fixed"/>
      </w:tblPr>
      <w:tblGrid>
        <w:gridCol w:w="715"/>
        <w:gridCol w:w="1560"/>
        <w:gridCol w:w="6048"/>
      </w:tblGrid>
      <w:tr>
        <w:trPr>
          <w:trHeight w:val="365" w:hRule="exact"/>
        </w:trPr>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产品简介</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医疗保障信息平台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实现医疗保障业务标准数据统一汇聚和更新管理，主要提供疾病诊断、药品、 医疗服务项目、耗材、人员、单位、机构等基础信息的管理功能和服务功能， 为跨地区、跨业务、跨部门的信息共享和业务协同提供支持。</w:t>
            </w:r>
          </w:p>
        </w:tc>
      </w:tr>
      <w:tr>
        <w:trPr>
          <w:trHeight w:val="25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DRGs</w:t>
            </w:r>
            <w:r>
              <w:rPr>
                <w:color w:val="000000"/>
                <w:spacing w:val="0"/>
                <w:w w:val="100"/>
                <w:position w:val="0"/>
              </w:rPr>
              <w:t>统一分组和服 务平台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结合医院端医保管理思想和和业务流程打造的完整系统，涵盖业务流程，面 向医生、病案室、管理者全角色支撑，分组方法可自由配置，内置主流分组 方法</w:t>
            </w:r>
            <w:r>
              <w:rPr>
                <w:color w:val="000000"/>
                <w:spacing w:val="0"/>
                <w:w w:val="100"/>
                <w:position w:val="0"/>
              </w:rPr>
              <w:t>（</w:t>
            </w:r>
            <w:r>
              <w:rPr>
                <w:rFonts w:ascii="Times New Roman" w:eastAsia="Times New Roman" w:hAnsi="Times New Roman" w:cs="Times New Roman"/>
                <w:color w:val="000000"/>
                <w:spacing w:val="0"/>
                <w:w w:val="100"/>
                <w:position w:val="0"/>
              </w:rPr>
              <w:t>CHS-DRG</w:t>
            </w:r>
            <w:r>
              <w:rPr>
                <w:color w:val="000000"/>
                <w:spacing w:val="0"/>
                <w:w w:val="100"/>
                <w:position w:val="0"/>
              </w:rPr>
              <w:t>等），具有黑盒和白盒两种模式，各子系统可自由组合搭配， 且能与相关业务系统</w:t>
            </w:r>
            <w:r>
              <w:rPr>
                <w:color w:val="000000"/>
                <w:spacing w:val="0"/>
                <w:w w:val="100"/>
                <w:position w:val="0"/>
              </w:rPr>
              <w:t>（</w:t>
            </w:r>
            <w:r>
              <w:rPr>
                <w:rFonts w:ascii="Times New Roman" w:eastAsia="Times New Roman" w:hAnsi="Times New Roman" w:cs="Times New Roman"/>
                <w:color w:val="000000"/>
                <w:spacing w:val="0"/>
                <w:w w:val="100"/>
                <w:position w:val="0"/>
              </w:rPr>
              <w:t>HIS</w:t>
            </w:r>
            <w:r>
              <w:rPr>
                <w:color w:val="000000"/>
                <w:spacing w:val="0"/>
                <w:w w:val="100"/>
                <w:position w:val="0"/>
              </w:rPr>
              <w:t>、</w:t>
            </w:r>
            <w:r>
              <w:rPr>
                <w:color w:val="000000"/>
                <w:spacing w:val="0"/>
                <w:w w:val="100"/>
                <w:position w:val="0"/>
              </w:rPr>
              <w:t>病案等）灵活、深度融合，可广泛开展绩效管理、 数据治理、付费改革、成本控制、学科研究、学科评价、医疗服务评价、分 级诊疗决策、机构定位等业务应用，能全方面为医保局、卫健委（局）和医 疗机构（医院）在医疗质量、医保支付、成本管理、决策分析等垂直领域提 供基于</w:t>
            </w:r>
            <w:r>
              <w:rPr>
                <w:rFonts w:ascii="Times New Roman" w:eastAsia="Times New Roman" w:hAnsi="Times New Roman" w:cs="Times New Roman"/>
                <w:color w:val="000000"/>
                <w:spacing w:val="0"/>
                <w:w w:val="100"/>
                <w:position w:val="0"/>
              </w:rPr>
              <w:t>D RG/DIP</w:t>
            </w:r>
            <w:r>
              <w:rPr>
                <w:color w:val="000000"/>
                <w:spacing w:val="0"/>
                <w:w w:val="100"/>
                <w:position w:val="0"/>
              </w:rPr>
              <w:t>体系相关的支撑服务。</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单病种质量管理与 控制系统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利用大数据、人工智能等技术辅助医院进行单病种填报、质量分析、全流程 反馈单病种相关质量检测信息，做到对单病种数据上报全流程闭环管理，并 通过单病种管理，指导帮助临床业务部门持续改进诊疗质量。</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商业医保服务和支 付平台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通过线上理赔功能，为商保患者提供商业保险快速结算“一站式”服务，解 决商保理赔慢、报销慢、手续繁的问题，节省时间，提高效率，减轻就医经 济负担，提高商保患者满意度。改善商保患者理赔体验，提升“互联网+ ” 服务能力。平台还提供线上、线下丰富的支付入口（收费窗口、自助设备、 手机</w:t>
            </w:r>
            <w:r>
              <w:rPr>
                <w:color w:val="000000"/>
                <w:spacing w:val="0"/>
                <w:w w:val="100"/>
                <w:position w:val="0"/>
                <w:sz w:val="18"/>
                <w:szCs w:val="18"/>
              </w:rPr>
              <w:t>APP</w:t>
            </w:r>
            <w:r>
              <w:rPr>
                <w:color w:val="000000"/>
                <w:spacing w:val="0"/>
                <w:w w:val="100"/>
                <w:position w:val="0"/>
              </w:rPr>
              <w:t>、</w:t>
            </w:r>
            <w:r>
              <w:rPr>
                <w:color w:val="000000"/>
                <w:spacing w:val="0"/>
                <w:w w:val="100"/>
                <w:position w:val="0"/>
              </w:rPr>
              <w:t>支付宝生活号、微信公众号等），可为患者、医疗机构、保险机构 提供“医保</w:t>
            </w:r>
            <w:r>
              <w:rPr>
                <w:rFonts w:ascii="Times New Roman" w:eastAsia="Times New Roman" w:hAnsi="Times New Roman" w:cs="Times New Roman"/>
                <w:color w:val="000000"/>
                <w:spacing w:val="0"/>
                <w:w w:val="100"/>
                <w:position w:val="0"/>
              </w:rPr>
              <w:t>+</w:t>
            </w:r>
            <w:r>
              <w:rPr>
                <w:color w:val="000000"/>
                <w:spacing w:val="0"/>
                <w:w w:val="100"/>
                <w:position w:val="0"/>
              </w:rPr>
              <w:t>商保</w:t>
            </w:r>
            <w:r>
              <w:rPr>
                <w:rFonts w:ascii="Times New Roman" w:eastAsia="Times New Roman" w:hAnsi="Times New Roman" w:cs="Times New Roman"/>
                <w:color w:val="000000"/>
                <w:spacing w:val="0"/>
                <w:w w:val="100"/>
                <w:position w:val="0"/>
              </w:rPr>
              <w:t>+</w:t>
            </w:r>
            <w:r>
              <w:rPr>
                <w:color w:val="000000"/>
                <w:spacing w:val="0"/>
                <w:w w:val="100"/>
                <w:position w:val="0"/>
              </w:rPr>
              <w:t>自费”一站式医疗支付结算解决方案，优化医疗机构和患 者就诊结算体验。</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②经典案例</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公司参与建设了河北、天津、甘肃、黑龙江、内蒙古、青海、山西七个省级医保平台和石家庄、营口两个地市级医保平 台以及其他一些“医保端”、“医院端”的项目。医保业务基础子系统建立统一的城镇职工、城乡居民医保和医疗救助业务 经办标准，规范医保业务经办机构的业务经办流程，并通过医保业务数据归集机制，汇聚医保业务数据和医保经办过程信息， 实现城镇职工、城乡居民医保和医疗救助经办业务的均等化、规范化。</w:t>
      </w:r>
    </w:p>
    <w:p>
      <w:pPr>
        <w:pStyle w:val="Style15"/>
        <w:keepNext w:val="0"/>
        <w:keepLines w:val="0"/>
        <w:widowControl w:val="0"/>
        <w:shd w:val="clear" w:color="auto" w:fill="auto"/>
        <w:bidi w:val="0"/>
        <w:spacing w:before="0" w:after="120" w:line="314" w:lineRule="exact"/>
        <w:ind w:left="0" w:right="0" w:firstLine="360"/>
        <w:jc w:val="both"/>
      </w:pPr>
      <w:bookmarkStart w:id="85" w:name="bookmark85"/>
      <w:r>
        <w:rPr>
          <w:b/>
          <w:bCs/>
          <w:color w:val="000000"/>
          <w:spacing w:val="0"/>
          <w:w w:val="100"/>
          <w:position w:val="0"/>
        </w:rPr>
        <w:t>（</w:t>
      </w:r>
      <w:bookmarkEnd w:id="85"/>
      <w:r>
        <w:rPr>
          <w:b/>
          <w:bCs/>
          <w:color w:val="000000"/>
          <w:spacing w:val="0"/>
          <w:w w:val="100"/>
          <w:position w:val="0"/>
        </w:rPr>
        <w:t>三）经营模式介绍</w:t>
      </w:r>
    </w:p>
    <w:p>
      <w:pPr>
        <w:pStyle w:val="Style15"/>
        <w:keepNext w:val="0"/>
        <w:keepLines w:val="0"/>
        <w:widowControl w:val="0"/>
        <w:shd w:val="clear" w:color="auto" w:fill="auto"/>
        <w:bidi w:val="0"/>
        <w:spacing w:before="0" w:after="0"/>
        <w:ind w:left="0" w:right="0" w:firstLine="360"/>
        <w:jc w:val="both"/>
      </w:pPr>
      <w:bookmarkStart w:id="86" w:name="bookmark86"/>
      <w:r>
        <w:rPr>
          <w:rFonts w:ascii="Times New Roman" w:eastAsia="Times New Roman" w:hAnsi="Times New Roman" w:cs="Times New Roman"/>
          <w:color w:val="000000"/>
          <w:spacing w:val="0"/>
          <w:w w:val="100"/>
          <w:position w:val="0"/>
        </w:rPr>
        <w:t>1</w:t>
      </w:r>
      <w:bookmarkEnd w:id="86"/>
      <w:r>
        <w:rPr>
          <w:color w:val="000000"/>
          <w:spacing w:val="0"/>
          <w:w w:val="100"/>
          <w:position w:val="0"/>
        </w:rPr>
        <w:t>、营销模式</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公司基于各产品事业部销售、各区域营销中心销售两个层次的业务销售体系。各事业部根据发展战略，结合自身所具有 </w:t>
      </w:r>
      <w:r>
        <w:rPr>
          <w:color w:val="000000"/>
          <w:spacing w:val="0"/>
          <w:w w:val="100"/>
          <w:position w:val="0"/>
        </w:rPr>
        <w:t>核心技术，确定产品和服务，提出业务方向。区域营销中心根据各事业部提出的产品和服务，在各区域进行相关产品的推广 和营销。</w:t>
      </w:r>
    </w:p>
    <w:p>
      <w:pPr>
        <w:pStyle w:val="Style15"/>
        <w:keepNext w:val="0"/>
        <w:keepLines w:val="0"/>
        <w:widowControl w:val="0"/>
        <w:shd w:val="clear" w:color="auto" w:fill="auto"/>
        <w:bidi w:val="0"/>
        <w:spacing w:before="0" w:after="100" w:line="312" w:lineRule="exact"/>
        <w:ind w:left="0" w:right="0"/>
        <w:jc w:val="left"/>
      </w:pPr>
      <w:r>
        <w:rPr>
          <w:color w:val="000000"/>
          <w:spacing w:val="0"/>
          <w:w w:val="100"/>
          <w:position w:val="0"/>
        </w:rPr>
        <w:t>公司销售模式采用直销模式销售，销售的主要内容为医疗卫生信息化应用软件销售、运营维护服务（包括软件定制开发 技术服务、软硬件运维服务等）、基于信息技术的系统集成业务。</w:t>
      </w:r>
    </w:p>
    <w:p>
      <w:pPr>
        <w:pStyle w:val="Style15"/>
        <w:keepNext w:val="0"/>
        <w:keepLines w:val="0"/>
        <w:widowControl w:val="0"/>
        <w:shd w:val="clear" w:color="auto" w:fill="auto"/>
        <w:tabs>
          <w:tab w:pos="724" w:val="left"/>
        </w:tabs>
        <w:bidi w:val="0"/>
        <w:spacing w:before="0" w:after="0"/>
        <w:ind w:left="0" w:right="0"/>
        <w:jc w:val="left"/>
      </w:pPr>
      <w:bookmarkStart w:id="87" w:name="bookmark87"/>
      <w:r>
        <w:rPr>
          <w:rFonts w:ascii="Times New Roman" w:eastAsia="Times New Roman" w:hAnsi="Times New Roman" w:cs="Times New Roman"/>
          <w:color w:val="000000"/>
          <w:spacing w:val="0"/>
          <w:w w:val="100"/>
          <w:position w:val="0"/>
        </w:rPr>
        <w:t>2</w:t>
      </w:r>
      <w:bookmarkEnd w:id="87"/>
      <w:r>
        <w:rPr>
          <w:color w:val="000000"/>
          <w:spacing w:val="0"/>
          <w:w w:val="100"/>
          <w:position w:val="0"/>
        </w:rPr>
        <w:t>、</w:t>
        <w:tab/>
        <w:t>采购模式</w:t>
      </w:r>
    </w:p>
    <w:p>
      <w:pPr>
        <w:pStyle w:val="Style15"/>
        <w:keepNext w:val="0"/>
        <w:keepLines w:val="0"/>
        <w:widowControl w:val="0"/>
        <w:shd w:val="clear" w:color="auto" w:fill="auto"/>
        <w:bidi w:val="0"/>
        <w:spacing w:before="0" w:after="100" w:line="312" w:lineRule="exact"/>
        <w:ind w:left="0" w:right="0"/>
        <w:jc w:val="left"/>
      </w:pPr>
      <w:r>
        <w:rPr>
          <w:color w:val="000000"/>
          <w:spacing w:val="0"/>
          <w:w w:val="100"/>
          <w:position w:val="0"/>
        </w:rPr>
        <w:t>公司主要采用定量采购模式，即按照项目实施进度进行采购；采购内容主要包括计算机硬件、外购软件以及外购劳务。</w:t>
      </w:r>
    </w:p>
    <w:p>
      <w:pPr>
        <w:pStyle w:val="Style15"/>
        <w:keepNext w:val="0"/>
        <w:keepLines w:val="0"/>
        <w:widowControl w:val="0"/>
        <w:shd w:val="clear" w:color="auto" w:fill="auto"/>
        <w:tabs>
          <w:tab w:pos="724" w:val="left"/>
        </w:tabs>
        <w:bidi w:val="0"/>
        <w:spacing w:before="0" w:after="0"/>
        <w:ind w:left="0" w:right="0"/>
        <w:jc w:val="left"/>
      </w:pPr>
      <w:bookmarkStart w:id="88" w:name="bookmark88"/>
      <w:r>
        <w:rPr>
          <w:rFonts w:ascii="Times New Roman" w:eastAsia="Times New Roman" w:hAnsi="Times New Roman" w:cs="Times New Roman"/>
          <w:color w:val="000000"/>
          <w:spacing w:val="0"/>
          <w:w w:val="100"/>
          <w:position w:val="0"/>
        </w:rPr>
        <w:t>3</w:t>
      </w:r>
      <w:bookmarkEnd w:id="88"/>
      <w:r>
        <w:rPr>
          <w:color w:val="000000"/>
          <w:spacing w:val="0"/>
          <w:w w:val="100"/>
          <w:position w:val="0"/>
        </w:rPr>
        <w:t>、</w:t>
        <w:tab/>
        <w:t>生产模式</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软件产品销售：以公司研发软件产品为基础，依据客户合同，提供相应软件并进行现场配置。</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技术服务：按客户需求提供相应服务内容包括软件定制开发服务、软件运维服务、运营服务等。</w:t>
      </w:r>
    </w:p>
    <w:p>
      <w:pPr>
        <w:pStyle w:val="Style15"/>
        <w:keepNext w:val="0"/>
        <w:keepLines w:val="0"/>
        <w:widowControl w:val="0"/>
        <w:shd w:val="clear" w:color="auto" w:fill="auto"/>
        <w:bidi w:val="0"/>
        <w:spacing w:before="0" w:after="100" w:line="307" w:lineRule="exact"/>
        <w:ind w:left="0" w:right="0"/>
        <w:jc w:val="left"/>
      </w:pPr>
      <w:r>
        <w:rPr>
          <w:color w:val="000000"/>
          <w:spacing w:val="0"/>
          <w:w w:val="100"/>
          <w:position w:val="0"/>
        </w:rPr>
        <w:t>系统集成：硬件采购、集成服务、以与客户确认的需求确认书、招投标文件及合同为基础，进行调研、框架设计、组织 实施和工程交付。</w:t>
      </w:r>
    </w:p>
    <w:p>
      <w:pPr>
        <w:pStyle w:val="Style15"/>
        <w:keepNext w:val="0"/>
        <w:keepLines w:val="0"/>
        <w:widowControl w:val="0"/>
        <w:shd w:val="clear" w:color="auto" w:fill="auto"/>
        <w:tabs>
          <w:tab w:pos="724" w:val="left"/>
        </w:tabs>
        <w:bidi w:val="0"/>
        <w:spacing w:before="0" w:after="0"/>
        <w:ind w:left="0" w:right="0"/>
        <w:jc w:val="left"/>
      </w:pPr>
      <w:bookmarkStart w:id="89" w:name="bookmark89"/>
      <w:r>
        <w:rPr>
          <w:rFonts w:ascii="Times New Roman" w:eastAsia="Times New Roman" w:hAnsi="Times New Roman" w:cs="Times New Roman"/>
          <w:color w:val="000000"/>
          <w:spacing w:val="0"/>
          <w:w w:val="100"/>
          <w:position w:val="0"/>
        </w:rPr>
        <w:t>4</w:t>
      </w:r>
      <w:bookmarkEnd w:id="89"/>
      <w:r>
        <w:rPr>
          <w:color w:val="000000"/>
          <w:spacing w:val="0"/>
          <w:w w:val="100"/>
          <w:position w:val="0"/>
        </w:rPr>
        <w:t>、</w:t>
        <w:tab/>
        <w:t>研发模式</w:t>
      </w:r>
    </w:p>
    <w:p>
      <w:pPr>
        <w:pStyle w:val="Style15"/>
        <w:keepNext w:val="0"/>
        <w:keepLines w:val="0"/>
        <w:widowControl w:val="0"/>
        <w:shd w:val="clear" w:color="auto" w:fill="auto"/>
        <w:bidi w:val="0"/>
        <w:spacing w:before="0" w:after="0" w:line="314" w:lineRule="exact"/>
        <w:ind w:left="0" w:right="0"/>
        <w:jc w:val="left"/>
      </w:pPr>
      <w:r>
        <w:rPr>
          <w:color w:val="000000"/>
          <w:spacing w:val="0"/>
          <w:w w:val="100"/>
          <w:position w:val="0"/>
        </w:rPr>
        <w:t>公司研发部门组织研发人员按照</w:t>
      </w:r>
      <w:r>
        <w:rPr>
          <w:rFonts w:ascii="Times New Roman" w:eastAsia="Times New Roman" w:hAnsi="Times New Roman" w:cs="Times New Roman"/>
          <w:color w:val="000000"/>
          <w:spacing w:val="0"/>
          <w:w w:val="100"/>
          <w:position w:val="0"/>
        </w:rPr>
        <w:t>CMMI5</w:t>
      </w:r>
      <w:r>
        <w:rPr>
          <w:color w:val="000000"/>
          <w:spacing w:val="0"/>
          <w:w w:val="100"/>
          <w:position w:val="0"/>
        </w:rPr>
        <w:t>软件成熟度开发流程执行研发任务；开发过程中，同时由质量保证部门按照质 量管理体系对研发流程进行质量控制和产品测试。公司坚持“自主研发为主，产学研合作为辅”的原则，通过原始创新、集 成创新、应用创新等多种途径，掌握了一批具有行业竞争力的核心技术，其先进性和成熟度均居国内前列。</w:t>
      </w:r>
    </w:p>
    <w:p>
      <w:pPr>
        <w:pStyle w:val="Style15"/>
        <w:keepNext w:val="0"/>
        <w:keepLines w:val="0"/>
        <w:widowControl w:val="0"/>
        <w:shd w:val="clear" w:color="auto" w:fill="auto"/>
        <w:bidi w:val="0"/>
        <w:spacing w:before="0" w:after="0" w:line="310" w:lineRule="exact"/>
        <w:ind w:left="0" w:right="0" w:firstLine="440"/>
        <w:jc w:val="both"/>
      </w:pPr>
      <w:bookmarkStart w:id="90" w:name="bookmark90"/>
      <w:r>
        <w:rPr>
          <w:b/>
          <w:bCs/>
          <w:color w:val="000000"/>
          <w:spacing w:val="0"/>
          <w:w w:val="100"/>
          <w:position w:val="0"/>
        </w:rPr>
        <w:t>（</w:t>
      </w:r>
      <w:bookmarkEnd w:id="90"/>
      <w:r>
        <w:rPr>
          <w:b/>
          <w:bCs/>
          <w:color w:val="000000"/>
          <w:spacing w:val="0"/>
          <w:w w:val="100"/>
          <w:position w:val="0"/>
        </w:rPr>
        <w:t>四）公司所处行业地位</w:t>
      </w:r>
    </w:p>
    <w:p>
      <w:pPr>
        <w:pStyle w:val="Style15"/>
        <w:keepNext w:val="0"/>
        <w:keepLines w:val="0"/>
        <w:widowControl w:val="0"/>
        <w:shd w:val="clear" w:color="auto" w:fill="auto"/>
        <w:bidi w:val="0"/>
        <w:spacing w:before="0" w:after="380" w:line="310" w:lineRule="exact"/>
        <w:ind w:left="0" w:right="0"/>
        <w:jc w:val="both"/>
      </w:pPr>
      <w:r>
        <w:rPr>
          <w:color w:val="000000"/>
          <w:spacing w:val="0"/>
          <w:w w:val="100"/>
          <w:position w:val="0"/>
        </w:rPr>
        <w:t>随着公司的不断发展，公司市场地位也在不断的巩固和加强。目前公司拥有八大系列</w:t>
      </w:r>
      <w:r>
        <w:rPr>
          <w:rFonts w:ascii="Times New Roman" w:eastAsia="Times New Roman" w:hAnsi="Times New Roman" w:cs="Times New Roman"/>
          <w:color w:val="000000"/>
          <w:spacing w:val="0"/>
          <w:w w:val="100"/>
          <w:position w:val="0"/>
        </w:rPr>
        <w:t>300</w:t>
      </w:r>
      <w:r>
        <w:rPr>
          <w:color w:val="000000"/>
          <w:spacing w:val="0"/>
          <w:w w:val="100"/>
          <w:position w:val="0"/>
        </w:rPr>
        <w:t>多个自主研发产品，软件著作 权约</w:t>
      </w:r>
      <w:r>
        <w:rPr>
          <w:rFonts w:ascii="Times New Roman" w:eastAsia="Times New Roman" w:hAnsi="Times New Roman" w:cs="Times New Roman"/>
          <w:color w:val="000000"/>
          <w:spacing w:val="0"/>
          <w:w w:val="100"/>
          <w:position w:val="0"/>
        </w:rPr>
        <w:t>800</w:t>
      </w:r>
      <w:r>
        <w:rPr>
          <w:color w:val="000000"/>
          <w:spacing w:val="0"/>
          <w:w w:val="100"/>
          <w:position w:val="0"/>
        </w:rPr>
        <w:t>个，</w:t>
      </w:r>
      <w:r>
        <w:rPr>
          <w:rFonts w:ascii="Times New Roman" w:eastAsia="Times New Roman" w:hAnsi="Times New Roman" w:cs="Times New Roman"/>
          <w:color w:val="000000"/>
          <w:spacing w:val="0"/>
          <w:w w:val="100"/>
          <w:position w:val="0"/>
        </w:rPr>
        <w:t>21</w:t>
      </w:r>
      <w:r>
        <w:rPr>
          <w:color w:val="000000"/>
          <w:spacing w:val="0"/>
          <w:w w:val="100"/>
          <w:position w:val="0"/>
        </w:rPr>
        <w:t>项发明专利，营销网络遍及全国</w:t>
      </w:r>
      <w:r>
        <w:rPr>
          <w:rFonts w:ascii="Times New Roman" w:eastAsia="Times New Roman" w:hAnsi="Times New Roman" w:cs="Times New Roman"/>
          <w:color w:val="000000"/>
          <w:spacing w:val="0"/>
          <w:w w:val="100"/>
          <w:position w:val="0"/>
        </w:rPr>
        <w:t>30</w:t>
      </w:r>
      <w:r>
        <w:rPr>
          <w:color w:val="000000"/>
          <w:spacing w:val="0"/>
          <w:w w:val="100"/>
          <w:position w:val="0"/>
        </w:rPr>
        <w:t>多个省、自治区及直辖市，全国客户数量达</w:t>
      </w:r>
      <w:r>
        <w:rPr>
          <w:rFonts w:ascii="Times New Roman" w:eastAsia="Times New Roman" w:hAnsi="Times New Roman" w:cs="Times New Roman"/>
          <w:color w:val="000000"/>
          <w:spacing w:val="0"/>
          <w:w w:val="100"/>
          <w:position w:val="0"/>
        </w:rPr>
        <w:t>7000</w:t>
      </w:r>
      <w:r>
        <w:rPr>
          <w:color w:val="000000"/>
          <w:spacing w:val="0"/>
          <w:w w:val="100"/>
          <w:position w:val="0"/>
        </w:rPr>
        <w:t>多家，先后承担了国家电 子发展基金项目等</w:t>
      </w:r>
      <w:r>
        <w:rPr>
          <w:rFonts w:ascii="Times New Roman" w:eastAsia="Times New Roman" w:hAnsi="Times New Roman" w:cs="Times New Roman"/>
          <w:color w:val="000000"/>
          <w:spacing w:val="0"/>
          <w:w w:val="100"/>
          <w:position w:val="0"/>
        </w:rPr>
        <w:t>40</w:t>
      </w:r>
      <w:r>
        <w:rPr>
          <w:color w:val="000000"/>
          <w:spacing w:val="0"/>
          <w:w w:val="100"/>
          <w:position w:val="0"/>
        </w:rPr>
        <w:t>多项国家、省、市级重大技术研发项目，已累计实施近</w:t>
      </w:r>
      <w:r>
        <w:rPr>
          <w:rFonts w:ascii="Times New Roman" w:eastAsia="Times New Roman" w:hAnsi="Times New Roman" w:cs="Times New Roman"/>
          <w:color w:val="000000"/>
          <w:spacing w:val="0"/>
          <w:w w:val="100"/>
          <w:position w:val="0"/>
        </w:rPr>
        <w:t>2</w:t>
      </w:r>
      <w:r>
        <w:rPr>
          <w:color w:val="000000"/>
          <w:spacing w:val="0"/>
          <w:w w:val="100"/>
          <w:position w:val="0"/>
        </w:rPr>
        <w:t>万个医疗卫生信息化建设项目，公共卫生项目 遍及全国</w:t>
      </w:r>
      <w:r>
        <w:rPr>
          <w:rFonts w:ascii="Times New Roman" w:eastAsia="Times New Roman" w:hAnsi="Times New Roman" w:cs="Times New Roman"/>
          <w:color w:val="000000"/>
          <w:spacing w:val="0"/>
          <w:w w:val="100"/>
          <w:position w:val="0"/>
        </w:rPr>
        <w:t>370</w:t>
      </w:r>
      <w:r>
        <w:rPr>
          <w:color w:val="000000"/>
          <w:spacing w:val="0"/>
          <w:w w:val="100"/>
          <w:position w:val="0"/>
        </w:rPr>
        <w:t>多个区县，为</w:t>
      </w:r>
      <w:r>
        <w:rPr>
          <w:rFonts w:ascii="Times New Roman" w:eastAsia="Times New Roman" w:hAnsi="Times New Roman" w:cs="Times New Roman"/>
          <w:color w:val="000000"/>
          <w:spacing w:val="0"/>
          <w:w w:val="100"/>
          <w:position w:val="0"/>
        </w:rPr>
        <w:t>30</w:t>
      </w:r>
      <w:r>
        <w:rPr>
          <w:color w:val="000000"/>
          <w:spacing w:val="0"/>
          <w:w w:val="100"/>
          <w:position w:val="0"/>
        </w:rPr>
        <w:t>万基层医生提供工作平台，积累约</w:t>
      </w:r>
      <w:r>
        <w:rPr>
          <w:rFonts w:ascii="Times New Roman" w:eastAsia="Times New Roman" w:hAnsi="Times New Roman" w:cs="Times New Roman"/>
          <w:color w:val="000000"/>
          <w:spacing w:val="0"/>
          <w:w w:val="100"/>
          <w:position w:val="0"/>
        </w:rPr>
        <w:t>3</w:t>
      </w:r>
      <w:r>
        <w:rPr>
          <w:color w:val="000000"/>
          <w:spacing w:val="0"/>
          <w:w w:val="100"/>
          <w:position w:val="0"/>
        </w:rPr>
        <w:t>亿份居民健康档案，处于医疗卫生信息化行业第一梯队。</w:t>
      </w:r>
    </w:p>
    <w:p>
      <w:pPr>
        <w:pStyle w:val="Style19"/>
        <w:keepNext/>
        <w:keepLines/>
        <w:widowControl w:val="0"/>
        <w:shd w:val="clear" w:color="auto" w:fill="auto"/>
        <w:bidi w:val="0"/>
        <w:spacing w:before="0" w:after="340" w:line="240" w:lineRule="auto"/>
        <w:ind w:left="0" w:right="0" w:firstLine="440"/>
        <w:jc w:val="left"/>
      </w:pPr>
      <w:bookmarkStart w:id="91" w:name="bookmark91"/>
      <w:bookmarkStart w:id="92" w:name="bookmark92"/>
      <w:bookmarkStart w:id="93" w:name="bookmark93"/>
      <w:bookmarkStart w:id="94" w:name="bookmark94"/>
      <w:r>
        <w:rPr>
          <w:color w:val="000000"/>
          <w:spacing w:val="0"/>
          <w:w w:val="100"/>
          <w:position w:val="0"/>
          <w:sz w:val="24"/>
          <w:szCs w:val="24"/>
        </w:rPr>
        <w:t>三</w:t>
      </w:r>
      <w:bookmarkEnd w:id="93"/>
      <w:r>
        <w:rPr>
          <w:color w:val="000000"/>
          <w:spacing w:val="0"/>
          <w:w w:val="100"/>
          <w:position w:val="0"/>
          <w:sz w:val="24"/>
          <w:szCs w:val="24"/>
        </w:rPr>
        <w:t>、核心竞争力分析</w:t>
      </w:r>
      <w:bookmarkEnd w:id="91"/>
      <w:bookmarkEnd w:id="92"/>
      <w:bookmarkEnd w:id="94"/>
    </w:p>
    <w:p>
      <w:pPr>
        <w:pStyle w:val="Style15"/>
        <w:keepNext w:val="0"/>
        <w:keepLines w:val="0"/>
        <w:widowControl w:val="0"/>
        <w:shd w:val="clear" w:color="auto" w:fill="auto"/>
        <w:tabs>
          <w:tab w:pos="705" w:val="left"/>
        </w:tabs>
        <w:bidi w:val="0"/>
        <w:spacing w:before="0" w:after="0"/>
        <w:ind w:left="0" w:right="0"/>
        <w:jc w:val="both"/>
      </w:pPr>
      <w:bookmarkStart w:id="95" w:name="bookmark95"/>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领先的行业地位和丰富的行业经验</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rPr>
        <w:t>1997</w:t>
      </w:r>
      <w:r>
        <w:rPr>
          <w:color w:val="000000"/>
          <w:spacing w:val="0"/>
          <w:w w:val="100"/>
          <w:position w:val="0"/>
        </w:rPr>
        <w:t>年是国内较早进入医疗卫生信息化的软件供应商之一，成立至今一直专注于医疗卫生信息化领域，以智 慧医疗、区域卫生、健康城市为主要发展方向。目前累计实施了近</w:t>
      </w:r>
      <w:r>
        <w:rPr>
          <w:rFonts w:ascii="Times New Roman" w:eastAsia="Times New Roman" w:hAnsi="Times New Roman" w:cs="Times New Roman"/>
          <w:color w:val="000000"/>
          <w:spacing w:val="0"/>
          <w:w w:val="100"/>
          <w:position w:val="0"/>
        </w:rPr>
        <w:t>2</w:t>
      </w:r>
      <w:r>
        <w:rPr>
          <w:color w:val="000000"/>
          <w:spacing w:val="0"/>
          <w:w w:val="100"/>
          <w:position w:val="0"/>
        </w:rPr>
        <w:t>万个医疗卫生信息化建设项目，行业用户数量</w:t>
      </w:r>
      <w:r>
        <w:rPr>
          <w:rFonts w:ascii="Times New Roman" w:eastAsia="Times New Roman" w:hAnsi="Times New Roman" w:cs="Times New Roman"/>
          <w:color w:val="000000"/>
          <w:spacing w:val="0"/>
          <w:w w:val="100"/>
          <w:position w:val="0"/>
        </w:rPr>
        <w:t>7000</w:t>
      </w:r>
      <w:r>
        <w:rPr>
          <w:color w:val="000000"/>
          <w:spacing w:val="0"/>
          <w:w w:val="100"/>
          <w:position w:val="0"/>
        </w:rPr>
        <w:t>多家， 公共卫生项目遍及全国</w:t>
      </w:r>
      <w:r>
        <w:rPr>
          <w:rFonts w:ascii="Times New Roman" w:eastAsia="Times New Roman" w:hAnsi="Times New Roman" w:cs="Times New Roman"/>
          <w:color w:val="000000"/>
          <w:spacing w:val="0"/>
          <w:w w:val="100"/>
          <w:position w:val="0"/>
        </w:rPr>
        <w:t>370</w:t>
      </w:r>
      <w:r>
        <w:rPr>
          <w:color w:val="000000"/>
          <w:spacing w:val="0"/>
          <w:w w:val="100"/>
          <w:position w:val="0"/>
        </w:rPr>
        <w:t>多个区县，积累约</w:t>
      </w:r>
      <w:r>
        <w:rPr>
          <w:rFonts w:ascii="Times New Roman" w:eastAsia="Times New Roman" w:hAnsi="Times New Roman" w:cs="Times New Roman"/>
          <w:color w:val="000000"/>
          <w:spacing w:val="0"/>
          <w:w w:val="100"/>
          <w:position w:val="0"/>
        </w:rPr>
        <w:t>3</w:t>
      </w:r>
      <w:r>
        <w:rPr>
          <w:color w:val="000000"/>
          <w:spacing w:val="0"/>
          <w:w w:val="100"/>
          <w:position w:val="0"/>
        </w:rPr>
        <w:t>亿份居民健康档案，处于医疗卫生信息化行业第一梯队。</w:t>
      </w:r>
    </w:p>
    <w:p>
      <w:pPr>
        <w:pStyle w:val="Style15"/>
        <w:keepNext w:val="0"/>
        <w:keepLines w:val="0"/>
        <w:widowControl w:val="0"/>
        <w:shd w:val="clear" w:color="auto" w:fill="auto"/>
        <w:tabs>
          <w:tab w:pos="724" w:val="left"/>
        </w:tabs>
        <w:bidi w:val="0"/>
        <w:spacing w:before="0" w:after="0"/>
        <w:ind w:left="0" w:right="0"/>
        <w:jc w:val="both"/>
      </w:pPr>
      <w:bookmarkStart w:id="96" w:name="bookmark96"/>
      <w:r>
        <w:rPr>
          <w:rFonts w:ascii="Times New Roman" w:eastAsia="Times New Roman" w:hAnsi="Times New Roman" w:cs="Times New Roman"/>
          <w:color w:val="000000"/>
          <w:spacing w:val="0"/>
          <w:w w:val="100"/>
          <w:position w:val="0"/>
        </w:rPr>
        <w:t>2</w:t>
      </w:r>
      <w:bookmarkEnd w:id="96"/>
      <w:r>
        <w:rPr>
          <w:color w:val="000000"/>
          <w:spacing w:val="0"/>
          <w:w w:val="100"/>
          <w:position w:val="0"/>
        </w:rPr>
        <w:t>、</w:t>
        <w:tab/>
        <w:t>先进的技术水平和持续的创新能力</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公司拥有成熟的技术体系、较强的自主研发能力，拥有八大系列</w:t>
      </w:r>
      <w:r>
        <w:rPr>
          <w:rFonts w:ascii="Times New Roman" w:eastAsia="Times New Roman" w:hAnsi="Times New Roman" w:cs="Times New Roman"/>
          <w:color w:val="000000"/>
          <w:spacing w:val="0"/>
          <w:w w:val="100"/>
          <w:position w:val="0"/>
        </w:rPr>
        <w:t>300</w:t>
      </w:r>
      <w:r>
        <w:rPr>
          <w:color w:val="000000"/>
          <w:spacing w:val="0"/>
          <w:w w:val="100"/>
          <w:position w:val="0"/>
        </w:rPr>
        <w:t>多个自主研发产品，</w:t>
      </w:r>
      <w:r>
        <w:rPr>
          <w:rFonts w:ascii="Times New Roman" w:eastAsia="Times New Roman" w:hAnsi="Times New Roman" w:cs="Times New Roman"/>
          <w:color w:val="000000"/>
          <w:spacing w:val="0"/>
          <w:w w:val="100"/>
          <w:position w:val="0"/>
        </w:rPr>
        <w:t>21</w:t>
      </w:r>
      <w:r>
        <w:rPr>
          <w:color w:val="000000"/>
          <w:spacing w:val="0"/>
          <w:w w:val="100"/>
          <w:position w:val="0"/>
        </w:rPr>
        <w:t>项发明专利，约</w:t>
      </w:r>
      <w:r>
        <w:rPr>
          <w:rFonts w:ascii="Times New Roman" w:eastAsia="Times New Roman" w:hAnsi="Times New Roman" w:cs="Times New Roman"/>
          <w:color w:val="000000"/>
          <w:spacing w:val="0"/>
          <w:w w:val="100"/>
          <w:position w:val="0"/>
        </w:rPr>
        <w:t>800</w:t>
      </w:r>
      <w:r>
        <w:rPr>
          <w:color w:val="000000"/>
          <w:spacing w:val="0"/>
          <w:w w:val="100"/>
          <w:position w:val="0"/>
        </w:rPr>
        <w:t>项软件著 作权，全面覆盖智慧医院和区域卫生领域，能够满足不同客户的个性化需求。同时，公司结合“健康</w:t>
      </w:r>
      <w:r>
        <w:rPr>
          <w:rFonts w:ascii="Times New Roman" w:eastAsia="Times New Roman" w:hAnsi="Times New Roman" w:cs="Times New Roman"/>
          <w:color w:val="000000"/>
          <w:spacing w:val="0"/>
          <w:w w:val="100"/>
          <w:position w:val="0"/>
        </w:rPr>
        <w:t>2030</w:t>
      </w:r>
      <w:r>
        <w:rPr>
          <w:color w:val="000000"/>
          <w:spacing w:val="0"/>
          <w:w w:val="100"/>
          <w:position w:val="0"/>
        </w:rPr>
        <w:t>”的新形势，在医 疗卫生大数据、大健康服务领域积极布局，利用大数据、人工智能、移动互联、物联网、云计算、区块链等先进技术的支撑， 在大数据和人工智能关键技术领域持续拓宽产品及服务生态圈，增强企业核心竞争力，拓宽盈利方式。</w:t>
      </w:r>
    </w:p>
    <w:p>
      <w:pPr>
        <w:pStyle w:val="Style15"/>
        <w:keepNext w:val="0"/>
        <w:keepLines w:val="0"/>
        <w:widowControl w:val="0"/>
        <w:shd w:val="clear" w:color="auto" w:fill="auto"/>
        <w:tabs>
          <w:tab w:pos="724" w:val="left"/>
        </w:tabs>
        <w:bidi w:val="0"/>
        <w:spacing w:before="0" w:after="0"/>
        <w:ind w:left="0" w:right="0"/>
        <w:jc w:val="both"/>
      </w:pPr>
      <w:bookmarkStart w:id="97" w:name="bookmark97"/>
      <w:r>
        <w:rPr>
          <w:rFonts w:ascii="Times New Roman" w:eastAsia="Times New Roman" w:hAnsi="Times New Roman" w:cs="Times New Roman"/>
          <w:color w:val="000000"/>
          <w:spacing w:val="0"/>
          <w:w w:val="100"/>
          <w:position w:val="0"/>
        </w:rPr>
        <w:t>3</w:t>
      </w:r>
      <w:bookmarkEnd w:id="97"/>
      <w:r>
        <w:rPr>
          <w:color w:val="000000"/>
          <w:spacing w:val="0"/>
          <w:w w:val="100"/>
          <w:position w:val="0"/>
        </w:rPr>
        <w:t>、</w:t>
        <w:tab/>
        <w:t>具有完善的营销服务网络和稳固的客户资源</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目前，公司服务的行业用户数量</w:t>
      </w:r>
      <w:r>
        <w:rPr>
          <w:rFonts w:ascii="Times New Roman" w:eastAsia="Times New Roman" w:hAnsi="Times New Roman" w:cs="Times New Roman"/>
          <w:color w:val="000000"/>
          <w:spacing w:val="0"/>
          <w:w w:val="100"/>
          <w:position w:val="0"/>
        </w:rPr>
        <w:t>7000</w:t>
      </w:r>
      <w:r>
        <w:rPr>
          <w:color w:val="000000"/>
          <w:spacing w:val="0"/>
          <w:w w:val="100"/>
          <w:position w:val="0"/>
        </w:rPr>
        <w:t>多家，市场占有率居于行业领先地位。公司一直秉承“服务用户、共同进步”的经 营理念，致力于产品和服务的市场品牌建设和推广，注重营销团队的建设和营销网络的建设。目前在全国设有</w:t>
      </w:r>
      <w:r>
        <w:rPr>
          <w:rFonts w:ascii="Times New Roman" w:eastAsia="Times New Roman" w:hAnsi="Times New Roman" w:cs="Times New Roman"/>
          <w:color w:val="000000"/>
          <w:spacing w:val="0"/>
          <w:w w:val="100"/>
          <w:position w:val="0"/>
        </w:rPr>
        <w:t>11</w:t>
      </w:r>
      <w:r>
        <w:rPr>
          <w:color w:val="000000"/>
          <w:spacing w:val="0"/>
          <w:w w:val="100"/>
          <w:position w:val="0"/>
        </w:rPr>
        <w:t>个大区市场 营销服务中心及</w:t>
      </w:r>
      <w:r>
        <w:rPr>
          <w:rFonts w:ascii="Times New Roman" w:eastAsia="Times New Roman" w:hAnsi="Times New Roman" w:cs="Times New Roman"/>
          <w:color w:val="000000"/>
          <w:spacing w:val="0"/>
          <w:w w:val="100"/>
          <w:position w:val="0"/>
        </w:rPr>
        <w:t>15</w:t>
      </w:r>
      <w:r>
        <w:rPr>
          <w:color w:val="000000"/>
          <w:spacing w:val="0"/>
          <w:w w:val="100"/>
          <w:position w:val="0"/>
        </w:rPr>
        <w:t>个省级营销服务中心，覆盖全国</w:t>
      </w:r>
      <w:r>
        <w:rPr>
          <w:rFonts w:ascii="Times New Roman" w:eastAsia="Times New Roman" w:hAnsi="Times New Roman" w:cs="Times New Roman"/>
          <w:color w:val="000000"/>
          <w:spacing w:val="0"/>
          <w:w w:val="100"/>
          <w:position w:val="0"/>
        </w:rPr>
        <w:t>30</w:t>
      </w:r>
      <w:r>
        <w:rPr>
          <w:color w:val="000000"/>
          <w:spacing w:val="0"/>
          <w:w w:val="100"/>
          <w:position w:val="0"/>
        </w:rPr>
        <w:t>个省（市）、自治区，并在全国范围内通过信息化手段，实现了与客户 之间的及时沟通并提供贴身的本地化服务，为公司业务持续快速增长奠定了良好的基础。</w:t>
      </w:r>
    </w:p>
    <w:p>
      <w:pPr>
        <w:pStyle w:val="Style15"/>
        <w:keepNext w:val="0"/>
        <w:keepLines w:val="0"/>
        <w:widowControl w:val="0"/>
        <w:shd w:val="clear" w:color="auto" w:fill="auto"/>
        <w:tabs>
          <w:tab w:pos="724" w:val="left"/>
        </w:tabs>
        <w:bidi w:val="0"/>
        <w:spacing w:before="0" w:after="0"/>
        <w:ind w:left="0" w:right="0"/>
        <w:jc w:val="both"/>
      </w:pPr>
      <w:bookmarkStart w:id="98" w:name="bookmark98"/>
      <w:r>
        <w:rPr>
          <w:rFonts w:ascii="Times New Roman" w:eastAsia="Times New Roman" w:hAnsi="Times New Roman" w:cs="Times New Roman"/>
          <w:color w:val="000000"/>
          <w:spacing w:val="0"/>
          <w:w w:val="100"/>
          <w:position w:val="0"/>
        </w:rPr>
        <w:t>4</w:t>
      </w:r>
      <w:bookmarkEnd w:id="98"/>
      <w:r>
        <w:rPr>
          <w:color w:val="000000"/>
          <w:spacing w:val="0"/>
          <w:w w:val="100"/>
          <w:position w:val="0"/>
        </w:rPr>
        <w:t>、</w:t>
        <w:tab/>
        <w:t>具有创新和谐的企业文化和高素质人才优势</w:t>
      </w:r>
    </w:p>
    <w:p>
      <w:pPr>
        <w:pStyle w:val="Style15"/>
        <w:keepNext w:val="0"/>
        <w:keepLines w:val="0"/>
        <w:widowControl w:val="0"/>
        <w:shd w:val="clear" w:color="auto" w:fill="auto"/>
        <w:bidi w:val="0"/>
        <w:spacing w:before="0" w:after="80" w:line="312" w:lineRule="exact"/>
        <w:ind w:left="0" w:right="0"/>
        <w:jc w:val="both"/>
      </w:pPr>
      <w:r>
        <w:rPr>
          <w:color w:val="000000"/>
          <w:spacing w:val="0"/>
          <w:w w:val="100"/>
          <w:position w:val="0"/>
        </w:rPr>
        <w:t>多年来，公司致力于培育和谐的企业文化，提倡“让员工干自己最愿意干的工作，让员工干自己最具特长的工作，实现 个人价值最大化和公司价值最大化”。围绕建设中国一流软件企业的发展目标，公司积极开展研究院的建设工作，除在总部 杭州外，还在上海、北京、深圳、武汉设立了四个研究院，逐渐拥有了一支高素质的管理团队和优秀的技术团队，整体技术 水平与创新能力居行业前列。除此之后，公司注重与外部机构的科研合作，</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年成立创业软件浙大智慧医疗大数据研究院； </w:t>
      </w:r>
      <w:r>
        <w:rPr>
          <w:rFonts w:ascii="Times New Roman" w:eastAsia="Times New Roman" w:hAnsi="Times New Roman" w:cs="Times New Roman"/>
          <w:color w:val="000000"/>
          <w:spacing w:val="0"/>
          <w:w w:val="100"/>
          <w:position w:val="0"/>
        </w:rPr>
        <w:t>2017</w:t>
      </w:r>
      <w:r>
        <w:rPr>
          <w:color w:val="000000"/>
          <w:spacing w:val="0"/>
          <w:w w:val="100"/>
          <w:position w:val="0"/>
        </w:rPr>
        <w:t>年公司获批设立“浙江省博士后工作站” ；</w:t>
      </w:r>
      <w:r>
        <w:rPr>
          <w:rFonts w:ascii="Times New Roman" w:eastAsia="Times New Roman" w:hAnsi="Times New Roman" w:cs="Times New Roman"/>
          <w:color w:val="000000"/>
          <w:spacing w:val="0"/>
          <w:w w:val="100"/>
          <w:position w:val="0"/>
        </w:rPr>
        <w:t>2020</w:t>
      </w:r>
      <w:r>
        <w:rPr>
          <w:color w:val="000000"/>
          <w:spacing w:val="0"/>
          <w:w w:val="100"/>
          <w:position w:val="0"/>
        </w:rPr>
        <w:t>年公司牵头组建的浙江省智慧医疗创新中心被列入</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年浙江省制造业 </w:t>
      </w:r>
      <w:r>
        <w:rPr>
          <w:color w:val="000000"/>
          <w:spacing w:val="0"/>
          <w:w w:val="100"/>
          <w:position w:val="0"/>
        </w:rPr>
        <w:t>创新中心创建名单，开展前沿性关键技术研发和产业化，推动了智慧医疗行业技术创新、产业升级；</w:t>
      </w:r>
      <w:r>
        <w:rPr>
          <w:rFonts w:ascii="Times New Roman" w:eastAsia="Times New Roman" w:hAnsi="Times New Roman" w:cs="Times New Roman"/>
          <w:color w:val="000000"/>
          <w:spacing w:val="0"/>
          <w:w w:val="100"/>
          <w:position w:val="0"/>
        </w:rPr>
        <w:t>2021</w:t>
      </w:r>
      <w:r>
        <w:rPr>
          <w:color w:val="000000"/>
          <w:spacing w:val="0"/>
          <w:w w:val="100"/>
          <w:position w:val="0"/>
        </w:rPr>
        <w:t>年公司与中国医学 装备协会医院物联网分会开展合作并挂牌成立了 “医院物联网创新协作中心”，加快推进物联网技术在医疗领域的应用。</w:t>
      </w:r>
    </w:p>
    <w:p>
      <w:pPr>
        <w:pStyle w:val="Style15"/>
        <w:keepNext w:val="0"/>
        <w:keepLines w:val="0"/>
        <w:widowControl w:val="0"/>
        <w:shd w:val="clear" w:color="auto" w:fill="auto"/>
        <w:bidi w:val="0"/>
        <w:spacing w:before="0" w:after="0"/>
        <w:ind w:left="0" w:right="0"/>
        <w:jc w:val="both"/>
      </w:pPr>
      <w:bookmarkStart w:id="99" w:name="bookmark99"/>
      <w:r>
        <w:rPr>
          <w:rFonts w:ascii="Times New Roman" w:eastAsia="Times New Roman" w:hAnsi="Times New Roman" w:cs="Times New Roman"/>
          <w:color w:val="000000"/>
          <w:spacing w:val="0"/>
          <w:w w:val="100"/>
          <w:position w:val="0"/>
        </w:rPr>
        <w:t>5</w:t>
      </w:r>
      <w:bookmarkEnd w:id="99"/>
      <w:r>
        <w:rPr>
          <w:color w:val="000000"/>
          <w:spacing w:val="0"/>
          <w:w w:val="100"/>
          <w:position w:val="0"/>
        </w:rPr>
        <w:t>、具有良好的品牌形象和高等级的专业资质优势</w:t>
      </w:r>
    </w:p>
    <w:p>
      <w:pPr>
        <w:pStyle w:val="Style15"/>
        <w:keepNext w:val="0"/>
        <w:keepLines w:val="0"/>
        <w:widowControl w:val="0"/>
        <w:shd w:val="clear" w:color="auto" w:fill="auto"/>
        <w:bidi w:val="0"/>
        <w:spacing w:before="0" w:after="0" w:line="314" w:lineRule="exact"/>
        <w:ind w:left="0" w:right="0"/>
        <w:jc w:val="left"/>
      </w:pPr>
      <w:r>
        <w:rPr>
          <w:color w:val="000000"/>
          <w:spacing w:val="0"/>
          <w:w w:val="100"/>
          <w:position w:val="0"/>
        </w:rPr>
        <w:t>公司已取得了 “软件能力成熟度模型集成五级</w:t>
      </w:r>
      <w:r>
        <w:rPr>
          <w:color w:val="000000"/>
          <w:spacing w:val="0"/>
          <w:w w:val="100"/>
          <w:position w:val="0"/>
        </w:rPr>
        <w:t>（</w:t>
      </w:r>
      <w:r>
        <w:rPr>
          <w:rFonts w:ascii="Times New Roman" w:eastAsia="Times New Roman" w:hAnsi="Times New Roman" w:cs="Times New Roman"/>
          <w:color w:val="000000"/>
          <w:spacing w:val="0"/>
          <w:w w:val="100"/>
          <w:position w:val="0"/>
        </w:rPr>
        <w:t>CMMI5</w:t>
      </w:r>
      <w:r>
        <w:rPr>
          <w:color w:val="000000"/>
          <w:spacing w:val="0"/>
          <w:w w:val="100"/>
          <w:position w:val="0"/>
        </w:rPr>
        <w:t>）</w:t>
      </w:r>
      <w:r>
        <w:rPr>
          <w:color w:val="000000"/>
          <w:spacing w:val="0"/>
          <w:w w:val="100"/>
          <w:position w:val="0"/>
        </w:rPr>
        <w:t>”、“国家高新技术企业”、“国家规划布局内重点软件企 业”、“建筑业智能化系统设计专项甲级”、“建筑业电子与智能化工程专业承包一级”、“互联网药品信息服务资格证书”、 “增值电信业务经营许可证”、安全生产许可证、医疗器械产品经营企业许可证、医疗器械生产企业许可证等含金量较高的 行业资质证书，使公司在激烈的市场竞争中占有独特的比较优势。报告期内，公司荣获“</w:t>
      </w:r>
      <w:r>
        <w:rPr>
          <w:rFonts w:ascii="Times New Roman" w:eastAsia="Times New Roman" w:hAnsi="Times New Roman" w:cs="Times New Roman"/>
          <w:color w:val="000000"/>
          <w:spacing w:val="0"/>
          <w:w w:val="100"/>
          <w:position w:val="0"/>
        </w:rPr>
        <w:t>2021</w:t>
      </w:r>
      <w:r>
        <w:rPr>
          <w:color w:val="000000"/>
          <w:spacing w:val="0"/>
          <w:w w:val="100"/>
          <w:position w:val="0"/>
        </w:rPr>
        <w:t>年浙江省软件核心竞争力企业 （规模型）”、“</w:t>
      </w:r>
      <w:r>
        <w:rPr>
          <w:rFonts w:ascii="Times New Roman" w:eastAsia="Times New Roman" w:hAnsi="Times New Roman" w:cs="Times New Roman"/>
          <w:color w:val="000000"/>
          <w:spacing w:val="0"/>
          <w:w w:val="100"/>
          <w:position w:val="0"/>
        </w:rPr>
        <w:t>2021</w:t>
      </w:r>
      <w:r>
        <w:rPr>
          <w:color w:val="000000"/>
          <w:spacing w:val="0"/>
          <w:w w:val="100"/>
          <w:position w:val="0"/>
        </w:rPr>
        <w:t>年度医疗健康信息化最具影响力企业”、“第二届浙江省优秀发明成果”、“第二届浙江省优秀发明 单位”、“浙江省商标品牌战略示范企业”等多项荣誉，并取得互联网医院执业许可证。</w:t>
      </w:r>
    </w:p>
    <w:p>
      <w:pPr>
        <w:pStyle w:val="Style15"/>
        <w:keepNext w:val="0"/>
        <w:keepLines w:val="0"/>
        <w:widowControl w:val="0"/>
        <w:shd w:val="clear" w:color="auto" w:fill="auto"/>
        <w:bidi w:val="0"/>
        <w:spacing w:before="0" w:after="360" w:line="314" w:lineRule="exact"/>
        <w:ind w:left="0" w:right="0"/>
        <w:jc w:val="left"/>
      </w:pPr>
      <w:r>
        <w:rPr>
          <w:color w:val="000000"/>
          <w:spacing w:val="0"/>
          <w:w w:val="100"/>
          <w:position w:val="0"/>
        </w:rPr>
        <w:t>报告期内，公司核心竞争力未发生重大变化。</w:t>
      </w:r>
    </w:p>
    <w:p>
      <w:pPr>
        <w:pStyle w:val="Style19"/>
        <w:keepNext/>
        <w:keepLines/>
        <w:widowControl w:val="0"/>
        <w:shd w:val="clear" w:color="auto" w:fill="auto"/>
        <w:bidi w:val="0"/>
        <w:spacing w:before="0" w:after="320" w:line="240" w:lineRule="auto"/>
        <w:ind w:left="0" w:right="0" w:firstLine="440"/>
        <w:jc w:val="both"/>
      </w:pPr>
      <w:bookmarkStart w:id="100" w:name="bookmark100"/>
      <w:bookmarkStart w:id="101" w:name="bookmark101"/>
      <w:bookmarkStart w:id="102" w:name="bookmark102"/>
      <w:bookmarkStart w:id="103" w:name="bookmark103"/>
      <w:r>
        <w:rPr>
          <w:color w:val="000000"/>
          <w:spacing w:val="0"/>
          <w:w w:val="100"/>
          <w:position w:val="0"/>
          <w:sz w:val="24"/>
          <w:szCs w:val="24"/>
        </w:rPr>
        <w:t>四</w:t>
      </w:r>
      <w:bookmarkEnd w:id="102"/>
      <w:r>
        <w:rPr>
          <w:color w:val="000000"/>
          <w:spacing w:val="0"/>
          <w:w w:val="100"/>
          <w:position w:val="0"/>
          <w:sz w:val="24"/>
          <w:szCs w:val="24"/>
        </w:rPr>
        <w:t>、主营业务分析</w:t>
      </w:r>
      <w:bookmarkEnd w:id="100"/>
      <w:bookmarkEnd w:id="101"/>
      <w:bookmarkEnd w:id="103"/>
    </w:p>
    <w:p>
      <w:pPr>
        <w:pStyle w:val="Style24"/>
        <w:keepNext/>
        <w:keepLines/>
        <w:widowControl w:val="0"/>
        <w:shd w:val="clear" w:color="auto" w:fill="auto"/>
        <w:bidi w:val="0"/>
        <w:spacing w:before="0" w:after="260" w:line="240" w:lineRule="auto"/>
        <w:ind w:left="0" w:right="0" w:firstLine="440"/>
        <w:jc w:val="both"/>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、概述</w:t>
      </w:r>
      <w:bookmarkEnd w:id="104"/>
      <w:bookmarkEnd w:id="105"/>
      <w:bookmarkEnd w:id="107"/>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回顾</w:t>
      </w:r>
      <w:r>
        <w:rPr>
          <w:rFonts w:ascii="Times New Roman" w:eastAsia="Times New Roman" w:hAnsi="Times New Roman" w:cs="Times New Roman"/>
          <w:color w:val="000000"/>
          <w:spacing w:val="0"/>
          <w:w w:val="100"/>
          <w:position w:val="0"/>
        </w:rPr>
        <w:t>2021</w:t>
      </w:r>
      <w:r>
        <w:rPr>
          <w:color w:val="000000"/>
          <w:spacing w:val="0"/>
          <w:w w:val="100"/>
          <w:position w:val="0"/>
        </w:rPr>
        <w:t>年，全球经济陷入低迷，得益于国内防疫措施的有效落实，各行业公司有序复工复产，大环境逐渐向好。报告 期内，公司依托“一体两翼”加医保事业部的业务协同发展，同时启动了 “慧康云</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的整体云化转型发展战略，坚持以 打造患者为中心的医疗卫生体系，建设智慧生态医疗为目标，强化在手订单的交付和验收，积极提升客户满意度。</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报告期内，公司营业收入持续增长，实现营业收入</w:t>
      </w:r>
      <w:r>
        <w:rPr>
          <w:rFonts w:ascii="Times New Roman" w:eastAsia="Times New Roman" w:hAnsi="Times New Roman" w:cs="Times New Roman"/>
          <w:color w:val="000000"/>
          <w:spacing w:val="0"/>
          <w:w w:val="100"/>
          <w:position w:val="0"/>
        </w:rPr>
        <w:t>189,897.70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16.30%</w:t>
      </w:r>
      <w:r>
        <w:rPr>
          <w:color w:val="000000"/>
          <w:spacing w:val="0"/>
          <w:w w:val="100"/>
          <w:position w:val="0"/>
        </w:rPr>
        <w:t>。公司主营业务中，医疗行 业业务实现营收</w:t>
      </w:r>
      <w:r>
        <w:rPr>
          <w:rFonts w:ascii="Times New Roman" w:eastAsia="Times New Roman" w:hAnsi="Times New Roman" w:cs="Times New Roman"/>
          <w:color w:val="000000"/>
          <w:spacing w:val="0"/>
          <w:w w:val="100"/>
          <w:position w:val="0"/>
        </w:rPr>
        <w:t>169,615.83</w:t>
      </w:r>
      <w:r>
        <w:rPr>
          <w:color w:val="000000"/>
          <w:spacing w:val="0"/>
          <w:w w:val="100"/>
          <w:position w:val="0"/>
        </w:rPr>
        <w:t>万元，占营业收入的</w:t>
      </w:r>
      <w:r>
        <w:rPr>
          <w:rFonts w:ascii="Times New Roman" w:eastAsia="Times New Roman" w:hAnsi="Times New Roman" w:cs="Times New Roman"/>
          <w:color w:val="000000"/>
          <w:spacing w:val="0"/>
          <w:w w:val="100"/>
          <w:position w:val="0"/>
        </w:rPr>
        <w:t>89.32%</w:t>
      </w:r>
      <w:r>
        <w:rPr>
          <w:color w:val="000000"/>
          <w:spacing w:val="0"/>
          <w:w w:val="100"/>
          <w:position w:val="0"/>
        </w:rPr>
        <w:t>，同比增长</w:t>
      </w:r>
      <w:r>
        <w:rPr>
          <w:rFonts w:ascii="Times New Roman" w:eastAsia="Times New Roman" w:hAnsi="Times New Roman" w:cs="Times New Roman"/>
          <w:color w:val="000000"/>
          <w:spacing w:val="0"/>
          <w:w w:val="100"/>
          <w:position w:val="0"/>
        </w:rPr>
        <w:t>24.35%</w:t>
      </w:r>
      <w:r>
        <w:rPr>
          <w:color w:val="000000"/>
          <w:spacing w:val="0"/>
          <w:w w:val="100"/>
          <w:position w:val="0"/>
        </w:rPr>
        <w:t xml:space="preserve">，其中：医疗软件销售及技术服务业务同比增长 </w:t>
      </w:r>
      <w:r>
        <w:rPr>
          <w:rFonts w:ascii="Times New Roman" w:eastAsia="Times New Roman" w:hAnsi="Times New Roman" w:cs="Times New Roman"/>
          <w:color w:val="000000"/>
          <w:spacing w:val="0"/>
          <w:w w:val="100"/>
          <w:position w:val="0"/>
        </w:rPr>
        <w:t>26.15%</w:t>
      </w:r>
      <w:r>
        <w:rPr>
          <w:color w:val="000000"/>
          <w:spacing w:val="0"/>
          <w:w w:val="100"/>
          <w:position w:val="0"/>
        </w:rPr>
        <w:t>，继续保持良好增长势头；同时，公司归属于上市公司股东的净利润</w:t>
      </w:r>
      <w:r>
        <w:rPr>
          <w:rFonts w:ascii="Times New Roman" w:eastAsia="Times New Roman" w:hAnsi="Times New Roman" w:cs="Times New Roman"/>
          <w:color w:val="000000"/>
          <w:spacing w:val="0"/>
          <w:w w:val="100"/>
          <w:position w:val="0"/>
        </w:rPr>
        <w:t>41,303.92</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24.28%</w:t>
      </w:r>
      <w:r>
        <w:rPr>
          <w:color w:val="000000"/>
          <w:spacing w:val="0"/>
          <w:w w:val="100"/>
          <w:position w:val="0"/>
        </w:rPr>
        <w:t>；归属 于上市公司股东的扣除非经常性损益的净利润</w:t>
      </w:r>
      <w:r>
        <w:rPr>
          <w:rFonts w:ascii="Times New Roman" w:eastAsia="Times New Roman" w:hAnsi="Times New Roman" w:cs="Times New Roman"/>
          <w:color w:val="000000"/>
          <w:spacing w:val="0"/>
          <w:w w:val="100"/>
          <w:position w:val="0"/>
        </w:rPr>
        <w:t>38,733.21</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23.11%</w:t>
      </w:r>
      <w:r>
        <w:rPr>
          <w:color w:val="000000"/>
          <w:spacing w:val="0"/>
          <w:w w:val="100"/>
          <w:position w:val="0"/>
        </w:rPr>
        <w:t>。</w:t>
      </w:r>
    </w:p>
    <w:p>
      <w:pPr>
        <w:pStyle w:val="Style15"/>
        <w:keepNext w:val="0"/>
        <w:keepLines w:val="0"/>
        <w:widowControl w:val="0"/>
        <w:shd w:val="clear" w:color="auto" w:fill="auto"/>
        <w:bidi w:val="0"/>
        <w:spacing w:before="0" w:after="0" w:line="313" w:lineRule="exact"/>
        <w:ind w:left="0" w:right="0"/>
        <w:jc w:val="both"/>
      </w:pPr>
      <w:bookmarkStart w:id="108" w:name="bookmark108"/>
      <w:r>
        <w:rPr>
          <w:b/>
          <w:bCs/>
          <w:color w:val="000000"/>
          <w:spacing w:val="0"/>
          <w:w w:val="100"/>
          <w:position w:val="0"/>
        </w:rPr>
        <w:t>（</w:t>
      </w:r>
      <w:bookmarkEnd w:id="108"/>
      <w:r>
        <w:rPr>
          <w:b/>
          <w:bCs/>
          <w:color w:val="000000"/>
          <w:spacing w:val="0"/>
          <w:w w:val="100"/>
          <w:position w:val="0"/>
        </w:rPr>
        <w:t>一）医院卫生信息化业务引领增长，紧跟医疗卫生信息化发展进程</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医院卫生信息化行业进入“一四五”，政府陆续出台规范标准类、鼓励支持类等多种政策，更催化了医疗卫生信息化平 台一体化、标准化建设需求的新高，行业呈现高景气度，公司医疗卫生信息化业务自上市以来连续七年保持增长，医疗行业 营业收入复合增长率</w:t>
      </w:r>
      <w:r>
        <w:rPr>
          <w:rFonts w:ascii="Times New Roman" w:eastAsia="Times New Roman" w:hAnsi="Times New Roman" w:cs="Times New Roman"/>
          <w:color w:val="000000"/>
          <w:spacing w:val="0"/>
          <w:w w:val="100"/>
          <w:position w:val="0"/>
        </w:rPr>
        <w:t>29.09%</w:t>
      </w:r>
      <w:r>
        <w:rPr>
          <w:color w:val="000000"/>
          <w:spacing w:val="0"/>
          <w:w w:val="100"/>
          <w:position w:val="0"/>
        </w:rPr>
        <w:t>，公司归母净利润复合增长率</w:t>
      </w:r>
      <w:r>
        <w:rPr>
          <w:rFonts w:ascii="Times New Roman" w:eastAsia="Times New Roman" w:hAnsi="Times New Roman" w:cs="Times New Roman"/>
          <w:color w:val="000000"/>
          <w:spacing w:val="0"/>
          <w:w w:val="100"/>
          <w:position w:val="0"/>
        </w:rPr>
        <w:t>42.33%</w:t>
      </w:r>
      <w:r>
        <w:rPr>
          <w:color w:val="000000"/>
          <w:spacing w:val="0"/>
          <w:w w:val="100"/>
          <w:position w:val="0"/>
        </w:rPr>
        <w:t>。</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报告期内，得益于国家对于医疗信息化行业的政策推动，公司新增客户订单增长超往年，新增千万级订单</w:t>
      </w:r>
      <w:r>
        <w:rPr>
          <w:rFonts w:ascii="Times New Roman" w:eastAsia="Times New Roman" w:hAnsi="Times New Roman" w:cs="Times New Roman"/>
          <w:color w:val="000000"/>
          <w:spacing w:val="0"/>
          <w:w w:val="100"/>
          <w:position w:val="0"/>
        </w:rPr>
        <w:t>32</w:t>
      </w:r>
      <w:r>
        <w:rPr>
          <w:color w:val="000000"/>
          <w:spacing w:val="0"/>
          <w:w w:val="100"/>
          <w:position w:val="0"/>
        </w:rPr>
        <w:t>个，千万级 订单金额同比增长超过</w:t>
      </w:r>
      <w:r>
        <w:rPr>
          <w:rFonts w:ascii="Times New Roman" w:eastAsia="Times New Roman" w:hAnsi="Times New Roman" w:cs="Times New Roman"/>
          <w:color w:val="000000"/>
          <w:spacing w:val="0"/>
          <w:w w:val="100"/>
          <w:position w:val="0"/>
        </w:rPr>
        <w:t>40%</w:t>
      </w:r>
      <w:r>
        <w:rPr>
          <w:color w:val="000000"/>
          <w:spacing w:val="0"/>
          <w:w w:val="100"/>
          <w:position w:val="0"/>
        </w:rPr>
        <w:t>，持续扩大了公司综合优势，提高了市场占有率。</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报告期内，医院信息化、临床信息化、区域卫生信息化高等级评审项目建设需求高涨。截止目前，公司承建的电子病历、 区域互联互通项目的订单评级通过数量及总量处于行业前列。</w:t>
      </w:r>
    </w:p>
    <w:p>
      <w:pPr>
        <w:pStyle w:val="Style15"/>
        <w:keepNext w:val="0"/>
        <w:keepLines w:val="0"/>
        <w:widowControl w:val="0"/>
        <w:numPr>
          <w:ilvl w:val="0"/>
          <w:numId w:val="5"/>
        </w:numPr>
        <w:shd w:val="clear" w:color="auto" w:fill="auto"/>
        <w:tabs>
          <w:tab w:pos="711" w:val="left"/>
        </w:tabs>
        <w:bidi w:val="0"/>
        <w:spacing w:before="0" w:after="0" w:line="313" w:lineRule="exact"/>
        <w:ind w:left="0" w:right="0"/>
        <w:jc w:val="both"/>
      </w:pPr>
      <w:bookmarkStart w:id="109" w:name="bookmark109"/>
      <w:bookmarkEnd w:id="109"/>
      <w:r>
        <w:rPr>
          <w:color w:val="000000"/>
          <w:spacing w:val="0"/>
          <w:w w:val="100"/>
          <w:position w:val="0"/>
        </w:rPr>
        <w:t>报告期内，公司五级电子病历评级项目有</w:t>
      </w:r>
      <w:r>
        <w:rPr>
          <w:rFonts w:ascii="Times New Roman" w:eastAsia="Times New Roman" w:hAnsi="Times New Roman" w:cs="Times New Roman"/>
          <w:color w:val="000000"/>
          <w:spacing w:val="0"/>
          <w:w w:val="100"/>
          <w:position w:val="0"/>
        </w:rPr>
        <w:t>5</w:t>
      </w:r>
      <w:r>
        <w:rPr>
          <w:color w:val="000000"/>
          <w:spacing w:val="0"/>
          <w:w w:val="100"/>
          <w:position w:val="0"/>
        </w:rPr>
        <w:t>家通过评审，公司五级、六级电子病历评级项目累计有</w:t>
      </w:r>
      <w:r>
        <w:rPr>
          <w:rFonts w:ascii="Times New Roman" w:eastAsia="Times New Roman" w:hAnsi="Times New Roman" w:cs="Times New Roman"/>
          <w:color w:val="000000"/>
          <w:spacing w:val="0"/>
          <w:w w:val="100"/>
          <w:position w:val="0"/>
        </w:rPr>
        <w:t>15</w:t>
      </w:r>
      <w:r>
        <w:rPr>
          <w:color w:val="000000"/>
          <w:spacing w:val="0"/>
          <w:w w:val="100"/>
          <w:position w:val="0"/>
        </w:rPr>
        <w:t>家通过评审。</w:t>
      </w:r>
    </w:p>
    <w:p>
      <w:pPr>
        <w:pStyle w:val="Style15"/>
        <w:keepNext w:val="0"/>
        <w:keepLines w:val="0"/>
        <w:widowControl w:val="0"/>
        <w:numPr>
          <w:ilvl w:val="0"/>
          <w:numId w:val="5"/>
        </w:numPr>
        <w:shd w:val="clear" w:color="auto" w:fill="auto"/>
        <w:tabs>
          <w:tab w:pos="687" w:val="left"/>
        </w:tabs>
        <w:bidi w:val="0"/>
        <w:spacing w:before="0" w:after="0" w:line="313" w:lineRule="exact"/>
        <w:ind w:left="0" w:right="0"/>
        <w:jc w:val="both"/>
      </w:pPr>
      <w:bookmarkStart w:id="110" w:name="bookmark110"/>
      <w:bookmarkEnd w:id="110"/>
      <w:r>
        <w:rPr>
          <w:color w:val="000000"/>
          <w:spacing w:val="0"/>
          <w:w w:val="100"/>
          <w:position w:val="0"/>
        </w:rPr>
        <w:t>报告期内，公司四甲、五乙医院互联互通项目有</w:t>
      </w:r>
      <w:r>
        <w:rPr>
          <w:rFonts w:ascii="Times New Roman" w:eastAsia="Times New Roman" w:hAnsi="Times New Roman" w:cs="Times New Roman"/>
          <w:color w:val="000000"/>
          <w:spacing w:val="0"/>
          <w:w w:val="100"/>
          <w:position w:val="0"/>
        </w:rPr>
        <w:t>13</w:t>
      </w:r>
      <w:r>
        <w:rPr>
          <w:color w:val="000000"/>
          <w:spacing w:val="0"/>
          <w:w w:val="100"/>
          <w:position w:val="0"/>
        </w:rPr>
        <w:t>家通过评审，四甲、五乙区域互联互通项目有</w:t>
      </w:r>
      <w:r>
        <w:rPr>
          <w:rFonts w:ascii="Times New Roman" w:eastAsia="Times New Roman" w:hAnsi="Times New Roman" w:cs="Times New Roman"/>
          <w:color w:val="000000"/>
          <w:spacing w:val="0"/>
          <w:w w:val="100"/>
          <w:position w:val="0"/>
        </w:rPr>
        <w:t>4</w:t>
      </w:r>
      <w:r>
        <w:rPr>
          <w:color w:val="000000"/>
          <w:spacing w:val="0"/>
          <w:w w:val="100"/>
          <w:position w:val="0"/>
        </w:rPr>
        <w:t>家通过评审；四甲、 五乙医院互联互通“以评促建”项目累计有</w:t>
      </w:r>
      <w:r>
        <w:rPr>
          <w:rFonts w:ascii="Times New Roman" w:eastAsia="Times New Roman" w:hAnsi="Times New Roman" w:cs="Times New Roman"/>
          <w:color w:val="000000"/>
          <w:spacing w:val="0"/>
          <w:w w:val="100"/>
          <w:position w:val="0"/>
        </w:rPr>
        <w:t>23</w:t>
      </w:r>
      <w:r>
        <w:rPr>
          <w:color w:val="000000"/>
          <w:spacing w:val="0"/>
          <w:w w:val="100"/>
          <w:position w:val="0"/>
        </w:rPr>
        <w:t>家通过评审，四甲、五乙区域互联互通“以评促建”项目累计有</w:t>
      </w:r>
      <w:r>
        <w:rPr>
          <w:rFonts w:ascii="Times New Roman" w:eastAsia="Times New Roman" w:hAnsi="Times New Roman" w:cs="Times New Roman"/>
          <w:color w:val="000000"/>
          <w:spacing w:val="0"/>
          <w:w w:val="100"/>
          <w:position w:val="0"/>
        </w:rPr>
        <w:t>14</w:t>
      </w:r>
      <w:r>
        <w:rPr>
          <w:color w:val="000000"/>
          <w:spacing w:val="0"/>
          <w:w w:val="100"/>
          <w:position w:val="0"/>
        </w:rPr>
        <w:t>家通过评审。</w:t>
      </w:r>
    </w:p>
    <w:p>
      <w:pPr>
        <w:pStyle w:val="Style15"/>
        <w:keepNext w:val="0"/>
        <w:keepLines w:val="0"/>
        <w:widowControl w:val="0"/>
        <w:numPr>
          <w:ilvl w:val="0"/>
          <w:numId w:val="5"/>
        </w:numPr>
        <w:shd w:val="clear" w:color="auto" w:fill="auto"/>
        <w:tabs>
          <w:tab w:pos="687" w:val="left"/>
        </w:tabs>
        <w:bidi w:val="0"/>
        <w:spacing w:before="0" w:after="0" w:line="313" w:lineRule="exact"/>
        <w:ind w:left="0" w:right="0"/>
        <w:jc w:val="both"/>
      </w:pPr>
      <w:bookmarkStart w:id="111" w:name="bookmark111"/>
      <w:bookmarkEnd w:id="111"/>
      <w:r>
        <w:rPr>
          <w:color w:val="000000"/>
          <w:spacing w:val="0"/>
          <w:w w:val="100"/>
          <w:position w:val="0"/>
        </w:rPr>
        <w:t>报告期内，全国首批智慧医院高水平（三级及以上）智慧服务评级名单出炉，公司服务建设的</w:t>
      </w:r>
      <w:r>
        <w:rPr>
          <w:rFonts w:ascii="Times New Roman" w:eastAsia="Times New Roman" w:hAnsi="Times New Roman" w:cs="Times New Roman"/>
          <w:color w:val="000000"/>
          <w:spacing w:val="0"/>
          <w:w w:val="100"/>
          <w:position w:val="0"/>
        </w:rPr>
        <w:t>2</w:t>
      </w:r>
      <w:r>
        <w:rPr>
          <w:color w:val="000000"/>
          <w:spacing w:val="0"/>
          <w:w w:val="100"/>
          <w:position w:val="0"/>
        </w:rPr>
        <w:t>家客户通过了智慧服 务三级评级评审，为公司医院信息化产品及解决方案体系在智慧医院进行高水平智慧医院建设过程中积累宝贵的经验。</w:t>
      </w:r>
    </w:p>
    <w:p>
      <w:pPr>
        <w:pStyle w:val="Style15"/>
        <w:keepNext w:val="0"/>
        <w:keepLines w:val="0"/>
        <w:widowControl w:val="0"/>
        <w:shd w:val="clear" w:color="auto" w:fill="auto"/>
        <w:bidi w:val="0"/>
        <w:spacing w:before="0" w:after="160" w:line="313" w:lineRule="exact"/>
        <w:ind w:left="0" w:right="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HIT</w:t>
      </w:r>
      <w:r>
        <w:rPr>
          <w:color w:val="000000"/>
          <w:spacing w:val="0"/>
          <w:w w:val="100"/>
          <w:position w:val="0"/>
        </w:rPr>
        <w:t>产品的全面云化解决方案、混合云的子系统解决方案成果转化成功，进入市场推广期，助力公司信 息化业务的持续高质量发展。报告期内，公司已有两家客户落地了公司</w:t>
      </w:r>
      <w:r>
        <w:rPr>
          <w:rFonts w:ascii="Times New Roman" w:eastAsia="Times New Roman" w:hAnsi="Times New Roman" w:cs="Times New Roman"/>
          <w:color w:val="000000"/>
          <w:spacing w:val="0"/>
          <w:w w:val="100"/>
          <w:position w:val="0"/>
        </w:rPr>
        <w:t>HIT</w:t>
      </w:r>
      <w:r>
        <w:rPr>
          <w:color w:val="000000"/>
          <w:spacing w:val="0"/>
          <w:w w:val="100"/>
          <w:position w:val="0"/>
        </w:rPr>
        <w:t>产品的全面云化解决方案，在逾百家客户落地了 混合云的子系统解决方案。公司新一代“慧康云</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全面云化解决方案在三级医疗机构成功上线，新一代产品具有全新的 架构、统一的全院级标准规范，大大提高了系统性能和可扩展性，可以满足医院内部的业务一体、外部的医卫健一体、集团 医院管理的上下一体的管理需求。新产品能够充分利用物联网技术并通过智能设备管理赋能智慧医疗业务场景、优化医疗服 务流程，为建设智慧生态医疗奠定基础。</w:t>
      </w:r>
      <w:r>
        <w:br w:type="page"/>
      </w:r>
    </w:p>
    <w:p>
      <w:pPr>
        <w:widowControl w:val="0"/>
        <w:spacing w:line="1" w:lineRule="exact"/>
      </w:pPr>
      <w:r>
        <w:drawing>
          <wp:anchor distT="0" distB="25400" distL="0" distR="0" simplePos="0" relativeHeight="125829396" behindDoc="0" locked="0" layoutInCell="1" allowOverlap="1">
            <wp:simplePos x="0" y="0"/>
            <wp:positionH relativeFrom="page">
              <wp:posOffset>1389380</wp:posOffset>
            </wp:positionH>
            <wp:positionV relativeFrom="paragraph">
              <wp:posOffset>0</wp:posOffset>
            </wp:positionV>
            <wp:extent cx="4584065" cy="262128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4584065" cy="2621280"/>
                    </a:xfrm>
                    <a:prstGeom prst="rect"/>
                  </pic:spPr>
                </pic:pic>
              </a:graphicData>
            </a:graphic>
          </wp:anchor>
        </w:drawing>
      </w:r>
      <w:r>
        <mc:AlternateContent>
          <mc:Choice Requires="wps">
            <w:drawing>
              <wp:anchor distT="286385" distB="1299845" distL="0" distR="0" simplePos="0" relativeHeight="125829397" behindDoc="0" locked="0" layoutInCell="1" allowOverlap="1">
                <wp:simplePos x="0" y="0"/>
                <wp:positionH relativeFrom="page">
                  <wp:posOffset>1395730</wp:posOffset>
                </wp:positionH>
                <wp:positionV relativeFrom="paragraph">
                  <wp:posOffset>286385</wp:posOffset>
                </wp:positionV>
                <wp:extent cx="4553585" cy="1060450"/>
                <wp:wrapTopAndBottom/>
                <wp:docPr id="27" name="Shape 27"/>
                <a:graphic xmlns:a="http://schemas.openxmlformats.org/drawingml/2006/main">
                  <a:graphicData uri="http://schemas.microsoft.com/office/word/2010/wordprocessingShape">
                    <wps:wsp>
                      <wps:cNvSpPr txBox="1"/>
                      <wps:spPr>
                        <a:xfrm>
                          <a:ext cx="4553585" cy="1060450"/>
                        </a:xfrm>
                        <a:prstGeom prst="rect"/>
                        <a:noFill/>
                      </wps:spPr>
                      <wps:txbx>
                        <w:txbxContent>
                          <w:tbl>
                            <w:tblPr>
                              <w:tblOverlap w:val="never"/>
                              <w:jc w:val="left"/>
                              <w:tblLayout w:type="fixed"/>
                            </w:tblPr>
                            <w:tblGrid>
                              <w:gridCol w:w="1334"/>
                              <w:gridCol w:w="552"/>
                              <w:gridCol w:w="802"/>
                              <w:gridCol w:w="893"/>
                              <w:gridCol w:w="605"/>
                              <w:gridCol w:w="696"/>
                              <w:gridCol w:w="1070"/>
                              <w:gridCol w:w="581"/>
                              <w:gridCol w:w="638"/>
                            </w:tblGrid>
                            <w:tr>
                              <w:trPr>
                                <w:tblHeader/>
                                <w:trHeight w:val="54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left"/>
                                    <w:rPr>
                                      <w:sz w:val="38"/>
                                      <w:szCs w:val="38"/>
                                    </w:rPr>
                                  </w:pPr>
                                  <w:r>
                                    <w:rPr>
                                      <w:rFonts w:ascii="SimHei" w:eastAsia="SimHei" w:hAnsi="SimHei" w:cs="SimHei"/>
                                      <w:color w:val="205B9D"/>
                                      <w:spacing w:val="0"/>
                                      <w:w w:val="100"/>
                                      <w:position w:val="0"/>
                                      <w:sz w:val="38"/>
                                      <w:szCs w:val="38"/>
                                    </w:rPr>
                                    <w:t>也</w:t>
                                  </w:r>
                                </w:p>
                              </w:tc>
                              <w:tc>
                                <w:tcPr>
                                  <w:tcBorders>
                                    <w:top w:val="single" w:sz="4"/>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left"/>
                                    <w:rPr>
                                      <w:sz w:val="54"/>
                                      <w:szCs w:val="54"/>
                                    </w:rPr>
                                  </w:pPr>
                                  <w:r>
                                    <w:rPr>
                                      <w:rFonts w:ascii="Arial" w:eastAsia="Arial" w:hAnsi="Arial" w:cs="Arial"/>
                                      <w:color w:val="205B9D"/>
                                      <w:spacing w:val="0"/>
                                      <w:w w:val="100"/>
                                      <w:position w:val="0"/>
                                      <w:sz w:val="54"/>
                                      <w:szCs w:val="54"/>
                                    </w:rPr>
                                    <w:t>£</w:t>
                                  </w: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both"/>
                                    <w:rPr>
                                      <w:sz w:val="64"/>
                                      <w:szCs w:val="64"/>
                                    </w:rPr>
                                  </w:pPr>
                                  <w:r>
                                    <w:rPr>
                                      <w:rFonts w:ascii="SimHei" w:eastAsia="SimHei" w:hAnsi="SimHei" w:cs="SimHei"/>
                                      <w:color w:val="205B9D"/>
                                      <w:spacing w:val="0"/>
                                      <w:w w:val="100"/>
                                      <w:position w:val="0"/>
                                      <w:sz w:val="64"/>
                                      <w:szCs w:val="64"/>
                                    </w:rPr>
                                    <w:t>:%</w:t>
                                  </w:r>
                                </w:p>
                              </w:tc>
                              <w:tc>
                                <w:tcPr>
                                  <w:tcBorders>
                                    <w:top w:val="single" w:sz="4"/>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Arial" w:eastAsia="Arial" w:hAnsi="Arial" w:cs="Arial"/>
                                      <w:color w:val="205B9D"/>
                                      <w:spacing w:val="0"/>
                                      <w:w w:val="100"/>
                                      <w:position w:val="0"/>
                                      <w:sz w:val="36"/>
                                      <w:szCs w:val="36"/>
                                    </w:rPr>
                                    <w:t>IS</w:t>
                                  </w:r>
                                </w:p>
                              </w:tc>
                              <w:tc>
                                <w:tcPr>
                                  <w:tcBorders>
                                    <w:top w:val="single" w:sz="4"/>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color w:val="205B9D"/>
                                      <w:spacing w:val="0"/>
                                      <w:w w:val="100"/>
                                      <w:position w:val="0"/>
                                      <w:sz w:val="40"/>
                                      <w:szCs w:val="40"/>
                                    </w:rPr>
                                    <w:t>0</w:t>
                                  </w:r>
                                </w:p>
                              </w:tc>
                              <w:tc>
                                <w:tcPr>
                                  <w:tcBorders>
                                    <w:top w:val="single" w:sz="4"/>
                                    <w:left w:val="single" w:sz="4"/>
                                  </w:tcBorders>
                                  <w:shd w:val="clear" w:color="auto" w:fill="DFEEF4"/>
                                  <w:vAlign w:val="top"/>
                                </w:tcPr>
                                <w:p>
                                  <w:pPr>
                                    <w:widowControl w:val="0"/>
                                    <w:rPr>
                                      <w:sz w:val="10"/>
                                      <w:szCs w:val="10"/>
                                    </w:rPr>
                                  </w:pPr>
                                </w:p>
                              </w:tc>
                              <w:tc>
                                <w:tcPr>
                                  <w:gridSpan w:val="2"/>
                                  <w:tcBorders>
                                    <w:top w:val="single" w:sz="4"/>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center"/>
                                    <w:rPr>
                                      <w:sz w:val="38"/>
                                      <w:szCs w:val="38"/>
                                    </w:rPr>
                                  </w:pPr>
                                  <w:r>
                                    <w:rPr>
                                      <w:rFonts w:ascii="Arial" w:eastAsia="Arial" w:hAnsi="Arial" w:cs="Arial"/>
                                      <w:i/>
                                      <w:iCs/>
                                      <w:color w:val="205B9D"/>
                                      <w:spacing w:val="0"/>
                                      <w:w w:val="100"/>
                                      <w:position w:val="0"/>
                                      <w:sz w:val="40"/>
                                      <w:szCs w:val="40"/>
                                    </w:rPr>
                                    <w:t>9</w:t>
                                  </w:r>
                                  <w:r>
                                    <w:rPr>
                                      <w:rFonts w:ascii="SimHei" w:eastAsia="SimHei" w:hAnsi="SimHei" w:cs="SimHei"/>
                                      <w:color w:val="205B9D"/>
                                      <w:spacing w:val="0"/>
                                      <w:w w:val="100"/>
                                      <w:position w:val="0"/>
                                      <w:sz w:val="38"/>
                                      <w:szCs w:val="38"/>
                                    </w:rPr>
                                    <w:t>必</w:t>
                                  </w:r>
                                </w:p>
                              </w:tc>
                            </w:tr>
                            <w:tr>
                              <w:trPr>
                                <w:trHeight w:val="25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707B83"/>
                                      <w:spacing w:val="0"/>
                                      <w:w w:val="100"/>
                                      <w:position w:val="0"/>
                                      <w:sz w:val="9"/>
                                      <w:szCs w:val="9"/>
                                    </w:rPr>
                                    <w:t>•</w:t>
                                  </w:r>
                                  <w:r>
                                    <w:rPr>
                                      <w:rFonts w:ascii="SimHei" w:eastAsia="SimHei" w:hAnsi="SimHei" w:cs="SimHei"/>
                                      <w:color w:val="707B83"/>
                                      <w:spacing w:val="0"/>
                                      <w:w w:val="100"/>
                                      <w:position w:val="0"/>
                                      <w:sz w:val="11"/>
                                      <w:szCs w:val="11"/>
                                    </w:rPr>
                                    <w:t>预维^</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07B83"/>
                                      <w:spacing w:val="0"/>
                                      <w:w w:val="100"/>
                                      <w:position w:val="0"/>
                                      <w:sz w:val="11"/>
                                      <w:szCs w:val="11"/>
                                    </w:rPr>
                                    <w:t>医蛔勺</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B707B"/>
                                      <w:spacing w:val="0"/>
                                      <w:w w:val="100"/>
                                      <w:position w:val="0"/>
                                      <w:sz w:val="11"/>
                                      <w:szCs w:val="11"/>
                                    </w:rPr>
                                    <w:t>麟咨询:</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140" w:firstLine="0"/>
                                    <w:jc w:val="right"/>
                                    <w:rPr>
                                      <w:sz w:val="11"/>
                                      <w:szCs w:val="11"/>
                                    </w:rPr>
                                  </w:pPr>
                                  <w:r>
                                    <w:rPr>
                                      <w:b/>
                                      <w:bCs/>
                                      <w:color w:val="4C7D9F"/>
                                      <w:spacing w:val="0"/>
                                      <w:w w:val="100"/>
                                      <w:position w:val="0"/>
                                      <w:sz w:val="18"/>
                                      <w:szCs w:val="18"/>
                                    </w:rPr>
                                    <w:t>:</w:t>
                                  </w:r>
                                  <w:r>
                                    <w:rPr>
                                      <w:b/>
                                      <w:bCs/>
                                      <w:color w:val="707B83"/>
                                      <w:spacing w:val="0"/>
                                      <w:w w:val="100"/>
                                      <w:position w:val="0"/>
                                      <w:sz w:val="18"/>
                                      <w:szCs w:val="18"/>
                                    </w:rPr>
                                    <w:t>AW</w:t>
                                  </w:r>
                                  <w:r>
                                    <w:rPr>
                                      <w:rFonts w:ascii="SimHei" w:eastAsia="SimHei" w:hAnsi="SimHei" w:cs="SimHei"/>
                                      <w:color w:val="707B83"/>
                                      <w:spacing w:val="0"/>
                                      <w:w w:val="100"/>
                                      <w:position w:val="0"/>
                                      <w:sz w:val="11"/>
                                      <w:szCs w:val="11"/>
                                    </w:rPr>
                                    <w:t>蒯</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center"/>
                                  </w:pPr>
                                  <w:r>
                                    <w:rPr>
                                      <w:color w:val="707B83"/>
                                      <w:spacing w:val="0"/>
                                      <w:w w:val="100"/>
                                      <w:position w:val="0"/>
                                    </w:rPr>
                                    <w:t>柚略</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180" w:firstLine="0"/>
                                    <w:jc w:val="right"/>
                                    <w:rPr>
                                      <w:sz w:val="11"/>
                                      <w:szCs w:val="11"/>
                                    </w:rPr>
                                  </w:pPr>
                                  <w:r>
                                    <w:rPr>
                                      <w:rFonts w:ascii="SimHei" w:eastAsia="SimHei" w:hAnsi="SimHei" w:cs="SimHei"/>
                                      <w:color w:val="707B83"/>
                                      <w:spacing w:val="0"/>
                                      <w:w w:val="100"/>
                                      <w:position w:val="0"/>
                                      <w:sz w:val="11"/>
                                      <w:szCs w:val="11"/>
                                    </w:rPr>
                                    <w:t>磴^寸</w:t>
                                  </w:r>
                                </w:p>
                              </w:tc>
                              <w:tc>
                                <w:tcPr>
                                  <w:tcBorders>
                                    <w:left w:val="single" w:sz="4"/>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SimHei" w:eastAsia="SimHei" w:hAnsi="SimHei" w:cs="SimHei"/>
                                      <w:color w:val="707B83"/>
                                      <w:spacing w:val="0"/>
                                      <w:w w:val="100"/>
                                      <w:position w:val="0"/>
                                      <w:sz w:val="11"/>
                                      <w:szCs w:val="11"/>
                                    </w:rPr>
                                    <w:t>:</w:t>
                                  </w:r>
                                  <w:r>
                                    <w:rPr>
                                      <w:rFonts w:ascii="SimHei" w:eastAsia="SimHei" w:hAnsi="SimHei" w:cs="SimHei"/>
                                      <w:color w:val="5B707B"/>
                                      <w:spacing w:val="0"/>
                                      <w:w w:val="100"/>
                                      <w:position w:val="0"/>
                                      <w:sz w:val="11"/>
                                      <w:szCs w:val="11"/>
                                    </w:rPr>
                                    <w:t>差</w:t>
                                  </w:r>
                                </w:p>
                              </w:tc>
                              <w:tc>
                                <w:tcPr>
                                  <w:tcBorders/>
                                  <w:shd w:val="clear" w:color="auto" w:fill="DFEEF4"/>
                                  <w:vAlign w:val="top"/>
                                </w:tcPr>
                                <w:p>
                                  <w:pPr>
                                    <w:widowControl w:val="0"/>
                                    <w:rPr>
                                      <w:sz w:val="10"/>
                                      <w:szCs w:val="10"/>
                                    </w:rPr>
                                  </w:pP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SimHei" w:eastAsia="SimHei" w:hAnsi="SimHei" w:cs="SimHei"/>
                                      <w:color w:val="707B83"/>
                                      <w:spacing w:val="0"/>
                                      <w:w w:val="100"/>
                                      <w:position w:val="0"/>
                                      <w:sz w:val="11"/>
                                      <w:szCs w:val="11"/>
                                    </w:rPr>
                                    <w:t>蹄咨询:</w:t>
                                  </w:r>
                                </w:p>
                              </w:tc>
                            </w:tr>
                            <w:tr>
                              <w:trPr>
                                <w:trHeight w:val="446" w:hRule="exact"/>
                              </w:trPr>
                              <w:tc>
                                <w:tcPr>
                                  <w:tcBorders/>
                                  <w:shd w:val="clear" w:color="auto" w:fill="FFFFFF"/>
                                  <w:vAlign w:val="top"/>
                                </w:tcPr>
                                <w:p>
                                  <w:pPr>
                                    <w:widowControl w:val="0"/>
                                    <w:rPr>
                                      <w:sz w:val="10"/>
                                      <w:szCs w:val="10"/>
                                    </w:rPr>
                                  </w:pPr>
                                </w:p>
                              </w:tc>
                              <w:tc>
                                <w:tcPr>
                                  <w:tcBorders/>
                                  <w:shd w:val="clear" w:color="auto" w:fill="DFEEF4"/>
                                  <w:vAlign w:val="top"/>
                                </w:tcPr>
                                <w:p>
                                  <w:pPr>
                                    <w:widowControl w:val="0"/>
                                    <w:rPr>
                                      <w:sz w:val="10"/>
                                      <w:szCs w:val="10"/>
                                    </w:rPr>
                                  </w:pP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center"/>
                                    <w:rPr>
                                      <w:sz w:val="26"/>
                                      <w:szCs w:val="26"/>
                                    </w:rPr>
                                  </w:pPr>
                                  <w:r>
                                    <w:rPr>
                                      <w:color w:val="205B9D"/>
                                      <w:spacing w:val="0"/>
                                      <w:w w:val="100"/>
                                      <w:position w:val="0"/>
                                      <w:sz w:val="26"/>
                                      <w:szCs w:val="26"/>
                                      <w:u w:val="single"/>
                                    </w:rPr>
                                    <w:t>回</w:t>
                                  </w:r>
                                  <w:r>
                                    <w:rPr>
                                      <w:color w:val="5B707B"/>
                                      <w:spacing w:val="0"/>
                                      <w:w w:val="100"/>
                                      <w:position w:val="0"/>
                                      <w:sz w:val="26"/>
                                      <w:szCs w:val="26"/>
                                    </w:rPr>
                                    <w:t>:</w:t>
                                  </w:r>
                                </w:p>
                              </w:tc>
                              <w:tc>
                                <w:tcPr>
                                  <w:tcBorders/>
                                  <w:shd w:val="clear" w:color="auto" w:fill="DFEEF4"/>
                                  <w:vAlign w:val="bottom"/>
                                </w:tcPr>
                                <w:p>
                                  <w:pPr>
                                    <w:pStyle w:val="Style2"/>
                                    <w:keepNext w:val="0"/>
                                    <w:keepLines w:val="0"/>
                                    <w:widowControl w:val="0"/>
                                    <w:shd w:val="clear" w:color="auto" w:fill="auto"/>
                                    <w:bidi w:val="0"/>
                                    <w:spacing w:before="0" w:after="0" w:line="218" w:lineRule="auto"/>
                                    <w:ind w:left="0" w:right="0"/>
                                    <w:jc w:val="left"/>
                                  </w:pPr>
                                  <w:r>
                                    <w:rPr>
                                      <w:rFonts w:ascii="Arial" w:eastAsia="Arial" w:hAnsi="Arial" w:cs="Arial"/>
                                      <w:b/>
                                      <w:bCs/>
                                      <w:color w:val="205B9D"/>
                                      <w:spacing w:val="0"/>
                                      <w:w w:val="100"/>
                                      <w:position w:val="0"/>
                                    </w:rPr>
                                    <w:t xml:space="preserve">JL </w:t>
                                  </w:r>
                                  <w:r>
                                    <w:rPr>
                                      <w:rFonts w:ascii="Arial" w:eastAsia="Arial" w:hAnsi="Arial" w:cs="Arial"/>
                                      <w:b/>
                                      <w:bCs/>
                                      <w:color w:val="4C7D9F"/>
                                      <w:spacing w:val="0"/>
                                      <w:w w:val="100"/>
                                      <w:position w:val="0"/>
                                    </w:rPr>
                                    <w:t>:</w:t>
                                  </w:r>
                                  <w:r>
                                    <w:rPr>
                                      <w:rFonts w:ascii="Arial" w:eastAsia="Arial" w:hAnsi="Arial" w:cs="Arial"/>
                                      <w:b/>
                                      <w:bCs/>
                                      <w:color w:val="205B9D"/>
                                      <w:spacing w:val="0"/>
                                      <w:w w:val="100"/>
                                      <w:position w:val="0"/>
                                    </w:rPr>
                                    <w:t>V</w:t>
                                  </w:r>
                                </w:p>
                              </w:tc>
                              <w:tc>
                                <w:tcPr>
                                  <w:tcBorders/>
                                  <w:shd w:val="clear" w:color="auto" w:fill="DFEEF4"/>
                                  <w:vAlign w:val="top"/>
                                </w:tcPr>
                                <w:p>
                                  <w:pPr>
                                    <w:widowControl w:val="0"/>
                                    <w:rPr>
                                      <w:sz w:val="10"/>
                                      <w:szCs w:val="10"/>
                                    </w:rPr>
                                  </w:pP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color w:val="205B9D"/>
                                      <w:spacing w:val="0"/>
                                      <w:w w:val="100"/>
                                      <w:position w:val="0"/>
                                      <w:sz w:val="38"/>
                                      <w:szCs w:val="38"/>
                                    </w:rPr>
                                    <w:t>Ik</w:t>
                                  </w:r>
                                </w:p>
                              </w:tc>
                              <w:tc>
                                <w:tcPr>
                                  <w:tcBorders>
                                    <w:left w:val="single" w:sz="4"/>
                                  </w:tcBorders>
                                  <w:shd w:val="clear" w:color="auto" w:fill="DFEEF4"/>
                                  <w:vAlign w:val="top"/>
                                </w:tcPr>
                                <w:p>
                                  <w:pPr>
                                    <w:widowControl w:val="0"/>
                                    <w:rPr>
                                      <w:sz w:val="10"/>
                                      <w:szCs w:val="10"/>
                                    </w:rPr>
                                  </w:pP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center"/>
                                    <w:rPr>
                                      <w:sz w:val="34"/>
                                      <w:szCs w:val="34"/>
                                    </w:rPr>
                                  </w:pPr>
                                  <w:r>
                                    <w:rPr>
                                      <w:rFonts w:ascii="Arial" w:eastAsia="Arial" w:hAnsi="Arial" w:cs="Arial"/>
                                      <w:b/>
                                      <w:bCs/>
                                      <w:color w:val="205B9D"/>
                                      <w:spacing w:val="0"/>
                                      <w:w w:val="100"/>
                                      <w:position w:val="0"/>
                                      <w:sz w:val="34"/>
                                      <w:szCs w:val="34"/>
                                    </w:rPr>
                                    <w:t>U</w:t>
                                  </w:r>
                                </w:p>
                              </w:tc>
                              <w:tc>
                                <w:tcPr>
                                  <w:tcBorders/>
                                  <w:shd w:val="clear" w:color="auto" w:fill="DFEEF4"/>
                                  <w:vAlign w:val="top"/>
                                </w:tcPr>
                                <w:p>
                                  <w:pPr>
                                    <w:widowControl w:val="0"/>
                                    <w:rPr>
                                      <w:sz w:val="10"/>
                                      <w:szCs w:val="10"/>
                                    </w:rPr>
                                  </w:pPr>
                                </w:p>
                              </w:tc>
                            </w:tr>
                            <w:tr>
                              <w:trPr>
                                <w:trHeight w:val="418"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707B83"/>
                                      <w:spacing w:val="0"/>
                                      <w:w w:val="100"/>
                                      <w:position w:val="0"/>
                                      <w:sz w:val="11"/>
                                      <w:szCs w:val="11"/>
                                    </w:rPr>
                                    <w:t>:智岬</w:t>
                                  </w:r>
                                  <w:r>
                                    <w:rPr>
                                      <w:rFonts w:ascii="Times New Roman" w:eastAsia="Times New Roman" w:hAnsi="Times New Roman" w:cs="Times New Roman"/>
                                      <w:color w:val="707B83"/>
                                      <w:spacing w:val="0"/>
                                      <w:w w:val="100"/>
                                      <w:position w:val="0"/>
                                    </w:rPr>
                                    <w:t>t</w:t>
                                  </w:r>
                                </w:p>
                              </w:tc>
                              <w:tc>
                                <w:tcPr>
                                  <w:tcBorders>
                                    <w:bottom w:val="single" w:sz="4"/>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07B83"/>
                                      <w:spacing w:val="0"/>
                                      <w:w w:val="100"/>
                                      <w:position w:val="0"/>
                                      <w:sz w:val="11"/>
                                      <w:szCs w:val="11"/>
                                    </w:rPr>
                                    <w:t>停车预</w:t>
                                  </w:r>
                                </w:p>
                              </w:tc>
                              <w:tc>
                                <w:tcPr>
                                  <w:tcBorders>
                                    <w:bottom w:val="single" w:sz="4"/>
                                  </w:tcBorders>
                                  <w:shd w:val="clear" w:color="auto" w:fill="DFEEF4"/>
                                  <w:vAlign w:val="top"/>
                                </w:tcPr>
                                <w:p>
                                  <w:pPr>
                                    <w:widowControl w:val="0"/>
                                    <w:rPr>
                                      <w:sz w:val="10"/>
                                      <w:szCs w:val="10"/>
                                    </w:rPr>
                                  </w:pPr>
                                </w:p>
                              </w:tc>
                              <w:tc>
                                <w:tcPr>
                                  <w:tcBorders>
                                    <w:bottom w:val="single" w:sz="4"/>
                                  </w:tcBorders>
                                  <w:shd w:val="clear" w:color="auto" w:fill="DFEEF4"/>
                                  <w:vAlign w:val="top"/>
                                </w:tcPr>
                                <w:p>
                                  <w:pPr>
                                    <w:pStyle w:val="Style2"/>
                                    <w:keepNext w:val="0"/>
                                    <w:keepLines w:val="0"/>
                                    <w:widowControl w:val="0"/>
                                    <w:shd w:val="clear" w:color="auto" w:fill="auto"/>
                                    <w:bidi w:val="0"/>
                                    <w:spacing w:before="80" w:after="0" w:line="240" w:lineRule="auto"/>
                                    <w:ind w:left="0" w:right="140" w:firstLine="0"/>
                                    <w:jc w:val="right"/>
                                    <w:rPr>
                                      <w:sz w:val="11"/>
                                      <w:szCs w:val="11"/>
                                    </w:rPr>
                                  </w:pPr>
                                  <w:r>
                                    <w:rPr>
                                      <w:rFonts w:ascii="SimHei" w:eastAsia="SimHei" w:hAnsi="SimHei" w:cs="SimHei"/>
                                      <w:color w:val="707B83"/>
                                      <w:spacing w:val="0"/>
                                      <w:w w:val="100"/>
                                      <w:position w:val="0"/>
                                      <w:sz w:val="11"/>
                                      <w:szCs w:val="11"/>
                                    </w:rPr>
                                    <w:t>:智能导医</w:t>
                                  </w:r>
                                </w:p>
                              </w:tc>
                              <w:tc>
                                <w:tcPr>
                                  <w:tcBorders>
                                    <w:bottom w:val="single" w:sz="4"/>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right"/>
                                  </w:pPr>
                                  <w:r>
                                    <w:rPr>
                                      <w:color w:val="707B83"/>
                                      <w:spacing w:val="0"/>
                                      <w:w w:val="100"/>
                                      <w:position w:val="0"/>
                                    </w:rPr>
                                    <w:t>联合僻</w:t>
                                  </w:r>
                                </w:p>
                              </w:tc>
                              <w:tc>
                                <w:tcPr>
                                  <w:tcBorders>
                                    <w:bottom w:val="single" w:sz="4"/>
                                  </w:tcBorders>
                                  <w:shd w:val="clear" w:color="auto" w:fill="DFEEF4"/>
                                  <w:vAlign w:val="top"/>
                                </w:tcPr>
                                <w:p>
                                  <w:pPr>
                                    <w:pStyle w:val="Style2"/>
                                    <w:keepNext w:val="0"/>
                                    <w:keepLines w:val="0"/>
                                    <w:widowControl w:val="0"/>
                                    <w:shd w:val="clear" w:color="auto" w:fill="auto"/>
                                    <w:bidi w:val="0"/>
                                    <w:spacing w:before="80" w:after="0" w:line="240" w:lineRule="auto"/>
                                    <w:ind w:left="0" w:right="180" w:firstLine="0"/>
                                    <w:jc w:val="right"/>
                                    <w:rPr>
                                      <w:sz w:val="11"/>
                                      <w:szCs w:val="11"/>
                                    </w:rPr>
                                  </w:pPr>
                                  <w:r>
                                    <w:rPr>
                                      <w:rFonts w:ascii="SimHei" w:eastAsia="SimHei" w:hAnsi="SimHei" w:cs="SimHei"/>
                                      <w:color w:val="707B83"/>
                                      <w:spacing w:val="0"/>
                                      <w:w w:val="100"/>
                                      <w:position w:val="0"/>
                                      <w:sz w:val="11"/>
                                      <w:szCs w:val="11"/>
                                    </w:rPr>
                                    <w:t>告</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1"/>
                                      <w:szCs w:val="11"/>
                                    </w:rPr>
                                  </w:pPr>
                                  <w:r>
                                    <w:rPr>
                                      <w:rFonts w:ascii="SimHei" w:eastAsia="SimHei" w:hAnsi="SimHei" w:cs="SimHei"/>
                                      <w:color w:val="5B707B"/>
                                      <w:spacing w:val="0"/>
                                      <w:w w:val="100"/>
                                      <w:position w:val="0"/>
                                      <w:sz w:val="11"/>
                                      <w:szCs w:val="11"/>
                                    </w:rPr>
                                    <w:t>:崩</w:t>
                                  </w:r>
                                </w:p>
                              </w:tc>
                              <w:tc>
                                <w:tcPr>
                                  <w:tcBorders>
                                    <w:bottom w:val="single" w:sz="4"/>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707B83"/>
                                      <w:spacing w:val="0"/>
                                      <w:w w:val="100"/>
                                      <w:position w:val="0"/>
                                      <w:sz w:val="22"/>
                                      <w:szCs w:val="22"/>
                                    </w:rPr>
                                    <w:t>mm</w:t>
                                  </w:r>
                                </w:p>
                              </w:tc>
                              <w:tc>
                                <w:tcPr>
                                  <w:tcBorders>
                                    <w:bottom w:val="single" w:sz="4"/>
                                  </w:tcBorders>
                                  <w:shd w:val="clear" w:color="auto" w:fill="DFEEF4"/>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109.90000000000001pt;margin-top:22.550000000000001pt;width:358.55000000000001pt;height:83.5pt;z-index:-125829356;mso-wrap-distance-left:0;mso-wrap-distance-top:22.550000000000001pt;mso-wrap-distance-right:0;mso-wrap-distance-bottom:102.35000000000001pt;mso-position-horizontal-relative:page" filled="f" stroked="f">
                <v:textbox inset="0,0,0,0">
                  <w:txbxContent>
                    <w:tbl>
                      <w:tblPr>
                        <w:tblOverlap w:val="never"/>
                        <w:jc w:val="left"/>
                        <w:tblLayout w:type="fixed"/>
                      </w:tblPr>
                      <w:tblGrid>
                        <w:gridCol w:w="1334"/>
                        <w:gridCol w:w="552"/>
                        <w:gridCol w:w="802"/>
                        <w:gridCol w:w="893"/>
                        <w:gridCol w:w="605"/>
                        <w:gridCol w:w="696"/>
                        <w:gridCol w:w="1070"/>
                        <w:gridCol w:w="581"/>
                        <w:gridCol w:w="638"/>
                      </w:tblGrid>
                      <w:tr>
                        <w:trPr>
                          <w:tblHeader/>
                          <w:trHeight w:val="54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left"/>
                              <w:rPr>
                                <w:sz w:val="38"/>
                                <w:szCs w:val="38"/>
                              </w:rPr>
                            </w:pPr>
                            <w:r>
                              <w:rPr>
                                <w:rFonts w:ascii="SimHei" w:eastAsia="SimHei" w:hAnsi="SimHei" w:cs="SimHei"/>
                                <w:color w:val="205B9D"/>
                                <w:spacing w:val="0"/>
                                <w:w w:val="100"/>
                                <w:position w:val="0"/>
                                <w:sz w:val="38"/>
                                <w:szCs w:val="38"/>
                              </w:rPr>
                              <w:t>也</w:t>
                            </w:r>
                          </w:p>
                        </w:tc>
                        <w:tc>
                          <w:tcPr>
                            <w:tcBorders>
                              <w:top w:val="single" w:sz="4"/>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left"/>
                              <w:rPr>
                                <w:sz w:val="54"/>
                                <w:szCs w:val="54"/>
                              </w:rPr>
                            </w:pPr>
                            <w:r>
                              <w:rPr>
                                <w:rFonts w:ascii="Arial" w:eastAsia="Arial" w:hAnsi="Arial" w:cs="Arial"/>
                                <w:color w:val="205B9D"/>
                                <w:spacing w:val="0"/>
                                <w:w w:val="100"/>
                                <w:position w:val="0"/>
                                <w:sz w:val="54"/>
                                <w:szCs w:val="54"/>
                              </w:rPr>
                              <w:t>£</w:t>
                            </w: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both"/>
                              <w:rPr>
                                <w:sz w:val="64"/>
                                <w:szCs w:val="64"/>
                              </w:rPr>
                            </w:pPr>
                            <w:r>
                              <w:rPr>
                                <w:rFonts w:ascii="SimHei" w:eastAsia="SimHei" w:hAnsi="SimHei" w:cs="SimHei"/>
                                <w:color w:val="205B9D"/>
                                <w:spacing w:val="0"/>
                                <w:w w:val="100"/>
                                <w:position w:val="0"/>
                                <w:sz w:val="64"/>
                                <w:szCs w:val="64"/>
                              </w:rPr>
                              <w:t>:%</w:t>
                            </w:r>
                          </w:p>
                        </w:tc>
                        <w:tc>
                          <w:tcPr>
                            <w:tcBorders>
                              <w:top w:val="single" w:sz="4"/>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Arial" w:eastAsia="Arial" w:hAnsi="Arial" w:cs="Arial"/>
                                <w:color w:val="205B9D"/>
                                <w:spacing w:val="0"/>
                                <w:w w:val="100"/>
                                <w:position w:val="0"/>
                                <w:sz w:val="36"/>
                                <w:szCs w:val="36"/>
                              </w:rPr>
                              <w:t>IS</w:t>
                            </w:r>
                          </w:p>
                        </w:tc>
                        <w:tc>
                          <w:tcPr>
                            <w:tcBorders>
                              <w:top w:val="single" w:sz="4"/>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color w:val="205B9D"/>
                                <w:spacing w:val="0"/>
                                <w:w w:val="100"/>
                                <w:position w:val="0"/>
                                <w:sz w:val="40"/>
                                <w:szCs w:val="40"/>
                              </w:rPr>
                              <w:t>0</w:t>
                            </w:r>
                          </w:p>
                        </w:tc>
                        <w:tc>
                          <w:tcPr>
                            <w:tcBorders>
                              <w:top w:val="single" w:sz="4"/>
                              <w:left w:val="single" w:sz="4"/>
                            </w:tcBorders>
                            <w:shd w:val="clear" w:color="auto" w:fill="DFEEF4"/>
                            <w:vAlign w:val="top"/>
                          </w:tcPr>
                          <w:p>
                            <w:pPr>
                              <w:widowControl w:val="0"/>
                              <w:rPr>
                                <w:sz w:val="10"/>
                                <w:szCs w:val="10"/>
                              </w:rPr>
                            </w:pPr>
                          </w:p>
                        </w:tc>
                        <w:tc>
                          <w:tcPr>
                            <w:gridSpan w:val="2"/>
                            <w:tcBorders>
                              <w:top w:val="single" w:sz="4"/>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center"/>
                              <w:rPr>
                                <w:sz w:val="38"/>
                                <w:szCs w:val="38"/>
                              </w:rPr>
                            </w:pPr>
                            <w:r>
                              <w:rPr>
                                <w:rFonts w:ascii="Arial" w:eastAsia="Arial" w:hAnsi="Arial" w:cs="Arial"/>
                                <w:i/>
                                <w:iCs/>
                                <w:color w:val="205B9D"/>
                                <w:spacing w:val="0"/>
                                <w:w w:val="100"/>
                                <w:position w:val="0"/>
                                <w:sz w:val="40"/>
                                <w:szCs w:val="40"/>
                              </w:rPr>
                              <w:t>9</w:t>
                            </w:r>
                            <w:r>
                              <w:rPr>
                                <w:rFonts w:ascii="SimHei" w:eastAsia="SimHei" w:hAnsi="SimHei" w:cs="SimHei"/>
                                <w:color w:val="205B9D"/>
                                <w:spacing w:val="0"/>
                                <w:w w:val="100"/>
                                <w:position w:val="0"/>
                                <w:sz w:val="38"/>
                                <w:szCs w:val="38"/>
                              </w:rPr>
                              <w:t>必</w:t>
                            </w:r>
                          </w:p>
                        </w:tc>
                      </w:tr>
                      <w:tr>
                        <w:trPr>
                          <w:trHeight w:val="25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Arial" w:eastAsia="Arial" w:hAnsi="Arial" w:cs="Arial"/>
                                <w:color w:val="707B83"/>
                                <w:spacing w:val="0"/>
                                <w:w w:val="100"/>
                                <w:position w:val="0"/>
                                <w:sz w:val="9"/>
                                <w:szCs w:val="9"/>
                              </w:rPr>
                              <w:t>•</w:t>
                            </w:r>
                            <w:r>
                              <w:rPr>
                                <w:rFonts w:ascii="SimHei" w:eastAsia="SimHei" w:hAnsi="SimHei" w:cs="SimHei"/>
                                <w:color w:val="707B83"/>
                                <w:spacing w:val="0"/>
                                <w:w w:val="100"/>
                                <w:position w:val="0"/>
                                <w:sz w:val="11"/>
                                <w:szCs w:val="11"/>
                              </w:rPr>
                              <w:t>预维^</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07B83"/>
                                <w:spacing w:val="0"/>
                                <w:w w:val="100"/>
                                <w:position w:val="0"/>
                                <w:sz w:val="11"/>
                                <w:szCs w:val="11"/>
                              </w:rPr>
                              <w:t>医蛔勺</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5B707B"/>
                                <w:spacing w:val="0"/>
                                <w:w w:val="100"/>
                                <w:position w:val="0"/>
                                <w:sz w:val="11"/>
                                <w:szCs w:val="11"/>
                              </w:rPr>
                              <w:t>麟咨询:</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140" w:firstLine="0"/>
                              <w:jc w:val="right"/>
                              <w:rPr>
                                <w:sz w:val="11"/>
                                <w:szCs w:val="11"/>
                              </w:rPr>
                            </w:pPr>
                            <w:r>
                              <w:rPr>
                                <w:b/>
                                <w:bCs/>
                                <w:color w:val="4C7D9F"/>
                                <w:spacing w:val="0"/>
                                <w:w w:val="100"/>
                                <w:position w:val="0"/>
                                <w:sz w:val="18"/>
                                <w:szCs w:val="18"/>
                              </w:rPr>
                              <w:t>:</w:t>
                            </w:r>
                            <w:r>
                              <w:rPr>
                                <w:b/>
                                <w:bCs/>
                                <w:color w:val="707B83"/>
                                <w:spacing w:val="0"/>
                                <w:w w:val="100"/>
                                <w:position w:val="0"/>
                                <w:sz w:val="18"/>
                                <w:szCs w:val="18"/>
                              </w:rPr>
                              <w:t>AW</w:t>
                            </w:r>
                            <w:r>
                              <w:rPr>
                                <w:rFonts w:ascii="SimHei" w:eastAsia="SimHei" w:hAnsi="SimHei" w:cs="SimHei"/>
                                <w:color w:val="707B83"/>
                                <w:spacing w:val="0"/>
                                <w:w w:val="100"/>
                                <w:position w:val="0"/>
                                <w:sz w:val="11"/>
                                <w:szCs w:val="11"/>
                              </w:rPr>
                              <w:t>蒯</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center"/>
                            </w:pPr>
                            <w:r>
                              <w:rPr>
                                <w:color w:val="707B83"/>
                                <w:spacing w:val="0"/>
                                <w:w w:val="100"/>
                                <w:position w:val="0"/>
                              </w:rPr>
                              <w:t>柚略</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180" w:firstLine="0"/>
                              <w:jc w:val="right"/>
                              <w:rPr>
                                <w:sz w:val="11"/>
                                <w:szCs w:val="11"/>
                              </w:rPr>
                            </w:pPr>
                            <w:r>
                              <w:rPr>
                                <w:rFonts w:ascii="SimHei" w:eastAsia="SimHei" w:hAnsi="SimHei" w:cs="SimHei"/>
                                <w:color w:val="707B83"/>
                                <w:spacing w:val="0"/>
                                <w:w w:val="100"/>
                                <w:position w:val="0"/>
                                <w:sz w:val="11"/>
                                <w:szCs w:val="11"/>
                              </w:rPr>
                              <w:t>磴^寸</w:t>
                            </w:r>
                          </w:p>
                        </w:tc>
                        <w:tc>
                          <w:tcPr>
                            <w:tcBorders>
                              <w:left w:val="single" w:sz="4"/>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SimHei" w:eastAsia="SimHei" w:hAnsi="SimHei" w:cs="SimHei"/>
                                <w:color w:val="707B83"/>
                                <w:spacing w:val="0"/>
                                <w:w w:val="100"/>
                                <w:position w:val="0"/>
                                <w:sz w:val="11"/>
                                <w:szCs w:val="11"/>
                              </w:rPr>
                              <w:t>:</w:t>
                            </w:r>
                            <w:r>
                              <w:rPr>
                                <w:rFonts w:ascii="SimHei" w:eastAsia="SimHei" w:hAnsi="SimHei" w:cs="SimHei"/>
                                <w:color w:val="5B707B"/>
                                <w:spacing w:val="0"/>
                                <w:w w:val="100"/>
                                <w:position w:val="0"/>
                                <w:sz w:val="11"/>
                                <w:szCs w:val="11"/>
                              </w:rPr>
                              <w:t>差</w:t>
                            </w:r>
                          </w:p>
                        </w:tc>
                        <w:tc>
                          <w:tcPr>
                            <w:tcBorders/>
                            <w:shd w:val="clear" w:color="auto" w:fill="DFEEF4"/>
                            <w:vAlign w:val="top"/>
                          </w:tcPr>
                          <w:p>
                            <w:pPr>
                              <w:widowControl w:val="0"/>
                              <w:rPr>
                                <w:sz w:val="10"/>
                                <w:szCs w:val="10"/>
                              </w:rPr>
                            </w:pP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right"/>
                              <w:rPr>
                                <w:sz w:val="11"/>
                                <w:szCs w:val="11"/>
                              </w:rPr>
                            </w:pPr>
                            <w:r>
                              <w:rPr>
                                <w:rFonts w:ascii="SimHei" w:eastAsia="SimHei" w:hAnsi="SimHei" w:cs="SimHei"/>
                                <w:color w:val="707B83"/>
                                <w:spacing w:val="0"/>
                                <w:w w:val="100"/>
                                <w:position w:val="0"/>
                                <w:sz w:val="11"/>
                                <w:szCs w:val="11"/>
                              </w:rPr>
                              <w:t>蹄咨询:</w:t>
                            </w:r>
                          </w:p>
                        </w:tc>
                      </w:tr>
                      <w:tr>
                        <w:trPr>
                          <w:trHeight w:val="446" w:hRule="exact"/>
                        </w:trPr>
                        <w:tc>
                          <w:tcPr>
                            <w:tcBorders/>
                            <w:shd w:val="clear" w:color="auto" w:fill="FFFFFF"/>
                            <w:vAlign w:val="top"/>
                          </w:tcPr>
                          <w:p>
                            <w:pPr>
                              <w:widowControl w:val="0"/>
                              <w:rPr>
                                <w:sz w:val="10"/>
                                <w:szCs w:val="10"/>
                              </w:rPr>
                            </w:pPr>
                          </w:p>
                        </w:tc>
                        <w:tc>
                          <w:tcPr>
                            <w:tcBorders/>
                            <w:shd w:val="clear" w:color="auto" w:fill="DFEEF4"/>
                            <w:vAlign w:val="top"/>
                          </w:tcPr>
                          <w:p>
                            <w:pPr>
                              <w:widowControl w:val="0"/>
                              <w:rPr>
                                <w:sz w:val="10"/>
                                <w:szCs w:val="10"/>
                              </w:rPr>
                            </w:pP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center"/>
                              <w:rPr>
                                <w:sz w:val="26"/>
                                <w:szCs w:val="26"/>
                              </w:rPr>
                            </w:pPr>
                            <w:r>
                              <w:rPr>
                                <w:color w:val="205B9D"/>
                                <w:spacing w:val="0"/>
                                <w:w w:val="100"/>
                                <w:position w:val="0"/>
                                <w:sz w:val="26"/>
                                <w:szCs w:val="26"/>
                                <w:u w:val="single"/>
                              </w:rPr>
                              <w:t>回</w:t>
                            </w:r>
                            <w:r>
                              <w:rPr>
                                <w:color w:val="5B707B"/>
                                <w:spacing w:val="0"/>
                                <w:w w:val="100"/>
                                <w:position w:val="0"/>
                                <w:sz w:val="26"/>
                                <w:szCs w:val="26"/>
                              </w:rPr>
                              <w:t>:</w:t>
                            </w:r>
                          </w:p>
                        </w:tc>
                        <w:tc>
                          <w:tcPr>
                            <w:tcBorders/>
                            <w:shd w:val="clear" w:color="auto" w:fill="DFEEF4"/>
                            <w:vAlign w:val="bottom"/>
                          </w:tcPr>
                          <w:p>
                            <w:pPr>
                              <w:pStyle w:val="Style2"/>
                              <w:keepNext w:val="0"/>
                              <w:keepLines w:val="0"/>
                              <w:widowControl w:val="0"/>
                              <w:shd w:val="clear" w:color="auto" w:fill="auto"/>
                              <w:bidi w:val="0"/>
                              <w:spacing w:before="0" w:after="0" w:line="218" w:lineRule="auto"/>
                              <w:ind w:left="0" w:right="0"/>
                              <w:jc w:val="left"/>
                            </w:pPr>
                            <w:r>
                              <w:rPr>
                                <w:rFonts w:ascii="Arial" w:eastAsia="Arial" w:hAnsi="Arial" w:cs="Arial"/>
                                <w:b/>
                                <w:bCs/>
                                <w:color w:val="205B9D"/>
                                <w:spacing w:val="0"/>
                                <w:w w:val="100"/>
                                <w:position w:val="0"/>
                              </w:rPr>
                              <w:t xml:space="preserve">JL </w:t>
                            </w:r>
                            <w:r>
                              <w:rPr>
                                <w:rFonts w:ascii="Arial" w:eastAsia="Arial" w:hAnsi="Arial" w:cs="Arial"/>
                                <w:b/>
                                <w:bCs/>
                                <w:color w:val="4C7D9F"/>
                                <w:spacing w:val="0"/>
                                <w:w w:val="100"/>
                                <w:position w:val="0"/>
                              </w:rPr>
                              <w:t>:</w:t>
                            </w:r>
                            <w:r>
                              <w:rPr>
                                <w:rFonts w:ascii="Arial" w:eastAsia="Arial" w:hAnsi="Arial" w:cs="Arial"/>
                                <w:b/>
                                <w:bCs/>
                                <w:color w:val="205B9D"/>
                                <w:spacing w:val="0"/>
                                <w:w w:val="100"/>
                                <w:position w:val="0"/>
                              </w:rPr>
                              <w:t>V</w:t>
                            </w:r>
                          </w:p>
                        </w:tc>
                        <w:tc>
                          <w:tcPr>
                            <w:tcBorders/>
                            <w:shd w:val="clear" w:color="auto" w:fill="DFEEF4"/>
                            <w:vAlign w:val="top"/>
                          </w:tcPr>
                          <w:p>
                            <w:pPr>
                              <w:widowControl w:val="0"/>
                              <w:rPr>
                                <w:sz w:val="10"/>
                                <w:szCs w:val="10"/>
                              </w:rPr>
                            </w:pP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color w:val="205B9D"/>
                                <w:spacing w:val="0"/>
                                <w:w w:val="100"/>
                                <w:position w:val="0"/>
                                <w:sz w:val="38"/>
                                <w:szCs w:val="38"/>
                              </w:rPr>
                              <w:t>Ik</w:t>
                            </w:r>
                          </w:p>
                        </w:tc>
                        <w:tc>
                          <w:tcPr>
                            <w:tcBorders>
                              <w:left w:val="single" w:sz="4"/>
                            </w:tcBorders>
                            <w:shd w:val="clear" w:color="auto" w:fill="DFEEF4"/>
                            <w:vAlign w:val="top"/>
                          </w:tcPr>
                          <w:p>
                            <w:pPr>
                              <w:widowControl w:val="0"/>
                              <w:rPr>
                                <w:sz w:val="10"/>
                                <w:szCs w:val="10"/>
                              </w:rPr>
                            </w:pP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center"/>
                              <w:rPr>
                                <w:sz w:val="34"/>
                                <w:szCs w:val="34"/>
                              </w:rPr>
                            </w:pPr>
                            <w:r>
                              <w:rPr>
                                <w:rFonts w:ascii="Arial" w:eastAsia="Arial" w:hAnsi="Arial" w:cs="Arial"/>
                                <w:b/>
                                <w:bCs/>
                                <w:color w:val="205B9D"/>
                                <w:spacing w:val="0"/>
                                <w:w w:val="100"/>
                                <w:position w:val="0"/>
                                <w:sz w:val="34"/>
                                <w:szCs w:val="34"/>
                              </w:rPr>
                              <w:t>U</w:t>
                            </w:r>
                          </w:p>
                        </w:tc>
                        <w:tc>
                          <w:tcPr>
                            <w:tcBorders/>
                            <w:shd w:val="clear" w:color="auto" w:fill="DFEEF4"/>
                            <w:vAlign w:val="top"/>
                          </w:tcPr>
                          <w:p>
                            <w:pPr>
                              <w:widowControl w:val="0"/>
                              <w:rPr>
                                <w:sz w:val="10"/>
                                <w:szCs w:val="10"/>
                              </w:rPr>
                            </w:pPr>
                          </w:p>
                        </w:tc>
                      </w:tr>
                      <w:tr>
                        <w:trPr>
                          <w:trHeight w:val="418"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707B83"/>
                                <w:spacing w:val="0"/>
                                <w:w w:val="100"/>
                                <w:position w:val="0"/>
                                <w:sz w:val="11"/>
                                <w:szCs w:val="11"/>
                              </w:rPr>
                              <w:t>:智岬</w:t>
                            </w:r>
                            <w:r>
                              <w:rPr>
                                <w:rFonts w:ascii="Times New Roman" w:eastAsia="Times New Roman" w:hAnsi="Times New Roman" w:cs="Times New Roman"/>
                                <w:color w:val="707B83"/>
                                <w:spacing w:val="0"/>
                                <w:w w:val="100"/>
                                <w:position w:val="0"/>
                              </w:rPr>
                              <w:t>t</w:t>
                            </w:r>
                          </w:p>
                        </w:tc>
                        <w:tc>
                          <w:tcPr>
                            <w:tcBorders>
                              <w:bottom w:val="single" w:sz="4"/>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07B83"/>
                                <w:spacing w:val="0"/>
                                <w:w w:val="100"/>
                                <w:position w:val="0"/>
                                <w:sz w:val="11"/>
                                <w:szCs w:val="11"/>
                              </w:rPr>
                              <w:t>停车预</w:t>
                            </w:r>
                          </w:p>
                        </w:tc>
                        <w:tc>
                          <w:tcPr>
                            <w:tcBorders>
                              <w:bottom w:val="single" w:sz="4"/>
                            </w:tcBorders>
                            <w:shd w:val="clear" w:color="auto" w:fill="DFEEF4"/>
                            <w:vAlign w:val="top"/>
                          </w:tcPr>
                          <w:p>
                            <w:pPr>
                              <w:widowControl w:val="0"/>
                              <w:rPr>
                                <w:sz w:val="10"/>
                                <w:szCs w:val="10"/>
                              </w:rPr>
                            </w:pPr>
                          </w:p>
                        </w:tc>
                        <w:tc>
                          <w:tcPr>
                            <w:tcBorders>
                              <w:bottom w:val="single" w:sz="4"/>
                            </w:tcBorders>
                            <w:shd w:val="clear" w:color="auto" w:fill="DFEEF4"/>
                            <w:vAlign w:val="top"/>
                          </w:tcPr>
                          <w:p>
                            <w:pPr>
                              <w:pStyle w:val="Style2"/>
                              <w:keepNext w:val="0"/>
                              <w:keepLines w:val="0"/>
                              <w:widowControl w:val="0"/>
                              <w:shd w:val="clear" w:color="auto" w:fill="auto"/>
                              <w:bidi w:val="0"/>
                              <w:spacing w:before="80" w:after="0" w:line="240" w:lineRule="auto"/>
                              <w:ind w:left="0" w:right="140" w:firstLine="0"/>
                              <w:jc w:val="right"/>
                              <w:rPr>
                                <w:sz w:val="11"/>
                                <w:szCs w:val="11"/>
                              </w:rPr>
                            </w:pPr>
                            <w:r>
                              <w:rPr>
                                <w:rFonts w:ascii="SimHei" w:eastAsia="SimHei" w:hAnsi="SimHei" w:cs="SimHei"/>
                                <w:color w:val="707B83"/>
                                <w:spacing w:val="0"/>
                                <w:w w:val="100"/>
                                <w:position w:val="0"/>
                                <w:sz w:val="11"/>
                                <w:szCs w:val="11"/>
                              </w:rPr>
                              <w:t>:智能导医</w:t>
                            </w:r>
                          </w:p>
                        </w:tc>
                        <w:tc>
                          <w:tcPr>
                            <w:tcBorders>
                              <w:bottom w:val="single" w:sz="4"/>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right"/>
                            </w:pPr>
                            <w:r>
                              <w:rPr>
                                <w:color w:val="707B83"/>
                                <w:spacing w:val="0"/>
                                <w:w w:val="100"/>
                                <w:position w:val="0"/>
                              </w:rPr>
                              <w:t>联合僻</w:t>
                            </w:r>
                          </w:p>
                        </w:tc>
                        <w:tc>
                          <w:tcPr>
                            <w:tcBorders>
                              <w:bottom w:val="single" w:sz="4"/>
                            </w:tcBorders>
                            <w:shd w:val="clear" w:color="auto" w:fill="DFEEF4"/>
                            <w:vAlign w:val="top"/>
                          </w:tcPr>
                          <w:p>
                            <w:pPr>
                              <w:pStyle w:val="Style2"/>
                              <w:keepNext w:val="0"/>
                              <w:keepLines w:val="0"/>
                              <w:widowControl w:val="0"/>
                              <w:shd w:val="clear" w:color="auto" w:fill="auto"/>
                              <w:bidi w:val="0"/>
                              <w:spacing w:before="80" w:after="0" w:line="240" w:lineRule="auto"/>
                              <w:ind w:left="0" w:right="180" w:firstLine="0"/>
                              <w:jc w:val="right"/>
                              <w:rPr>
                                <w:sz w:val="11"/>
                                <w:szCs w:val="11"/>
                              </w:rPr>
                            </w:pPr>
                            <w:r>
                              <w:rPr>
                                <w:rFonts w:ascii="SimHei" w:eastAsia="SimHei" w:hAnsi="SimHei" w:cs="SimHei"/>
                                <w:color w:val="707B83"/>
                                <w:spacing w:val="0"/>
                                <w:w w:val="100"/>
                                <w:position w:val="0"/>
                                <w:sz w:val="11"/>
                                <w:szCs w:val="11"/>
                              </w:rPr>
                              <w:t>告</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1"/>
                                <w:szCs w:val="11"/>
                              </w:rPr>
                            </w:pPr>
                            <w:r>
                              <w:rPr>
                                <w:rFonts w:ascii="SimHei" w:eastAsia="SimHei" w:hAnsi="SimHei" w:cs="SimHei"/>
                                <w:color w:val="5B707B"/>
                                <w:spacing w:val="0"/>
                                <w:w w:val="100"/>
                                <w:position w:val="0"/>
                                <w:sz w:val="11"/>
                                <w:szCs w:val="11"/>
                              </w:rPr>
                              <w:t>:崩</w:t>
                            </w:r>
                          </w:p>
                        </w:tc>
                        <w:tc>
                          <w:tcPr>
                            <w:tcBorders>
                              <w:bottom w:val="single" w:sz="4"/>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707B83"/>
                                <w:spacing w:val="0"/>
                                <w:w w:val="100"/>
                                <w:position w:val="0"/>
                                <w:sz w:val="22"/>
                                <w:szCs w:val="22"/>
                              </w:rPr>
                              <w:t>mm</w:t>
                            </w:r>
                          </w:p>
                        </w:tc>
                        <w:tc>
                          <w:tcPr>
                            <w:tcBorders>
                              <w:bottom w:val="single" w:sz="4"/>
                            </w:tcBorders>
                            <w:shd w:val="clear" w:color="auto" w:fill="DFEEF4"/>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612265" distB="138430" distL="0" distR="0" simplePos="0" relativeHeight="125829399" behindDoc="0" locked="0" layoutInCell="1" allowOverlap="1">
                <wp:simplePos x="0" y="0"/>
                <wp:positionH relativeFrom="page">
                  <wp:posOffset>2967990</wp:posOffset>
                </wp:positionH>
                <wp:positionV relativeFrom="paragraph">
                  <wp:posOffset>1612265</wp:posOffset>
                </wp:positionV>
                <wp:extent cx="2980690" cy="895985"/>
                <wp:wrapTopAndBottom/>
                <wp:docPr id="29" name="Shape 29"/>
                <a:graphic xmlns:a="http://schemas.openxmlformats.org/drawingml/2006/main">
                  <a:graphicData uri="http://schemas.microsoft.com/office/word/2010/wordprocessingShape">
                    <wps:wsp>
                      <wps:cNvSpPr txBox="1"/>
                      <wps:spPr>
                        <a:xfrm>
                          <a:ext cx="2980690" cy="895985"/>
                        </a:xfrm>
                        <a:prstGeom prst="rect"/>
                        <a:noFill/>
                      </wps:spPr>
                      <wps:txbx>
                        <w:txbxContent>
                          <w:tbl>
                            <w:tblPr>
                              <w:tblOverlap w:val="never"/>
                              <w:jc w:val="left"/>
                              <w:tblLayout w:type="fixed"/>
                            </w:tblPr>
                            <w:tblGrid>
                              <w:gridCol w:w="1123"/>
                              <w:gridCol w:w="586"/>
                              <w:gridCol w:w="2986"/>
                            </w:tblGrid>
                            <w:tr>
                              <w:trPr>
                                <w:tblHeader/>
                                <w:trHeight w:val="365" w:hRule="exact"/>
                              </w:trPr>
                              <w:tc>
                                <w:tcPr>
                                  <w:tcBorders/>
                                  <w:shd w:val="clear" w:color="auto" w:fill="DFEEF4"/>
                                  <w:vAlign w:val="top"/>
                                </w:tcPr>
                                <w:p>
                                  <w:pPr>
                                    <w:widowControl w:val="0"/>
                                    <w:rPr>
                                      <w:sz w:val="10"/>
                                      <w:szCs w:val="10"/>
                                    </w:rPr>
                                  </w:pPr>
                                </w:p>
                              </w:tc>
                              <w:tc>
                                <w:tcPr>
                                  <w:tcBorders/>
                                  <w:shd w:val="clear" w:color="auto" w:fill="DFEEF4"/>
                                  <w:vAlign w:val="top"/>
                                </w:tcPr>
                                <w:p>
                                  <w:pPr>
                                    <w:widowControl w:val="0"/>
                                    <w:rPr>
                                      <w:sz w:val="10"/>
                                      <w:szCs w:val="10"/>
                                    </w:rPr>
                                  </w:pP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color w:val="205B9D"/>
                                      <w:spacing w:val="0"/>
                                      <w:w w:val="100"/>
                                      <w:position w:val="0"/>
                                      <w:sz w:val="40"/>
                                      <w:szCs w:val="40"/>
                                    </w:rPr>
                                    <w:t xml:space="preserve">&amp; </w:t>
                                  </w:r>
                                  <w:r>
                                    <w:rPr>
                                      <w:rFonts w:ascii="Arial" w:eastAsia="Arial" w:hAnsi="Arial" w:cs="Arial"/>
                                      <w:color w:val="707B83"/>
                                      <w:spacing w:val="0"/>
                                      <w:w w:val="100"/>
                                      <w:position w:val="0"/>
                                      <w:sz w:val="40"/>
                                      <w:szCs w:val="40"/>
                                    </w:rPr>
                                    <w:t xml:space="preserve">i </w:t>
                                  </w:r>
                                  <w:r>
                                    <w:rPr>
                                      <w:rFonts w:ascii="Arial" w:eastAsia="Arial" w:hAnsi="Arial" w:cs="Arial"/>
                                      <w:color w:val="707B83"/>
                                      <w:spacing w:val="0"/>
                                      <w:w w:val="100"/>
                                      <w:position w:val="0"/>
                                      <w:sz w:val="40"/>
                                      <w:szCs w:val="40"/>
                                    </w:rPr>
                                    <w:t xml:space="preserve">? </w:t>
                                  </w:r>
                                  <w:r>
                                    <w:rPr>
                                      <w:rFonts w:ascii="SimHei" w:eastAsia="SimHei" w:hAnsi="SimHei" w:cs="SimHei"/>
                                      <w:color w:val="352B25"/>
                                      <w:spacing w:val="0"/>
                                      <w:w w:val="100"/>
                                      <w:position w:val="0"/>
                                      <w:sz w:val="38"/>
                                      <w:szCs w:val="38"/>
                                    </w:rPr>
                                    <w:t>心</w:t>
                                  </w:r>
                                  <w:r>
                                    <w:rPr>
                                      <w:rFonts w:ascii="SimHei" w:eastAsia="SimHei" w:hAnsi="SimHei" w:cs="SimHei"/>
                                      <w:color w:val="707B83"/>
                                      <w:spacing w:val="0"/>
                                      <w:w w:val="100"/>
                                      <w:position w:val="0"/>
                                      <w:sz w:val="38"/>
                                      <w:szCs w:val="38"/>
                                    </w:rPr>
                                    <w:t>:</w:t>
                                  </w:r>
                                </w:p>
                              </w:tc>
                            </w:tr>
                            <w:tr>
                              <w:trPr>
                                <w:trHeight w:val="389" w:hRule="exact"/>
                              </w:trPr>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07B83"/>
                                      <w:spacing w:val="0"/>
                                      <w:w w:val="100"/>
                                      <w:position w:val="0"/>
                                      <w:sz w:val="11"/>
                                      <w:szCs w:val="11"/>
                                    </w:rPr>
                                    <w:t>；</w:t>
                                  </w:r>
                                  <w:r>
                                    <w:rPr>
                                      <w:rFonts w:ascii="SimHei" w:eastAsia="SimHei" w:hAnsi="SimHei" w:cs="SimHei"/>
                                      <w:color w:val="707B83"/>
                                      <w:spacing w:val="0"/>
                                      <w:w w:val="100"/>
                                      <w:position w:val="0"/>
                                      <w:sz w:val="11"/>
                                      <w:szCs w:val="11"/>
                                    </w:rPr>
                                    <w:t>:示</w:t>
                                  </w:r>
                                </w:p>
                              </w:tc>
                              <w:tc>
                                <w:tcPr>
                                  <w:tcBorders/>
                                  <w:shd w:val="clear" w:color="auto" w:fill="DFEEF4"/>
                                  <w:vAlign w:val="top"/>
                                </w:tcPr>
                                <w:p>
                                  <w:pPr>
                                    <w:widowControl w:val="0"/>
                                    <w:rPr>
                                      <w:sz w:val="10"/>
                                      <w:szCs w:val="10"/>
                                    </w:rPr>
                                  </w:pP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07B83"/>
                                      <w:spacing w:val="0"/>
                                      <w:w w:val="100"/>
                                      <w:position w:val="0"/>
                                      <w:sz w:val="11"/>
                                      <w:szCs w:val="11"/>
                                    </w:rPr>
                                    <w:t>诊向朝屏；:</w:t>
                                  </w:r>
                                </w:p>
                              </w:tc>
                            </w:tr>
                            <w:tr>
                              <w:trPr>
                                <w:trHeight w:val="350" w:hRule="exact"/>
                              </w:trPr>
                              <w:tc>
                                <w:tcPr>
                                  <w:tcBorders/>
                                  <w:shd w:val="clear" w:color="auto" w:fill="DFEEF4"/>
                                  <w:vAlign w:val="top"/>
                                </w:tcPr>
                                <w:p>
                                  <w:pPr>
                                    <w:widowControl w:val="0"/>
                                    <w:rPr>
                                      <w:sz w:val="10"/>
                                      <w:szCs w:val="10"/>
                                    </w:rPr>
                                  </w:pP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3E3E3E"/>
                                      <w:spacing w:val="0"/>
                                      <w:w w:val="100"/>
                                      <w:position w:val="0"/>
                                      <w:sz w:val="17"/>
                                      <w:szCs w:val="17"/>
                                    </w:rPr>
                                    <w:t>C'</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color w:val="1B1B1B"/>
                                      <w:spacing w:val="0"/>
                                      <w:w w:val="100"/>
                                      <w:position w:val="0"/>
                                      <w:sz w:val="40"/>
                                      <w:szCs w:val="40"/>
                                    </w:rPr>
                                    <w:t xml:space="preserve">U </w:t>
                                  </w:r>
                                  <w:r>
                                    <w:rPr>
                                      <w:rFonts w:ascii="Arial" w:eastAsia="Arial" w:hAnsi="Arial" w:cs="Arial"/>
                                      <w:color w:val="1B1B1B"/>
                                      <w:spacing w:val="0"/>
                                      <w:w w:val="100"/>
                                      <w:position w:val="0"/>
                                      <w:sz w:val="40"/>
                                      <w:szCs w:val="40"/>
                                    </w:rPr>
                                    <w:t>1</w:t>
                                  </w:r>
                                  <w:r>
                                    <w:rPr>
                                      <w:rFonts w:ascii="SimHei" w:eastAsia="SimHei" w:hAnsi="SimHei" w:cs="SimHei"/>
                                      <w:color w:val="1B1B1B"/>
                                      <w:spacing w:val="0"/>
                                      <w:w w:val="100"/>
                                      <w:position w:val="0"/>
                                      <w:sz w:val="38"/>
                                      <w:szCs w:val="38"/>
                                    </w:rPr>
                                    <w:t>，寸</w:t>
                                  </w:r>
                                </w:p>
                              </w:tc>
                            </w:tr>
                            <w:tr>
                              <w:trPr>
                                <w:trHeight w:val="307" w:hRule="exact"/>
                              </w:trPr>
                              <w:tc>
                                <w:tcPr>
                                  <w:tcBorders/>
                                  <w:shd w:val="clear" w:color="auto" w:fill="DFEEF4"/>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4C7D9F"/>
                                      <w:spacing w:val="0"/>
                                      <w:w w:val="100"/>
                                      <w:position w:val="0"/>
                                      <w:sz w:val="11"/>
                                      <w:szCs w:val="11"/>
                                    </w:rPr>
                                    <w:t>:;</w:t>
                                  </w:r>
                                  <w:r>
                                    <w:rPr>
                                      <w:rFonts w:ascii="SimHei" w:eastAsia="SimHei" w:hAnsi="SimHei" w:cs="SimHei"/>
                                      <w:color w:val="707B83"/>
                                      <w:spacing w:val="0"/>
                                      <w:w w:val="100"/>
                                      <w:position w:val="0"/>
                                      <w:sz w:val="11"/>
                                      <w:szCs w:val="11"/>
                                    </w:rPr>
                                    <w:t>自眺照务</w:t>
                                  </w:r>
                                </w:p>
                              </w:tc>
                              <w:tc>
                                <w:tcPr>
                                  <w:tcBorders/>
                                  <w:shd w:val="clear" w:color="auto" w:fill="DFEEF4"/>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7B83"/>
                                      <w:spacing w:val="0"/>
                                      <w:w w:val="100"/>
                                      <w:position w:val="0"/>
                                      <w:sz w:val="11"/>
                                      <w:szCs w:val="11"/>
                                    </w:rPr>
                                    <w:t>物几器人</w:t>
                                  </w:r>
                                </w:p>
                              </w:tc>
                              <w:tc>
                                <w:tcPr>
                                  <w:tcBorders/>
                                  <w:shd w:val="clear" w:color="auto" w:fill="DFEEF4"/>
                                  <w:vAlign w:val="top"/>
                                </w:tcPr>
                                <w:p>
                                  <w:pPr>
                                    <w:pStyle w:val="Style2"/>
                                    <w:keepNext w:val="0"/>
                                    <w:keepLines w:val="0"/>
                                    <w:widowControl w:val="0"/>
                                    <w:shd w:val="clear" w:color="auto" w:fill="auto"/>
                                    <w:tabs>
                                      <w:tab w:pos="1603" w:val="left"/>
                                      <w:tab w:pos="2784" w:val="left"/>
                                    </w:tabs>
                                    <w:bidi w:val="0"/>
                                    <w:spacing w:before="0" w:after="0" w:line="240" w:lineRule="auto"/>
                                    <w:ind w:left="0" w:right="0" w:firstLine="0"/>
                                    <w:jc w:val="left"/>
                                    <w:rPr>
                                      <w:sz w:val="11"/>
                                      <w:szCs w:val="11"/>
                                    </w:rPr>
                                  </w:pPr>
                                  <w:r>
                                    <w:rPr>
                                      <w:rFonts w:ascii="SimHei" w:eastAsia="SimHei" w:hAnsi="SimHei" w:cs="SimHei"/>
                                      <w:color w:val="707B83"/>
                                      <w:spacing w:val="0"/>
                                      <w:w w:val="100"/>
                                      <w:position w:val="0"/>
                                      <w:sz w:val="11"/>
                                      <w:szCs w:val="11"/>
                                    </w:rPr>
                                    <w:t xml:space="preserve">g </w:t>
                                  </w:r>
                                  <w:r>
                                    <w:rPr>
                                      <w:rFonts w:ascii="SimHei" w:eastAsia="SimHei" w:hAnsi="SimHei" w:cs="SimHei"/>
                                      <w:color w:val="707B83"/>
                                      <w:spacing w:val="0"/>
                                      <w:w w:val="100"/>
                                      <w:position w:val="0"/>
                                      <w:sz w:val="11"/>
                                      <w:szCs w:val="11"/>
                                    </w:rPr>
                                    <w:t>!:</w:t>
                                    <w:tab/>
                                    <w:t>辞瞰中心</w:t>
                                    <w:tab/>
                                    <w:t>:</w:t>
                                  </w:r>
                                </w:p>
                              </w:tc>
                            </w:tr>
                          </w:tbl>
                          <w:p>
                            <w:pPr>
                              <w:widowControl w:val="0"/>
                              <w:spacing w:line="1" w:lineRule="exact"/>
                            </w:pPr>
                          </w:p>
                        </w:txbxContent>
                      </wps:txbx>
                      <wps:bodyPr lIns="0" tIns="0" rIns="0" bIns="0">
                        <a:noAutoFit/>
                      </wps:bodyPr>
                    </wps:wsp>
                  </a:graphicData>
                </a:graphic>
              </wp:anchor>
            </w:drawing>
          </mc:Choice>
          <mc:Fallback>
            <w:pict>
              <v:shape id="_x0000_s1055" type="#_x0000_t202" style="position:absolute;margin-left:233.70000000000002pt;margin-top:126.95pt;width:234.70000000000002pt;height:70.549999999999997pt;z-index:-125829354;mso-wrap-distance-left:0;mso-wrap-distance-top:126.95pt;mso-wrap-distance-right:0;mso-wrap-distance-bottom:10.9pt;mso-position-horizontal-relative:page" filled="f" stroked="f">
                <v:textbox inset="0,0,0,0">
                  <w:txbxContent>
                    <w:tbl>
                      <w:tblPr>
                        <w:tblOverlap w:val="never"/>
                        <w:jc w:val="left"/>
                        <w:tblLayout w:type="fixed"/>
                      </w:tblPr>
                      <w:tblGrid>
                        <w:gridCol w:w="1123"/>
                        <w:gridCol w:w="586"/>
                        <w:gridCol w:w="2986"/>
                      </w:tblGrid>
                      <w:tr>
                        <w:trPr>
                          <w:tblHeader/>
                          <w:trHeight w:val="365" w:hRule="exact"/>
                        </w:trPr>
                        <w:tc>
                          <w:tcPr>
                            <w:tcBorders/>
                            <w:shd w:val="clear" w:color="auto" w:fill="DFEEF4"/>
                            <w:vAlign w:val="top"/>
                          </w:tcPr>
                          <w:p>
                            <w:pPr>
                              <w:widowControl w:val="0"/>
                              <w:rPr>
                                <w:sz w:val="10"/>
                                <w:szCs w:val="10"/>
                              </w:rPr>
                            </w:pPr>
                          </w:p>
                        </w:tc>
                        <w:tc>
                          <w:tcPr>
                            <w:tcBorders/>
                            <w:shd w:val="clear" w:color="auto" w:fill="DFEEF4"/>
                            <w:vAlign w:val="top"/>
                          </w:tcPr>
                          <w:p>
                            <w:pPr>
                              <w:widowControl w:val="0"/>
                              <w:rPr>
                                <w:sz w:val="10"/>
                                <w:szCs w:val="10"/>
                              </w:rPr>
                            </w:pP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color w:val="205B9D"/>
                                <w:spacing w:val="0"/>
                                <w:w w:val="100"/>
                                <w:position w:val="0"/>
                                <w:sz w:val="40"/>
                                <w:szCs w:val="40"/>
                              </w:rPr>
                              <w:t xml:space="preserve">&amp; </w:t>
                            </w:r>
                            <w:r>
                              <w:rPr>
                                <w:rFonts w:ascii="Arial" w:eastAsia="Arial" w:hAnsi="Arial" w:cs="Arial"/>
                                <w:color w:val="707B83"/>
                                <w:spacing w:val="0"/>
                                <w:w w:val="100"/>
                                <w:position w:val="0"/>
                                <w:sz w:val="40"/>
                                <w:szCs w:val="40"/>
                              </w:rPr>
                              <w:t xml:space="preserve">i </w:t>
                            </w:r>
                            <w:r>
                              <w:rPr>
                                <w:rFonts w:ascii="Arial" w:eastAsia="Arial" w:hAnsi="Arial" w:cs="Arial"/>
                                <w:color w:val="707B83"/>
                                <w:spacing w:val="0"/>
                                <w:w w:val="100"/>
                                <w:position w:val="0"/>
                                <w:sz w:val="40"/>
                                <w:szCs w:val="40"/>
                              </w:rPr>
                              <w:t xml:space="preserve">? </w:t>
                            </w:r>
                            <w:r>
                              <w:rPr>
                                <w:rFonts w:ascii="SimHei" w:eastAsia="SimHei" w:hAnsi="SimHei" w:cs="SimHei"/>
                                <w:color w:val="352B25"/>
                                <w:spacing w:val="0"/>
                                <w:w w:val="100"/>
                                <w:position w:val="0"/>
                                <w:sz w:val="38"/>
                                <w:szCs w:val="38"/>
                              </w:rPr>
                              <w:t>心</w:t>
                            </w:r>
                            <w:r>
                              <w:rPr>
                                <w:rFonts w:ascii="SimHei" w:eastAsia="SimHei" w:hAnsi="SimHei" w:cs="SimHei"/>
                                <w:color w:val="707B83"/>
                                <w:spacing w:val="0"/>
                                <w:w w:val="100"/>
                                <w:position w:val="0"/>
                                <w:sz w:val="38"/>
                                <w:szCs w:val="38"/>
                              </w:rPr>
                              <w:t>:</w:t>
                            </w:r>
                          </w:p>
                        </w:tc>
                      </w:tr>
                      <w:tr>
                        <w:trPr>
                          <w:trHeight w:val="389" w:hRule="exact"/>
                        </w:trPr>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07B83"/>
                                <w:spacing w:val="0"/>
                                <w:w w:val="100"/>
                                <w:position w:val="0"/>
                                <w:sz w:val="11"/>
                                <w:szCs w:val="11"/>
                              </w:rPr>
                              <w:t>；</w:t>
                            </w:r>
                            <w:r>
                              <w:rPr>
                                <w:rFonts w:ascii="SimHei" w:eastAsia="SimHei" w:hAnsi="SimHei" w:cs="SimHei"/>
                                <w:color w:val="707B83"/>
                                <w:spacing w:val="0"/>
                                <w:w w:val="100"/>
                                <w:position w:val="0"/>
                                <w:sz w:val="11"/>
                                <w:szCs w:val="11"/>
                              </w:rPr>
                              <w:t>:示</w:t>
                            </w:r>
                          </w:p>
                        </w:tc>
                        <w:tc>
                          <w:tcPr>
                            <w:tcBorders/>
                            <w:shd w:val="clear" w:color="auto" w:fill="DFEEF4"/>
                            <w:vAlign w:val="top"/>
                          </w:tcPr>
                          <w:p>
                            <w:pPr>
                              <w:widowControl w:val="0"/>
                              <w:rPr>
                                <w:sz w:val="10"/>
                                <w:szCs w:val="10"/>
                              </w:rPr>
                            </w:pP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707B83"/>
                                <w:spacing w:val="0"/>
                                <w:w w:val="100"/>
                                <w:position w:val="0"/>
                                <w:sz w:val="11"/>
                                <w:szCs w:val="11"/>
                              </w:rPr>
                              <w:t>诊向朝屏；:</w:t>
                            </w:r>
                          </w:p>
                        </w:tc>
                      </w:tr>
                      <w:tr>
                        <w:trPr>
                          <w:trHeight w:val="350" w:hRule="exact"/>
                        </w:trPr>
                        <w:tc>
                          <w:tcPr>
                            <w:tcBorders/>
                            <w:shd w:val="clear" w:color="auto" w:fill="DFEEF4"/>
                            <w:vAlign w:val="top"/>
                          </w:tcPr>
                          <w:p>
                            <w:pPr>
                              <w:widowControl w:val="0"/>
                              <w:rPr>
                                <w:sz w:val="10"/>
                                <w:szCs w:val="10"/>
                              </w:rPr>
                            </w:pPr>
                          </w:p>
                        </w:tc>
                        <w:tc>
                          <w:tcPr>
                            <w:tcBorders/>
                            <w:shd w:val="clear" w:color="auto" w:fill="DFEEF4"/>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3E3E3E"/>
                                <w:spacing w:val="0"/>
                                <w:w w:val="100"/>
                                <w:position w:val="0"/>
                                <w:sz w:val="17"/>
                                <w:szCs w:val="17"/>
                              </w:rPr>
                              <w:t>C'</w:t>
                            </w:r>
                          </w:p>
                        </w:tc>
                        <w:tc>
                          <w:tcPr>
                            <w:tcBorders/>
                            <w:shd w:val="clear" w:color="auto" w:fill="DFEEF4"/>
                            <w:vAlign w:val="top"/>
                          </w:tcPr>
                          <w:p>
                            <w:pPr>
                              <w:pStyle w:val="Style2"/>
                              <w:keepNext w:val="0"/>
                              <w:keepLines w:val="0"/>
                              <w:widowControl w:val="0"/>
                              <w:shd w:val="clear" w:color="auto" w:fill="auto"/>
                              <w:bidi w:val="0"/>
                              <w:spacing w:before="0" w:after="0" w:line="240" w:lineRule="auto"/>
                              <w:ind w:left="0" w:right="0" w:firstLine="0"/>
                              <w:jc w:val="left"/>
                              <w:rPr>
                                <w:sz w:val="38"/>
                                <w:szCs w:val="38"/>
                              </w:rPr>
                            </w:pPr>
                            <w:r>
                              <w:rPr>
                                <w:rFonts w:ascii="Arial" w:eastAsia="Arial" w:hAnsi="Arial" w:cs="Arial"/>
                                <w:color w:val="1B1B1B"/>
                                <w:spacing w:val="0"/>
                                <w:w w:val="100"/>
                                <w:position w:val="0"/>
                                <w:sz w:val="40"/>
                                <w:szCs w:val="40"/>
                              </w:rPr>
                              <w:t xml:space="preserve">U </w:t>
                            </w:r>
                            <w:r>
                              <w:rPr>
                                <w:rFonts w:ascii="Arial" w:eastAsia="Arial" w:hAnsi="Arial" w:cs="Arial"/>
                                <w:color w:val="1B1B1B"/>
                                <w:spacing w:val="0"/>
                                <w:w w:val="100"/>
                                <w:position w:val="0"/>
                                <w:sz w:val="40"/>
                                <w:szCs w:val="40"/>
                              </w:rPr>
                              <w:t>1</w:t>
                            </w:r>
                            <w:r>
                              <w:rPr>
                                <w:rFonts w:ascii="SimHei" w:eastAsia="SimHei" w:hAnsi="SimHei" w:cs="SimHei"/>
                                <w:color w:val="1B1B1B"/>
                                <w:spacing w:val="0"/>
                                <w:w w:val="100"/>
                                <w:position w:val="0"/>
                                <w:sz w:val="38"/>
                                <w:szCs w:val="38"/>
                              </w:rPr>
                              <w:t>，寸</w:t>
                            </w:r>
                          </w:p>
                        </w:tc>
                      </w:tr>
                      <w:tr>
                        <w:trPr>
                          <w:trHeight w:val="307" w:hRule="exact"/>
                        </w:trPr>
                        <w:tc>
                          <w:tcPr>
                            <w:tcBorders/>
                            <w:shd w:val="clear" w:color="auto" w:fill="DFEEF4"/>
                            <w:vAlign w:val="center"/>
                          </w:tcPr>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SimHei" w:eastAsia="SimHei" w:hAnsi="SimHei" w:cs="SimHei"/>
                                <w:color w:val="4C7D9F"/>
                                <w:spacing w:val="0"/>
                                <w:w w:val="100"/>
                                <w:position w:val="0"/>
                                <w:sz w:val="11"/>
                                <w:szCs w:val="11"/>
                              </w:rPr>
                              <w:t>:;</w:t>
                            </w:r>
                            <w:r>
                              <w:rPr>
                                <w:rFonts w:ascii="SimHei" w:eastAsia="SimHei" w:hAnsi="SimHei" w:cs="SimHei"/>
                                <w:color w:val="707B83"/>
                                <w:spacing w:val="0"/>
                                <w:w w:val="100"/>
                                <w:position w:val="0"/>
                                <w:sz w:val="11"/>
                                <w:szCs w:val="11"/>
                              </w:rPr>
                              <w:t>自眺照务</w:t>
                            </w:r>
                          </w:p>
                        </w:tc>
                        <w:tc>
                          <w:tcPr>
                            <w:tcBorders/>
                            <w:shd w:val="clear" w:color="auto" w:fill="DFEEF4"/>
                            <w:vAlign w:val="center"/>
                          </w:tcPr>
                          <w:p>
                            <w:pPr>
                              <w:pStyle w:val="Style2"/>
                              <w:keepNext w:val="0"/>
                              <w:keepLines w:val="0"/>
                              <w:widowControl w:val="0"/>
                              <w:shd w:val="clear" w:color="auto" w:fill="auto"/>
                              <w:bidi w:val="0"/>
                              <w:spacing w:before="0" w:after="0" w:line="240" w:lineRule="auto"/>
                              <w:ind w:left="0" w:right="0" w:firstLine="0"/>
                              <w:jc w:val="center"/>
                              <w:rPr>
                                <w:sz w:val="11"/>
                                <w:szCs w:val="11"/>
                              </w:rPr>
                            </w:pPr>
                            <w:r>
                              <w:rPr>
                                <w:rFonts w:ascii="SimHei" w:eastAsia="SimHei" w:hAnsi="SimHei" w:cs="SimHei"/>
                                <w:color w:val="707B83"/>
                                <w:spacing w:val="0"/>
                                <w:w w:val="100"/>
                                <w:position w:val="0"/>
                                <w:sz w:val="11"/>
                                <w:szCs w:val="11"/>
                              </w:rPr>
                              <w:t>物几器人</w:t>
                            </w:r>
                          </w:p>
                        </w:tc>
                        <w:tc>
                          <w:tcPr>
                            <w:tcBorders/>
                            <w:shd w:val="clear" w:color="auto" w:fill="DFEEF4"/>
                            <w:vAlign w:val="top"/>
                          </w:tcPr>
                          <w:p>
                            <w:pPr>
                              <w:pStyle w:val="Style2"/>
                              <w:keepNext w:val="0"/>
                              <w:keepLines w:val="0"/>
                              <w:widowControl w:val="0"/>
                              <w:shd w:val="clear" w:color="auto" w:fill="auto"/>
                              <w:tabs>
                                <w:tab w:pos="1603" w:val="left"/>
                                <w:tab w:pos="2784" w:val="left"/>
                              </w:tabs>
                              <w:bidi w:val="0"/>
                              <w:spacing w:before="0" w:after="0" w:line="240" w:lineRule="auto"/>
                              <w:ind w:left="0" w:right="0" w:firstLine="0"/>
                              <w:jc w:val="left"/>
                              <w:rPr>
                                <w:sz w:val="11"/>
                                <w:szCs w:val="11"/>
                              </w:rPr>
                            </w:pPr>
                            <w:r>
                              <w:rPr>
                                <w:rFonts w:ascii="SimHei" w:eastAsia="SimHei" w:hAnsi="SimHei" w:cs="SimHei"/>
                                <w:color w:val="707B83"/>
                                <w:spacing w:val="0"/>
                                <w:w w:val="100"/>
                                <w:position w:val="0"/>
                                <w:sz w:val="11"/>
                                <w:szCs w:val="11"/>
                              </w:rPr>
                              <w:t xml:space="preserve">g </w:t>
                            </w:r>
                            <w:r>
                              <w:rPr>
                                <w:rFonts w:ascii="SimHei" w:eastAsia="SimHei" w:hAnsi="SimHei" w:cs="SimHei"/>
                                <w:color w:val="707B83"/>
                                <w:spacing w:val="0"/>
                                <w:w w:val="100"/>
                                <w:position w:val="0"/>
                                <w:sz w:val="11"/>
                                <w:szCs w:val="11"/>
                              </w:rPr>
                              <w:t>!:</w:t>
                              <w:tab/>
                              <w:t>辞瞰中心</w:t>
                              <w:tab/>
                              <w:t>:</w:t>
                            </w:r>
                          </w:p>
                        </w:tc>
                      </w:tr>
                    </w:tbl>
                    <w:p>
                      <w:pPr>
                        <w:widowControl w:val="0"/>
                        <w:spacing w:line="1" w:lineRule="exact"/>
                      </w:pPr>
                    </w:p>
                  </w:txbxContent>
                </v:textbox>
                <w10:wrap type="topAndBottom" anchorx="page"/>
              </v:shape>
            </w:pict>
          </mc:Fallback>
        </mc:AlternateContent>
      </w:r>
    </w:p>
    <w:p>
      <w:pPr>
        <w:pStyle w:val="Style15"/>
        <w:keepNext w:val="0"/>
        <w:keepLines w:val="0"/>
        <w:widowControl w:val="0"/>
        <w:shd w:val="clear" w:color="auto" w:fill="auto"/>
        <w:bidi w:val="0"/>
        <w:spacing w:before="0" w:after="80" w:line="240" w:lineRule="auto"/>
        <w:ind w:left="0" w:right="0"/>
        <w:jc w:val="both"/>
      </w:pPr>
      <w:r>
        <w:rPr>
          <w:color w:val="000000"/>
          <w:spacing w:val="0"/>
          <w:w w:val="100"/>
          <w:position w:val="0"/>
        </w:rPr>
        <w:t>报告期内，公司城市级智慧医健卫一体化建设项目树立业内标杆。</w:t>
      </w:r>
    </w:p>
    <w:p>
      <w:pPr>
        <w:pStyle w:val="Style15"/>
        <w:keepNext w:val="0"/>
        <w:keepLines w:val="0"/>
        <w:widowControl w:val="0"/>
        <w:numPr>
          <w:ilvl w:val="0"/>
          <w:numId w:val="7"/>
        </w:numPr>
        <w:shd w:val="clear" w:color="auto" w:fill="auto"/>
        <w:bidi w:val="0"/>
        <w:spacing w:before="0" w:after="0" w:line="240" w:lineRule="auto"/>
        <w:ind w:left="0" w:right="0"/>
        <w:jc w:val="both"/>
      </w:pPr>
      <w:r>
        <mc:AlternateContent>
          <mc:Choice Requires="wps">
            <w:drawing>
              <wp:anchor distT="0" distB="0" distL="38100" distR="38100" simplePos="0" relativeHeight="125829401" behindDoc="0" locked="0" layoutInCell="1" allowOverlap="1">
                <wp:simplePos x="0" y="0"/>
                <wp:positionH relativeFrom="page">
                  <wp:posOffset>4586605</wp:posOffset>
                </wp:positionH>
                <wp:positionV relativeFrom="paragraph">
                  <wp:posOffset>12700</wp:posOffset>
                </wp:positionV>
                <wp:extent cx="2255520" cy="164465"/>
                <wp:wrapSquare wrapText="left"/>
                <wp:docPr id="31" name="Shape 31"/>
                <a:graphic xmlns:a="http://schemas.openxmlformats.org/drawingml/2006/main">
                  <a:graphicData uri="http://schemas.microsoft.com/office/word/2010/wordprocessingShape">
                    <wps:wsp>
                      <wps:cNvSpPr txBox="1"/>
                      <wps:spPr>
                        <a:xfrm>
                          <a:ext cx="2255520" cy="16446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该项目已覆盖了晋中市</w:t>
                            </w:r>
                            <w:r>
                              <w:rPr>
                                <w:rFonts w:ascii="Times New Roman" w:eastAsia="Times New Roman" w:hAnsi="Times New Roman" w:cs="Times New Roman"/>
                                <w:color w:val="000000"/>
                                <w:spacing w:val="0"/>
                                <w:w w:val="100"/>
                                <w:position w:val="0"/>
                              </w:rPr>
                              <w:t>7</w:t>
                            </w:r>
                            <w:r>
                              <w:rPr>
                                <w:color w:val="000000"/>
                                <w:spacing w:val="0"/>
                                <w:w w:val="100"/>
                                <w:position w:val="0"/>
                              </w:rPr>
                              <w:t>家市直医院、</w:t>
                            </w:r>
                            <w:r>
                              <w:rPr>
                                <w:rFonts w:ascii="Times New Roman" w:eastAsia="Times New Roman" w:hAnsi="Times New Roman" w:cs="Times New Roman"/>
                                <w:color w:val="000000"/>
                                <w:spacing w:val="0"/>
                                <w:w w:val="100"/>
                                <w:position w:val="0"/>
                              </w:rPr>
                              <w:t>33</w:t>
                            </w:r>
                            <w:r>
                              <w:rPr>
                                <w:color w:val="000000"/>
                                <w:spacing w:val="0"/>
                                <w:w w:val="100"/>
                                <w:position w:val="0"/>
                              </w:rPr>
                              <w:t>家县</w:t>
                            </w:r>
                          </w:p>
                        </w:txbxContent>
                      </wps:txbx>
                      <wps:bodyPr wrap="none" lIns="0" tIns="0" rIns="0" bIns="0">
                        <a:noAutoFit/>
                      </wps:bodyPr>
                    </wps:wsp>
                  </a:graphicData>
                </a:graphic>
              </wp:anchor>
            </w:drawing>
          </mc:Choice>
          <mc:Fallback>
            <w:pict>
              <v:shape id="_x0000_s1057" type="#_x0000_t202" style="position:absolute;margin-left:361.15000000000003pt;margin-top:1.pt;width:177.59999999999999pt;height:12.950000000000001pt;z-index:-125829352;mso-wrap-distance-left:3.pt;mso-wrap-distance-right:3.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该项目已覆盖了晋中市</w:t>
                      </w:r>
                      <w:r>
                        <w:rPr>
                          <w:rFonts w:ascii="Times New Roman" w:eastAsia="Times New Roman" w:hAnsi="Times New Roman" w:cs="Times New Roman"/>
                          <w:color w:val="000000"/>
                          <w:spacing w:val="0"/>
                          <w:w w:val="100"/>
                          <w:position w:val="0"/>
                        </w:rPr>
                        <w:t>7</w:t>
                      </w:r>
                      <w:r>
                        <w:rPr>
                          <w:color w:val="000000"/>
                          <w:spacing w:val="0"/>
                          <w:w w:val="100"/>
                          <w:position w:val="0"/>
                        </w:rPr>
                        <w:t>家市直医院、</w:t>
                      </w:r>
                      <w:r>
                        <w:rPr>
                          <w:rFonts w:ascii="Times New Roman" w:eastAsia="Times New Roman" w:hAnsi="Times New Roman" w:cs="Times New Roman"/>
                          <w:color w:val="000000"/>
                          <w:spacing w:val="0"/>
                          <w:w w:val="100"/>
                          <w:position w:val="0"/>
                        </w:rPr>
                        <w:t>33</w:t>
                      </w:r>
                      <w:r>
                        <w:rPr>
                          <w:color w:val="000000"/>
                          <w:spacing w:val="0"/>
                          <w:w w:val="100"/>
                          <w:position w:val="0"/>
                        </w:rPr>
                        <w:t>家县</w:t>
                      </w:r>
                    </w:p>
                  </w:txbxContent>
                </v:textbox>
                <w10:wrap type="square" side="left" anchorx="page"/>
              </v:shape>
            </w:pict>
          </mc:Fallback>
        </mc:AlternateContent>
      </w:r>
      <w:bookmarkStart w:id="112" w:name="bookmark112"/>
      <w:bookmarkEnd w:id="112"/>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年，公司助力建设了晋中市全民健康服务信息化平台。截至目前， </w:t>
      </w:r>
      <w:r>
        <w:rPr>
          <w:color w:val="000000"/>
          <w:spacing w:val="0"/>
          <w:w w:val="100"/>
          <w:position w:val="0"/>
        </w:rPr>
        <w:t>级医院、</w:t>
      </w:r>
      <w:r>
        <w:rPr>
          <w:rFonts w:ascii="Times New Roman" w:eastAsia="Times New Roman" w:hAnsi="Times New Roman" w:cs="Times New Roman"/>
          <w:color w:val="000000"/>
          <w:spacing w:val="0"/>
          <w:w w:val="100"/>
          <w:position w:val="0"/>
        </w:rPr>
        <w:t>178</w:t>
      </w:r>
      <w:r>
        <w:rPr>
          <w:color w:val="000000"/>
          <w:spacing w:val="0"/>
          <w:w w:val="100"/>
          <w:position w:val="0"/>
        </w:rPr>
        <w:t>个乡镇卫生院和</w:t>
      </w:r>
      <w:r>
        <w:rPr>
          <w:rFonts w:ascii="Times New Roman" w:eastAsia="Times New Roman" w:hAnsi="Times New Roman" w:cs="Times New Roman"/>
          <w:color w:val="000000"/>
          <w:spacing w:val="0"/>
          <w:w w:val="100"/>
          <w:position w:val="0"/>
        </w:rPr>
        <w:t>2500</w:t>
      </w:r>
      <w:r>
        <w:rPr>
          <w:color w:val="000000"/>
          <w:spacing w:val="0"/>
          <w:w w:val="100"/>
          <w:position w:val="0"/>
        </w:rPr>
        <w:t xml:space="preserve">余家村卫生室。平台针对各级医疗机构，开展远程咨询会诊、转诊、转检、慢性病跟踪监 控等服务，利用区域影像、区域检验、区域电子病历、远程会诊、分级诊疗、健康档案浏览器等模块，实现医疗信息全区域 共享；针对个人上线“健康晋中” </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实现智能导诊、预约分诊、网上缴费、中医体质辨识、健康百科、健康检测等医疗 卫生服务，为晋中市智慧医疗发展提供助力。</w:t>
      </w:r>
    </w:p>
    <w:p>
      <w:pPr>
        <w:pStyle w:val="Style15"/>
        <w:keepNext w:val="0"/>
        <w:keepLines w:val="0"/>
        <w:widowControl w:val="0"/>
        <w:numPr>
          <w:ilvl w:val="0"/>
          <w:numId w:val="7"/>
        </w:numPr>
        <w:shd w:val="clear" w:color="auto" w:fill="auto"/>
        <w:tabs>
          <w:tab w:pos="668" w:val="left"/>
        </w:tabs>
        <w:bidi w:val="0"/>
        <w:spacing w:before="0" w:after="0" w:line="313" w:lineRule="exact"/>
        <w:ind w:left="0" w:right="0"/>
        <w:jc w:val="both"/>
      </w:pPr>
      <w:bookmarkStart w:id="113" w:name="bookmark113"/>
      <w:bookmarkEnd w:id="113"/>
      <w:r>
        <w:rPr>
          <w:color w:val="000000"/>
          <w:spacing w:val="0"/>
          <w:w w:val="100"/>
          <w:position w:val="0"/>
        </w:rPr>
        <w:t>报告期内，公司助力建设的深圳市社康信息系统是面对全深圳市民的智慧健康基础平台和社区医务人员智慧工作平 台，社康系统已经覆盖全市</w:t>
      </w:r>
      <w:r>
        <w:rPr>
          <w:rFonts w:ascii="Times New Roman" w:eastAsia="Times New Roman" w:hAnsi="Times New Roman" w:cs="Times New Roman"/>
          <w:color w:val="000000"/>
          <w:spacing w:val="0"/>
          <w:w w:val="100"/>
          <w:position w:val="0"/>
        </w:rPr>
        <w:t>10</w:t>
      </w:r>
      <w:r>
        <w:rPr>
          <w:color w:val="000000"/>
          <w:spacing w:val="0"/>
          <w:w w:val="100"/>
          <w:position w:val="0"/>
        </w:rPr>
        <w:t>个区的</w:t>
      </w:r>
      <w:r>
        <w:rPr>
          <w:rFonts w:ascii="Times New Roman" w:eastAsia="Times New Roman" w:hAnsi="Times New Roman" w:cs="Times New Roman"/>
          <w:color w:val="000000"/>
          <w:spacing w:val="0"/>
          <w:w w:val="100"/>
          <w:position w:val="0"/>
        </w:rPr>
        <w:t>800</w:t>
      </w:r>
      <w:r>
        <w:rPr>
          <w:color w:val="000000"/>
          <w:spacing w:val="0"/>
          <w:w w:val="100"/>
          <w:position w:val="0"/>
        </w:rPr>
        <w:t>多家社康服务中心，已通过系统累计建立居民电子健康档案逾</w:t>
      </w:r>
      <w:r>
        <w:rPr>
          <w:rFonts w:ascii="Times New Roman" w:eastAsia="Times New Roman" w:hAnsi="Times New Roman" w:cs="Times New Roman"/>
          <w:color w:val="000000"/>
          <w:spacing w:val="0"/>
          <w:w w:val="100"/>
          <w:position w:val="0"/>
        </w:rPr>
        <w:t>1700</w:t>
      </w:r>
      <w:r>
        <w:rPr>
          <w:color w:val="000000"/>
          <w:spacing w:val="0"/>
          <w:w w:val="100"/>
          <w:position w:val="0"/>
        </w:rPr>
        <w:t>万份，</w:t>
      </w:r>
      <w:r>
        <w:rPr>
          <w:rFonts w:ascii="Times New Roman" w:eastAsia="Times New Roman" w:hAnsi="Times New Roman" w:cs="Times New Roman"/>
          <w:color w:val="000000"/>
          <w:spacing w:val="0"/>
          <w:w w:val="100"/>
          <w:position w:val="0"/>
        </w:rPr>
        <w:t>2021</w:t>
      </w:r>
      <w:r>
        <w:rPr>
          <w:color w:val="000000"/>
          <w:spacing w:val="0"/>
          <w:w w:val="100"/>
          <w:position w:val="0"/>
        </w:rPr>
        <w:t>年全 市社康门诊就诊人次逾</w:t>
      </w:r>
      <w:r>
        <w:rPr>
          <w:rFonts w:ascii="Times New Roman" w:eastAsia="Times New Roman" w:hAnsi="Times New Roman" w:cs="Times New Roman"/>
          <w:color w:val="000000"/>
          <w:spacing w:val="0"/>
          <w:w w:val="100"/>
          <w:position w:val="0"/>
        </w:rPr>
        <w:t>3700</w:t>
      </w:r>
      <w:r>
        <w:rPr>
          <w:color w:val="000000"/>
          <w:spacing w:val="0"/>
          <w:w w:val="100"/>
          <w:position w:val="0"/>
        </w:rPr>
        <w:t>万人次，为深圳市构建优质高效医疗服务体系奠定坚实的信息化基础。</w:t>
      </w:r>
      <w:r>
        <w:rPr>
          <w:rFonts w:ascii="Times New Roman" w:eastAsia="Times New Roman" w:hAnsi="Times New Roman" w:cs="Times New Roman"/>
          <w:color w:val="000000"/>
          <w:spacing w:val="0"/>
          <w:w w:val="100"/>
          <w:position w:val="0"/>
        </w:rPr>
        <w:t>2021</w:t>
      </w:r>
      <w:r>
        <w:rPr>
          <w:color w:val="000000"/>
          <w:spacing w:val="0"/>
          <w:w w:val="100"/>
          <w:position w:val="0"/>
        </w:rPr>
        <w:t>年深圳市“社康通” 开通了接种通道，目前平台上接种建档登记人数已达近</w:t>
      </w:r>
      <w:r>
        <w:rPr>
          <w:rFonts w:ascii="Times New Roman" w:eastAsia="Times New Roman" w:hAnsi="Times New Roman" w:cs="Times New Roman"/>
          <w:color w:val="000000"/>
          <w:spacing w:val="0"/>
          <w:w w:val="100"/>
          <w:position w:val="0"/>
        </w:rPr>
        <w:t>700</w:t>
      </w:r>
      <w:r>
        <w:rPr>
          <w:color w:val="000000"/>
          <w:spacing w:val="0"/>
          <w:w w:val="100"/>
          <w:position w:val="0"/>
        </w:rPr>
        <w:t>多万人次，提供接种预约</w:t>
      </w:r>
      <w:r>
        <w:rPr>
          <w:rFonts w:ascii="Times New Roman" w:eastAsia="Times New Roman" w:hAnsi="Times New Roman" w:cs="Times New Roman"/>
          <w:color w:val="000000"/>
          <w:spacing w:val="0"/>
          <w:w w:val="100"/>
          <w:position w:val="0"/>
        </w:rPr>
        <w:t>500</w:t>
      </w:r>
      <w:r>
        <w:rPr>
          <w:color w:val="000000"/>
          <w:spacing w:val="0"/>
          <w:w w:val="100"/>
          <w:position w:val="0"/>
        </w:rPr>
        <w:t>多万单，为居民开辟了一个新的线上 便捷入口，也为当地接种工作有序推进提供了帮助。</w:t>
      </w:r>
    </w:p>
    <w:p>
      <w:pPr>
        <w:pStyle w:val="Style15"/>
        <w:keepNext w:val="0"/>
        <w:keepLines w:val="0"/>
        <w:widowControl w:val="0"/>
        <w:numPr>
          <w:ilvl w:val="0"/>
          <w:numId w:val="7"/>
        </w:numPr>
        <w:shd w:val="clear" w:color="auto" w:fill="auto"/>
        <w:tabs>
          <w:tab w:pos="673" w:val="left"/>
        </w:tabs>
        <w:bidi w:val="0"/>
        <w:spacing w:before="0" w:after="0" w:line="313" w:lineRule="exact"/>
        <w:ind w:left="0" w:right="0"/>
        <w:jc w:val="both"/>
      </w:pPr>
      <w:bookmarkStart w:id="114" w:name="bookmark114"/>
      <w:bookmarkEnd w:id="114"/>
      <w:r>
        <w:rPr>
          <w:color w:val="000000"/>
          <w:spacing w:val="0"/>
          <w:w w:val="100"/>
          <w:position w:val="0"/>
        </w:rPr>
        <w:t>报告期内，公司与桐乡卫健局展开的多项长期合作获得丰收，实现“健康桐乡</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成功上线，并成功助力桐乡通过 国家医疗健康信息互联互通标准化成熟度（区域）四级甲等，且在</w:t>
      </w:r>
      <w:r>
        <w:rPr>
          <w:rFonts w:ascii="Times New Roman" w:eastAsia="Times New Roman" w:hAnsi="Times New Roman" w:cs="Times New Roman"/>
          <w:color w:val="000000"/>
          <w:spacing w:val="0"/>
          <w:w w:val="100"/>
          <w:position w:val="0"/>
        </w:rPr>
        <w:t>2021</w:t>
      </w:r>
      <w:r>
        <w:rPr>
          <w:color w:val="000000"/>
          <w:spacing w:val="0"/>
          <w:w w:val="100"/>
          <w:position w:val="0"/>
        </w:rPr>
        <w:t>中国卫生信息技术</w:t>
      </w:r>
      <w:r>
        <w:rPr>
          <w:rFonts w:ascii="Times New Roman" w:eastAsia="Times New Roman" w:hAnsi="Times New Roman" w:cs="Times New Roman"/>
          <w:color w:val="000000"/>
          <w:spacing w:val="0"/>
          <w:w w:val="100"/>
          <w:position w:val="0"/>
        </w:rPr>
        <w:t>/</w:t>
      </w:r>
      <w:r>
        <w:rPr>
          <w:color w:val="000000"/>
          <w:spacing w:val="0"/>
          <w:w w:val="100"/>
          <w:position w:val="0"/>
        </w:rPr>
        <w:t xml:space="preserve">健康医疗大数据应用交流大会暨 软硬件与健康医疗产品展览会期间，由桐乡市卫生健康局与公司联合申报的《基于消息机制的医卫融合》项目荣获首届 </w:t>
      </w:r>
      <w:r>
        <w:rPr>
          <w:rFonts w:ascii="Times New Roman" w:eastAsia="Times New Roman" w:hAnsi="Times New Roman" w:cs="Times New Roman"/>
          <w:color w:val="000000"/>
          <w:spacing w:val="0"/>
          <w:w w:val="100"/>
          <w:position w:val="0"/>
        </w:rPr>
        <w:t xml:space="preserve">CHITEC </w:t>
      </w:r>
      <w:r>
        <w:rPr>
          <w:color w:val="000000"/>
          <w:spacing w:val="0"/>
          <w:w w:val="100"/>
          <w:position w:val="0"/>
        </w:rPr>
        <w:t>“英特尔杯”数字医疗健康创新服务优秀案例奖。目前，公司还与桐乡经济开发区签约</w:t>
      </w:r>
      <w:r>
        <w:rPr>
          <w:color w:val="000000"/>
          <w:spacing w:val="0"/>
          <w:w w:val="100"/>
          <w:position w:val="0"/>
        </w:rPr>
        <w:t>“</w:t>
      </w:r>
      <w:r>
        <w:rPr>
          <w:rFonts w:ascii="Times New Roman" w:eastAsia="Times New Roman" w:hAnsi="Times New Roman" w:cs="Times New Roman"/>
          <w:color w:val="000000"/>
          <w:spacing w:val="0"/>
          <w:w w:val="100"/>
          <w:position w:val="0"/>
        </w:rPr>
        <w:t>O2O</w:t>
      </w:r>
      <w:r>
        <w:rPr>
          <w:color w:val="000000"/>
          <w:spacing w:val="0"/>
          <w:w w:val="100"/>
          <w:position w:val="0"/>
        </w:rPr>
        <w:t>模式智慧医院整体解 决方案”将运用大数据、人工智能、云计算等新兴信息技术与公共卫生领域的应用融合，双方将继续在城市级医卫健一体化 建设上携手共进。</w:t>
      </w:r>
    </w:p>
    <w:p>
      <w:pPr>
        <w:pStyle w:val="Style15"/>
        <w:keepNext w:val="0"/>
        <w:keepLines w:val="0"/>
        <w:widowControl w:val="0"/>
        <w:shd w:val="clear" w:color="auto" w:fill="auto"/>
        <w:bidi w:val="0"/>
        <w:spacing w:before="0" w:after="0" w:line="313" w:lineRule="exact"/>
        <w:ind w:left="0" w:right="0"/>
        <w:jc w:val="both"/>
      </w:pPr>
      <w:bookmarkStart w:id="115" w:name="bookmark115"/>
      <w:r>
        <w:rPr>
          <w:b/>
          <w:bCs/>
          <w:color w:val="000000"/>
          <w:spacing w:val="0"/>
          <w:w w:val="100"/>
          <w:position w:val="0"/>
        </w:rPr>
        <w:t>（</w:t>
      </w:r>
      <w:bookmarkEnd w:id="115"/>
      <w:r>
        <w:rPr>
          <w:b/>
          <w:bCs/>
          <w:color w:val="000000"/>
          <w:spacing w:val="0"/>
          <w:w w:val="100"/>
          <w:position w:val="0"/>
        </w:rPr>
        <w:t>二）医疗互联网、物联网业务继续依托“健康城市”，探索多场景应用服务</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报告期内，公司基于健康城市</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w:t>
      </w:r>
      <w:r>
        <w:rPr>
          <w:rFonts w:ascii="Times New Roman" w:eastAsia="Times New Roman" w:hAnsi="Times New Roman" w:cs="Times New Roman"/>
          <w:color w:val="000000"/>
          <w:spacing w:val="0"/>
          <w:w w:val="100"/>
          <w:position w:val="0"/>
        </w:rPr>
        <w:t>”</w:t>
      </w:r>
      <w:r>
        <w:rPr>
          <w:color w:val="000000"/>
          <w:spacing w:val="0"/>
          <w:w w:val="100"/>
          <w:position w:val="0"/>
        </w:rPr>
        <w:t>等创新业务快速增长，其中聚合支付、云护理、在线处方流转业务、商保 等创新业务，实现创收约</w:t>
      </w:r>
      <w:r>
        <w:rPr>
          <w:rFonts w:ascii="Times New Roman" w:eastAsia="Times New Roman" w:hAnsi="Times New Roman" w:cs="Times New Roman"/>
          <w:color w:val="000000"/>
          <w:spacing w:val="0"/>
          <w:w w:val="100"/>
          <w:position w:val="0"/>
        </w:rPr>
        <w:t>11,200</w:t>
      </w:r>
      <w:r>
        <w:rPr>
          <w:color w:val="000000"/>
          <w:spacing w:val="0"/>
          <w:w w:val="100"/>
          <w:position w:val="0"/>
        </w:rPr>
        <w:t>万元</w:t>
      </w:r>
      <w:r>
        <w:rPr>
          <w:color w:val="000000"/>
          <w:spacing w:val="0"/>
          <w:w w:val="100"/>
          <w:position w:val="0"/>
        </w:rPr>
        <w:t>，</w:t>
      </w:r>
      <w:r>
        <w:rPr>
          <w:color w:val="000000"/>
          <w:spacing w:val="0"/>
          <w:w w:val="100"/>
          <w:position w:val="0"/>
        </w:rPr>
        <w:t>较去年同期增长约</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5"/>
        <w:keepNext w:val="0"/>
        <w:keepLines w:val="0"/>
        <w:widowControl w:val="0"/>
        <w:shd w:val="clear" w:color="auto" w:fill="auto"/>
        <w:bidi w:val="0"/>
        <w:spacing w:before="0" w:after="0" w:line="313" w:lineRule="exact"/>
        <w:ind w:left="0" w:right="0"/>
        <w:jc w:val="both"/>
      </w:pPr>
      <w:bookmarkStart w:id="116" w:name="bookmark116"/>
      <w:r>
        <w:rPr>
          <w:b/>
          <w:bCs/>
          <w:color w:val="000000"/>
          <w:spacing w:val="0"/>
          <w:w w:val="100"/>
          <w:position w:val="0"/>
        </w:rPr>
        <w:t>（</w:t>
      </w:r>
      <w:bookmarkEnd w:id="116"/>
      <w:r>
        <w:rPr>
          <w:b/>
          <w:bCs/>
          <w:color w:val="000000"/>
          <w:spacing w:val="0"/>
          <w:w w:val="100"/>
          <w:position w:val="0"/>
        </w:rPr>
        <w:t>1）医疗互联网场景整体运营情况</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报告期内，公司控股子公司银川慧康互联网医院有限公司取得互联网医院执业许可证，对公司建立互联网诊疗平台、打 造医疗服务闭环、创建互联网+医疗健康项目的运营具有里程碑意义，这也是公司布局全国健康城市运营的关键之举。未来， 银川慧康互联网医院将结合公司在医卫健信息化领域的优势，充分运用互联网、大数据科技赋能优质医疗资源、医疗服务， 为患者打造精准、高效的医疗服务新体验。</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互联网医院业务：近年来，医院开展互联网医疗需求高涨。报告期内，互联网医院及区域性的互联网项目客户数量继续 保持增长，新增接入医疗机构</w:t>
      </w:r>
      <w:r>
        <w:rPr>
          <w:rFonts w:ascii="Times New Roman" w:eastAsia="Times New Roman" w:hAnsi="Times New Roman" w:cs="Times New Roman"/>
          <w:color w:val="000000"/>
          <w:spacing w:val="0"/>
          <w:w w:val="100"/>
          <w:position w:val="0"/>
        </w:rPr>
        <w:t>300</w:t>
      </w:r>
      <w:r>
        <w:rPr>
          <w:color w:val="000000"/>
          <w:spacing w:val="0"/>
          <w:w w:val="100"/>
          <w:position w:val="0"/>
        </w:rPr>
        <w:t>多家，较上年度同比增长逾</w:t>
      </w:r>
      <w:r>
        <w:rPr>
          <w:rFonts w:ascii="Times New Roman" w:eastAsia="Times New Roman" w:hAnsi="Times New Roman" w:cs="Times New Roman"/>
          <w:color w:val="000000"/>
          <w:spacing w:val="0"/>
          <w:w w:val="100"/>
          <w:position w:val="0"/>
        </w:rPr>
        <w:t>70%</w:t>
      </w:r>
      <w:r>
        <w:rPr>
          <w:color w:val="000000"/>
          <w:spacing w:val="0"/>
          <w:w w:val="100"/>
          <w:position w:val="0"/>
        </w:rPr>
        <w:t>，增速较快；参与互联网医院公有云（接入互联网医院平 台和区域互联网）和私有云的建设已逾</w:t>
      </w:r>
      <w:r>
        <w:rPr>
          <w:rFonts w:ascii="Times New Roman" w:eastAsia="Times New Roman" w:hAnsi="Times New Roman" w:cs="Times New Roman"/>
          <w:color w:val="000000"/>
          <w:spacing w:val="0"/>
          <w:w w:val="100"/>
          <w:position w:val="0"/>
        </w:rPr>
        <w:t>700</w:t>
      </w:r>
      <w:r>
        <w:rPr>
          <w:color w:val="000000"/>
          <w:spacing w:val="0"/>
          <w:w w:val="100"/>
          <w:position w:val="0"/>
        </w:rPr>
        <w:t>家；此外，</w:t>
      </w:r>
      <w:r>
        <w:rPr>
          <w:rFonts w:ascii="Times New Roman" w:eastAsia="Times New Roman" w:hAnsi="Times New Roman" w:cs="Times New Roman"/>
          <w:color w:val="000000"/>
          <w:spacing w:val="0"/>
          <w:w w:val="100"/>
          <w:position w:val="0"/>
        </w:rPr>
        <w:t>SAAS</w:t>
      </w:r>
      <w:r>
        <w:rPr>
          <w:color w:val="000000"/>
          <w:spacing w:val="0"/>
          <w:w w:val="100"/>
          <w:position w:val="0"/>
        </w:rPr>
        <w:t>互联网医院平台咨询</w:t>
      </w:r>
      <w:r>
        <w:rPr>
          <w:rFonts w:ascii="Times New Roman" w:eastAsia="Times New Roman" w:hAnsi="Times New Roman" w:cs="Times New Roman"/>
          <w:color w:val="000000"/>
          <w:spacing w:val="0"/>
          <w:w w:val="100"/>
          <w:position w:val="0"/>
        </w:rPr>
        <w:t>+</w:t>
      </w:r>
      <w:r>
        <w:rPr>
          <w:color w:val="000000"/>
          <w:spacing w:val="0"/>
          <w:w w:val="100"/>
          <w:position w:val="0"/>
        </w:rPr>
        <w:t>复诊</w:t>
      </w:r>
      <w:r>
        <w:rPr>
          <w:rFonts w:ascii="Times New Roman" w:eastAsia="Times New Roman" w:hAnsi="Times New Roman" w:cs="Times New Roman"/>
          <w:color w:val="000000"/>
          <w:spacing w:val="0"/>
          <w:w w:val="100"/>
          <w:position w:val="0"/>
        </w:rPr>
        <w:t>+</w:t>
      </w:r>
      <w:r>
        <w:rPr>
          <w:color w:val="000000"/>
          <w:spacing w:val="0"/>
          <w:w w:val="100"/>
          <w:position w:val="0"/>
        </w:rPr>
        <w:t>药品</w:t>
      </w:r>
      <w:r>
        <w:rPr>
          <w:rFonts w:ascii="Times New Roman" w:eastAsia="Times New Roman" w:hAnsi="Times New Roman" w:cs="Times New Roman"/>
          <w:color w:val="000000"/>
          <w:spacing w:val="0"/>
          <w:w w:val="100"/>
          <w:position w:val="0"/>
        </w:rPr>
        <w:t>+</w:t>
      </w:r>
      <w:r>
        <w:rPr>
          <w:color w:val="000000"/>
          <w:spacing w:val="0"/>
          <w:w w:val="100"/>
          <w:position w:val="0"/>
        </w:rPr>
        <w:t>医技总单数约</w:t>
      </w:r>
      <w:r>
        <w:rPr>
          <w:rFonts w:ascii="Times New Roman" w:eastAsia="Times New Roman" w:hAnsi="Times New Roman" w:cs="Times New Roman"/>
          <w:color w:val="000000"/>
          <w:spacing w:val="0"/>
          <w:w w:val="100"/>
          <w:position w:val="0"/>
        </w:rPr>
        <w:t>37</w:t>
      </w:r>
      <w:r>
        <w:rPr>
          <w:color w:val="000000"/>
          <w:spacing w:val="0"/>
          <w:w w:val="100"/>
          <w:position w:val="0"/>
        </w:rPr>
        <w:t>万单，订单总 金额逾</w:t>
      </w:r>
      <w:r>
        <w:rPr>
          <w:rFonts w:ascii="Times New Roman" w:eastAsia="Times New Roman" w:hAnsi="Times New Roman" w:cs="Times New Roman"/>
          <w:color w:val="000000"/>
          <w:spacing w:val="0"/>
          <w:w w:val="100"/>
          <w:position w:val="0"/>
        </w:rPr>
        <w:t>2600</w:t>
      </w:r>
      <w:r>
        <w:rPr>
          <w:color w:val="000000"/>
          <w:spacing w:val="0"/>
          <w:w w:val="100"/>
          <w:position w:val="0"/>
        </w:rPr>
        <w:t>万元。</w:t>
      </w:r>
    </w:p>
    <w:p>
      <w:pPr>
        <w:pStyle w:val="Style15"/>
        <w:keepNext w:val="0"/>
        <w:keepLines w:val="0"/>
        <w:widowControl w:val="0"/>
        <w:shd w:val="clear" w:color="auto" w:fill="auto"/>
        <w:bidi w:val="0"/>
        <w:spacing w:before="0" w:after="0" w:line="313" w:lineRule="exact"/>
        <w:ind w:left="0" w:right="0"/>
        <w:jc w:val="both"/>
      </w:pPr>
      <w:r>
        <w:rPr>
          <w:b/>
          <w:bCs/>
          <w:color w:val="000000"/>
          <w:spacing w:val="0"/>
          <w:w w:val="100"/>
          <w:position w:val="0"/>
        </w:rPr>
        <w:t>处方流转业务：</w:t>
      </w:r>
      <w:r>
        <w:rPr>
          <w:color w:val="000000"/>
          <w:spacing w:val="0"/>
          <w:w w:val="100"/>
          <w:position w:val="0"/>
        </w:rPr>
        <w:t xml:space="preserve">报告期内，公司以区域多家医院模式和单家医院模式相结合的方式，通过处方共享云平台等“互联网+ </w:t>
      </w:r>
      <w:r>
        <w:rPr>
          <w:color w:val="000000"/>
          <w:spacing w:val="0"/>
          <w:w w:val="100"/>
          <w:position w:val="0"/>
        </w:rPr>
        <w:t>医疗”运营服务平台开展在线处方流转，已接入</w:t>
      </w:r>
      <w:r>
        <w:rPr>
          <w:rFonts w:ascii="Times New Roman" w:eastAsia="Times New Roman" w:hAnsi="Times New Roman" w:cs="Times New Roman"/>
          <w:color w:val="000000"/>
          <w:spacing w:val="0"/>
          <w:w w:val="100"/>
          <w:position w:val="0"/>
        </w:rPr>
        <w:t>180</w:t>
      </w:r>
      <w:r>
        <w:rPr>
          <w:color w:val="000000"/>
          <w:spacing w:val="0"/>
          <w:w w:val="100"/>
          <w:position w:val="0"/>
        </w:rPr>
        <w:t>多家医疗机构和商户。</w:t>
      </w:r>
    </w:p>
    <w:p>
      <w:pPr>
        <w:pStyle w:val="Style15"/>
        <w:keepNext w:val="0"/>
        <w:keepLines w:val="0"/>
        <w:widowControl w:val="0"/>
        <w:shd w:val="clear" w:color="auto" w:fill="auto"/>
        <w:bidi w:val="0"/>
        <w:spacing w:before="0" w:after="0" w:line="312" w:lineRule="exact"/>
        <w:ind w:left="0" w:right="0"/>
        <w:jc w:val="both"/>
      </w:pPr>
      <w:r>
        <w:rPr>
          <w:b/>
          <w:bCs/>
          <w:color w:val="000000"/>
          <w:spacing w:val="0"/>
          <w:w w:val="100"/>
          <w:position w:val="0"/>
        </w:rPr>
        <w:t>商业保险理赔运营业务：</w:t>
      </w:r>
      <w:r>
        <w:rPr>
          <w:color w:val="000000"/>
          <w:spacing w:val="0"/>
          <w:w w:val="100"/>
          <w:position w:val="0"/>
        </w:rPr>
        <w:t>公司以“健康中山”商保理赔运营业务合作经验为基础，积极拓展了线上商业保险理赔业务 的应用场景和运营模式。截至目前，公司已在</w:t>
      </w:r>
      <w:r>
        <w:rPr>
          <w:rFonts w:ascii="Times New Roman" w:eastAsia="Times New Roman" w:hAnsi="Times New Roman" w:cs="Times New Roman"/>
          <w:color w:val="000000"/>
          <w:spacing w:val="0"/>
          <w:w w:val="100"/>
          <w:position w:val="0"/>
        </w:rPr>
        <w:t>100</w:t>
      </w:r>
      <w:r>
        <w:rPr>
          <w:color w:val="000000"/>
          <w:spacing w:val="0"/>
          <w:w w:val="100"/>
          <w:position w:val="0"/>
        </w:rPr>
        <w:t>多家医疗机构落地了商保服务。同时，公司积极探索为高端私立医院打造 全流程商保的服务体系，以商保服务平台为工具优化商保服务流程，通过已有的商保资源建立公司与医院的合作关系，从而 为医院进行导流。</w:t>
      </w:r>
    </w:p>
    <w:p>
      <w:pPr>
        <w:pStyle w:val="Style15"/>
        <w:keepNext w:val="0"/>
        <w:keepLines w:val="0"/>
        <w:widowControl w:val="0"/>
        <w:shd w:val="clear" w:color="auto" w:fill="auto"/>
        <w:bidi w:val="0"/>
        <w:spacing w:before="0" w:after="0" w:line="312" w:lineRule="exact"/>
        <w:ind w:left="0" w:right="0"/>
        <w:jc w:val="both"/>
      </w:pPr>
      <w:r>
        <w:rPr>
          <w:b/>
          <w:bCs/>
          <w:color w:val="000000"/>
          <w:spacing w:val="0"/>
          <w:w w:val="100"/>
          <w:position w:val="0"/>
        </w:rPr>
        <w:t>聚合支付业务：</w:t>
      </w:r>
      <w:r>
        <w:rPr>
          <w:color w:val="000000"/>
          <w:spacing w:val="0"/>
          <w:w w:val="100"/>
          <w:position w:val="0"/>
        </w:rPr>
        <w:t>报告期内，公司聚合支付业务平台累计接入商户持续增长，新增接入商户</w:t>
      </w:r>
      <w:r>
        <w:rPr>
          <w:rFonts w:ascii="Times New Roman" w:eastAsia="Times New Roman" w:hAnsi="Times New Roman" w:cs="Times New Roman"/>
          <w:color w:val="000000"/>
          <w:spacing w:val="0"/>
          <w:w w:val="100"/>
          <w:position w:val="0"/>
        </w:rPr>
        <w:t>200</w:t>
      </w:r>
      <w:r>
        <w:rPr>
          <w:color w:val="000000"/>
          <w:spacing w:val="0"/>
          <w:w w:val="100"/>
          <w:position w:val="0"/>
        </w:rPr>
        <w:t>多家，累计有</w:t>
      </w:r>
      <w:r>
        <w:rPr>
          <w:rFonts w:ascii="Times New Roman" w:eastAsia="Times New Roman" w:hAnsi="Times New Roman" w:cs="Times New Roman"/>
          <w:color w:val="000000"/>
          <w:spacing w:val="0"/>
          <w:w w:val="100"/>
          <w:position w:val="0"/>
        </w:rPr>
        <w:t>1300</w:t>
      </w:r>
      <w:r>
        <w:rPr>
          <w:color w:val="000000"/>
          <w:spacing w:val="0"/>
          <w:w w:val="100"/>
          <w:position w:val="0"/>
        </w:rPr>
        <w:t>多家商 户接入；聚合支付业务支付笔数近</w:t>
      </w:r>
      <w:r>
        <w:rPr>
          <w:rFonts w:ascii="Times New Roman" w:eastAsia="Times New Roman" w:hAnsi="Times New Roman" w:cs="Times New Roman"/>
          <w:color w:val="000000"/>
          <w:spacing w:val="0"/>
          <w:w w:val="100"/>
          <w:position w:val="0"/>
        </w:rPr>
        <w:t>7000</w:t>
      </w:r>
      <w:r>
        <w:rPr>
          <w:color w:val="000000"/>
          <w:spacing w:val="0"/>
          <w:w w:val="100"/>
          <w:position w:val="0"/>
        </w:rPr>
        <w:t>万笔，实现交易额逾</w:t>
      </w:r>
      <w:r>
        <w:rPr>
          <w:rFonts w:ascii="Times New Roman" w:eastAsia="Times New Roman" w:hAnsi="Times New Roman" w:cs="Times New Roman"/>
          <w:color w:val="000000"/>
          <w:spacing w:val="0"/>
          <w:w w:val="100"/>
          <w:position w:val="0"/>
        </w:rPr>
        <w:t>130</w:t>
      </w:r>
      <w:r>
        <w:rPr>
          <w:color w:val="000000"/>
          <w:spacing w:val="0"/>
          <w:w w:val="100"/>
          <w:position w:val="0"/>
        </w:rPr>
        <w:t>亿元。</w:t>
      </w:r>
    </w:p>
    <w:p>
      <w:pPr>
        <w:pStyle w:val="Style15"/>
        <w:keepNext w:val="0"/>
        <w:keepLines w:val="0"/>
        <w:widowControl w:val="0"/>
        <w:shd w:val="clear" w:color="auto" w:fill="auto"/>
        <w:bidi w:val="0"/>
        <w:spacing w:before="0" w:after="0" w:line="312" w:lineRule="exact"/>
        <w:ind w:left="0" w:right="0"/>
        <w:jc w:val="both"/>
      </w:pPr>
      <w:r>
        <w:rPr>
          <w:b/>
          <w:bCs/>
          <w:color w:val="000000"/>
          <w:spacing w:val="0"/>
          <w:w w:val="100"/>
          <w:position w:val="0"/>
        </w:rPr>
        <w:t>云护理服务业务：</w:t>
      </w:r>
      <w:r>
        <w:rPr>
          <w:color w:val="000000"/>
          <w:spacing w:val="0"/>
          <w:w w:val="100"/>
          <w:position w:val="0"/>
        </w:rPr>
        <w:t>报告期内，公司加强技术基础和运营的整合能力，护理云平台的业务保持较快的增长趋势。报告期内， 发生服务订单数量较去年同期增长逾</w:t>
      </w:r>
      <w:r>
        <w:rPr>
          <w:rFonts w:ascii="Times New Roman" w:eastAsia="Times New Roman" w:hAnsi="Times New Roman" w:cs="Times New Roman"/>
          <w:color w:val="000000"/>
          <w:spacing w:val="0"/>
          <w:w w:val="100"/>
          <w:position w:val="0"/>
        </w:rPr>
        <w:t>100%</w:t>
      </w:r>
      <w:r>
        <w:rPr>
          <w:color w:val="000000"/>
          <w:spacing w:val="0"/>
          <w:w w:val="100"/>
          <w:position w:val="0"/>
        </w:rPr>
        <w:t>，运营流水较去年同期增长逾</w:t>
      </w:r>
      <w:r>
        <w:rPr>
          <w:rFonts w:ascii="Times New Roman" w:eastAsia="Times New Roman" w:hAnsi="Times New Roman" w:cs="Times New Roman"/>
          <w:color w:val="000000"/>
          <w:spacing w:val="0"/>
          <w:w w:val="100"/>
          <w:position w:val="0"/>
        </w:rPr>
        <w:t>80%</w:t>
      </w:r>
      <w:r>
        <w:rPr>
          <w:color w:val="000000"/>
          <w:spacing w:val="0"/>
          <w:w w:val="100"/>
          <w:position w:val="0"/>
        </w:rPr>
        <w:t>。此外，公司云护理服务的技术和模式已较为 成熟，具备异地复制的能力和类似业务拓展的条件。截至报告期末，已接入商户和机构逾</w:t>
      </w:r>
      <w:r>
        <w:rPr>
          <w:rFonts w:ascii="Times New Roman" w:eastAsia="Times New Roman" w:hAnsi="Times New Roman" w:cs="Times New Roman"/>
          <w:color w:val="000000"/>
          <w:spacing w:val="0"/>
          <w:w w:val="100"/>
          <w:position w:val="0"/>
        </w:rPr>
        <w:t>100</w:t>
      </w:r>
      <w:r>
        <w:rPr>
          <w:color w:val="000000"/>
          <w:spacing w:val="0"/>
          <w:w w:val="100"/>
          <w:position w:val="0"/>
        </w:rPr>
        <w:t>家。</w:t>
      </w:r>
    </w:p>
    <w:p>
      <w:pPr>
        <w:pStyle w:val="Style15"/>
        <w:keepNext w:val="0"/>
        <w:keepLines w:val="0"/>
        <w:widowControl w:val="0"/>
        <w:shd w:val="clear" w:color="auto" w:fill="auto"/>
        <w:bidi w:val="0"/>
        <w:spacing w:before="0" w:after="0" w:line="312" w:lineRule="exact"/>
        <w:ind w:left="0" w:right="0"/>
        <w:jc w:val="both"/>
      </w:pPr>
      <w:r>
        <w:rPr>
          <w:b/>
          <w:bCs/>
          <w:color w:val="000000"/>
          <w:spacing w:val="0"/>
          <w:w w:val="100"/>
          <w:position w:val="0"/>
        </w:rPr>
        <w:t>多学科远程医疗云平台运营业务：</w:t>
      </w:r>
      <w:r>
        <w:rPr>
          <w:color w:val="000000"/>
          <w:spacing w:val="0"/>
          <w:w w:val="100"/>
          <w:position w:val="0"/>
        </w:rPr>
        <w:t>公司采用诊断级的图像和“互联网+”的平台技术，将各类大型知名医院专家资源聚 合，通过云</w:t>
      </w:r>
      <w:r>
        <w:rPr>
          <w:rFonts w:ascii="Times New Roman" w:eastAsia="Times New Roman" w:hAnsi="Times New Roman" w:cs="Times New Roman"/>
          <w:color w:val="000000"/>
          <w:spacing w:val="0"/>
          <w:w w:val="100"/>
          <w:position w:val="0"/>
        </w:rPr>
        <w:t>MDT</w:t>
      </w:r>
      <w:r>
        <w:rPr>
          <w:color w:val="000000"/>
          <w:spacing w:val="0"/>
          <w:w w:val="100"/>
          <w:position w:val="0"/>
        </w:rPr>
        <w:t>、</w:t>
      </w:r>
      <w:r>
        <w:rPr>
          <w:color w:val="000000"/>
          <w:spacing w:val="0"/>
          <w:w w:val="100"/>
          <w:position w:val="0"/>
        </w:rPr>
        <w:t>云病理和云影像等互联网协同诊断手段，在线上为患者实现多学科、多机构、多专家的</w:t>
      </w:r>
      <w:r>
        <w:rPr>
          <w:rFonts w:ascii="Times New Roman" w:eastAsia="Times New Roman" w:hAnsi="Times New Roman" w:cs="Times New Roman"/>
          <w:color w:val="000000"/>
          <w:spacing w:val="0"/>
          <w:w w:val="100"/>
          <w:position w:val="0"/>
        </w:rPr>
        <w:t>MDT</w:t>
      </w:r>
      <w:r>
        <w:rPr>
          <w:color w:val="000000"/>
          <w:spacing w:val="0"/>
          <w:w w:val="100"/>
          <w:position w:val="0"/>
        </w:rPr>
        <w:t>全程协同诊 疗的互联网运营服务。报告期内，公司通过公有云和私有云部署的“多学科远程医疗云平台”新增接入</w:t>
      </w:r>
      <w:r>
        <w:rPr>
          <w:rFonts w:ascii="Times New Roman" w:eastAsia="Times New Roman" w:hAnsi="Times New Roman" w:cs="Times New Roman"/>
          <w:color w:val="000000"/>
          <w:spacing w:val="0"/>
          <w:w w:val="100"/>
          <w:position w:val="0"/>
        </w:rPr>
        <w:t>400</w:t>
      </w:r>
      <w:r>
        <w:rPr>
          <w:color w:val="000000"/>
          <w:spacing w:val="0"/>
          <w:w w:val="100"/>
          <w:position w:val="0"/>
        </w:rPr>
        <w:t>多家医疗机构； 截至目前，公司多学科远程医疗云平台已累计接入</w:t>
      </w:r>
      <w:r>
        <w:rPr>
          <w:rFonts w:ascii="Times New Roman" w:eastAsia="Times New Roman" w:hAnsi="Times New Roman" w:cs="Times New Roman"/>
          <w:color w:val="000000"/>
          <w:spacing w:val="0"/>
          <w:w w:val="100"/>
          <w:position w:val="0"/>
        </w:rPr>
        <w:t>1800</w:t>
      </w:r>
      <w:r>
        <w:rPr>
          <w:color w:val="000000"/>
          <w:spacing w:val="0"/>
          <w:w w:val="100"/>
          <w:position w:val="0"/>
        </w:rPr>
        <w:t>多家医疗机构。</w:t>
      </w:r>
    </w:p>
    <w:p>
      <w:pPr>
        <w:pStyle w:val="Style15"/>
        <w:keepNext w:val="0"/>
        <w:keepLines w:val="0"/>
        <w:widowControl w:val="0"/>
        <w:shd w:val="clear" w:color="auto" w:fill="auto"/>
        <w:tabs>
          <w:tab w:pos="773" w:val="left"/>
        </w:tabs>
        <w:bidi w:val="0"/>
        <w:spacing w:before="0" w:after="0" w:line="312" w:lineRule="exact"/>
        <w:ind w:left="0" w:right="0"/>
        <w:jc w:val="both"/>
      </w:pPr>
      <w:bookmarkStart w:id="117" w:name="bookmark117"/>
      <w:r>
        <w:rPr>
          <w:b/>
          <w:bCs/>
          <w:color w:val="000000"/>
          <w:spacing w:val="0"/>
          <w:w w:val="100"/>
          <w:position w:val="0"/>
        </w:rPr>
        <w:t>（</w:t>
      </w:r>
      <w:bookmarkEnd w:id="117"/>
      <w:r>
        <w:rPr>
          <w:b/>
          <w:bCs/>
          <w:color w:val="000000"/>
          <w:spacing w:val="0"/>
          <w:w w:val="100"/>
          <w:position w:val="0"/>
        </w:rPr>
        <w:t>2）</w:t>
        <w:tab/>
        <w:t>健康城市业务情况</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报告期内，“健康中山”、“健康温州”建设平稳推进，为公司“医疗+互联网”多场景创新运营业务的开展奠定扎实 得基础。</w:t>
      </w:r>
    </w:p>
    <w:p>
      <w:pPr>
        <w:pStyle w:val="Style15"/>
        <w:keepNext w:val="0"/>
        <w:keepLines w:val="0"/>
        <w:widowControl w:val="0"/>
        <w:numPr>
          <w:ilvl w:val="0"/>
          <w:numId w:val="9"/>
        </w:numPr>
        <w:shd w:val="clear" w:color="auto" w:fill="auto"/>
        <w:tabs>
          <w:tab w:pos="696" w:val="left"/>
        </w:tabs>
        <w:bidi w:val="0"/>
        <w:spacing w:before="0" w:after="0" w:line="312" w:lineRule="exact"/>
        <w:ind w:left="0" w:right="0"/>
        <w:jc w:val="both"/>
      </w:pPr>
      <w:bookmarkStart w:id="118" w:name="bookmark118"/>
      <w:bookmarkEnd w:id="118"/>
      <w:r>
        <w:rPr>
          <w:color w:val="000000"/>
          <w:spacing w:val="0"/>
          <w:w w:val="100"/>
          <w:position w:val="0"/>
        </w:rPr>
        <w:t>健康中山</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在国家卫健委统计信息中心发布的地市级城市卫生健康信息化发展综合指数（</w:t>
      </w:r>
      <w:r>
        <w:rPr>
          <w:rFonts w:ascii="Times New Roman" w:eastAsia="Times New Roman" w:hAnsi="Times New Roman" w:cs="Times New Roman"/>
          <w:color w:val="000000"/>
          <w:spacing w:val="0"/>
          <w:w w:val="100"/>
          <w:position w:val="0"/>
        </w:rPr>
        <w:t>2021</w:t>
      </w:r>
      <w:r>
        <w:rPr>
          <w:color w:val="000000"/>
          <w:spacing w:val="0"/>
          <w:w w:val="100"/>
          <w:position w:val="0"/>
        </w:rPr>
        <w:t>）排名中，中山市名列第一。报告期 内，公司深度运营、创新开拓，不断探索多样化业务运营方式，新增上线了广告投放、健康保险、秒杀社群等多项创新业务， 为向全国推出新的产品服务模式持续发挥试验田作用。</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截至报告期末，“健康中山” </w:t>
      </w:r>
      <w:r>
        <w:rPr>
          <w:rFonts w:ascii="Times New Roman" w:eastAsia="Times New Roman" w:hAnsi="Times New Roman" w:cs="Times New Roman"/>
          <w:color w:val="000000"/>
          <w:spacing w:val="0"/>
          <w:w w:val="100"/>
          <w:position w:val="0"/>
        </w:rPr>
        <w:t>APP</w:t>
      </w:r>
      <w:r>
        <w:rPr>
          <w:color w:val="000000"/>
          <w:spacing w:val="0"/>
          <w:w w:val="100"/>
          <w:position w:val="0"/>
        </w:rPr>
        <w:t>注册数与中山市常住人口基本持平，累计注册用户达到</w:t>
      </w:r>
      <w:r>
        <w:rPr>
          <w:rFonts w:ascii="Times New Roman" w:eastAsia="Times New Roman" w:hAnsi="Times New Roman" w:cs="Times New Roman"/>
          <w:color w:val="000000"/>
          <w:spacing w:val="0"/>
          <w:w w:val="100"/>
          <w:position w:val="0"/>
        </w:rPr>
        <w:t>270</w:t>
      </w:r>
      <w:r>
        <w:rPr>
          <w:color w:val="000000"/>
          <w:spacing w:val="0"/>
          <w:w w:val="100"/>
          <w:position w:val="0"/>
        </w:rPr>
        <w:t>多万，建立健康档案</w:t>
      </w:r>
      <w:r>
        <w:rPr>
          <w:rFonts w:ascii="Times New Roman" w:eastAsia="Times New Roman" w:hAnsi="Times New Roman" w:cs="Times New Roman"/>
          <w:color w:val="000000"/>
          <w:spacing w:val="0"/>
          <w:w w:val="100"/>
          <w:position w:val="0"/>
        </w:rPr>
        <w:t xml:space="preserve">300 </w:t>
      </w:r>
      <w:r>
        <w:rPr>
          <w:color w:val="000000"/>
          <w:spacing w:val="0"/>
          <w:w w:val="100"/>
          <w:position w:val="0"/>
        </w:rPr>
        <w:t>多万份；“健康中山”公众号粉丝总量达到约</w:t>
      </w:r>
      <w:r>
        <w:rPr>
          <w:rFonts w:ascii="Times New Roman" w:eastAsia="Times New Roman" w:hAnsi="Times New Roman" w:cs="Times New Roman"/>
          <w:color w:val="000000"/>
          <w:spacing w:val="0"/>
          <w:w w:val="100"/>
          <w:position w:val="0"/>
        </w:rPr>
        <w:t>47</w:t>
      </w:r>
      <w:r>
        <w:rPr>
          <w:color w:val="000000"/>
          <w:spacing w:val="0"/>
          <w:w w:val="100"/>
          <w:position w:val="0"/>
        </w:rPr>
        <w:t>万人；预约挂号累计上传号源约</w:t>
      </w:r>
      <w:r>
        <w:rPr>
          <w:rFonts w:ascii="Times New Roman" w:eastAsia="Times New Roman" w:hAnsi="Times New Roman" w:cs="Times New Roman"/>
          <w:color w:val="000000"/>
          <w:spacing w:val="0"/>
          <w:w w:val="100"/>
          <w:position w:val="0"/>
        </w:rPr>
        <w:t>2700</w:t>
      </w:r>
      <w:r>
        <w:rPr>
          <w:color w:val="000000"/>
          <w:spacing w:val="0"/>
          <w:w w:val="100"/>
          <w:position w:val="0"/>
        </w:rPr>
        <w:t>万，较去年年末大幅增长。在中山市， 已与</w:t>
      </w:r>
      <w:r>
        <w:rPr>
          <w:rFonts w:ascii="Times New Roman" w:eastAsia="Times New Roman" w:hAnsi="Times New Roman" w:cs="Times New Roman"/>
          <w:color w:val="000000"/>
          <w:spacing w:val="0"/>
          <w:w w:val="100"/>
          <w:position w:val="0"/>
        </w:rPr>
        <w:t>14</w:t>
      </w:r>
      <w:r>
        <w:rPr>
          <w:color w:val="000000"/>
          <w:spacing w:val="0"/>
          <w:w w:val="100"/>
          <w:position w:val="0"/>
        </w:rPr>
        <w:t>家互联网医院开展合作，为患者提供便捷线上医疗服务；同时，处方流转平台也已接入</w:t>
      </w:r>
      <w:r>
        <w:rPr>
          <w:rFonts w:ascii="Times New Roman" w:eastAsia="Times New Roman" w:hAnsi="Times New Roman" w:cs="Times New Roman"/>
          <w:color w:val="000000"/>
          <w:spacing w:val="0"/>
          <w:w w:val="100"/>
          <w:position w:val="0"/>
        </w:rPr>
        <w:t>100</w:t>
      </w:r>
      <w:r>
        <w:rPr>
          <w:color w:val="000000"/>
          <w:spacing w:val="0"/>
          <w:w w:val="100"/>
          <w:position w:val="0"/>
        </w:rPr>
        <w:t>多家药店和</w:t>
      </w:r>
      <w:r>
        <w:rPr>
          <w:rFonts w:ascii="Times New Roman" w:eastAsia="Times New Roman" w:hAnsi="Times New Roman" w:cs="Times New Roman"/>
          <w:color w:val="000000"/>
          <w:spacing w:val="0"/>
          <w:w w:val="100"/>
          <w:position w:val="0"/>
        </w:rPr>
        <w:t>3</w:t>
      </w:r>
      <w:r>
        <w:rPr>
          <w:color w:val="000000"/>
          <w:spacing w:val="0"/>
          <w:w w:val="100"/>
          <w:position w:val="0"/>
        </w:rPr>
        <w:t>家三甲医院， 并开放心血管内科、内分泌科的处方流转，累计上线药品近</w:t>
      </w:r>
      <w:r>
        <w:rPr>
          <w:rFonts w:ascii="Times New Roman" w:eastAsia="Times New Roman" w:hAnsi="Times New Roman" w:cs="Times New Roman"/>
          <w:color w:val="000000"/>
          <w:spacing w:val="0"/>
          <w:w w:val="100"/>
          <w:position w:val="0"/>
        </w:rPr>
        <w:t>700</w:t>
      </w:r>
      <w:r>
        <w:rPr>
          <w:color w:val="000000"/>
          <w:spacing w:val="0"/>
          <w:w w:val="100"/>
          <w:position w:val="0"/>
        </w:rPr>
        <w:t xml:space="preserve">种。此外，“健康中山” </w:t>
      </w:r>
      <w:r>
        <w:rPr>
          <w:rFonts w:ascii="Times New Roman" w:eastAsia="Times New Roman" w:hAnsi="Times New Roman" w:cs="Times New Roman"/>
          <w:color w:val="000000"/>
          <w:spacing w:val="0"/>
          <w:w w:val="100"/>
          <w:position w:val="0"/>
        </w:rPr>
        <w:t>APP</w:t>
      </w:r>
      <w:r>
        <w:rPr>
          <w:color w:val="000000"/>
          <w:spacing w:val="0"/>
          <w:w w:val="100"/>
          <w:position w:val="0"/>
        </w:rPr>
        <w:t>作为中山市线上预约接种的唯 一渠道，为中山市接种工作的有序推进作出重要贡献。</w:t>
      </w:r>
    </w:p>
    <w:p>
      <w:pPr>
        <w:pStyle w:val="Style15"/>
        <w:keepNext w:val="0"/>
        <w:keepLines w:val="0"/>
        <w:widowControl w:val="0"/>
        <w:numPr>
          <w:ilvl w:val="0"/>
          <w:numId w:val="9"/>
        </w:numPr>
        <w:shd w:val="clear" w:color="auto" w:fill="auto"/>
        <w:tabs>
          <w:tab w:pos="696" w:val="left"/>
        </w:tabs>
        <w:bidi w:val="0"/>
        <w:spacing w:before="0" w:after="0" w:line="312" w:lineRule="exact"/>
        <w:ind w:left="0" w:right="0"/>
        <w:jc w:val="both"/>
      </w:pPr>
      <w:bookmarkStart w:id="119" w:name="bookmark119"/>
      <w:bookmarkEnd w:id="119"/>
      <w:r>
        <w:rPr>
          <w:color w:val="000000"/>
          <w:spacing w:val="0"/>
          <w:w w:val="100"/>
          <w:position w:val="0"/>
        </w:rPr>
        <w:t>健康温州</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报告期内，“健康温州”项目建设顺利推进，温州市慢病管理平台发布并上线，其中包含健康评估、慢病续方、健康管 家等多项业务；报告期内，“健康温州</w:t>
      </w:r>
      <w:r>
        <w:rPr>
          <w:color w:val="000000"/>
          <w:spacing w:val="0"/>
          <w:w w:val="100"/>
          <w:position w:val="0"/>
          <w:sz w:val="18"/>
          <w:szCs w:val="18"/>
        </w:rPr>
        <w:t>”APP</w:t>
      </w:r>
      <w:r>
        <w:rPr>
          <w:color w:val="000000"/>
          <w:spacing w:val="0"/>
          <w:w w:val="100"/>
          <w:position w:val="0"/>
        </w:rPr>
        <w:t>和统一门户网站正式发布，“健康温州</w:t>
      </w:r>
      <w:r>
        <w:rPr>
          <w:color w:val="000000"/>
          <w:spacing w:val="0"/>
          <w:w w:val="100"/>
          <w:position w:val="0"/>
          <w:sz w:val="18"/>
          <w:szCs w:val="18"/>
        </w:rPr>
        <w:t>”APP</w:t>
      </w:r>
      <w:r>
        <w:rPr>
          <w:color w:val="000000"/>
          <w:spacing w:val="0"/>
          <w:w w:val="100"/>
          <w:position w:val="0"/>
        </w:rPr>
        <w:t>共计被下载</w:t>
      </w:r>
      <w:r>
        <w:rPr>
          <w:rFonts w:ascii="Times New Roman" w:eastAsia="Times New Roman" w:hAnsi="Times New Roman" w:cs="Times New Roman"/>
          <w:color w:val="000000"/>
          <w:spacing w:val="0"/>
          <w:w w:val="100"/>
          <w:position w:val="0"/>
        </w:rPr>
        <w:t>18</w:t>
      </w:r>
      <w:r>
        <w:rPr>
          <w:color w:val="000000"/>
          <w:spacing w:val="0"/>
          <w:w w:val="100"/>
          <w:position w:val="0"/>
        </w:rPr>
        <w:t>万余人次，已接入医 疗机构约</w:t>
      </w:r>
      <w:r>
        <w:rPr>
          <w:rFonts w:ascii="Times New Roman" w:eastAsia="Times New Roman" w:hAnsi="Times New Roman" w:cs="Times New Roman"/>
          <w:color w:val="000000"/>
          <w:spacing w:val="0"/>
          <w:w w:val="100"/>
          <w:position w:val="0"/>
        </w:rPr>
        <w:t>300</w:t>
      </w:r>
      <w:r>
        <w:rPr>
          <w:color w:val="000000"/>
          <w:spacing w:val="0"/>
          <w:w w:val="100"/>
          <w:position w:val="0"/>
        </w:rPr>
        <w:t>家，并已上线</w:t>
      </w:r>
      <w:r>
        <w:rPr>
          <w:rFonts w:ascii="Times New Roman" w:eastAsia="Times New Roman" w:hAnsi="Times New Roman" w:cs="Times New Roman"/>
          <w:color w:val="000000"/>
          <w:spacing w:val="0"/>
          <w:w w:val="100"/>
          <w:position w:val="0"/>
        </w:rPr>
        <w:t>23</w:t>
      </w:r>
      <w:r>
        <w:rPr>
          <w:color w:val="000000"/>
          <w:spacing w:val="0"/>
          <w:w w:val="100"/>
          <w:position w:val="0"/>
        </w:rPr>
        <w:t>项基本医疗服务和公共卫生服务；同时，温州市未来社区试点项目也逐步开展，将分别试点上 线“健康银行积分系统”、“基层卫生未来健康场景数据中心门户”。“健康温州”项目建设得平稳推进，为公司“城市大 脑+未来社区”深度结合的创新模式和“医疗+互联网”多场景创新运营业务奠定基础。</w:t>
      </w:r>
    </w:p>
    <w:p>
      <w:pPr>
        <w:pStyle w:val="Style15"/>
        <w:keepNext w:val="0"/>
        <w:keepLines w:val="0"/>
        <w:widowControl w:val="0"/>
        <w:shd w:val="clear" w:color="auto" w:fill="auto"/>
        <w:tabs>
          <w:tab w:pos="773" w:val="left"/>
        </w:tabs>
        <w:bidi w:val="0"/>
        <w:spacing w:before="0" w:after="0" w:line="312" w:lineRule="exact"/>
        <w:ind w:left="0" w:right="0"/>
        <w:jc w:val="both"/>
      </w:pPr>
      <w:bookmarkStart w:id="120" w:name="bookmark120"/>
      <w:r>
        <w:rPr>
          <w:b/>
          <w:bCs/>
          <w:color w:val="000000"/>
          <w:spacing w:val="0"/>
          <w:w w:val="100"/>
          <w:position w:val="0"/>
        </w:rPr>
        <w:t>（</w:t>
      </w:r>
      <w:bookmarkEnd w:id="12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医疗物联网业务情况</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报告期内，公司基于“慧康云</w:t>
      </w:r>
      <w:r>
        <w:rPr>
          <w:color w:val="000000"/>
          <w:spacing w:val="0"/>
          <w:w w:val="100"/>
          <w:position w:val="0"/>
          <w:sz w:val="18"/>
          <w:szCs w:val="18"/>
        </w:rPr>
        <w:t>2.0”，</w:t>
      </w:r>
      <w:r>
        <w:rPr>
          <w:color w:val="000000"/>
          <w:spacing w:val="0"/>
          <w:w w:val="100"/>
          <w:position w:val="0"/>
        </w:rPr>
        <w:t>充分利用物联网技术，以物联网基础接入平台为核心，配套各类物联网智能设备， 赋能智慧医疗业务场景，优化医疗服务流程，创新管理模式。</w:t>
      </w:r>
    </w:p>
    <w:p>
      <w:pPr>
        <w:widowControl w:val="0"/>
        <w:jc w:val="center"/>
        <w:rPr>
          <w:sz w:val="2"/>
          <w:szCs w:val="2"/>
        </w:rPr>
      </w:pPr>
      <w:r>
        <w:drawing>
          <wp:inline>
            <wp:extent cx="4766945" cy="246888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pic:blipFill>
                  <pic:spPr>
                    <a:xfrm>
                      <a:ext cx="4766945" cy="2468880"/>
                    </a:xfrm>
                    <a:prstGeom prst="rect"/>
                  </pic:spPr>
                </pic:pic>
              </a:graphicData>
            </a:graphic>
          </wp:inline>
        </w:drawing>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报告期内，公司物联网业务有多个重点项目落地。公司运维云平台相关产品方面，包括台州医院新院区项目、福建医科 大学附属协和医院医疗设备运维管理系统项目、盐城市第一人民医院</w:t>
      </w:r>
      <w:r>
        <w:rPr>
          <w:rFonts w:ascii="Times New Roman" w:eastAsia="Times New Roman" w:hAnsi="Times New Roman" w:cs="Times New Roman"/>
          <w:color w:val="000000"/>
          <w:spacing w:val="0"/>
          <w:w w:val="100"/>
          <w:position w:val="0"/>
        </w:rPr>
        <w:t>IT</w:t>
      </w:r>
      <w:r>
        <w:rPr>
          <w:color w:val="000000"/>
          <w:spacing w:val="0"/>
          <w:w w:val="100"/>
          <w:position w:val="0"/>
        </w:rPr>
        <w:t>资产运维管理系统项目、上海市闵行区卫生健康信息 中心项目等；数字病房相关方面，建设了浙江大学医学院附属妇产科医院、浙江大学医学院附属第四医院等</w:t>
      </w:r>
      <w:r>
        <w:rPr>
          <w:rFonts w:ascii="Times New Roman" w:eastAsia="Times New Roman" w:hAnsi="Times New Roman" w:cs="Times New Roman"/>
          <w:color w:val="000000"/>
          <w:spacing w:val="0"/>
          <w:w w:val="100"/>
          <w:position w:val="0"/>
        </w:rPr>
        <w:t>8</w:t>
      </w:r>
      <w:r>
        <w:rPr>
          <w:color w:val="000000"/>
          <w:spacing w:val="0"/>
          <w:w w:val="100"/>
          <w:position w:val="0"/>
        </w:rPr>
        <w:t>家医院的数字 病房项目。</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报告期内，公司与中国医学装备协会医院物联网分会签署合作协议，双方挂牌成立“医院物联网创新协作中心”，中心 将秉持资源联动共享，智慧融通叠加的理念，实现资源共享、共同发展，加快推进物联网技术在医疗领域的应用成果转化。</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报告期内，公司根据有关要求牵头组织并采用产学研相结合的方式共同完成的“基于</w:t>
      </w:r>
      <w:r>
        <w:rPr>
          <w:rFonts w:ascii="Times New Roman" w:eastAsia="Times New Roman" w:hAnsi="Times New Roman" w:cs="Times New Roman"/>
          <w:color w:val="000000"/>
          <w:spacing w:val="0"/>
          <w:w w:val="100"/>
          <w:position w:val="0"/>
        </w:rPr>
        <w:t>5G</w:t>
      </w:r>
      <w:r>
        <w:rPr>
          <w:color w:val="000000"/>
          <w:spacing w:val="0"/>
          <w:w w:val="100"/>
          <w:position w:val="0"/>
        </w:rPr>
        <w:t>的医疗设备智能物联监控平台” 入选了国家工信部、卫健委</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医疗健康应用试点项目”。平台通过构建院内</w:t>
      </w:r>
      <w:r>
        <w:rPr>
          <w:rFonts w:ascii="Times New Roman" w:eastAsia="Times New Roman" w:hAnsi="Times New Roman" w:cs="Times New Roman"/>
          <w:color w:val="000000"/>
          <w:spacing w:val="0"/>
          <w:w w:val="100"/>
          <w:position w:val="0"/>
        </w:rPr>
        <w:t>5G</w:t>
      </w:r>
      <w:r>
        <w:rPr>
          <w:color w:val="000000"/>
          <w:spacing w:val="0"/>
          <w:w w:val="100"/>
          <w:position w:val="0"/>
        </w:rPr>
        <w:t>医疗物联网，实现医疗设备状态监测、医 院资源管理、院内急救调度、医务人员管理、门禁安防等服务，进一步推动运用</w:t>
      </w:r>
      <w:r>
        <w:rPr>
          <w:rFonts w:ascii="Times New Roman" w:eastAsia="Times New Roman" w:hAnsi="Times New Roman" w:cs="Times New Roman"/>
          <w:color w:val="000000"/>
          <w:spacing w:val="0"/>
          <w:w w:val="100"/>
          <w:position w:val="0"/>
        </w:rPr>
        <w:t>5G</w:t>
      </w:r>
      <w:r>
        <w:rPr>
          <w:color w:val="000000"/>
          <w:spacing w:val="0"/>
          <w:w w:val="100"/>
          <w:position w:val="0"/>
        </w:rPr>
        <w:t>技术改造提升卫生健康网络基础设施， 开展智慧医疗健康设备和应用创新，提升医院管理效率和患者就医体验。</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报告期内，公司与华为技术有限公司合作签署《智慧医疗行业集成合作协议》，并联合发布</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医疗智能网关”。这 次合作旨在促进</w:t>
      </w:r>
      <w:r>
        <w:rPr>
          <w:rFonts w:ascii="Times New Roman" w:eastAsia="Times New Roman" w:hAnsi="Times New Roman" w:cs="Times New Roman"/>
          <w:color w:val="000000"/>
          <w:spacing w:val="0"/>
          <w:w w:val="100"/>
          <w:position w:val="0"/>
        </w:rPr>
        <w:t>5G+</w:t>
      </w:r>
      <w:r>
        <w:rPr>
          <w:color w:val="000000"/>
          <w:spacing w:val="0"/>
          <w:w w:val="100"/>
          <w:position w:val="0"/>
        </w:rPr>
        <w:t>智能医疗设备商业应用落地，双方将丰富</w:t>
      </w:r>
      <w:r>
        <w:rPr>
          <w:rFonts w:ascii="Times New Roman" w:eastAsia="Times New Roman" w:hAnsi="Times New Roman" w:cs="Times New Roman"/>
          <w:color w:val="000000"/>
          <w:spacing w:val="0"/>
          <w:w w:val="100"/>
          <w:position w:val="0"/>
        </w:rPr>
        <w:t>5G</w:t>
      </w:r>
      <w:r>
        <w:rPr>
          <w:color w:val="000000"/>
          <w:spacing w:val="0"/>
          <w:w w:val="100"/>
          <w:position w:val="0"/>
        </w:rPr>
        <w:t>技术在医疗物联网应用场景，加速</w:t>
      </w:r>
      <w:r>
        <w:rPr>
          <w:rFonts w:ascii="Times New Roman" w:eastAsia="Times New Roman" w:hAnsi="Times New Roman" w:cs="Times New Roman"/>
          <w:color w:val="000000"/>
          <w:spacing w:val="0"/>
          <w:w w:val="100"/>
          <w:position w:val="0"/>
        </w:rPr>
        <w:t>5G+</w:t>
      </w:r>
      <w:r>
        <w:rPr>
          <w:color w:val="000000"/>
          <w:spacing w:val="0"/>
          <w:w w:val="100"/>
          <w:position w:val="0"/>
        </w:rPr>
        <w:t>医疗应用融合发展， 促进医疗行业数字化、智能化转型，共同推进智慧医疗集成。</w:t>
      </w:r>
    </w:p>
    <w:p>
      <w:pPr>
        <w:pStyle w:val="Style15"/>
        <w:keepNext w:val="0"/>
        <w:keepLines w:val="0"/>
        <w:widowControl w:val="0"/>
        <w:shd w:val="clear" w:color="auto" w:fill="auto"/>
        <w:bidi w:val="0"/>
        <w:spacing w:before="0" w:after="0" w:line="313" w:lineRule="exact"/>
        <w:ind w:left="0" w:right="0"/>
        <w:jc w:val="both"/>
      </w:pPr>
      <w:bookmarkStart w:id="121" w:name="bookmark121"/>
      <w:r>
        <w:rPr>
          <w:b/>
          <w:bCs/>
          <w:color w:val="000000"/>
          <w:spacing w:val="0"/>
          <w:w w:val="100"/>
          <w:position w:val="0"/>
        </w:rPr>
        <w:t>（</w:t>
      </w:r>
      <w:bookmarkEnd w:id="121"/>
      <w:r>
        <w:rPr>
          <w:b/>
          <w:bCs/>
          <w:color w:val="000000"/>
          <w:spacing w:val="0"/>
          <w:w w:val="100"/>
          <w:position w:val="0"/>
        </w:rPr>
        <w:t>三）医保业务在“医保端”、“医院端”平稳推进</w:t>
      </w:r>
    </w:p>
    <w:p>
      <w:pPr>
        <w:pStyle w:val="Style1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年，公司中标国家医疗保障信息平台，并适时组建了医保事业部。报告期内，与医保业务相关的收入</w:t>
      </w:r>
      <w:r>
        <w:rPr>
          <w:rFonts w:ascii="Times New Roman" w:eastAsia="Times New Roman" w:hAnsi="Times New Roman" w:cs="Times New Roman"/>
          <w:color w:val="000000"/>
          <w:spacing w:val="0"/>
          <w:w w:val="100"/>
          <w:position w:val="0"/>
        </w:rPr>
        <w:t>5,734</w:t>
      </w:r>
      <w:r>
        <w:rPr>
          <w:color w:val="000000"/>
          <w:spacing w:val="0"/>
          <w:w w:val="100"/>
          <w:position w:val="0"/>
        </w:rPr>
        <w:t>万元， 较去年同期增长约</w:t>
      </w:r>
      <w:r>
        <w:rPr>
          <w:rFonts w:ascii="Times New Roman" w:eastAsia="Times New Roman" w:hAnsi="Times New Roman" w:cs="Times New Roman"/>
          <w:color w:val="000000"/>
          <w:spacing w:val="0"/>
          <w:w w:val="100"/>
          <w:position w:val="0"/>
        </w:rPr>
        <w:t>132%</w:t>
      </w:r>
      <w:r>
        <w:rPr>
          <w:color w:val="000000"/>
          <w:spacing w:val="0"/>
          <w:w w:val="100"/>
          <w:position w:val="0"/>
        </w:rPr>
        <w:t>。</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医保端方面，国家项目之后，各地方省级医保平台招标陆续开展。报告期内，公司参与建设了河北、天津、甘肃、黑龙 江、内蒙古、青海、山西七个省级医保平台；同时，公司还实现了从省级医保平台到市级医保平台案例的突破，中标并实施 了石家庄和营口市两个地市级医保平台业务。</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医院端方面，公司</w:t>
      </w:r>
      <w:r>
        <w:rPr>
          <w:rFonts w:ascii="Times New Roman" w:eastAsia="Times New Roman" w:hAnsi="Times New Roman" w:cs="Times New Roman"/>
          <w:color w:val="000000"/>
          <w:spacing w:val="0"/>
          <w:w w:val="100"/>
          <w:position w:val="0"/>
        </w:rPr>
        <w:t>DRG/DIP</w:t>
      </w:r>
      <w:r>
        <w:rPr>
          <w:color w:val="000000"/>
          <w:spacing w:val="0"/>
          <w:w w:val="100"/>
          <w:position w:val="0"/>
        </w:rPr>
        <w:t xml:space="preserve">医院端产品均采用公司最新框架，深度融合医院端管理和业务，并全方位满足国家医保局 </w:t>
      </w:r>
      <w:r>
        <w:rPr>
          <w:rFonts w:ascii="Times New Roman" w:eastAsia="Times New Roman" w:hAnsi="Times New Roman" w:cs="Times New Roman"/>
          <w:color w:val="000000"/>
          <w:spacing w:val="0"/>
          <w:w w:val="100"/>
          <w:position w:val="0"/>
        </w:rPr>
        <w:t>DRG/DIP</w:t>
      </w:r>
      <w:r>
        <w:rPr>
          <w:color w:val="000000"/>
          <w:spacing w:val="0"/>
          <w:w w:val="100"/>
          <w:position w:val="0"/>
        </w:rPr>
        <w:t>分组方案和技术规范。报告期内，公司中标了盐城市第一人民医院、新疆医科大学第七附属医院、维吾尔族自治区 儿童医院、</w:t>
      </w:r>
      <w:r>
        <w:fldChar w:fldCharType="begin"/>
      </w:r>
      <w:r>
        <w:rPr/>
        <w:instrText> HYPERLINK "http://www.baidu.com/link?url=W30gIx6jtsITFsn5QPJ1Qm1ZD3BdpNmNECMpiqDY29W" </w:instrText>
      </w:r>
      <w:r>
        <w:fldChar w:fldCharType="separate"/>
      </w:r>
      <w:r>
        <w:rPr>
          <w:color w:val="000000"/>
          <w:spacing w:val="0"/>
          <w:w w:val="100"/>
          <w:position w:val="0"/>
        </w:rPr>
        <w:t>宁海县第一医院</w:t>
      </w:r>
      <w:r>
        <w:fldChar w:fldCharType="end"/>
      </w:r>
      <w:r>
        <w:rPr>
          <w:color w:val="000000"/>
          <w:spacing w:val="0"/>
          <w:w w:val="100"/>
          <w:position w:val="0"/>
        </w:rPr>
        <w:t>等十多家医疗机构的医保项目，为这些</w:t>
      </w:r>
      <w:r>
        <w:rPr>
          <w:rFonts w:ascii="Times New Roman" w:eastAsia="Times New Roman" w:hAnsi="Times New Roman" w:cs="Times New Roman"/>
          <w:color w:val="000000"/>
          <w:spacing w:val="0"/>
          <w:w w:val="100"/>
          <w:position w:val="0"/>
        </w:rPr>
        <w:t>DRG</w:t>
      </w:r>
      <w:r>
        <w:rPr>
          <w:color w:val="000000"/>
          <w:spacing w:val="0"/>
          <w:w w:val="100"/>
          <w:position w:val="0"/>
        </w:rPr>
        <w:t>和</w:t>
      </w:r>
      <w:r>
        <w:rPr>
          <w:rFonts w:ascii="Times New Roman" w:eastAsia="Times New Roman" w:hAnsi="Times New Roman" w:cs="Times New Roman"/>
          <w:color w:val="000000"/>
          <w:spacing w:val="0"/>
          <w:w w:val="100"/>
          <w:position w:val="0"/>
        </w:rPr>
        <w:t>DIP</w:t>
      </w:r>
      <w:r>
        <w:rPr>
          <w:color w:val="000000"/>
          <w:spacing w:val="0"/>
          <w:w w:val="100"/>
          <w:position w:val="0"/>
        </w:rPr>
        <w:t>试点城市的医疗机构及“公立医院高质量管理 试点单位”医院提供了产品和数据层面的支撑。其中，宁海县第一人民医院利用公司医院端</w:t>
      </w:r>
      <w:r>
        <w:rPr>
          <w:rFonts w:ascii="Times New Roman" w:eastAsia="Times New Roman" w:hAnsi="Times New Roman" w:cs="Times New Roman"/>
          <w:color w:val="000000"/>
          <w:spacing w:val="0"/>
          <w:w w:val="100"/>
          <w:position w:val="0"/>
        </w:rPr>
        <w:t>DRG</w:t>
      </w:r>
      <w:r>
        <w:rPr>
          <w:color w:val="000000"/>
          <w:spacing w:val="0"/>
          <w:w w:val="100"/>
          <w:position w:val="0"/>
        </w:rPr>
        <w:t>产品预测本院医保结算情 况及趋势，发现自身优势和弱势科室及病组，进行相关的调整，不断优化依托于院内</w:t>
      </w:r>
      <w:r>
        <w:rPr>
          <w:rFonts w:ascii="Times New Roman" w:eastAsia="Times New Roman" w:hAnsi="Times New Roman" w:cs="Times New Roman"/>
          <w:color w:val="000000"/>
          <w:spacing w:val="0"/>
          <w:w w:val="100"/>
          <w:position w:val="0"/>
        </w:rPr>
        <w:t>DRG</w:t>
      </w:r>
      <w:r>
        <w:rPr>
          <w:color w:val="000000"/>
          <w:spacing w:val="0"/>
          <w:w w:val="100"/>
          <w:position w:val="0"/>
        </w:rPr>
        <w:t>业务开展的高质量管理模式，并 且相关科室与</w:t>
      </w:r>
      <w:r>
        <w:rPr>
          <w:rFonts w:ascii="Times New Roman" w:eastAsia="Times New Roman" w:hAnsi="Times New Roman" w:cs="Times New Roman"/>
          <w:color w:val="000000"/>
          <w:spacing w:val="0"/>
          <w:w w:val="100"/>
          <w:position w:val="0"/>
        </w:rPr>
        <w:t>DRG/DIP</w:t>
      </w:r>
      <w:r>
        <w:rPr>
          <w:color w:val="000000"/>
          <w:spacing w:val="0"/>
          <w:w w:val="100"/>
          <w:position w:val="0"/>
        </w:rPr>
        <w:t>产品咨询团队积极互动，使得业务开展更加顺畅，树立了良好的标杆。</w:t>
      </w:r>
    </w:p>
    <w:p>
      <w:pPr>
        <w:framePr w:w="7949" w:h="4253" w:wrap="notBeside" w:vAnchor="text" w:hAnchor="text" w:x="917" w:y="1"/>
        <w:widowControl w:val="0"/>
        <w:rPr>
          <w:sz w:val="2"/>
          <w:szCs w:val="2"/>
        </w:rPr>
      </w:pPr>
      <w:r>
        <w:drawing>
          <wp:inline>
            <wp:extent cx="5047615" cy="270065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stretch/>
                  </pic:blipFill>
                  <pic:spPr>
                    <a:xfrm>
                      <a:ext cx="5047615" cy="2700655"/>
                    </a:xfrm>
                    <a:prstGeom prst="rect"/>
                  </pic:spPr>
                </pic:pic>
              </a:graphicData>
            </a:graphic>
          </wp:inline>
        </w:drawing>
      </w:r>
    </w:p>
    <w:p>
      <w:pPr>
        <w:widowControl w:val="0"/>
        <w:spacing w:line="1" w:lineRule="exact"/>
      </w:pPr>
      <w:r>
        <mc:AlternateContent>
          <mc:Choice Requires="wps">
            <w:drawing>
              <wp:anchor distT="0" distB="0" distL="581660" distR="5495925" simplePos="0" relativeHeight="125829403" behindDoc="0" locked="0" layoutInCell="1" allowOverlap="1">
                <wp:simplePos x="0" y="0"/>
                <wp:positionH relativeFrom="column">
                  <wp:posOffset>920115</wp:posOffset>
                </wp:positionH>
                <wp:positionV relativeFrom="paragraph">
                  <wp:posOffset>1798320</wp:posOffset>
                </wp:positionV>
                <wp:extent cx="133985" cy="572770"/>
                <wp:wrapTopAndBottom/>
                <wp:docPr id="35" name="Shape 35"/>
                <a:graphic xmlns:a="http://schemas.openxmlformats.org/drawingml/2006/main">
                  <a:graphicData uri="http://schemas.microsoft.com/office/word/2010/wordprocessingShape">
                    <wps:wsp>
                      <wps:cNvSpPr txBox="1"/>
                      <wps:spPr>
                        <a:xfrm>
                          <a:ext cx="133985" cy="572770"/>
                        </a:xfrm>
                        <a:prstGeom prst="rect"/>
                        <a:noFill/>
                      </wps:spPr>
                      <wps:txbx>
                        <w:txbxContent>
                          <w:p>
                            <w:pPr>
                              <w:pStyle w:val="Style90"/>
                              <w:keepNext w:val="0"/>
                              <w:keepLines w:val="0"/>
                              <w:widowControl w:val="0"/>
                              <w:shd w:val="clear" w:color="auto" w:fill="auto"/>
                              <w:bidi w:val="0"/>
                              <w:spacing w:before="0" w:after="0" w:line="240" w:lineRule="auto"/>
                              <w:ind w:left="0" w:right="0" w:firstLine="0"/>
                              <w:jc w:val="left"/>
                            </w:pPr>
                            <w:r>
                              <w:rPr>
                                <w:spacing w:val="0"/>
                                <w:w w:val="100"/>
                                <w:position w:val="0"/>
                              </w:rPr>
                              <w:t>数据来源</w:t>
                            </w:r>
                          </w:p>
                        </w:txbxContent>
                      </wps:txbx>
                      <wps:bodyPr upright="1" vert="eaVert" lIns="0" tIns="0" rIns="0" bIns="0">
                        <a:noAutoFit/>
                      </wps:bodyPr>
                    </wps:wsp>
                  </a:graphicData>
                </a:graphic>
              </wp:anchor>
            </w:drawing>
          </mc:Choice>
          <mc:Fallback>
            <w:pict>
              <v:shape id="_x0000_s1061" type="#_x0000_t202" style="position:absolute;margin-left:72.450000000000003pt;margin-top:141.59999999999999pt;width:10.550000000000001pt;height:45.100000000000001pt;z-index:-125829350;mso-wrap-distance-left:45.800000000000004pt;mso-wrap-distance-right:432.75pt" filled="f" stroked="f">
                <v:textbox style="layout-flow:vertical-ideographic" inset="0,0,0,0">
                  <w:txbxContent>
                    <w:p>
                      <w:pPr>
                        <w:pStyle w:val="Style90"/>
                        <w:keepNext w:val="0"/>
                        <w:keepLines w:val="0"/>
                        <w:widowControl w:val="0"/>
                        <w:shd w:val="clear" w:color="auto" w:fill="auto"/>
                        <w:bidi w:val="0"/>
                        <w:spacing w:before="0" w:after="0" w:line="240" w:lineRule="auto"/>
                        <w:ind w:left="0" w:right="0" w:firstLine="0"/>
                        <w:jc w:val="left"/>
                      </w:pPr>
                      <w:r>
                        <w:rPr>
                          <w:spacing w:val="0"/>
                          <w:w w:val="100"/>
                          <w:position w:val="0"/>
                        </w:rPr>
                        <w:t>数据来源</w:t>
                      </w:r>
                    </w:p>
                  </w:txbxContent>
                </v:textbox>
                <w10:wrap type="topAndBottom"/>
              </v:shape>
            </w:pict>
          </mc:Fallback>
        </mc:AlternateConten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未来，公司将继续培育良好的市场口碑，进一步开拓全国范围内的医保项目市场，稳扎稳打，发挥多年深耕医疗卫生信 息化领域的技术及承建国家医疗保障信息平台的经验优势，打造智能化的医疗保险新模式、新生态，助力医保端和医院端客 户建设优良的医疗保障信息平台及系统，实现省平台与国家平台、地市平台与省平台、医疗机构与地市平台之间平滑稳定的 协作联通，大幅提升医保服务能力和服务水平。</w:t>
      </w:r>
    </w:p>
    <w:p>
      <w:pPr>
        <w:pStyle w:val="Style15"/>
        <w:keepNext w:val="0"/>
        <w:keepLines w:val="0"/>
        <w:widowControl w:val="0"/>
        <w:shd w:val="clear" w:color="auto" w:fill="auto"/>
        <w:bidi w:val="0"/>
        <w:spacing w:before="0" w:after="0" w:line="312" w:lineRule="exact"/>
        <w:ind w:left="0" w:right="0" w:firstLine="360"/>
        <w:jc w:val="both"/>
      </w:pPr>
      <w:bookmarkStart w:id="122" w:name="bookmark122"/>
      <w:r>
        <w:rPr>
          <w:b/>
          <w:bCs/>
          <w:color w:val="000000"/>
          <w:spacing w:val="0"/>
          <w:w w:val="100"/>
          <w:position w:val="0"/>
        </w:rPr>
        <w:t>（</w:t>
      </w:r>
      <w:bookmarkEnd w:id="122"/>
      <w:r>
        <w:rPr>
          <w:b/>
          <w:bCs/>
          <w:color w:val="000000"/>
          <w:spacing w:val="0"/>
          <w:w w:val="100"/>
          <w:position w:val="0"/>
        </w:rPr>
        <w:t>四）云化产品陆续发布，逐步构建</w:t>
      </w:r>
      <w:r>
        <w:rPr>
          <w:rFonts w:ascii="Times New Roman" w:eastAsia="Times New Roman" w:hAnsi="Times New Roman" w:cs="Times New Roman"/>
          <w:b/>
          <w:bCs/>
          <w:color w:val="000000"/>
          <w:spacing w:val="0"/>
          <w:w w:val="100"/>
          <w:position w:val="0"/>
        </w:rPr>
        <w:t>“</w:t>
      </w:r>
      <w:r>
        <w:rPr>
          <w:b/>
          <w:bCs/>
          <w:color w:val="000000"/>
          <w:spacing w:val="0"/>
          <w:w w:val="100"/>
          <w:position w:val="0"/>
        </w:rPr>
        <w:t>慧康云</w:t>
      </w:r>
      <w:r>
        <w:rPr>
          <w:rFonts w:ascii="Times New Roman" w:eastAsia="Times New Roman" w:hAnsi="Times New Roman" w:cs="Times New Roman"/>
          <w:b/>
          <w:bCs/>
          <w:color w:val="000000"/>
          <w:spacing w:val="0"/>
          <w:w w:val="100"/>
          <w:position w:val="0"/>
        </w:rPr>
        <w:t>2</w:t>
      </w:r>
      <w:r>
        <w:rPr>
          <w:rFonts w:ascii="Times New Roman" w:eastAsia="Times New Roman" w:hAnsi="Times New Roman" w:cs="Times New Roman"/>
          <w:b/>
          <w:bCs/>
          <w:color w:val="000000"/>
          <w:spacing w:val="0"/>
          <w:w w:val="100"/>
          <w:position w:val="0"/>
        </w:rPr>
        <w:t>.0”</w:t>
      </w:r>
      <w:r>
        <w:rPr>
          <w:b/>
          <w:bCs/>
          <w:color w:val="000000"/>
          <w:spacing w:val="0"/>
          <w:w w:val="100"/>
          <w:position w:val="0"/>
        </w:rPr>
        <w:t>产品体系</w: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报告期内，公司继续深入挖掘行业潜能，不断加强研发投入和技术产品创新，确保市场竞争力稳固提升。报告期内，公 司研发投入</w:t>
      </w:r>
      <w:r>
        <w:rPr>
          <w:rFonts w:ascii="Times New Roman" w:eastAsia="Times New Roman" w:hAnsi="Times New Roman" w:cs="Times New Roman"/>
          <w:color w:val="000000"/>
          <w:spacing w:val="0"/>
          <w:w w:val="100"/>
          <w:position w:val="0"/>
        </w:rPr>
        <w:t>31,602.66</w:t>
      </w:r>
      <w:r>
        <w:rPr>
          <w:color w:val="000000"/>
          <w:spacing w:val="0"/>
          <w:w w:val="100"/>
          <w:position w:val="0"/>
        </w:rPr>
        <w:t>万元，较上同期增长</w:t>
      </w:r>
      <w:r>
        <w:rPr>
          <w:rFonts w:ascii="Times New Roman" w:eastAsia="Times New Roman" w:hAnsi="Times New Roman" w:cs="Times New Roman"/>
          <w:color w:val="000000"/>
          <w:spacing w:val="0"/>
          <w:w w:val="100"/>
          <w:position w:val="0"/>
        </w:rPr>
        <w:t>15.98</w:t>
      </w:r>
      <w:r>
        <w:rPr>
          <w:color w:val="000000"/>
          <w:spacing w:val="0"/>
          <w:w w:val="100"/>
          <w:position w:val="0"/>
        </w:rPr>
        <w:t>%，新增发明专利</w:t>
      </w:r>
      <w:r>
        <w:rPr>
          <w:rFonts w:ascii="Times New Roman" w:eastAsia="Times New Roman" w:hAnsi="Times New Roman" w:cs="Times New Roman"/>
          <w:color w:val="000000"/>
          <w:spacing w:val="0"/>
          <w:w w:val="100"/>
          <w:position w:val="0"/>
        </w:rPr>
        <w:t>3</w:t>
      </w:r>
      <w:r>
        <w:rPr>
          <w:color w:val="000000"/>
          <w:spacing w:val="0"/>
          <w:w w:val="100"/>
          <w:position w:val="0"/>
        </w:rPr>
        <w:t>项，软件著作权新增约</w:t>
      </w:r>
      <w:r>
        <w:rPr>
          <w:rFonts w:ascii="Times New Roman" w:eastAsia="Times New Roman" w:hAnsi="Times New Roman" w:cs="Times New Roman"/>
          <w:color w:val="000000"/>
          <w:spacing w:val="0"/>
          <w:w w:val="100"/>
          <w:position w:val="0"/>
        </w:rPr>
        <w:t>90</w:t>
      </w:r>
      <w:r>
        <w:rPr>
          <w:color w:val="000000"/>
          <w:spacing w:val="0"/>
          <w:w w:val="100"/>
          <w:position w:val="0"/>
        </w:rPr>
        <w:t>项。</w:t>
      </w:r>
    </w:p>
    <w:p>
      <w:pPr>
        <w:pStyle w:val="Style15"/>
        <w:keepNext w:val="0"/>
        <w:keepLines w:val="0"/>
        <w:widowControl w:val="0"/>
        <w:shd w:val="clear" w:color="auto" w:fill="auto"/>
        <w:tabs>
          <w:tab w:pos="751" w:val="left"/>
        </w:tabs>
        <w:bidi w:val="0"/>
        <w:spacing w:before="0" w:after="0" w:line="312" w:lineRule="exact"/>
        <w:ind w:left="0" w:right="0" w:firstLine="360"/>
        <w:jc w:val="both"/>
      </w:pPr>
      <w:bookmarkStart w:id="123" w:name="bookmark123"/>
      <w:r>
        <w:rPr>
          <w:b/>
          <w:bCs/>
          <w:color w:val="000000"/>
          <w:spacing w:val="0"/>
          <w:w w:val="100"/>
          <w:position w:val="0"/>
        </w:rPr>
        <w:t>（</w:t>
      </w:r>
      <w:bookmarkEnd w:id="12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云</w:t>
      </w:r>
      <w:r>
        <w:rPr>
          <w:rFonts w:ascii="Times New Roman" w:eastAsia="Times New Roman" w:hAnsi="Times New Roman" w:cs="Times New Roman"/>
          <w:b/>
          <w:bCs/>
          <w:color w:val="000000"/>
          <w:spacing w:val="0"/>
          <w:w w:val="100"/>
          <w:position w:val="0"/>
        </w:rPr>
        <w:t>HIS</w:t>
      </w:r>
      <w:r>
        <w:rPr>
          <w:b/>
          <w:bCs/>
          <w:color w:val="000000"/>
          <w:spacing w:val="0"/>
          <w:w w:val="100"/>
          <w:position w:val="0"/>
        </w:rPr>
        <w:t>整体解决方发布</w: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报告期内，公司为基层医疗机构、集团医院、专科联盟等提供的医疗卫生一体化云服务。平台具有互联网性、多租户、 可配置、可扩展等特性，客户可根据自身需求，实现灵活配置，快速上线；同时，平台可对医疗机构相关业务系统进行统一 管理，实现居民健康档案、基本医疗服务、基本公共卫生、医疗机构运营的一体化管理，辅助信息共享、流程整合、运营管 理、区域协作等业务，最终提升区域化医疗服务水平，提高医疗服务效率，节省患者支出，缓解居民看病难、看病贵问题， 加强医疗协同与医疗监管。</w:t>
      </w:r>
    </w:p>
    <w:p>
      <w:pPr>
        <w:pStyle w:val="Style15"/>
        <w:keepNext w:val="0"/>
        <w:keepLines w:val="0"/>
        <w:widowControl w:val="0"/>
        <w:shd w:val="clear" w:color="auto" w:fill="auto"/>
        <w:tabs>
          <w:tab w:pos="751" w:val="left"/>
        </w:tabs>
        <w:bidi w:val="0"/>
        <w:spacing w:before="0" w:after="0" w:line="312" w:lineRule="exact"/>
        <w:ind w:left="0" w:right="0" w:firstLine="360"/>
        <w:jc w:val="both"/>
      </w:pPr>
      <w:bookmarkStart w:id="124" w:name="bookmark124"/>
      <w:r>
        <w:rPr>
          <w:b/>
          <w:bCs/>
          <w:color w:val="000000"/>
          <w:spacing w:val="0"/>
          <w:w w:val="100"/>
          <w:position w:val="0"/>
        </w:rPr>
        <w:t>（</w:t>
      </w:r>
      <w:bookmarkEnd w:id="12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运维云平台发布</w: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报告期内，公司基于平台云化技术，从业务运行的角度，将客户的实际业务模块、开发效率与运维工作紧密结合，形成 基于医疗行业系统运维知识体系，打造支持各类型需求的云端运维服务，并通过全自动采集方式获取业务环境运行状态，利 用云端专家知识库和规则引擎，全面分析医院的集成环境和业务使用状态，提供历史维度的数据对比和分析，及时发现运行 隐患、故障和业务性能等问题，为客户提供更加精准的运维、分析、诊断服务。</w:t>
      </w:r>
    </w:p>
    <w:p>
      <w:pPr>
        <w:pStyle w:val="Style15"/>
        <w:keepNext w:val="0"/>
        <w:keepLines w:val="0"/>
        <w:widowControl w:val="0"/>
        <w:shd w:val="clear" w:color="auto" w:fill="auto"/>
        <w:tabs>
          <w:tab w:pos="751" w:val="left"/>
        </w:tabs>
        <w:bidi w:val="0"/>
        <w:spacing w:before="0" w:after="0" w:line="312" w:lineRule="exact"/>
        <w:ind w:left="0" w:right="0" w:firstLine="360"/>
        <w:jc w:val="both"/>
      </w:pPr>
      <w:bookmarkStart w:id="125" w:name="bookmark125"/>
      <w:r>
        <w:rPr>
          <w:b/>
          <w:bCs/>
          <w:color w:val="000000"/>
          <w:spacing w:val="0"/>
          <w:w w:val="100"/>
          <w:position w:val="0"/>
        </w:rPr>
        <w:t>（</w:t>
      </w:r>
      <w:bookmarkEnd w:id="12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混合云互联网医院解决方案发布</w: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报告期内，公司在国家政策的导向下结合公有云在运维、升级等方面的便利性，私有云在私密数据、个性服务的安全性 和可扩展性，提出混合云互联网医院解决方案：在实现数据混合的基础上，将互联网医疗的业务融入混合云系统，以医疗专 业的角度构建整体架构。实现基础数据在云上、私密数据在云下，基础服务在云上、个性化服务在云下，云上与云下真正实 现业务可联动、数据可共享、服务可定制的互联网医疗专属混合云方案。混合云架构不仅能够提供平台服务，同时通过统一 的云端系统，能够对私有云平台的资源及网络进行统一的管理，降低运维成本。此外，公司互联网医院平台产品已完成国产 化适配，并获得相关测评认证。</w: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报告期内，公司协助北京市顺义区妇幼保健院、首都医科大学附属北京儿童医院等多家医院进行互联网医院的建设并通 过互联网医院资质的审批。目前，公司已在北京、上海、广东、江苏、山东、湖北、广西、河南、宁夏等全国十多个省份的 医疗机构完成互联网医院的建设。</w:t>
      </w:r>
    </w:p>
    <w:p>
      <w:pPr>
        <w:pStyle w:val="Style15"/>
        <w:keepNext w:val="0"/>
        <w:keepLines w:val="0"/>
        <w:widowControl w:val="0"/>
        <w:shd w:val="clear" w:color="auto" w:fill="auto"/>
        <w:tabs>
          <w:tab w:pos="751" w:val="left"/>
        </w:tabs>
        <w:bidi w:val="0"/>
        <w:spacing w:before="0" w:after="0" w:line="312" w:lineRule="exact"/>
        <w:ind w:left="0" w:right="0" w:firstLine="360"/>
        <w:jc w:val="both"/>
      </w:pPr>
      <w:bookmarkStart w:id="126" w:name="bookmark126"/>
      <w:r>
        <w:rPr>
          <w:b/>
          <w:bCs/>
          <w:color w:val="000000"/>
          <w:spacing w:val="0"/>
          <w:w w:val="100"/>
          <w:position w:val="0"/>
        </w:rPr>
        <w:t>（</w:t>
      </w:r>
      <w:bookmarkEnd w:id="12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智慧养老云产品发布</w:t>
      </w:r>
    </w:p>
    <w:p>
      <w:pPr>
        <w:pStyle w:val="Style1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报告期内，在慧康云</w:t>
      </w:r>
      <w:r>
        <w:rPr>
          <w:rFonts w:ascii="Times New Roman" w:eastAsia="Times New Roman" w:hAnsi="Times New Roman" w:cs="Times New Roman"/>
          <w:color w:val="000000"/>
          <w:spacing w:val="0"/>
          <w:w w:val="100"/>
          <w:position w:val="0"/>
        </w:rPr>
        <w:t>2.0</w:t>
      </w:r>
      <w:r>
        <w:rPr>
          <w:color w:val="000000"/>
          <w:spacing w:val="0"/>
          <w:w w:val="100"/>
          <w:position w:val="0"/>
        </w:rPr>
        <w:t>战略规划下，公司依托于多年的社区卫生信息化建设积累，基于公司最新云框架</w:t>
      </w:r>
      <w:r>
        <w:rPr>
          <w:rFonts w:ascii="Times New Roman" w:eastAsia="Times New Roman" w:hAnsi="Times New Roman" w:cs="Times New Roman"/>
          <w:color w:val="000000"/>
          <w:spacing w:val="0"/>
          <w:w w:val="100"/>
          <w:position w:val="0"/>
        </w:rPr>
        <w:t>4.0</w:t>
      </w:r>
      <w:r>
        <w:rPr>
          <w:color w:val="000000"/>
          <w:spacing w:val="0"/>
          <w:w w:val="100"/>
          <w:position w:val="0"/>
        </w:rPr>
        <w:t xml:space="preserve">，采用先进 </w:t>
      </w:r>
      <w:r>
        <w:rPr>
          <w:color w:val="000000"/>
          <w:spacing w:val="0"/>
          <w:w w:val="100"/>
          <w:position w:val="0"/>
        </w:rPr>
        <w:t>的领域驱动、分层架构设计思想发布了智慧养老云，以未来养老服务人本化、智慧化、场景化为目标，构建居家养老、社区 养老、机构养老三大解决方案。此外，公司作为会员单位，参与编写浙江省物联网产业协会</w:t>
      </w:r>
      <w:r>
        <w:rPr>
          <w:rFonts w:ascii="Times New Roman" w:eastAsia="Times New Roman" w:hAnsi="Times New Roman" w:cs="Times New Roman"/>
          <w:color w:val="000000"/>
          <w:spacing w:val="0"/>
          <w:w w:val="100"/>
          <w:position w:val="0"/>
        </w:rPr>
        <w:t>T/ZAII 031-2021</w:t>
      </w:r>
      <w:r>
        <w:rPr>
          <w:color w:val="000000"/>
          <w:spacing w:val="0"/>
          <w:w w:val="100"/>
          <w:position w:val="0"/>
        </w:rPr>
        <w:t>《居家养老服务 智能技术建设规范》团体标准。</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报告期内，公司智慧养老云产品在苏州的区域客户正式启用。作为养老业务标杆项目，其以九大场景为主体业务环节， 融合互联网、物联网服务，打造面向院长、医护、长者及家属的管理端、医护端、家属端应用，全过程养老数据支撑院长的 科学管理，标准化服务流程升级医护的服务质量，个性化康养服务提升长者及家属的贴心体验。</w:t>
      </w:r>
    </w:p>
    <w:p>
      <w:pPr>
        <w:pStyle w:val="Style15"/>
        <w:keepNext w:val="0"/>
        <w:keepLines w:val="0"/>
        <w:widowControl w:val="0"/>
        <w:shd w:val="clear" w:color="auto" w:fill="auto"/>
        <w:tabs>
          <w:tab w:pos="796" w:val="left"/>
        </w:tabs>
        <w:bidi w:val="0"/>
        <w:spacing w:before="0" w:after="0" w:line="314" w:lineRule="exact"/>
        <w:ind w:left="0" w:right="0" w:firstLine="360"/>
        <w:jc w:val="both"/>
      </w:pPr>
      <w:bookmarkStart w:id="127" w:name="bookmark127"/>
      <w:r>
        <w:rPr>
          <w:b/>
          <w:bCs/>
          <w:color w:val="000000"/>
          <w:spacing w:val="0"/>
          <w:w w:val="100"/>
          <w:position w:val="0"/>
        </w:rPr>
        <w:t>（</w:t>
      </w:r>
      <w:bookmarkEnd w:id="12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区域检验应用云化解决方案发布</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报告期内，公司推出区域检验应用云化解决方案，支持医疗机构检验检查结果互认，体现以标本管理为中心、检验质量 为核心，依据实验室信息化建设标准，通过对实验室统一的管理模式，实现实验室标准化管理，为检验业务跨区域、跨平台 数据共享和互认提供支撑。区域检验系统采用微服务技术架构，具有标准化、模块化、易于部署、扩展性强等特点。支持多 租户、多机构管理，支持各类医联体、医共体业务模式，适用于二三级医院、区域基层医疗、独立实验室等不同项目类型。</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报告期内，公司已在浙江、江苏、广东、上海、湖北、四川、山西、宁夏、甘肃等全国十多个省份超过</w:t>
      </w:r>
      <w:r>
        <w:rPr>
          <w:rFonts w:ascii="Times New Roman" w:eastAsia="Times New Roman" w:hAnsi="Times New Roman" w:cs="Times New Roman"/>
          <w:color w:val="000000"/>
          <w:spacing w:val="0"/>
          <w:w w:val="100"/>
          <w:position w:val="0"/>
        </w:rPr>
        <w:t>100</w:t>
      </w:r>
      <w:r>
        <w:rPr>
          <w:color w:val="000000"/>
          <w:spacing w:val="0"/>
          <w:w w:val="100"/>
          <w:position w:val="0"/>
        </w:rPr>
        <w:t>个区县完成 区域检验信息系统建设。</w:t>
      </w:r>
    </w:p>
    <w:p>
      <w:pPr>
        <w:pStyle w:val="Style15"/>
        <w:keepNext w:val="0"/>
        <w:keepLines w:val="0"/>
        <w:widowControl w:val="0"/>
        <w:shd w:val="clear" w:color="auto" w:fill="auto"/>
        <w:tabs>
          <w:tab w:pos="796" w:val="left"/>
        </w:tabs>
        <w:bidi w:val="0"/>
        <w:spacing w:before="0" w:after="0" w:line="314" w:lineRule="exact"/>
        <w:ind w:left="0" w:right="0" w:firstLine="360"/>
        <w:jc w:val="both"/>
      </w:pPr>
      <w:bookmarkStart w:id="128" w:name="bookmark128"/>
      <w:r>
        <w:rPr>
          <w:b/>
          <w:bCs/>
          <w:color w:val="000000"/>
          <w:spacing w:val="0"/>
          <w:w w:val="100"/>
          <w:position w:val="0"/>
        </w:rPr>
        <w:t>（</w:t>
      </w:r>
      <w:bookmarkEnd w:id="128"/>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健康云平台发布</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报告期内，公司基于“慧康互联”，构建起一个集医、药、康、养、险、护为一体的健康云平台，以城市为单位接入创 业所有区域、医院客户以及千厂万店的资源，打造全国性的健康服务生态网。</w:t>
      </w:r>
    </w:p>
    <w:p>
      <w:pPr>
        <w:pStyle w:val="Style15"/>
        <w:keepNext w:val="0"/>
        <w:keepLines w:val="0"/>
        <w:widowControl w:val="0"/>
        <w:shd w:val="clear" w:color="auto" w:fill="auto"/>
        <w:tabs>
          <w:tab w:pos="796" w:val="left"/>
        </w:tabs>
        <w:bidi w:val="0"/>
        <w:spacing w:before="0" w:after="0" w:line="314" w:lineRule="exact"/>
        <w:ind w:left="0" w:right="0" w:firstLine="360"/>
        <w:jc w:val="both"/>
      </w:pPr>
      <w:bookmarkStart w:id="129" w:name="bookmark129"/>
      <w:r>
        <w:rPr>
          <w:b/>
          <w:bCs/>
          <w:color w:val="000000"/>
          <w:spacing w:val="0"/>
          <w:w w:val="100"/>
          <w:position w:val="0"/>
        </w:rPr>
        <w:t>（</w:t>
      </w:r>
      <w:bookmarkEnd w:id="129"/>
      <w:r>
        <w:rPr>
          <w:rFonts w:ascii="Times New Roman" w:eastAsia="Times New Roman" w:hAnsi="Times New Roman" w:cs="Times New Roman"/>
          <w:b/>
          <w:bCs/>
          <w:color w:val="000000"/>
          <w:spacing w:val="0"/>
          <w:w w:val="100"/>
          <w:position w:val="0"/>
        </w:rPr>
        <w:t>7</w:t>
      </w:r>
      <w:r>
        <w:rPr>
          <w:b/>
          <w:bCs/>
          <w:color w:val="000000"/>
          <w:spacing w:val="0"/>
          <w:w w:val="100"/>
          <w:position w:val="0"/>
        </w:rPr>
        <w:t>）</w:t>
        <w:tab/>
      </w:r>
      <w:r>
        <w:rPr>
          <w:rFonts w:ascii="Times New Roman" w:eastAsia="Times New Roman" w:hAnsi="Times New Roman" w:cs="Times New Roman"/>
          <w:b/>
          <w:bCs/>
          <w:color w:val="000000"/>
          <w:spacing w:val="0"/>
          <w:w w:val="100"/>
          <w:position w:val="0"/>
        </w:rPr>
        <w:t>5G+</w:t>
      </w:r>
      <w:r>
        <w:rPr>
          <w:b/>
          <w:bCs/>
          <w:color w:val="000000"/>
          <w:spacing w:val="0"/>
          <w:w w:val="100"/>
          <w:position w:val="0"/>
        </w:rPr>
        <w:t>危重症协同救治云发布</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5G</w:t>
      </w:r>
      <w:r>
        <w:rPr>
          <w:rFonts w:ascii="Times New Roman" w:eastAsia="Times New Roman" w:hAnsi="Times New Roman" w:cs="Times New Roman"/>
          <w:color w:val="000000"/>
          <w:spacing w:val="0"/>
          <w:w w:val="100"/>
          <w:position w:val="0"/>
        </w:rPr>
        <w:t>+</w:t>
      </w:r>
      <w:r>
        <w:rPr>
          <w:color w:val="000000"/>
          <w:spacing w:val="0"/>
          <w:w w:val="100"/>
          <w:position w:val="0"/>
        </w:rPr>
        <w:t>危重症协同救治云以数据驱动医疗服务转型，建立''一云三平台</w:t>
      </w:r>
      <w:r>
        <w:rPr>
          <w:rFonts w:ascii="Times New Roman" w:eastAsia="Times New Roman" w:hAnsi="Times New Roman" w:cs="Times New Roman"/>
          <w:color w:val="000000"/>
          <w:spacing w:val="0"/>
          <w:w w:val="100"/>
          <w:position w:val="0"/>
        </w:rPr>
        <w:t>N</w:t>
      </w:r>
      <w:r>
        <w:rPr>
          <w:color w:val="000000"/>
          <w:spacing w:val="0"/>
          <w:w w:val="100"/>
          <w:position w:val="0"/>
        </w:rPr>
        <w:t>中心”（“一云”即区域多中心云数 据中心，“三平台”包括多中心数据服务支撑平台、急救云平台、危重症协同救治平台，</w:t>
      </w:r>
      <w:r>
        <w:rPr>
          <w:color w:val="000000"/>
          <w:spacing w:val="0"/>
          <w:w w:val="100"/>
          <w:position w:val="0"/>
        </w:rPr>
        <w:t>“</w:t>
      </w:r>
      <w:r>
        <w:rPr>
          <w:rFonts w:ascii="Times New Roman" w:eastAsia="Times New Roman" w:hAnsi="Times New Roman" w:cs="Times New Roman"/>
          <w:color w:val="000000"/>
          <w:spacing w:val="0"/>
          <w:w w:val="100"/>
          <w:position w:val="0"/>
        </w:rPr>
        <w:t>N</w:t>
      </w:r>
      <w:r>
        <w:rPr>
          <w:color w:val="000000"/>
          <w:spacing w:val="0"/>
          <w:w w:val="100"/>
          <w:position w:val="0"/>
        </w:rPr>
        <w:t>中心”即胸痛中心、卒中中心、 创伤中心、危重孕产妇救治中心和危重儿童救治中心等专科中心）整体解决方案架构，支持多院区多中心医疗智慧应用。为 患者提供快速诊断和及时治疗的救治服务，构建一体化区域内多中心医疗救治系统体系。</w:t>
      </w:r>
    </w:p>
    <w:p>
      <w:pPr>
        <w:pStyle w:val="Style15"/>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“慧康云</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云化产品的不断上线升级，为公司完成从传统</w:t>
      </w:r>
      <w:r>
        <w:rPr>
          <w:rFonts w:ascii="Times New Roman" w:eastAsia="Times New Roman" w:hAnsi="Times New Roman" w:cs="Times New Roman"/>
          <w:color w:val="000000"/>
          <w:spacing w:val="0"/>
          <w:w w:val="100"/>
          <w:position w:val="0"/>
        </w:rPr>
        <w:t>IT</w:t>
      </w:r>
      <w:r>
        <w:rPr>
          <w:color w:val="000000"/>
          <w:spacing w:val="0"/>
          <w:w w:val="100"/>
          <w:position w:val="0"/>
        </w:rPr>
        <w:t>信息产品服务公司到科技云生态企业的转变奠定了良好 的基石。</w:t>
      </w:r>
    </w:p>
    <w:p>
      <w:pPr>
        <w:pStyle w:val="Style24"/>
        <w:keepNext/>
        <w:keepLines/>
        <w:widowControl w:val="0"/>
        <w:shd w:val="clear" w:color="auto" w:fill="auto"/>
        <w:bidi w:val="0"/>
        <w:spacing w:before="0" w:line="240" w:lineRule="auto"/>
        <w:ind w:left="0" w:right="0" w:firstLine="440"/>
        <w:jc w:val="both"/>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2</w:t>
      </w:r>
      <w:bookmarkEnd w:id="132"/>
      <w:r>
        <w:rPr>
          <w:color w:val="000000"/>
          <w:spacing w:val="0"/>
          <w:w w:val="100"/>
          <w:position w:val="0"/>
        </w:rPr>
        <w:t>、收入与成本</w:t>
      </w:r>
      <w:bookmarkEnd w:id="130"/>
      <w:bookmarkEnd w:id="131"/>
      <w:bookmarkEnd w:id="133"/>
    </w:p>
    <w:p>
      <w:pPr>
        <w:pStyle w:val="Style92"/>
        <w:keepNext/>
        <w:keepLines/>
        <w:widowControl w:val="0"/>
        <w:shd w:val="clear" w:color="auto" w:fill="auto"/>
        <w:bidi w:val="0"/>
        <w:spacing w:before="0" w:line="240" w:lineRule="auto"/>
        <w:ind w:left="0" w:right="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4"/>
      <w:bookmarkEnd w:id="135"/>
      <w:bookmarkEnd w:id="137"/>
    </w:p>
    <w:p>
      <w:pPr>
        <w:pStyle w:val="Style15"/>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营业收入整体情况</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98"/>
        <w:gridCol w:w="1594"/>
        <w:gridCol w:w="1594"/>
        <w:gridCol w:w="1598"/>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1,898,976,983.54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1,632,841,326.43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16.30%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1,696,158,289.45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1,363,990,191.11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24.35%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非医疗行业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202,818,694.09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268,851,135.32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765,799,367.62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590,826,059.32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731,511,311.60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671,006,438.97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276,668,617.62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158,175,560.97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74.91%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124,997,686.70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212,833,267.17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-41.27%</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598"/>
      </w:tblGrid>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887,610,823.81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771,793,575.44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237,079,282.32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230,165,714.98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190,087,799.39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198,441,476.55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180,046,514.41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103,234,605.53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192,784,372.87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129,690,831.46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211,368,190.74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199,515,122.47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1,898,976,983.54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1,632,841,326.43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16.30%</w:t>
            </w:r>
          </w:p>
        </w:tc>
      </w:tr>
    </w:tbl>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公司需遵守《深圳证券交易所上市公司自律监管指引第</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号</w:t>
      </w:r>
      <w:r>
        <w:rPr>
          <w:b w:val="0"/>
          <w:bCs w:val="0"/>
          <w:color w:val="000000"/>
          <w:spacing w:val="0"/>
          <w:w w:val="100"/>
          <w:position w:val="0"/>
        </w:rPr>
        <w:t>一一</w:t>
      </w:r>
      <w:r>
        <w:rPr>
          <w:b w:val="0"/>
          <w:bCs w:val="0"/>
          <w:color w:val="000000"/>
          <w:spacing w:val="0"/>
          <w:w w:val="100"/>
          <w:position w:val="0"/>
        </w:rPr>
        <w:t>行业信息披露》中的“软件与信息技术服务业”的披露要求</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402,209,5</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375,798,1</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431,494,9</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689,474,2</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327,652,5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381,548,0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408,605,5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515,035,1</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55.63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90,363,70</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52,149,83</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87,509,73</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183,015,9</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57,979,99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34,641,91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74,875,58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164,839,9</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说明经营季节性（或周期性）发生的原因及波动风险</w:t>
      </w:r>
    </w:p>
    <w:p>
      <w:pPr>
        <w:widowControl w:val="0"/>
        <w:spacing w:after="39" w:line="1" w:lineRule="exact"/>
      </w:pPr>
    </w:p>
    <w:p>
      <w:pPr>
        <w:pStyle w:val="Style15"/>
        <w:keepNext w:val="0"/>
        <w:keepLines w:val="0"/>
        <w:widowControl w:val="0"/>
        <w:shd w:val="clear" w:color="auto" w:fill="auto"/>
        <w:bidi w:val="0"/>
        <w:spacing w:before="0" w:after="360" w:line="300" w:lineRule="exact"/>
        <w:ind w:left="0" w:right="0" w:firstLine="360"/>
        <w:jc w:val="left"/>
      </w:pPr>
      <w:r>
        <w:rPr>
          <w:color w:val="000000"/>
          <w:spacing w:val="0"/>
          <w:w w:val="100"/>
          <w:position w:val="0"/>
        </w:rPr>
        <w:t>公司系医疗信息化行业整体解决方案提供商，客户主要为医院、卫生管理部门等单位，该类单位多实行预算制管理，其 资金主要来源于政府财政拨款。基于行业特性，公司的订单量、收入与利润的实现及销售回款均存在较为明显的季节性差异， 上半年占比约</w:t>
      </w:r>
      <w:r>
        <w:rPr>
          <w:rFonts w:ascii="Times New Roman" w:eastAsia="Times New Roman" w:hAnsi="Times New Roman" w:cs="Times New Roman"/>
          <w:color w:val="000000"/>
          <w:spacing w:val="0"/>
          <w:w w:val="100"/>
          <w:position w:val="0"/>
        </w:rPr>
        <w:t>30%-40%</w:t>
      </w:r>
      <w:r>
        <w:rPr>
          <w:color w:val="000000"/>
          <w:spacing w:val="0"/>
          <w:w w:val="100"/>
          <w:position w:val="0"/>
        </w:rPr>
        <w:t>左右，下半年占比约</w:t>
      </w:r>
      <w:r>
        <w:rPr>
          <w:rFonts w:ascii="Times New Roman" w:eastAsia="Times New Roman" w:hAnsi="Times New Roman" w:cs="Times New Roman"/>
          <w:color w:val="000000"/>
          <w:spacing w:val="0"/>
          <w:w w:val="100"/>
          <w:position w:val="0"/>
        </w:rPr>
        <w:t>60%-70%</w:t>
      </w:r>
      <w:r>
        <w:rPr>
          <w:color w:val="000000"/>
          <w:spacing w:val="0"/>
          <w:w w:val="100"/>
          <w:position w:val="0"/>
        </w:rPr>
        <w:t>左右。</w:t>
      </w:r>
    </w:p>
    <w:p>
      <w:pPr>
        <w:pStyle w:val="Style92"/>
        <w:keepNext/>
        <w:keepLines/>
        <w:widowControl w:val="0"/>
        <w:shd w:val="clear" w:color="auto" w:fill="auto"/>
        <w:bidi w:val="0"/>
        <w:spacing w:before="0" w:after="30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8"/>
      <w:bookmarkEnd w:id="139"/>
      <w:bookmarkEnd w:id="141"/>
    </w:p>
    <w:p>
      <w:pPr>
        <w:pStyle w:val="Style15"/>
        <w:keepNext w:val="0"/>
        <w:keepLines w:val="0"/>
        <w:widowControl w:val="0"/>
        <w:shd w:val="clear" w:color="auto" w:fill="auto"/>
        <w:bidi w:val="0"/>
        <w:spacing w:before="0" w:after="40" w:line="300" w:lineRule="exact"/>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120" w:line="30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3"/>
        <w:gridCol w:w="1368"/>
        <w:gridCol w:w="1368"/>
        <w:gridCol w:w="1363"/>
        <w:gridCol w:w="1382"/>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1,696,158,289.</w:t>
            </w:r>
          </w:p>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753,153,391.16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非医疗行业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202,818,694.09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116,184,922.72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-0.39%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765,799,367.62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264,786,816.95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731,511,311.60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274,055,988.52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276,668,617.62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242,109,139.97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-4.23%</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3"/>
        <w:gridCol w:w="1378"/>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887,610,823.81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350,928,499.22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237,079,282.32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147,609,864.49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190,087,799.39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136,639,390.30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w:t>
            </w:r>
          </w:p>
        </w:tc>
      </w:tr>
    </w:tbl>
    <w:p>
      <w:pPr>
        <w:pStyle w:val="Style1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92"/>
        <w:keepNext/>
        <w:keepLines/>
        <w:widowControl w:val="0"/>
        <w:numPr>
          <w:ilvl w:val="0"/>
          <w:numId w:val="11"/>
        </w:numPr>
        <w:shd w:val="clear" w:color="auto" w:fill="auto"/>
        <w:tabs>
          <w:tab w:pos="493" w:val="left"/>
        </w:tabs>
        <w:bidi w:val="0"/>
        <w:spacing w:before="0" w:after="220" w:line="240" w:lineRule="auto"/>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公司实物销售收入是否大于劳务收入</w:t>
      </w:r>
      <w:bookmarkEnd w:id="142"/>
      <w:bookmarkEnd w:id="143"/>
      <w:bookmarkEnd w:id="145"/>
    </w:p>
    <w:p>
      <w:pPr>
        <w:pStyle w:val="Style15"/>
        <w:keepNext w:val="0"/>
        <w:keepLines w:val="0"/>
        <w:widowControl w:val="0"/>
        <w:shd w:val="clear" w:color="auto" w:fill="auto"/>
        <w:bidi w:val="0"/>
        <w:spacing w:before="0" w:after="360" w:line="353" w:lineRule="exact"/>
        <w:ind w:left="0" w:right="0" w:firstLine="0"/>
        <w:jc w:val="left"/>
      </w:pPr>
      <w:r>
        <w:rPr>
          <w:color w:val="000000"/>
          <w:spacing w:val="0"/>
          <w:w w:val="100"/>
          <w:position w:val="0"/>
        </w:rPr>
        <w:t>口是"否</w:t>
      </w:r>
    </w:p>
    <w:p>
      <w:pPr>
        <w:pStyle w:val="Style92"/>
        <w:keepNext/>
        <w:keepLines/>
        <w:widowControl w:val="0"/>
        <w:numPr>
          <w:ilvl w:val="0"/>
          <w:numId w:val="11"/>
        </w:numPr>
        <w:shd w:val="clear" w:color="auto" w:fill="auto"/>
        <w:tabs>
          <w:tab w:pos="493" w:val="left"/>
        </w:tabs>
        <w:bidi w:val="0"/>
        <w:spacing w:before="0" w:after="220" w:line="240" w:lineRule="auto"/>
        <w:ind w:left="0" w:right="0" w:firstLine="0"/>
        <w:jc w:val="left"/>
      </w:pPr>
      <w:bookmarkStart w:id="146" w:name="bookmark146"/>
      <w:bookmarkStart w:id="147" w:name="bookmark147"/>
      <w:bookmarkStart w:id="148" w:name="bookmark148"/>
      <w:bookmarkStart w:id="149" w:name="bookmark149"/>
      <w:bookmarkEnd w:id="148"/>
      <w:r>
        <w:rPr>
          <w:color w:val="000000"/>
          <w:spacing w:val="0"/>
          <w:w w:val="100"/>
          <w:position w:val="0"/>
        </w:rPr>
        <w:t>公司已签订的重大销售合同、重大采购合同截至本报告期的履行情况</w:t>
      </w:r>
      <w:bookmarkEnd w:id="146"/>
      <w:bookmarkEnd w:id="147"/>
      <w:bookmarkEnd w:id="149"/>
    </w:p>
    <w:p>
      <w:pPr>
        <w:pStyle w:val="Style15"/>
        <w:keepNext w:val="0"/>
        <w:keepLines w:val="0"/>
        <w:widowControl w:val="0"/>
        <w:shd w:val="clear" w:color="auto" w:fill="auto"/>
        <w:bidi w:val="0"/>
        <w:spacing w:before="0" w:after="0" w:line="353" w:lineRule="exact"/>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360" w:line="35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单一销售合同金额占公司最近一个会计年度经审计营业收入</w:t>
      </w:r>
      <w:r>
        <w:rPr>
          <w:rFonts w:ascii="Times New Roman" w:eastAsia="Times New Roman" w:hAnsi="Times New Roman" w:cs="Times New Roman"/>
          <w:color w:val="000000"/>
          <w:spacing w:val="0"/>
          <w:w w:val="100"/>
          <w:position w:val="0"/>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rPr>
        <w:t>5000</w:t>
      </w:r>
      <w:r>
        <w:rPr>
          <w:color w:val="000000"/>
          <w:spacing w:val="0"/>
          <w:w w:val="100"/>
          <w:position w:val="0"/>
        </w:rPr>
        <w:t>万元的正在履行的合同情况 口适用”不适用</w:t>
      </w:r>
    </w:p>
    <w:p>
      <w:pPr>
        <w:pStyle w:val="Style92"/>
        <w:keepNext/>
        <w:keepLines/>
        <w:widowControl w:val="0"/>
        <w:numPr>
          <w:ilvl w:val="0"/>
          <w:numId w:val="11"/>
        </w:numPr>
        <w:shd w:val="clear" w:color="auto" w:fill="auto"/>
        <w:tabs>
          <w:tab w:pos="493" w:val="left"/>
        </w:tabs>
        <w:bidi w:val="0"/>
        <w:spacing w:before="0" w:after="220" w:line="240" w:lineRule="auto"/>
        <w:ind w:left="0" w:right="0" w:firstLine="0"/>
        <w:jc w:val="left"/>
      </w:pPr>
      <w:bookmarkStart w:id="150" w:name="bookmark150"/>
      <w:bookmarkStart w:id="151" w:name="bookmark151"/>
      <w:bookmarkStart w:id="152" w:name="bookmark152"/>
      <w:bookmarkStart w:id="153" w:name="bookmark153"/>
      <w:bookmarkEnd w:id="152"/>
      <w:r>
        <w:rPr>
          <w:color w:val="000000"/>
          <w:spacing w:val="0"/>
          <w:w w:val="100"/>
          <w:position w:val="0"/>
        </w:rPr>
        <w:t>营业成本构成</w:t>
      </w:r>
      <w:bookmarkEnd w:id="150"/>
      <w:bookmarkEnd w:id="151"/>
      <w:bookmarkEnd w:id="153"/>
    </w:p>
    <w:p>
      <w:pPr>
        <w:pStyle w:val="Style15"/>
        <w:keepNext w:val="0"/>
        <w:keepLines w:val="0"/>
        <w:widowControl w:val="0"/>
        <w:shd w:val="clear" w:color="auto" w:fill="auto"/>
        <w:bidi w:val="0"/>
        <w:spacing w:before="0" w:after="120" w:line="353" w:lineRule="exact"/>
        <w:ind w:left="0" w:right="0" w:firstLine="0"/>
        <w:jc w:val="left"/>
      </w:pPr>
      <w:r>
        <w:rPr>
          <w:color w:val="000000"/>
          <w:spacing w:val="0"/>
          <w:w w:val="100"/>
          <w:position w:val="0"/>
        </w:rPr>
        <w:t>产品分类</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75,267,535.55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72,217,713.59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130,296,114.35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125,052,005.53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233,770,750.01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113,289,223.83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11.33%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85,307,024.23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135,580,281.21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-8.81%</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主营业务成本构成</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4"/>
        <w:gridCol w:w="1594"/>
        <w:gridCol w:w="1598"/>
        <w:gridCol w:w="1594"/>
        <w:gridCol w:w="159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319,077,774.24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248,869,505.04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212,778,944.90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203,705,235.49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r>
    </w:tbl>
    <w:p>
      <w:pPr>
        <w:widowControl w:val="0"/>
        <w:spacing w:line="1" w:lineRule="exact"/>
      </w:pPr>
      <w:r>
        <w:br w:type="page"/>
      </w:r>
    </w:p>
    <w:tbl>
      <w:tblPr>
        <w:tblOverlap w:val="never"/>
        <w:jc w:val="center"/>
        <w:tblLayout w:type="fixed"/>
      </w:tblPr>
      <w:tblGrid>
        <w:gridCol w:w="1598"/>
        <w:gridCol w:w="1594"/>
        <w:gridCol w:w="1594"/>
        <w:gridCol w:w="1598"/>
        <w:gridCol w:w="1594"/>
        <w:gridCol w:w="1598"/>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备件周转服务费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34,327,817.28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63,538,380.00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r>
    </w:tbl>
    <w:p>
      <w:pPr>
        <w:widowControl w:val="0"/>
        <w:spacing w:after="279" w:line="1" w:lineRule="exact"/>
      </w:pPr>
    </w:p>
    <w:p>
      <w:pPr>
        <w:pStyle w:val="Style92"/>
        <w:keepNext/>
        <w:keepLines/>
        <w:widowControl w:val="0"/>
        <w:shd w:val="clear" w:color="auto" w:fill="auto"/>
        <w:tabs>
          <w:tab w:pos="493"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4"/>
      <w:bookmarkEnd w:id="155"/>
      <w:bookmarkEnd w:id="157"/>
    </w:p>
    <w:p>
      <w:pPr>
        <w:pStyle w:val="Style15"/>
        <w:keepNext w:val="0"/>
        <w:keepLines w:val="0"/>
        <w:widowControl w:val="0"/>
        <w:shd w:val="clear" w:color="auto" w:fill="auto"/>
        <w:bidi w:val="0"/>
        <w:spacing w:before="0" w:after="60" w:line="312" w:lineRule="exact"/>
        <w:ind w:left="0" w:right="0" w:firstLine="0"/>
        <w:jc w:val="left"/>
      </w:pPr>
      <w:r>
        <w:rPr>
          <w:color w:val="000000"/>
          <w:spacing w:val="0"/>
          <w:w w:val="100"/>
          <w:position w:val="0"/>
        </w:rPr>
        <w:t>”是□否</w:t>
      </w:r>
    </w:p>
    <w:p>
      <w:pPr>
        <w:pStyle w:val="Style15"/>
        <w:keepNext w:val="0"/>
        <w:keepLines w:val="0"/>
        <w:widowControl w:val="0"/>
        <w:shd w:val="clear" w:color="auto" w:fill="auto"/>
        <w:bidi w:val="0"/>
        <w:spacing w:before="0" w:after="360" w:line="312" w:lineRule="exact"/>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年公司新设立子公司天津青创慧康科技有限公司、收购嘉兴市博雅达医药有限公司，并于本年纳入合并报表范围。 原子公司杭州梅清数码科技有限公司自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日起不再纳入合并报表范围。</w:t>
      </w:r>
    </w:p>
    <w:p>
      <w:pPr>
        <w:pStyle w:val="Style92"/>
        <w:keepNext/>
        <w:keepLines/>
        <w:widowControl w:val="0"/>
        <w:shd w:val="clear" w:color="auto" w:fill="auto"/>
        <w:tabs>
          <w:tab w:pos="493"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8"/>
      <w:bookmarkEnd w:id="159"/>
      <w:bookmarkEnd w:id="161"/>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92"/>
        <w:keepNext/>
        <w:keepLines/>
        <w:widowControl w:val="0"/>
        <w:shd w:val="clear" w:color="auto" w:fill="auto"/>
        <w:tabs>
          <w:tab w:pos="493"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2"/>
      <w:bookmarkEnd w:id="163"/>
      <w:bookmarkEnd w:id="165"/>
    </w:p>
    <w:p>
      <w:pPr>
        <w:pStyle w:val="Style1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251,231,847.09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公司前</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大客户资料</w:t>
      </w:r>
    </w:p>
    <w:p>
      <w:pPr>
        <w:widowControl w:val="0"/>
        <w:spacing w:after="59" w:line="1" w:lineRule="exact"/>
      </w:pPr>
    </w:p>
    <w:p>
      <w:pPr>
        <w:widowControl w:val="0"/>
        <w:spacing w:line="1" w:lineRule="exact"/>
      </w:pPr>
    </w:p>
    <w:tbl>
      <w:tblPr>
        <w:tblOverlap w:val="never"/>
        <w:jc w:val="center"/>
        <w:tblLayout w:type="fixed"/>
      </w:tblPr>
      <w:tblGrid>
        <w:gridCol w:w="811"/>
        <w:gridCol w:w="329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94,336,889.57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46,366,045.28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40,720,349.53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37,689,966.61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32,118,596.10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251,231,847.09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w:t>
            </w:r>
          </w:p>
        </w:tc>
      </w:tr>
    </w:tbl>
    <w:p>
      <w:pPr>
        <w:pStyle w:val="Style15"/>
        <w:keepNext w:val="0"/>
        <w:keepLines w:val="0"/>
        <w:widowControl w:val="0"/>
        <w:shd w:val="clear" w:color="auto" w:fill="auto"/>
        <w:bidi w:val="0"/>
        <w:spacing w:before="0" w:after="60" w:line="350"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262"/>
        <w:gridCol w:w="53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106,898,645.31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公司前</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名供应商资料</w:t>
      </w:r>
    </w:p>
    <w:tbl>
      <w:tblPr>
        <w:tblOverlap w:val="never"/>
        <w:jc w:val="center"/>
        <w:tblLayout w:type="fixed"/>
      </w:tblPr>
      <w:tblGrid>
        <w:gridCol w:w="936"/>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43,210,800.72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8.21%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18,828,622.20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3.58%</w:t>
            </w:r>
          </w:p>
        </w:tc>
      </w:tr>
    </w:tbl>
    <w:p>
      <w:pPr>
        <w:widowControl w:val="0"/>
        <w:spacing w:line="1" w:lineRule="exact"/>
      </w:pPr>
      <w:r>
        <w:br w:type="page"/>
      </w:r>
    </w:p>
    <w:tbl>
      <w:tblPr>
        <w:tblOverlap w:val="never"/>
        <w:jc w:val="center"/>
        <w:tblLayout w:type="fixed"/>
      </w:tblPr>
      <w:tblGrid>
        <w:gridCol w:w="936"/>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15,803,647.32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15,131,761.19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13,923,813.88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106,898,645.31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w:t>
            </w:r>
          </w:p>
        </w:tc>
      </w:tr>
    </w:tbl>
    <w:p>
      <w:pPr>
        <w:pStyle w:val="Style1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主要供应商其他情况说明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、费用</w:t>
      </w:r>
      <w:bookmarkEnd w:id="166"/>
      <w:bookmarkEnd w:id="167"/>
      <w:bookmarkEnd w:id="16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637"/>
        <w:gridCol w:w="1637"/>
        <w:gridCol w:w="1459"/>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152,984,177.05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164,337,572.83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187,453,160.82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174,528,379.56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-19,601,702.29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-2,631,656.72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主要系借款利息减少及利息收入增 加所致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210,369,731.86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177,228,128.75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4</w:t>
      </w:r>
      <w:bookmarkEnd w:id="172"/>
      <w:r>
        <w:rPr>
          <w:color w:val="000000"/>
          <w:spacing w:val="0"/>
          <w:w w:val="100"/>
          <w:position w:val="0"/>
        </w:rPr>
        <w:t>、研发投入</w:t>
      </w:r>
      <w:bookmarkEnd w:id="170"/>
      <w:bookmarkEnd w:id="171"/>
      <w:bookmarkEnd w:id="173"/>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1531"/>
        <w:gridCol w:w="4694"/>
        <w:gridCol w:w="850"/>
        <w:gridCol w:w="1032"/>
        <w:gridCol w:w="14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项目进 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拟达到的 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预计对公司未</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来发展的影响</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SOA</w:t>
            </w:r>
            <w:r>
              <w:rPr>
                <w:color w:val="000000"/>
                <w:spacing w:val="0"/>
                <w:w w:val="100"/>
                <w:position w:val="0"/>
              </w:rPr>
              <w:t>架构，以医院信息平台为架构核心，</w:t>
            </w:r>
            <w:r>
              <w:rPr>
                <w:rFonts w:ascii="Times New Roman" w:eastAsia="Times New Roman" w:hAnsi="Times New Roman" w:cs="Times New Roman"/>
                <w:color w:val="000000"/>
                <w:spacing w:val="0"/>
                <w:w w:val="100"/>
                <w:position w:val="0"/>
              </w:rPr>
              <w:t>BPM</w:t>
            </w:r>
            <w:r>
              <w:rPr>
                <w:color w:val="000000"/>
                <w:spacing w:val="0"/>
                <w:w w:val="100"/>
                <w:position w:val="0"/>
              </w:rPr>
              <w:t>为最 上层流程配置工具，强调领域设计，实现业务可配置化， 基于公司统一框架及门户</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，达到分层设计、分层开 发、分层实施与交付的平台化产品模式。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达到各项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巩固并增强公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司产品竞争力</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将基于区域卫生信息平台，结合家庭医生签约和分级诊疗 实现慢性病患者的诊疗、日常监测、随访、评估等数据的， 对区域内慢病管理数据进行自动比对，分析，掌握区域内 慢病管理工作的全貌，实现医院、社区卫生服务中心、疾 控中心等机构之间的横向业务协同。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达到各项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巩固并增强公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司产品竞争力</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基于公司医疗行业长期的行业经验，拟通过信息化软件， 结合目前医院在</w:t>
            </w:r>
            <w:r>
              <w:rPr>
                <w:rFonts w:ascii="Times New Roman" w:eastAsia="Times New Roman" w:hAnsi="Times New Roman" w:cs="Times New Roman"/>
                <w:color w:val="000000"/>
                <w:spacing w:val="0"/>
                <w:w w:val="100"/>
                <w:position w:val="0"/>
              </w:rPr>
              <w:t>DRG/DIP</w:t>
            </w:r>
            <w:r>
              <w:rPr>
                <w:color w:val="000000"/>
                <w:spacing w:val="0"/>
                <w:w w:val="100"/>
                <w:position w:val="0"/>
              </w:rPr>
              <w:t>付费改革下遇到的医保支付、 基金管理和精细化运营中的痛点和难点，助力医院主动迎 接</w:t>
            </w:r>
            <w:r>
              <w:rPr>
                <w:rFonts w:ascii="Times New Roman" w:eastAsia="Times New Roman" w:hAnsi="Times New Roman" w:cs="Times New Roman"/>
                <w:color w:val="000000"/>
                <w:spacing w:val="0"/>
                <w:w w:val="100"/>
                <w:position w:val="0"/>
              </w:rPr>
              <w:t>DRG/DIP</w:t>
            </w:r>
            <w:r>
              <w:rPr>
                <w:color w:val="000000"/>
                <w:spacing w:val="0"/>
                <w:w w:val="100"/>
                <w:position w:val="0"/>
              </w:rPr>
              <w:t>支付改革。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达到各项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巩固并增强公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司产品竞争力</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多维度解决病历质控过程中存在的问题和难点，有效提升 病历质控能力和效率，改善医院病历数据质量。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达到各项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巩固并增强公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司产品竞争力</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以“重构数据中心体系，搭建微服务架构，提升平台页面 美观度与体验度”为方向，进一步完善医院信息平台生态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达到各项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技术指标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巩固并增强公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司产品竞争力</w:t>
            </w:r>
          </w:p>
        </w:tc>
      </w:tr>
    </w:tbl>
    <w:p>
      <w:pPr>
        <w:widowControl w:val="0"/>
        <w:spacing w:line="1" w:lineRule="exact"/>
      </w:pPr>
      <w:r>
        <w:br w:type="page"/>
      </w:r>
    </w:p>
    <w:tbl>
      <w:tblPr>
        <w:tblOverlap w:val="never"/>
        <w:jc w:val="center"/>
        <w:tblLayout w:type="fixed"/>
      </w:tblPr>
      <w:tblGrid>
        <w:gridCol w:w="1531"/>
        <w:gridCol w:w="4694"/>
        <w:gridCol w:w="850"/>
        <w:gridCol w:w="1032"/>
        <w:gridCol w:w="147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体系。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基于公司最新的领域模型，使用公司最新的基础框架 </w:t>
            </w:r>
            <w:r>
              <w:rPr>
                <w:rFonts w:ascii="Times New Roman" w:eastAsia="Times New Roman" w:hAnsi="Times New Roman" w:cs="Times New Roman"/>
                <w:color w:val="000000"/>
                <w:spacing w:val="0"/>
                <w:w w:val="100"/>
                <w:position w:val="0"/>
              </w:rPr>
              <w:t>BBF-V4</w:t>
            </w:r>
            <w:r>
              <w:rPr>
                <w:color w:val="000000"/>
                <w:spacing w:val="0"/>
                <w:w w:val="100"/>
                <w:position w:val="0"/>
              </w:rPr>
              <w:t>开发，提供整套平台层面解决方案。</w:t>
            </w:r>
            <w:r>
              <w:rPr>
                <w:rFonts w:ascii="Times New Roman" w:eastAsia="Times New Roman" w:hAnsi="Times New Roman" w:cs="Times New Roman"/>
                <w:color w:val="000000"/>
                <w:spacing w:val="0"/>
                <w:w w:val="100"/>
                <w:position w:val="0"/>
              </w:rPr>
              <w:t>BBP</w:t>
            </w:r>
            <w:r>
              <w:rPr>
                <w:color w:val="000000"/>
                <w:spacing w:val="0"/>
                <w:w w:val="100"/>
                <w:position w:val="0"/>
              </w:rPr>
              <w:t>的研发 目标是统一系统审计和日志体系，统一消息和服务体系， 统一软件保护体系，统一本地化交互接口，统一单点和人 脸登录，统一缓存和存储模型，统一图表展示，统一打印 模块，统一移动门户，提供元数据应用，以及其巩固并增 强公司产品竞争力他基础支持。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达到各项 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巩固并增强公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司产品竞争力</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建立包含人、物的一个标准的、统一的基础数据库，对于 院内设备资产数据，引入多索引、分类标签的概念，向医 院其它系统开放接口，集成院内各系统内的物、资产数据。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达到各项</w:t>
            </w:r>
          </w:p>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技术指标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巩固并增强公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司产品竞争力</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公司研发人员情况</w:t>
      </w:r>
    </w:p>
    <w:p>
      <w:pPr>
        <w:widowControl w:val="0"/>
        <w:spacing w:after="79" w:line="1" w:lineRule="exact"/>
      </w:pPr>
    </w:p>
    <w:p>
      <w:pPr>
        <w:widowControl w:val="0"/>
        <w:spacing w:line="1" w:lineRule="exact"/>
      </w:pPr>
    </w:p>
    <w:tbl>
      <w:tblPr>
        <w:tblOverlap w:val="never"/>
        <w:jc w:val="center"/>
        <w:tblLayout w:type="fixed"/>
      </w:tblPr>
      <w:tblGrid>
        <w:gridCol w:w="2395"/>
        <w:gridCol w:w="2390"/>
        <w:gridCol w:w="2395"/>
        <w:gridCol w:w="23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w:t>
            </w:r>
          </w:p>
        </w:tc>
      </w:tr>
    </w:tbl>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近三年公司研发投入金额及占营业收入的比例</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316,026,550.42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272,477,388.21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208,803,284.02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128,312,716.08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105,187,593.73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74,401,167.74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23.34%</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970"/>
        <w:gridCol w:w="1522"/>
        <w:gridCol w:w="5938"/>
        <w:gridCol w:w="115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53,043,578.94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Hi-HIS</w:t>
            </w:r>
            <w:r>
              <w:rPr>
                <w:color w:val="000000"/>
                <w:spacing w:val="0"/>
                <w:w w:val="100"/>
                <w:position w:val="0"/>
              </w:rPr>
              <w:t>将基于</w:t>
            </w:r>
            <w:r>
              <w:rPr>
                <w:rFonts w:ascii="Times New Roman" w:eastAsia="Times New Roman" w:hAnsi="Times New Roman" w:cs="Times New Roman"/>
                <w:color w:val="000000"/>
                <w:spacing w:val="0"/>
                <w:w w:val="100"/>
                <w:position w:val="0"/>
              </w:rPr>
              <w:t>SOA</w:t>
            </w:r>
            <w:r>
              <w:rPr>
                <w:color w:val="000000"/>
                <w:spacing w:val="0"/>
                <w:w w:val="100"/>
                <w:position w:val="0"/>
              </w:rPr>
              <w:t>架构，以医院信息平台为架构核心，</w:t>
            </w:r>
            <w:r>
              <w:rPr>
                <w:rFonts w:ascii="Times New Roman" w:eastAsia="Times New Roman" w:hAnsi="Times New Roman" w:cs="Times New Roman"/>
                <w:color w:val="000000"/>
                <w:spacing w:val="0"/>
                <w:w w:val="100"/>
                <w:position w:val="0"/>
              </w:rPr>
              <w:t>BPM</w:t>
            </w:r>
            <w:r>
              <w:rPr>
                <w:color w:val="000000"/>
                <w:spacing w:val="0"/>
                <w:w w:val="100"/>
                <w:position w:val="0"/>
              </w:rPr>
              <w:t>为最上层流 程配置工具，强调领域设计，实现业务可配置化，基于公司统一框架及门 户</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w:t>
            </w:r>
            <w:r>
              <w:rPr>
                <w:color w:val="000000"/>
                <w:spacing w:val="0"/>
                <w:w w:val="100"/>
                <w:position w:val="0"/>
              </w:rPr>
              <w:t>，达到分层设计、分层开发、分层实施与交付的平台化产品模式， 与工程交付、行业伙伴及客户一起为政府、医院打造方便、安全、高效、 一体化的新一代医疗卫生健康信息系统与治理管理信息系统。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进行中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25,199,298.56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创业基础门户</w:t>
            </w:r>
            <w:r>
              <w:rPr>
                <w:color w:val="000000"/>
                <w:spacing w:val="0"/>
                <w:w w:val="100"/>
                <w:position w:val="0"/>
              </w:rPr>
              <w:t>(</w:t>
            </w:r>
            <w:r>
              <w:rPr>
                <w:rFonts w:ascii="Times New Roman" w:eastAsia="Times New Roman" w:hAnsi="Times New Roman" w:cs="Times New Roman"/>
                <w:color w:val="000000"/>
                <w:spacing w:val="0"/>
                <w:w w:val="100"/>
                <w:position w:val="0"/>
              </w:rPr>
              <w:t>BBP</w:t>
            </w:r>
            <w:r>
              <w:rPr>
                <w:color w:val="000000"/>
                <w:spacing w:val="0"/>
                <w:w w:val="100"/>
                <w:position w:val="0"/>
              </w:rPr>
              <w:t>)</w:t>
            </w:r>
            <w:r>
              <w:rPr>
                <w:color w:val="000000"/>
                <w:spacing w:val="0"/>
                <w:w w:val="100"/>
                <w:position w:val="0"/>
              </w:rPr>
              <w:t>基于公司最新的领域模型，使用公司最新的基础框 架</w:t>
            </w:r>
            <w:r>
              <w:rPr>
                <w:rFonts w:ascii="Times New Roman" w:eastAsia="Times New Roman" w:hAnsi="Times New Roman" w:cs="Times New Roman"/>
                <w:color w:val="000000"/>
                <w:spacing w:val="0"/>
                <w:w w:val="100"/>
                <w:position w:val="0"/>
              </w:rPr>
              <w:t>BBF-V4</w:t>
            </w:r>
            <w:r>
              <w:rPr>
                <w:color w:val="000000"/>
                <w:spacing w:val="0"/>
                <w:w w:val="100"/>
                <w:position w:val="0"/>
              </w:rPr>
              <w:t>开发，提供整套平台层面解决方案。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进行中</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14,348,102.90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以“重构数据中心体系，搭建微服务架构，提升平台页面美观度与体验度” 为方向，以进一步完善医院信息平台生态体系为目标。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进行中</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15,635,819.62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多维度解决病历质控过程中存在的问题和难点，有效提升病历质控能力和 效率，改善医院病历数据质量。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进行中</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结合软件行业研发流程及自身研发的特点，公司研发项目通过立项评审并进行开发后进入开发阶段。开发项目达到预定用途</w:t>
      </w:r>
    </w:p>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后确认为无形资产核算。</w:t>
      </w:r>
    </w:p>
    <w:p>
      <w:pPr>
        <w:pStyle w:val="Style24"/>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5</w:t>
      </w:r>
      <w:bookmarkEnd w:id="176"/>
      <w:r>
        <w:rPr>
          <w:color w:val="000000"/>
          <w:spacing w:val="0"/>
          <w:w w:val="100"/>
          <w:position w:val="0"/>
        </w:rPr>
        <w:t>、现金流</w:t>
      </w:r>
      <w:bookmarkEnd w:id="174"/>
      <w:bookmarkEnd w:id="175"/>
      <w:bookmarkEnd w:id="17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1,478,264,853.66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1,642,174,040.82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1,302,045,741.83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1,370,847,190.79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176,219,111.83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271,326,850.03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1,842,612,085.52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2,100,954,439.54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1,809,079,641.86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2,512,917,059.80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33,532,443.66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-411,962,620.26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25,255,000.00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1,503,299,679.97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201,374,977.22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314,807,572.37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-176,119,977.22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1,188,492,107.60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33,631,578.27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1,047,856,337.37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-96.79%</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相关数据同比发生重大变动的主要影响因素说明</w:t>
      </w:r>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0" w:line="314" w:lineRule="exact"/>
        <w:ind w:left="0" w:right="0" w:firstLine="360"/>
        <w:jc w:val="left"/>
      </w:pPr>
      <w:r>
        <w:rPr>
          <w:color w:val="000000"/>
          <w:spacing w:val="0"/>
          <w:w w:val="100"/>
          <w:position w:val="0"/>
        </w:rPr>
        <w:t>经营活动产生的现金流量净额较上年同期下降</w:t>
      </w:r>
      <w:r>
        <w:rPr>
          <w:rFonts w:ascii="Times New Roman" w:eastAsia="Times New Roman" w:hAnsi="Times New Roman" w:cs="Times New Roman"/>
          <w:color w:val="000000"/>
          <w:spacing w:val="0"/>
          <w:w w:val="100"/>
          <w:position w:val="0"/>
        </w:rPr>
        <w:t>35.05%</w:t>
      </w:r>
      <w:r>
        <w:rPr>
          <w:color w:val="000000"/>
          <w:spacing w:val="0"/>
          <w:w w:val="100"/>
          <w:position w:val="0"/>
        </w:rPr>
        <w:t>,主要系主要系本期销售商品、提供劳务收到的现金减少及支付 给职工以及为职工支付的现金增加所致；</w:t>
      </w:r>
    </w:p>
    <w:p>
      <w:pPr>
        <w:pStyle w:val="Style15"/>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投资活动产生的现金流量净额较上年同期增长</w:t>
      </w:r>
      <w:r>
        <w:rPr>
          <w:rFonts w:ascii="Times New Roman" w:eastAsia="Times New Roman" w:hAnsi="Times New Roman" w:cs="Times New Roman"/>
          <w:color w:val="000000"/>
          <w:spacing w:val="0"/>
          <w:w w:val="100"/>
          <w:position w:val="0"/>
        </w:rPr>
        <w:t>108.14%</w:t>
      </w:r>
      <w:r>
        <w:rPr>
          <w:color w:val="000000"/>
          <w:spacing w:val="0"/>
          <w:w w:val="100"/>
          <w:position w:val="0"/>
        </w:rPr>
        <w:t>,主要系本期投资支付的现金减少所致；</w:t>
      </w:r>
    </w:p>
    <w:p>
      <w:pPr>
        <w:pStyle w:val="Style15"/>
        <w:keepNext w:val="0"/>
        <w:keepLines w:val="0"/>
        <w:widowControl w:val="0"/>
        <w:shd w:val="clear" w:color="auto" w:fill="auto"/>
        <w:bidi w:val="0"/>
        <w:spacing w:before="0" w:after="300" w:line="314" w:lineRule="exact"/>
        <w:ind w:left="0" w:right="0" w:firstLine="360"/>
        <w:jc w:val="left"/>
      </w:pPr>
      <w:r>
        <w:rPr>
          <w:color w:val="000000"/>
          <w:spacing w:val="0"/>
          <w:w w:val="100"/>
          <w:position w:val="0"/>
        </w:rPr>
        <w:t>筹资活动现金流入小计较上年同期下降</w:t>
      </w:r>
      <w:r>
        <w:rPr>
          <w:rFonts w:ascii="Times New Roman" w:eastAsia="Times New Roman" w:hAnsi="Times New Roman" w:cs="Times New Roman"/>
          <w:color w:val="000000"/>
          <w:spacing w:val="0"/>
          <w:w w:val="100"/>
          <w:position w:val="0"/>
        </w:rPr>
        <w:t>98.32%</w:t>
      </w:r>
      <w:r>
        <w:rPr>
          <w:color w:val="000000"/>
          <w:spacing w:val="0"/>
          <w:w w:val="100"/>
          <w:position w:val="0"/>
        </w:rPr>
        <w:t>,主要系上年同期非公开发行股份收到的募集资金增加所致；筹资活动 现金流出小计较上年同期下降</w:t>
      </w:r>
      <w:r>
        <w:rPr>
          <w:rFonts w:ascii="Times New Roman" w:eastAsia="Times New Roman" w:hAnsi="Times New Roman" w:cs="Times New Roman"/>
          <w:color w:val="000000"/>
          <w:spacing w:val="0"/>
          <w:w w:val="100"/>
          <w:position w:val="0"/>
        </w:rPr>
        <w:t>36.03%</w:t>
      </w:r>
      <w:r>
        <w:rPr>
          <w:color w:val="000000"/>
          <w:spacing w:val="0"/>
          <w:w w:val="100"/>
          <w:position w:val="0"/>
        </w:rPr>
        <w:t xml:space="preserve">,主要系本期偿还债务支付的现金减少所致。筹资活动产生的现金流量净额较上年同 </w:t>
      </w:r>
      <w:r>
        <w:rPr>
          <w:color w:val="000000"/>
          <w:spacing w:val="0"/>
          <w:w w:val="100"/>
          <w:position w:val="0"/>
        </w:rPr>
        <w:t>期下降</w:t>
      </w:r>
      <w:r>
        <w:rPr>
          <w:rFonts w:ascii="Times New Roman" w:eastAsia="Times New Roman" w:hAnsi="Times New Roman" w:cs="Times New Roman"/>
          <w:color w:val="000000"/>
          <w:spacing w:val="0"/>
          <w:w w:val="100"/>
          <w:position w:val="0"/>
        </w:rPr>
        <w:t>114.82%</w:t>
      </w:r>
      <w:r>
        <w:rPr>
          <w:color w:val="000000"/>
          <w:spacing w:val="0"/>
          <w:w w:val="100"/>
          <w:position w:val="0"/>
        </w:rPr>
        <w:t>,主要系筹资活动现金流入减少所致。</w:t>
      </w:r>
    </w:p>
    <w:p>
      <w:pPr>
        <w:pStyle w:val="Style1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报告期内公司经营活动产生的现金净流量与本年度净利润存在重大差异的原因说明 口适用”不适用</w:t>
      </w:r>
    </w:p>
    <w:p>
      <w:pPr>
        <w:pStyle w:val="Style19"/>
        <w:keepNext/>
        <w:keepLines/>
        <w:widowControl w:val="0"/>
        <w:shd w:val="clear" w:color="auto" w:fill="auto"/>
        <w:tabs>
          <w:tab w:pos="512" w:val="left"/>
        </w:tabs>
        <w:bidi w:val="0"/>
        <w:spacing w:before="0" w:after="22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w:t>
        <w:tab/>
        <w:t>非主营业务情况</w:t>
      </w:r>
      <w:bookmarkEnd w:id="178"/>
      <w:bookmarkEnd w:id="179"/>
      <w:bookmarkEnd w:id="181"/>
    </w:p>
    <w:p>
      <w:pPr>
        <w:pStyle w:val="Style1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口适用”不适用</w:t>
      </w:r>
    </w:p>
    <w:p>
      <w:pPr>
        <w:pStyle w:val="Style19"/>
        <w:keepNext/>
        <w:keepLines/>
        <w:widowControl w:val="0"/>
        <w:shd w:val="clear" w:color="auto" w:fill="auto"/>
        <w:tabs>
          <w:tab w:pos="512" w:val="left"/>
        </w:tabs>
        <w:bidi w:val="0"/>
        <w:spacing w:before="0" w:after="30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六</w:t>
      </w:r>
      <w:bookmarkEnd w:id="184"/>
      <w:r>
        <w:rPr>
          <w:color w:val="000000"/>
          <w:spacing w:val="0"/>
          <w:w w:val="100"/>
          <w:position w:val="0"/>
          <w:sz w:val="24"/>
          <w:szCs w:val="24"/>
        </w:rPr>
        <w:t>、</w:t>
        <w:tab/>
        <w:t>资产及负债状况分析</w:t>
      </w:r>
      <w:bookmarkEnd w:id="182"/>
      <w:bookmarkEnd w:id="183"/>
      <w:bookmarkEnd w:id="185"/>
    </w:p>
    <w:p>
      <w:pPr>
        <w:pStyle w:val="Style24"/>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、资产构成重大变动情况</w:t>
      </w:r>
      <w:bookmarkEnd w:id="186"/>
      <w:bookmarkEnd w:id="187"/>
      <w:bookmarkEnd w:id="18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512"/>
        <w:gridCol w:w="1406"/>
        <w:gridCol w:w="1565"/>
        <w:gridCol w:w="1306"/>
        <w:gridCol w:w="1027"/>
        <w:gridCol w:w="139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1,619,154,719.36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1,583,947,190.00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1,250,852,813.34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845,393,504.86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142,942,407.75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80,101,496.22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240,505,018.58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325,549,827.64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2,804,133.68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3,026,058.92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240,832,641.95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195,061,930.06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267,749,317.91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289,489,166.84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82,574,891.28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24,399,935.79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14,535,518.33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13,805,871.10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163,116,981.94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154,468,303.65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253,298,004.18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6,811,944.05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6,402,338.51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、以公允价值计量的资产和负债</w:t>
      </w:r>
      <w:bookmarkEnd w:id="190"/>
      <w:bookmarkEnd w:id="191"/>
      <w:bookmarkEnd w:id="193"/>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989"/>
        <w:gridCol w:w="1013"/>
        <w:gridCol w:w="1066"/>
        <w:gridCol w:w="1190"/>
        <w:gridCol w:w="931"/>
        <w:gridCol w:w="1195"/>
        <w:gridCol w:w="1066"/>
        <w:gridCol w:w="912"/>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提的减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bl>
    <w:p>
      <w:pPr>
        <w:widowControl w:val="0"/>
        <w:spacing w:line="1" w:lineRule="exact"/>
      </w:pPr>
      <w:r>
        <w:br w:type="page"/>
      </w:r>
    </w:p>
    <w:tbl>
      <w:tblPr>
        <w:tblOverlap w:val="never"/>
        <w:jc w:val="center"/>
        <w:tblLayout w:type="fixed"/>
      </w:tblPr>
      <w:tblGrid>
        <w:gridCol w:w="989"/>
        <w:gridCol w:w="1013"/>
        <w:gridCol w:w="1066"/>
        <w:gridCol w:w="1190"/>
        <w:gridCol w:w="931"/>
        <w:gridCol w:w="1195"/>
        <w:gridCol w:w="1066"/>
        <w:gridCol w:w="912"/>
        <w:gridCol w:w="1219"/>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 金融资产</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（不含衍 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183,782,3</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1,601,570,00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1,785,352,</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 益工具投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12,400,00</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 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1,251,000.</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1,895,940.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其他非流 动金融资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130,000,0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-381,900.1</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129,618,099.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327,433,3</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-381,900.1</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1,602,214,94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1,787,248,</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142,018,099.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r>
    </w:tbl>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其他变动的内容</w:t>
      </w:r>
    </w:p>
    <w:p>
      <w:pPr>
        <w:pStyle w:val="Style15"/>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报告期内公司主要资产计量属性是否发生重大变化</w:t>
      </w:r>
    </w:p>
    <w:p>
      <w:pPr>
        <w:pStyle w:val="Style15"/>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口是"否</w:t>
      </w:r>
    </w:p>
    <w:p>
      <w:pPr>
        <w:pStyle w:val="Style24"/>
        <w:keepNext/>
        <w:keepLines/>
        <w:widowControl w:val="0"/>
        <w:shd w:val="clear" w:color="auto" w:fill="auto"/>
        <w:bidi w:val="0"/>
        <w:spacing w:before="0" w:after="26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、截至报告期末的资产权利受限情况</w:t>
      </w:r>
      <w:bookmarkEnd w:id="194"/>
      <w:bookmarkEnd w:id="195"/>
      <w:bookmarkEnd w:id="197"/>
    </w:p>
    <w:p>
      <w:pPr>
        <w:pStyle w:val="Style15"/>
        <w:keepNext w:val="0"/>
        <w:keepLines w:val="0"/>
        <w:widowControl w:val="0"/>
        <w:shd w:val="clear" w:color="auto" w:fill="auto"/>
        <w:bidi w:val="0"/>
        <w:spacing w:before="0" w:after="360" w:line="322" w:lineRule="exact"/>
        <w:ind w:left="0" w:right="0" w:firstLine="440"/>
        <w:jc w:val="left"/>
      </w:pPr>
      <w:r>
        <w:rPr>
          <w:color w:val="000000"/>
          <w:spacing w:val="0"/>
          <w:w w:val="100"/>
          <w:position w:val="0"/>
        </w:rPr>
        <w:t>期末其他货币资金包括银行承兑汇票保证金</w:t>
      </w:r>
      <w:r>
        <w:rPr>
          <w:color w:val="000000"/>
          <w:spacing w:val="0"/>
          <w:w w:val="100"/>
          <w:position w:val="0"/>
          <w:sz w:val="18"/>
          <w:szCs w:val="18"/>
        </w:rPr>
        <w:t xml:space="preserve">5, 479, </w:t>
      </w:r>
      <w:r>
        <w:rPr>
          <w:color w:val="000000"/>
          <w:spacing w:val="0"/>
          <w:w w:val="100"/>
          <w:position w:val="0"/>
          <w:sz w:val="18"/>
          <w:szCs w:val="18"/>
        </w:rPr>
        <w:t xml:space="preserve">883. </w:t>
      </w:r>
      <w:r>
        <w:rPr>
          <w:color w:val="000000"/>
          <w:spacing w:val="0"/>
          <w:w w:val="100"/>
          <w:position w:val="0"/>
          <w:sz w:val="18"/>
          <w:szCs w:val="18"/>
        </w:rPr>
        <w:t>93</w:t>
      </w:r>
      <w:r>
        <w:rPr>
          <w:color w:val="000000"/>
          <w:spacing w:val="0"/>
          <w:w w:val="100"/>
          <w:position w:val="0"/>
        </w:rPr>
        <w:t>元、保函保证金</w:t>
      </w:r>
      <w:r>
        <w:rPr>
          <w:color w:val="000000"/>
          <w:spacing w:val="0"/>
          <w:w w:val="100"/>
          <w:position w:val="0"/>
          <w:sz w:val="18"/>
          <w:szCs w:val="18"/>
        </w:rPr>
        <w:t xml:space="preserve">30,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元及其他保证金</w:t>
      </w:r>
      <w:r>
        <w:rPr>
          <w:color w:val="000000"/>
          <w:spacing w:val="0"/>
          <w:w w:val="100"/>
          <w:position w:val="0"/>
          <w:sz w:val="18"/>
          <w:szCs w:val="18"/>
        </w:rPr>
        <w:t xml:space="preserve">31,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元，均 系受限资金。</w:t>
      </w:r>
    </w:p>
    <w:p>
      <w:pPr>
        <w:pStyle w:val="Style19"/>
        <w:keepNext/>
        <w:keepLines/>
        <w:widowControl w:val="0"/>
        <w:shd w:val="clear" w:color="auto" w:fill="auto"/>
        <w:bidi w:val="0"/>
        <w:spacing w:before="0" w:after="30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七</w:t>
      </w:r>
      <w:bookmarkEnd w:id="200"/>
      <w:r>
        <w:rPr>
          <w:color w:val="000000"/>
          <w:spacing w:val="0"/>
          <w:w w:val="100"/>
          <w:position w:val="0"/>
          <w:sz w:val="24"/>
          <w:szCs w:val="24"/>
        </w:rPr>
        <w:t>、投资状况分析</w:t>
      </w:r>
      <w:bookmarkEnd w:id="198"/>
      <w:bookmarkEnd w:id="199"/>
      <w:bookmarkEnd w:id="201"/>
    </w:p>
    <w:p>
      <w:pPr>
        <w:pStyle w:val="Style24"/>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、总体情况</w:t>
      </w:r>
      <w:bookmarkEnd w:id="202"/>
      <w:bookmarkEnd w:id="203"/>
      <w:bookmarkEnd w:id="205"/>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192,487,850.45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216,072,915.58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w:t>
            </w:r>
          </w:p>
        </w:tc>
      </w:tr>
    </w:tbl>
    <w:p>
      <w:pPr>
        <w:widowControl w:val="0"/>
        <w:spacing w:after="299" w:line="1" w:lineRule="exact"/>
      </w:pPr>
    </w:p>
    <w:p>
      <w:pPr>
        <w:pStyle w:val="Style24"/>
        <w:keepNext/>
        <w:keepLines/>
        <w:widowControl w:val="0"/>
        <w:shd w:val="clear" w:color="auto" w:fill="auto"/>
        <w:tabs>
          <w:tab w:pos="378"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报告期内获取的重大的股权投资情况</w:t>
      </w:r>
      <w:bookmarkEnd w:id="206"/>
      <w:bookmarkEnd w:id="207"/>
      <w:bookmarkEnd w:id="209"/>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tabs>
          <w:tab w:pos="37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3</w:t>
      </w:r>
      <w:bookmarkEnd w:id="212"/>
      <w:r>
        <w:rPr>
          <w:color w:val="000000"/>
          <w:spacing w:val="0"/>
          <w:w w:val="100"/>
          <w:position w:val="0"/>
        </w:rPr>
        <w:t>、</w:t>
        <w:tab/>
        <w:t>报告期内正在进行的重大的非股权投资情况</w:t>
      </w:r>
      <w:bookmarkEnd w:id="210"/>
      <w:bookmarkEnd w:id="211"/>
      <w:bookmarkEnd w:id="213"/>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r>
        <w:br w:type="page"/>
      </w:r>
    </w:p>
    <w:p>
      <w:pPr>
        <w:pStyle w:val="Style24"/>
        <w:keepNext/>
        <w:keepLines/>
        <w:widowControl w:val="0"/>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4</w:t>
      </w:r>
      <w:bookmarkEnd w:id="216"/>
      <w:r>
        <w:rPr>
          <w:color w:val="000000"/>
          <w:spacing w:val="0"/>
          <w:w w:val="100"/>
          <w:position w:val="0"/>
        </w:rPr>
        <w:t>、以公允价值计量的金融资产</w:t>
      </w:r>
      <w:bookmarkEnd w:id="214"/>
      <w:bookmarkEnd w:id="215"/>
      <w:bookmarkEnd w:id="217"/>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92"/>
        <w:gridCol w:w="893"/>
        <w:gridCol w:w="1090"/>
        <w:gridCol w:w="1176"/>
        <w:gridCol w:w="1195"/>
        <w:gridCol w:w="955"/>
        <w:gridCol w:w="960"/>
        <w:gridCol w:w="955"/>
        <w:gridCol w:w="96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初始投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价值变动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327,433,</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-381,900.12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1,602,214,94</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1,787,248</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7,484,648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142,018,0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327,433,</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-381,900.12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1,602,214,94</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1,787,248</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7,484,648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142,018,0</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5</w:t>
      </w:r>
      <w:bookmarkEnd w:id="220"/>
      <w:r>
        <w:rPr>
          <w:color w:val="000000"/>
          <w:spacing w:val="0"/>
          <w:w w:val="100"/>
          <w:position w:val="0"/>
        </w:rPr>
        <w:t>、募集资金使用情况</w:t>
      </w:r>
      <w:bookmarkEnd w:id="218"/>
      <w:bookmarkEnd w:id="219"/>
      <w:bookmarkEnd w:id="221"/>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2"/>
        <w:keepNext/>
        <w:keepLines/>
        <w:widowControl w:val="0"/>
        <w:numPr>
          <w:ilvl w:val="0"/>
          <w:numId w:val="13"/>
        </w:numPr>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bookmarkEnd w:id="224"/>
      <w:r>
        <w:rPr>
          <w:color w:val="000000"/>
          <w:spacing w:val="0"/>
          <w:w w:val="100"/>
          <w:position w:val="0"/>
        </w:rPr>
        <w:t>募集资金总体使用情况</w:t>
      </w:r>
      <w:bookmarkEnd w:id="222"/>
      <w:bookmarkEnd w:id="223"/>
      <w:bookmarkEnd w:id="225"/>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募集年 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160" w:right="0" w:firstLine="0"/>
              <w:jc w:val="both"/>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闲置两 年以上 募集资 金金额</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用的募</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存储于</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相关银</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128,877.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43,147.8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74,558.2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57,292.4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行募集</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07"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资金专</w:t>
            </w: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管账户，</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以及用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于购买</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短期理</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财产品</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128,877.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43,147.8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74,558.2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57,292.4</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55" w:hRule="exact"/>
        </w:trPr>
        <w:tc>
          <w:tcPr>
            <w:gridSpan w:val="6"/>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根据中国证券监督管理委员会证监许可〔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1094</w:t>
            </w:r>
            <w:r>
              <w:rPr>
                <w:color w:val="000000"/>
                <w:spacing w:val="0"/>
                <w:w w:val="100"/>
                <w:position w:val="0"/>
              </w:rPr>
              <w:t>号文核准，</w:t>
            </w:r>
          </w:p>
        </w:tc>
        <w:tc>
          <w:tcPr>
            <w:gridSpan w:val="5"/>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并经深圳证券交易所同意，本公司由主承销商中信证</w:t>
            </w:r>
          </w:p>
        </w:tc>
      </w:tr>
      <w:tr>
        <w:trPr>
          <w:trHeight w:val="331" w:hRule="exact"/>
        </w:trPr>
        <w:tc>
          <w:tcPr>
            <w:gridSpan w:val="10"/>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券股份有限公司采用非公开发行方式，向特定对象非公开发行人民币普通股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7,980.6759</w:t>
            </w:r>
            <w:r>
              <w:rPr>
                <w:color w:val="000000"/>
                <w:spacing w:val="0"/>
                <w:w w:val="100"/>
                <w:position w:val="0"/>
              </w:rPr>
              <w:t>万股，</w:t>
            </w:r>
          </w:p>
        </w:tc>
        <w:tc>
          <w:tcPr>
            <w:tcBorders>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发行价为</w:t>
            </w:r>
          </w:p>
        </w:tc>
      </w:tr>
    </w:tbl>
    <w:p>
      <w:pPr>
        <w:spacing w:lineRule="exact" w:line="1"/>
        <w:rPr>
          <w:sz w:val="2"/>
          <w:szCs w:val="2"/>
        </w:rPr>
      </w:pPr>
      <w:r>
        <w:br w:type="page"/>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3" w:lineRule="exact"/>
        <w:ind w:left="0" w:right="0" w:firstLine="0"/>
        <w:jc w:val="both"/>
      </w:pPr>
      <w:r>
        <w:rPr>
          <w:color w:val="000000"/>
          <w:spacing w:val="0"/>
          <w:w w:val="100"/>
          <w:position w:val="0"/>
        </w:rPr>
        <w:t>每股人民币</w:t>
      </w:r>
      <w:r>
        <w:rPr>
          <w:rFonts w:ascii="Times New Roman" w:eastAsia="Times New Roman" w:hAnsi="Times New Roman" w:cs="Times New Roman"/>
          <w:color w:val="000000"/>
          <w:spacing w:val="0"/>
          <w:w w:val="100"/>
          <w:position w:val="0"/>
        </w:rPr>
        <w:t>16.51</w:t>
      </w:r>
      <w:r>
        <w:rPr>
          <w:color w:val="000000"/>
          <w:spacing w:val="0"/>
          <w:w w:val="100"/>
          <w:position w:val="0"/>
        </w:rPr>
        <w:t>元，共计募集资金</w:t>
      </w:r>
      <w:r>
        <w:rPr>
          <w:rFonts w:ascii="Times New Roman" w:eastAsia="Times New Roman" w:hAnsi="Times New Roman" w:cs="Times New Roman"/>
          <w:color w:val="000000"/>
          <w:spacing w:val="0"/>
          <w:w w:val="100"/>
          <w:position w:val="0"/>
        </w:rPr>
        <w:t>131,760.96</w:t>
      </w:r>
      <w:r>
        <w:rPr>
          <w:color w:val="000000"/>
          <w:spacing w:val="0"/>
          <w:w w:val="100"/>
          <w:position w:val="0"/>
        </w:rPr>
        <w:t>万元，坐扣承销和保荐费用</w:t>
      </w:r>
      <w:r>
        <w:rPr>
          <w:rFonts w:ascii="Times New Roman" w:eastAsia="Times New Roman" w:hAnsi="Times New Roman" w:cs="Times New Roman"/>
          <w:color w:val="000000"/>
          <w:spacing w:val="0"/>
          <w:w w:val="100"/>
          <w:position w:val="0"/>
        </w:rPr>
        <w:t>2,305.82</w:t>
      </w:r>
      <w:r>
        <w:rPr>
          <w:color w:val="000000"/>
          <w:spacing w:val="0"/>
          <w:w w:val="100"/>
          <w:position w:val="0"/>
        </w:rPr>
        <w:t xml:space="preserve">万元(含税，其中不含税金额为 </w:t>
      </w:r>
      <w:r>
        <w:rPr>
          <w:rFonts w:ascii="Times New Roman" w:eastAsia="Times New Roman" w:hAnsi="Times New Roman" w:cs="Times New Roman"/>
          <w:color w:val="000000"/>
          <w:spacing w:val="0"/>
          <w:w w:val="100"/>
          <w:position w:val="0"/>
        </w:rPr>
        <w:t>2,175.30</w:t>
      </w:r>
      <w:r>
        <w:rPr>
          <w:color w:val="000000"/>
          <w:spacing w:val="0"/>
          <w:w w:val="100"/>
          <w:position w:val="0"/>
        </w:rPr>
        <w:t>万元)后的募集资金为</w:t>
      </w:r>
      <w:r>
        <w:rPr>
          <w:rFonts w:ascii="Times New Roman" w:eastAsia="Times New Roman" w:hAnsi="Times New Roman" w:cs="Times New Roman"/>
          <w:color w:val="000000"/>
          <w:spacing w:val="0"/>
          <w:w w:val="100"/>
          <w:position w:val="0"/>
        </w:rPr>
        <w:t>129,455.14</w:t>
      </w:r>
      <w:r>
        <w:rPr>
          <w:color w:val="000000"/>
          <w:spacing w:val="0"/>
          <w:w w:val="100"/>
          <w:position w:val="0"/>
        </w:rPr>
        <w:t>万元，已由中信证券股份有限公司于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日汇入本公司募集 资金监管账户。另减除联席承销费、律师费、审计及验资费、信息披露费等与发行权益性证券直接相关的新增外部费用 </w:t>
      </w:r>
      <w:r>
        <w:rPr>
          <w:rFonts w:ascii="Times New Roman" w:eastAsia="Times New Roman" w:hAnsi="Times New Roman" w:cs="Times New Roman"/>
          <w:color w:val="000000"/>
          <w:spacing w:val="0"/>
          <w:w w:val="100"/>
          <w:position w:val="0"/>
        </w:rPr>
        <w:t>708.62</w:t>
      </w:r>
      <w:r>
        <w:rPr>
          <w:color w:val="000000"/>
          <w:spacing w:val="0"/>
          <w:w w:val="100"/>
          <w:position w:val="0"/>
        </w:rPr>
        <w:t>万元后，公司本次募集资金净额为</w:t>
      </w:r>
      <w:r>
        <w:rPr>
          <w:rFonts w:ascii="Times New Roman" w:eastAsia="Times New Roman" w:hAnsi="Times New Roman" w:cs="Times New Roman"/>
          <w:color w:val="000000"/>
          <w:spacing w:val="0"/>
          <w:w w:val="100"/>
          <w:position w:val="0"/>
        </w:rPr>
        <w:t>128,877.04</w:t>
      </w:r>
      <w:r>
        <w:rPr>
          <w:color w:val="000000"/>
          <w:spacing w:val="0"/>
          <w:w w:val="100"/>
          <w:position w:val="0"/>
        </w:rPr>
        <w:t>万元。上述募集资金到位情况业经天健会计师事务所(特殊普通合 伙)验证，并由其出具《验资报告》(天健验〔</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292</w:t>
      </w:r>
      <w:r>
        <w:rPr>
          <w:color w:val="000000"/>
          <w:spacing w:val="0"/>
          <w:w w:val="100"/>
          <w:position w:val="0"/>
        </w:rPr>
        <w:t>号)。</w:t>
      </w:r>
    </w:p>
    <w:p>
      <w:pPr>
        <w:pStyle w:val="Style1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57,292.46</w:t>
      </w:r>
      <w:r>
        <w:rPr>
          <w:color w:val="000000"/>
          <w:spacing w:val="0"/>
          <w:w w:val="100"/>
          <w:position w:val="0"/>
        </w:rPr>
        <w:t>万元(包括累计收到的银行存款利息及结构性存款收益扣除银行手 续费等的净额</w:t>
      </w:r>
      <w:r>
        <w:rPr>
          <w:rFonts w:ascii="Times New Roman" w:eastAsia="Times New Roman" w:hAnsi="Times New Roman" w:cs="Times New Roman"/>
          <w:color w:val="000000"/>
          <w:spacing w:val="0"/>
          <w:w w:val="100"/>
          <w:position w:val="0"/>
        </w:rPr>
        <w:t>2,972.31</w:t>
      </w:r>
      <w:r>
        <w:rPr>
          <w:color w:val="000000"/>
          <w:spacing w:val="0"/>
          <w:w w:val="100"/>
          <w:position w:val="0"/>
        </w:rPr>
        <w:t>万元)。其中，募集资金专户余额</w:t>
      </w:r>
      <w:r>
        <w:rPr>
          <w:rFonts w:ascii="Times New Roman" w:eastAsia="Times New Roman" w:hAnsi="Times New Roman" w:cs="Times New Roman"/>
          <w:color w:val="000000"/>
          <w:spacing w:val="0"/>
          <w:w w:val="100"/>
          <w:position w:val="0"/>
        </w:rPr>
        <w:t>52,292.46</w:t>
      </w:r>
      <w:r>
        <w:rPr>
          <w:color w:val="000000"/>
          <w:spacing w:val="0"/>
          <w:w w:val="100"/>
          <w:position w:val="0"/>
        </w:rPr>
        <w:t>万元，尚未到期的大额存单金额</w:t>
      </w:r>
      <w:r>
        <w:rPr>
          <w:rFonts w:ascii="Times New Roman" w:eastAsia="Times New Roman" w:hAnsi="Times New Roman" w:cs="Times New Roman"/>
          <w:color w:val="000000"/>
          <w:spacing w:val="0"/>
          <w:w w:val="100"/>
          <w:position w:val="0"/>
        </w:rPr>
        <w:t>5,000.00</w:t>
      </w:r>
      <w:r>
        <w:rPr>
          <w:color w:val="000000"/>
          <w:spacing w:val="0"/>
          <w:w w:val="100"/>
          <w:position w:val="0"/>
        </w:rPr>
        <w:t>万元。</w:t>
      </w:r>
    </w:p>
    <w:p>
      <w:pPr>
        <w:pStyle w:val="Style92"/>
        <w:keepNext/>
        <w:keepLines/>
        <w:widowControl w:val="0"/>
        <w:numPr>
          <w:ilvl w:val="0"/>
          <w:numId w:val="13"/>
        </w:numPr>
        <w:shd w:val="clear" w:color="auto" w:fill="auto"/>
        <w:bidi w:val="0"/>
        <w:spacing w:before="0" w:after="400" w:line="240" w:lineRule="auto"/>
        <w:ind w:left="0" w:right="0" w:firstLine="0"/>
        <w:jc w:val="both"/>
      </w:pPr>
      <w:bookmarkStart w:id="226" w:name="bookmark226"/>
      <w:bookmarkStart w:id="227" w:name="bookmark227"/>
      <w:bookmarkStart w:id="228" w:name="bookmark228"/>
      <w:bookmarkStart w:id="229" w:name="bookmark229"/>
      <w:bookmarkEnd w:id="228"/>
      <w:r>
        <w:rPr>
          <w:color w:val="000000"/>
          <w:spacing w:val="0"/>
          <w:w w:val="100"/>
          <w:position w:val="0"/>
        </w:rPr>
        <w:t>募集资金承诺项目情况</w:t>
      </w:r>
      <w:bookmarkEnd w:id="226"/>
      <w:bookmarkEnd w:id="227"/>
      <w:bookmarkEnd w:id="229"/>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730"/>
        <w:gridCol w:w="725"/>
        <w:gridCol w:w="898"/>
        <w:gridCol w:w="893"/>
        <w:gridCol w:w="634"/>
        <w:gridCol w:w="994"/>
        <w:gridCol w:w="898"/>
        <w:gridCol w:w="725"/>
        <w:gridCol w:w="730"/>
        <w:gridCol w:w="898"/>
        <w:gridCol w:w="725"/>
        <w:gridCol w:w="734"/>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承诺 投资 项目 和超 募资 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80"/>
              <w:jc w:val="left"/>
            </w:pPr>
            <w:r>
              <w:rPr>
                <w:color w:val="000000"/>
                <w:spacing w:val="0"/>
                <w:w w:val="100"/>
                <w:position w:val="0"/>
              </w:rPr>
              <w:t>是否</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已变 更项 目(含 部分 变更)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 投资总 额(</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 末投资 进度(</w:t>
            </w:r>
            <w:r>
              <w:rPr>
                <w:rFonts w:ascii="Times New Roman" w:eastAsia="Times New Roman" w:hAnsi="Times New Roman" w:cs="Times New Roman"/>
                <w:color w:val="000000"/>
                <w:spacing w:val="0"/>
                <w:w w:val="100"/>
                <w:position w:val="0"/>
              </w:rPr>
              <w:t>3</w:t>
            </w:r>
            <w:r>
              <w:rPr>
                <w:color w:val="000000"/>
                <w:spacing w:val="0"/>
                <w:w w:val="100"/>
                <w:position w:val="0"/>
              </w:rPr>
              <w:t>) =(</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 告期 实现 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项目 可行 性是 否发 生重 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 融合 驱动 的智 为健 康云 服务 整体 解决 方案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68,502.3</w:t>
            </w:r>
          </w:p>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68,502.3</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20,46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35,978.01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营销 服务 体系 扩建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23,795.8</w:t>
            </w:r>
          </w:p>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23,795.8</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1,909</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5,055.14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总部 研发 中心 扩建 和区 域研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10,023.5</w:t>
            </w:r>
          </w:p>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10,023.5</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4,614</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6,641.99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730"/>
        <w:gridCol w:w="725"/>
        <w:gridCol w:w="898"/>
        <w:gridCol w:w="893"/>
        <w:gridCol w:w="634"/>
        <w:gridCol w:w="994"/>
        <w:gridCol w:w="898"/>
        <w:gridCol w:w="725"/>
        <w:gridCol w:w="730"/>
        <w:gridCol w:w="898"/>
        <w:gridCol w:w="725"/>
        <w:gridCol w:w="73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究院 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补充 流动 资金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29,439.2</w:t>
            </w:r>
          </w:p>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26,555.2</w:t>
            </w:r>
          </w:p>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16,15</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26,883.14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 投资 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131,760.</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128,877.</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43,14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74,558.28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131,760.</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128,877.</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43,14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74,558.28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未达到计划进度或预计收益的情况和原因（分 具体项目）</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 资金 投资 项目 实施 方式 调整 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781"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日第七届董事会第三次会议、</w:t>
            </w:r>
            <w:r>
              <w:rPr>
                <w:rFonts w:ascii="Times New Roman" w:eastAsia="Times New Roman" w:hAnsi="Times New Roman" w:cs="Times New Roman"/>
                <w:color w:val="000000"/>
                <w:spacing w:val="0"/>
                <w:w w:val="100"/>
                <w:position w:val="0"/>
              </w:rPr>
              <w:t>2020</w:t>
            </w:r>
            <w:r>
              <w:rPr>
                <w:color w:val="000000"/>
                <w:spacing w:val="0"/>
                <w:w w:val="100"/>
                <w:position w:val="0"/>
              </w:rPr>
              <w:t>年第五次临时股东大会审议通过的《关于变更部 分募集资金投资项目实施方式暨自建智慧健康科技产品产业化基地的议案》，同意公司变更“数据融合驱动的 智为健康云服务整体解决方案项目”的实施方式，由购置并装修募投项目场地变更为自建智慧健康科技产品产 业化基地。本次变更除上述实施方式变更外，其他募集资金使用计划不变。因建筑安装工程项目实施过程中， 包括土建工程等实际投资需求超出原计划，资金缺口将通过公司自筹方式解决。</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 资金 投资 项目 先期 投入 及置 换情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49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根据公司第六届董事会第三十八次会议和第六届监事会第三十三次会议审议通过的《关于使用募集资金置换预 先已投入募投项目自筹资金的议案》，公司利用募集资金置换预先投入募投项目的自筹资金合计</w:t>
            </w:r>
            <w:r>
              <w:rPr>
                <w:rFonts w:ascii="Times New Roman" w:eastAsia="Times New Roman" w:hAnsi="Times New Roman" w:cs="Times New Roman"/>
                <w:color w:val="000000"/>
                <w:spacing w:val="0"/>
                <w:w w:val="100"/>
                <w:position w:val="0"/>
              </w:rPr>
              <w:t>10,589.79</w:t>
            </w:r>
            <w:r>
              <w:rPr>
                <w:color w:val="000000"/>
                <w:spacing w:val="0"/>
                <w:w w:val="100"/>
                <w:position w:val="0"/>
              </w:rPr>
              <w:t>万 元，其中：数据融合驱动的智为健康云服务整体解决方案项目</w:t>
            </w:r>
            <w:r>
              <w:rPr>
                <w:rFonts w:ascii="Times New Roman" w:eastAsia="Times New Roman" w:hAnsi="Times New Roman" w:cs="Times New Roman"/>
                <w:color w:val="000000"/>
                <w:spacing w:val="0"/>
                <w:w w:val="100"/>
                <w:position w:val="0"/>
              </w:rPr>
              <w:t>8,028.95</w:t>
            </w:r>
            <w:r>
              <w:rPr>
                <w:color w:val="000000"/>
                <w:spacing w:val="0"/>
                <w:w w:val="100"/>
                <w:position w:val="0"/>
              </w:rPr>
              <w:t>万元，总部研发中心扩建和区域研究院 建设项目</w:t>
            </w:r>
            <w:r>
              <w:rPr>
                <w:rFonts w:ascii="Times New Roman" w:eastAsia="Times New Roman" w:hAnsi="Times New Roman" w:cs="Times New Roman"/>
                <w:color w:val="000000"/>
                <w:spacing w:val="0"/>
                <w:w w:val="100"/>
                <w:position w:val="0"/>
              </w:rPr>
              <w:t>1,323.87</w:t>
            </w:r>
            <w:r>
              <w:rPr>
                <w:color w:val="000000"/>
                <w:spacing w:val="0"/>
                <w:w w:val="100"/>
                <w:position w:val="0"/>
              </w:rPr>
              <w:t>万元，营销服务体系扩建项目</w:t>
            </w:r>
            <w:r>
              <w:rPr>
                <w:rFonts w:ascii="Times New Roman" w:eastAsia="Times New Roman" w:hAnsi="Times New Roman" w:cs="Times New Roman"/>
                <w:color w:val="000000"/>
                <w:spacing w:val="0"/>
                <w:w w:val="100"/>
                <w:position w:val="0"/>
              </w:rPr>
              <w:t>1,236.97</w:t>
            </w:r>
            <w:r>
              <w:rPr>
                <w:color w:val="000000"/>
                <w:spacing w:val="0"/>
                <w:w w:val="100"/>
                <w:position w:val="0"/>
              </w:rPr>
              <w:t>万元。公司已分别于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将上述款项自募集资金专户划出至一般账户。</w:t>
            </w:r>
          </w:p>
        </w:tc>
      </w:tr>
      <w:tr>
        <w:trPr>
          <w:trHeight w:val="39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公司尚未使用的募集资金将继续用于原承诺投资的募集资金投资项</w:t>
            </w:r>
          </w:p>
        </w:tc>
      </w:tr>
    </w:tbl>
    <w:p>
      <w:pPr>
        <w:widowControl w:val="0"/>
        <w:spacing w:line="1" w:lineRule="exact"/>
      </w:pPr>
    </w:p>
    <w:tbl>
      <w:tblPr>
        <w:tblOverlap w:val="never"/>
        <w:jc w:val="center"/>
        <w:tblLayout w:type="fixed"/>
      </w:tblPr>
      <w:tblGrid>
        <w:gridCol w:w="3878"/>
        <w:gridCol w:w="57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募集资金使用及披露中存在的问题或其他情况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92"/>
        <w:keepNext/>
        <w:keepLines/>
        <w:widowControl w:val="0"/>
        <w:shd w:val="clear" w:color="auto" w:fill="auto"/>
        <w:bidi w:val="0"/>
        <w:spacing w:before="0" w:after="360" w:line="240" w:lineRule="auto"/>
        <w:ind w:left="0" w:right="0" w:firstLine="0"/>
        <w:jc w:val="both"/>
      </w:pPr>
      <w:bookmarkStart w:id="230" w:name="bookmark230"/>
      <w:bookmarkStart w:id="231" w:name="bookmark231"/>
      <w:bookmarkStart w:id="232" w:name="bookmark232"/>
      <w:bookmarkStart w:id="233" w:name="bookmark233"/>
      <w:r>
        <w:rPr>
          <w:color w:val="000000"/>
          <w:spacing w:val="0"/>
          <w:w w:val="100"/>
          <w:position w:val="0"/>
        </w:rPr>
        <w:t>（</w:t>
      </w:r>
      <w:bookmarkEnd w:id="23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0"/>
      <w:bookmarkEnd w:id="231"/>
      <w:bookmarkEnd w:id="233"/>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19"/>
        <w:keepNext/>
        <w:keepLines/>
        <w:widowControl w:val="0"/>
        <w:shd w:val="clear" w:color="auto" w:fill="auto"/>
        <w:tabs>
          <w:tab w:pos="512" w:val="left"/>
        </w:tabs>
        <w:bidi w:val="0"/>
        <w:spacing w:before="0" w:after="320" w:line="240" w:lineRule="auto"/>
        <w:ind w:left="0" w:right="0" w:firstLine="0"/>
        <w:jc w:val="both"/>
      </w:pPr>
      <w:bookmarkStart w:id="234" w:name="bookmark234"/>
      <w:bookmarkStart w:id="235" w:name="bookmark235"/>
      <w:bookmarkStart w:id="236" w:name="bookmark236"/>
      <w:bookmarkStart w:id="237" w:name="bookmark237"/>
      <w:r>
        <w:rPr>
          <w:color w:val="000000"/>
          <w:spacing w:val="0"/>
          <w:w w:val="100"/>
          <w:position w:val="0"/>
          <w:sz w:val="24"/>
          <w:szCs w:val="24"/>
        </w:rPr>
        <w:t>八</w:t>
      </w:r>
      <w:bookmarkEnd w:id="236"/>
      <w:r>
        <w:rPr>
          <w:color w:val="000000"/>
          <w:spacing w:val="0"/>
          <w:w w:val="100"/>
          <w:position w:val="0"/>
          <w:sz w:val="24"/>
          <w:szCs w:val="24"/>
        </w:rPr>
        <w:t>、</w:t>
        <w:tab/>
        <w:t>重大资产和股权出售</w:t>
      </w:r>
      <w:bookmarkEnd w:id="234"/>
      <w:bookmarkEnd w:id="235"/>
      <w:bookmarkEnd w:id="237"/>
    </w:p>
    <w:p>
      <w:pPr>
        <w:pStyle w:val="Style24"/>
        <w:keepNext/>
        <w:keepLines/>
        <w:widowControl w:val="0"/>
        <w:shd w:val="clear" w:color="auto" w:fill="auto"/>
        <w:tabs>
          <w:tab w:pos="404" w:val="left"/>
        </w:tabs>
        <w:bidi w:val="0"/>
        <w:spacing w:before="0" w:line="240" w:lineRule="auto"/>
        <w:ind w:left="0" w:right="0" w:firstLine="0"/>
        <w:jc w:val="both"/>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1</w:t>
      </w:r>
      <w:bookmarkEnd w:id="240"/>
      <w:r>
        <w:rPr>
          <w:color w:val="000000"/>
          <w:spacing w:val="0"/>
          <w:w w:val="100"/>
          <w:position w:val="0"/>
        </w:rPr>
        <w:t>、</w:t>
        <w:tab/>
        <w:t>出售重大资产情况</w:t>
      </w:r>
      <w:bookmarkEnd w:id="238"/>
      <w:bookmarkEnd w:id="239"/>
      <w:bookmarkEnd w:id="241"/>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24"/>
        <w:keepNext/>
        <w:keepLines/>
        <w:widowControl w:val="0"/>
        <w:shd w:val="clear" w:color="auto" w:fill="auto"/>
        <w:tabs>
          <w:tab w:pos="404" w:val="left"/>
        </w:tabs>
        <w:bidi w:val="0"/>
        <w:spacing w:before="0" w:line="240" w:lineRule="auto"/>
        <w:ind w:left="0" w:right="0" w:firstLine="0"/>
        <w:jc w:val="both"/>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2</w:t>
      </w:r>
      <w:bookmarkEnd w:id="244"/>
      <w:r>
        <w:rPr>
          <w:color w:val="000000"/>
          <w:spacing w:val="0"/>
          <w:w w:val="100"/>
          <w:position w:val="0"/>
        </w:rPr>
        <w:t>、</w:t>
        <w:tab/>
        <w:t>出售重大股权情况</w:t>
      </w:r>
      <w:bookmarkEnd w:id="242"/>
      <w:bookmarkEnd w:id="243"/>
      <w:bookmarkEnd w:id="245"/>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19"/>
        <w:keepNext/>
        <w:keepLines/>
        <w:widowControl w:val="0"/>
        <w:shd w:val="clear" w:color="auto" w:fill="auto"/>
        <w:tabs>
          <w:tab w:pos="512" w:val="left"/>
        </w:tabs>
        <w:bidi w:val="0"/>
        <w:spacing w:before="0" w:after="360" w:line="240" w:lineRule="auto"/>
        <w:ind w:left="0" w:right="0" w:firstLine="0"/>
        <w:jc w:val="both"/>
      </w:pPr>
      <w:bookmarkStart w:id="246" w:name="bookmark246"/>
      <w:bookmarkStart w:id="247" w:name="bookmark247"/>
      <w:bookmarkStart w:id="248" w:name="bookmark248"/>
      <w:bookmarkStart w:id="249" w:name="bookmark249"/>
      <w:r>
        <w:rPr>
          <w:color w:val="000000"/>
          <w:spacing w:val="0"/>
          <w:w w:val="100"/>
          <w:position w:val="0"/>
          <w:sz w:val="24"/>
          <w:szCs w:val="24"/>
        </w:rPr>
        <w:t>九</w:t>
      </w:r>
      <w:bookmarkEnd w:id="248"/>
      <w:r>
        <w:rPr>
          <w:color w:val="000000"/>
          <w:spacing w:val="0"/>
          <w:w w:val="100"/>
          <w:position w:val="0"/>
          <w:sz w:val="24"/>
          <w:szCs w:val="24"/>
        </w:rPr>
        <w:t>、</w:t>
        <w:tab/>
        <w:t>主要控股参股公司分析</w:t>
      </w:r>
      <w:bookmarkEnd w:id="246"/>
      <w:bookmarkEnd w:id="247"/>
      <w:bookmarkEnd w:id="249"/>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56"/>
        <w:gridCol w:w="1195"/>
        <w:gridCol w:w="1046"/>
        <w:gridCol w:w="1046"/>
        <w:gridCol w:w="1046"/>
        <w:gridCol w:w="1042"/>
        <w:gridCol w:w="1046"/>
        <w:gridCol w:w="1046"/>
        <w:gridCol w:w="10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杭州慧康 物联网科 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运维服务、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系统集成、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物联网医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院建设等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664,144,62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557,182,11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294,016,88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126,238,91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108,874,84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杭州梅清数码科技有限公司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天津青创慧康科技有限公司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主要控股参股公司情况说明</w:t>
      </w:r>
    </w:p>
    <w:p>
      <w:pPr>
        <w:pStyle w:val="Style15"/>
        <w:keepNext w:val="0"/>
        <w:keepLines w:val="0"/>
        <w:widowControl w:val="0"/>
        <w:shd w:val="clear" w:color="auto" w:fill="auto"/>
        <w:bidi w:val="0"/>
        <w:spacing w:before="0" w:after="320" w:line="314" w:lineRule="exact"/>
        <w:ind w:left="0" w:right="0"/>
        <w:jc w:val="both"/>
      </w:pPr>
      <w:r>
        <w:rPr>
          <w:color w:val="000000"/>
          <w:spacing w:val="0"/>
          <w:w w:val="100"/>
          <w:position w:val="0"/>
        </w:rPr>
        <w:t>杭州慧康物联网科技有限公司（原博泰服务）主要承担公司医疗物联网业务，业务主要针对医疗机构诊前、诊中、诊后 各环节的服务场景提供以物联网技术为基础，物联网接入基础平台为核心，结合软硬件应用的智慧服务、智慧临床、智慧管 理等一系列医疗卫生领域智能化解决方案。</w:t>
      </w: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37" name="Shape 37"/>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EFE"/>
                        </a:solidFill>
                      </wps:spPr>
                      <wps:bodyPr/>
                    </wps:wsp>
                  </a:graphicData>
                </a:graphic>
              </wp:anchor>
            </w:drawing>
          </mc:Choice>
          <mc:Fallback>
            <w:pict>
              <v:rect style="position:absolute;margin-left:0;margin-top:0;width:595.pt;height:842.pt;z-index:-251658240;mso-position-horizontal-relative:page;mso-position-vertical-relative:page;z-index:-251658752" fillcolor="#FEFEFE" stroked="f"/>
            </w:pict>
          </mc:Fallback>
        </mc:AlternateContent>
      </w:r>
    </w:p>
    <w:p>
      <w:pPr>
        <w:pStyle w:val="Style19"/>
        <w:keepNext/>
        <w:keepLines/>
        <w:widowControl w:val="0"/>
        <w:shd w:val="clear" w:color="auto" w:fill="auto"/>
        <w:bidi w:val="0"/>
        <w:spacing w:before="0" w:after="280" w:line="240" w:lineRule="auto"/>
        <w:ind w:left="0" w:right="0" w:firstLine="0"/>
        <w:jc w:val="left"/>
      </w:pPr>
      <w:bookmarkStart w:id="250" w:name="bookmark250"/>
      <w:bookmarkStart w:id="251" w:name="bookmark251"/>
      <w:bookmarkStart w:id="252" w:name="bookmark252"/>
      <w:r>
        <w:rPr>
          <w:color w:val="000000"/>
          <w:spacing w:val="0"/>
          <w:w w:val="100"/>
          <w:position w:val="0"/>
          <w:sz w:val="24"/>
          <w:szCs w:val="24"/>
        </w:rPr>
        <w:t>十、公司控制的结构化主体情况</w:t>
      </w:r>
      <w:bookmarkEnd w:id="250"/>
      <w:bookmarkEnd w:id="251"/>
      <w:bookmarkEnd w:id="252"/>
    </w:p>
    <w:p>
      <w:pPr>
        <w:pStyle w:val="Style15"/>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280" w:line="240" w:lineRule="auto"/>
        <w:ind w:left="0" w:right="0" w:firstLine="0"/>
        <w:jc w:val="left"/>
      </w:pPr>
      <w:bookmarkStart w:id="253" w:name="bookmark253"/>
      <w:bookmarkStart w:id="254" w:name="bookmark254"/>
      <w:bookmarkStart w:id="255" w:name="bookmark255"/>
      <w:r>
        <w:rPr>
          <w:color w:val="000000"/>
          <w:spacing w:val="0"/>
          <w:w w:val="100"/>
          <w:position w:val="0"/>
          <w:sz w:val="24"/>
          <w:szCs w:val="24"/>
        </w:rPr>
        <w:t>十一、公司未来发展的展望</w:t>
      </w:r>
      <w:bookmarkEnd w:id="253"/>
      <w:bookmarkEnd w:id="254"/>
      <w:bookmarkEnd w:id="255"/>
    </w:p>
    <w:p>
      <w:pPr>
        <w:pStyle w:val="Style15"/>
        <w:keepNext w:val="0"/>
        <w:keepLines w:val="0"/>
        <w:widowControl w:val="0"/>
        <w:shd w:val="clear" w:color="auto" w:fill="auto"/>
        <w:bidi w:val="0"/>
        <w:spacing w:before="0" w:after="0" w:line="309" w:lineRule="exact"/>
        <w:ind w:left="0" w:right="0"/>
        <w:jc w:val="both"/>
      </w:pPr>
      <w:bookmarkStart w:id="256" w:name="bookmark256"/>
      <w:r>
        <w:rPr>
          <w:b/>
          <w:bCs/>
          <w:color w:val="000000"/>
          <w:spacing w:val="0"/>
          <w:w w:val="100"/>
          <w:position w:val="0"/>
        </w:rPr>
        <w:t>（</w:t>
      </w:r>
      <w:bookmarkEnd w:id="256"/>
      <w:r>
        <w:rPr>
          <w:b/>
          <w:bCs/>
          <w:color w:val="000000"/>
          <w:spacing w:val="0"/>
          <w:w w:val="100"/>
          <w:position w:val="0"/>
        </w:rPr>
        <w:t>一）公司发展战略</w:t>
      </w:r>
    </w:p>
    <w:p>
      <w:pPr>
        <w:pStyle w:val="Style15"/>
        <w:keepNext w:val="0"/>
        <w:keepLines w:val="0"/>
        <w:widowControl w:val="0"/>
        <w:shd w:val="clear" w:color="auto" w:fill="auto"/>
        <w:bidi w:val="0"/>
        <w:spacing w:before="0" w:after="560" w:line="309" w:lineRule="exact"/>
        <w:ind w:left="0" w:right="0" w:firstLine="300"/>
        <w:jc w:val="both"/>
      </w:pPr>
      <w:r>
        <w:rPr>
          <w:color w:val="000000"/>
          <w:spacing w:val="0"/>
          <w:w w:val="100"/>
          <w:position w:val="0"/>
        </w:rPr>
        <w:t>公司将会继续秉承“创造智慧医卫，服务健康事业”的企业宗旨，专注于医疗卫生信息化的建设、研发及服务创新，始 终坚持以市场为导向，以客户需求为出发点，不断深化拓展医疗卫生健康信息化行业市场；同时，依托于</w:t>
      </w:r>
      <w:r>
        <w:rPr>
          <w:rFonts w:ascii="Times New Roman" w:eastAsia="Times New Roman" w:hAnsi="Times New Roman" w:cs="Times New Roman"/>
          <w:color w:val="000000"/>
          <w:spacing w:val="0"/>
          <w:w w:val="100"/>
          <w:position w:val="0"/>
        </w:rPr>
        <w:t>“</w:t>
      </w:r>
      <w:r>
        <w:rPr>
          <w:color w:val="000000"/>
          <w:spacing w:val="0"/>
          <w:w w:val="100"/>
          <w:position w:val="0"/>
        </w:rPr>
        <w:t>慧康云</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发展 战略，公司将继续推进</w:t>
      </w:r>
      <w:r>
        <w:rPr>
          <w:rFonts w:ascii="Times New Roman" w:eastAsia="Times New Roman" w:hAnsi="Times New Roman" w:cs="Times New Roman"/>
          <w:color w:val="000000"/>
          <w:spacing w:val="0"/>
          <w:w w:val="100"/>
          <w:position w:val="0"/>
        </w:rPr>
        <w:t>HIT</w:t>
      </w:r>
      <w:r>
        <w:rPr>
          <w:color w:val="000000"/>
          <w:spacing w:val="0"/>
          <w:w w:val="100"/>
          <w:position w:val="0"/>
        </w:rPr>
        <w:t>产品的全面云化解决方案、混合云的子系统解决方案，以慧康云架构来实现云边端的医疗业务协 同，完成从传统</w:t>
      </w:r>
      <w:r>
        <w:rPr>
          <w:rFonts w:ascii="Times New Roman" w:eastAsia="Times New Roman" w:hAnsi="Times New Roman" w:cs="Times New Roman"/>
          <w:color w:val="000000"/>
          <w:spacing w:val="0"/>
          <w:w w:val="100"/>
          <w:position w:val="0"/>
        </w:rPr>
        <w:t>IT</w:t>
      </w:r>
      <w:r>
        <w:rPr>
          <w:color w:val="000000"/>
          <w:spacing w:val="0"/>
          <w:w w:val="100"/>
          <w:position w:val="0"/>
        </w:rPr>
        <w:t>信息产品服务公司到科技云生态企业的转变。</w:t>
      </w:r>
    </w:p>
    <w:p>
      <w:pPr>
        <w:pStyle w:val="Style2"/>
        <w:keepNext w:val="0"/>
        <w:keepLines w:val="0"/>
        <w:widowControl w:val="0"/>
        <w:shd w:val="clear" w:color="auto" w:fill="auto"/>
        <w:tabs>
          <w:tab w:pos="2174" w:val="left"/>
          <w:tab w:pos="3811" w:val="left"/>
          <w:tab w:pos="4332" w:val="left"/>
        </w:tabs>
        <w:bidi w:val="0"/>
        <w:spacing w:before="0" w:after="0" w:line="240" w:lineRule="auto"/>
        <w:ind w:left="0" w:right="0" w:firstLine="0"/>
        <w:jc w:val="center"/>
        <w:rPr>
          <w:sz w:val="15"/>
          <w:szCs w:val="15"/>
        </w:rPr>
      </w:pPr>
      <w:r>
        <w:rPr>
          <w:rFonts w:ascii="Arial" w:eastAsia="Arial" w:hAnsi="Arial" w:cs="Arial"/>
          <w:b/>
          <w:bCs/>
          <w:color w:val="000000"/>
          <w:spacing w:val="0"/>
          <w:w w:val="100"/>
          <w:position w:val="0"/>
          <w:sz w:val="15"/>
          <w:szCs w:val="15"/>
        </w:rPr>
        <w:t>2017 - 2019</w:t>
        <w:tab/>
        <w:t>2019 - 2020</w:t>
        <w:tab/>
      </w:r>
      <w:r>
        <w:rPr>
          <w:b/>
          <w:bCs/>
          <w:color w:val="205B9D"/>
          <w:spacing w:val="0"/>
          <w:w w:val="100"/>
          <w:position w:val="0"/>
          <w:sz w:val="24"/>
          <w:szCs w:val="24"/>
        </w:rPr>
        <w:t>；</w:t>
        <w:tab/>
      </w:r>
      <w:r>
        <w:rPr>
          <w:rFonts w:ascii="Arial" w:eastAsia="Arial" w:hAnsi="Arial" w:cs="Arial"/>
          <w:b/>
          <w:bCs/>
          <w:color w:val="000000"/>
          <w:spacing w:val="0"/>
          <w:w w:val="100"/>
          <w:position w:val="0"/>
          <w:sz w:val="15"/>
          <w:szCs w:val="15"/>
        </w:rPr>
        <w:t xml:space="preserve">2021 - </w:t>
      </w:r>
      <w:r>
        <w:rPr>
          <w:rFonts w:ascii="Arial" w:eastAsia="Arial" w:hAnsi="Arial" w:cs="Arial"/>
          <w:b/>
          <w:bCs/>
          <w:color w:val="000000"/>
          <w:spacing w:val="0"/>
          <w:w w:val="100"/>
          <w:position w:val="0"/>
          <w:sz w:val="15"/>
          <w:szCs w:val="15"/>
        </w:rPr>
        <w:t>Future</w:t>
      </w:r>
    </w:p>
    <w:p>
      <w:pPr>
        <w:pStyle w:val="Style2"/>
        <w:keepNext w:val="0"/>
        <w:keepLines w:val="0"/>
        <w:widowControl w:val="0"/>
        <w:shd w:val="clear" w:color="auto" w:fill="auto"/>
        <w:bidi w:val="0"/>
        <w:spacing w:before="0" w:after="360" w:line="240" w:lineRule="auto"/>
        <w:ind w:left="6000" w:right="0" w:firstLine="0"/>
        <w:jc w:val="both"/>
        <w:rPr>
          <w:sz w:val="24"/>
          <w:szCs w:val="24"/>
        </w:rPr>
      </w:pPr>
      <w:r>
        <w:rPr>
          <w:b/>
          <w:bCs/>
          <w:color w:val="205B9D"/>
          <w:spacing w:val="0"/>
          <w:w w:val="100"/>
          <w:position w:val="0"/>
          <w:sz w:val="24"/>
          <w:szCs w:val="24"/>
        </w:rPr>
        <w:t>■</w:t>
      </w:r>
    </w:p>
    <w:p>
      <w:pPr>
        <w:pStyle w:val="Style2"/>
        <w:keepNext w:val="0"/>
        <w:keepLines w:val="0"/>
        <w:widowControl w:val="0"/>
        <w:shd w:val="clear" w:color="auto" w:fill="auto"/>
        <w:tabs>
          <w:tab w:pos="2174" w:val="left"/>
          <w:tab w:pos="4332" w:val="left"/>
        </w:tabs>
        <w:bidi w:val="0"/>
        <w:spacing w:before="0" w:after="0" w:line="240" w:lineRule="auto"/>
        <w:ind w:left="0" w:right="0" w:firstLine="0"/>
        <w:jc w:val="center"/>
        <w:rPr>
          <w:sz w:val="22"/>
          <w:szCs w:val="22"/>
        </w:rPr>
      </w:pPr>
      <w:r>
        <w:rPr>
          <w:rFonts w:ascii="SimHei" w:eastAsia="SimHei" w:hAnsi="SimHei" w:cs="SimHei"/>
          <w:color w:val="0E64C4"/>
          <w:spacing w:val="0"/>
          <w:w w:val="100"/>
          <w:position w:val="0"/>
          <w:sz w:val="22"/>
          <w:szCs w:val="22"/>
        </w:rPr>
        <w:t>-体两翼</w:t>
        <w:tab/>
        <w:t xml:space="preserve">多态智联 </w:t>
      </w:r>
      <w:r>
        <w:rPr>
          <w:rFonts w:ascii="SimHei" w:eastAsia="SimHei" w:hAnsi="SimHei" w:cs="SimHei"/>
          <w:color w:val="205B9D"/>
          <w:spacing w:val="0"/>
          <w:w w:val="100"/>
          <w:position w:val="0"/>
          <w:sz w:val="22"/>
          <w:szCs w:val="22"/>
        </w:rPr>
        <w:t>:</w:t>
        <w:tab/>
      </w:r>
      <w:r>
        <w:rPr>
          <w:rFonts w:ascii="SimHei" w:eastAsia="SimHei" w:hAnsi="SimHei" w:cs="SimHei"/>
          <w:color w:val="0E64C4"/>
          <w:spacing w:val="0"/>
          <w:w w:val="100"/>
          <w:position w:val="0"/>
          <w:sz w:val="22"/>
          <w:szCs w:val="22"/>
        </w:rPr>
        <w:t>产业生态</w:t>
      </w:r>
    </w:p>
    <w:p>
      <w:pPr>
        <w:pStyle w:val="Style2"/>
        <w:keepNext w:val="0"/>
        <w:keepLines w:val="0"/>
        <w:widowControl w:val="0"/>
        <w:shd w:val="clear" w:color="auto" w:fill="auto"/>
        <w:bidi w:val="0"/>
        <w:spacing w:before="0" w:after="0" w:line="180" w:lineRule="auto"/>
        <w:ind w:left="6000" w:right="0" w:firstLine="0"/>
        <w:jc w:val="both"/>
        <w:rPr>
          <w:sz w:val="8"/>
          <w:szCs w:val="8"/>
        </w:rPr>
      </w:pPr>
      <w:r>
        <w:rPr>
          <w:rFonts w:ascii="Arial" w:eastAsia="Arial" w:hAnsi="Arial" w:cs="Arial"/>
          <w:color w:val="205B9D"/>
          <w:spacing w:val="0"/>
          <w:w w:val="100"/>
          <w:position w:val="0"/>
          <w:sz w:val="8"/>
          <w:szCs w:val="8"/>
        </w:rPr>
        <w:t>I</w:t>
      </w:r>
    </w:p>
    <w:p>
      <w:pPr>
        <w:pStyle w:val="Style2"/>
        <w:keepNext w:val="0"/>
        <w:keepLines w:val="0"/>
        <w:widowControl w:val="0"/>
        <w:shd w:val="clear" w:color="auto" w:fill="auto"/>
        <w:tabs>
          <w:tab w:pos="1848" w:val="left"/>
          <w:tab w:pos="4646" w:val="left"/>
        </w:tabs>
        <w:bidi w:val="0"/>
        <w:spacing w:before="0" w:after="1140" w:line="240" w:lineRule="auto"/>
        <w:ind w:left="0" w:right="0" w:firstLine="0"/>
        <w:jc w:val="center"/>
        <w:rPr>
          <w:sz w:val="9"/>
          <w:szCs w:val="9"/>
        </w:rPr>
      </w:pPr>
      <w:r>
        <w:rPr>
          <w:rFonts w:ascii="SimHei" w:eastAsia="SimHei" w:hAnsi="SimHei" w:cs="SimHei"/>
          <w:color w:val="3E3E3E"/>
          <w:spacing w:val="0"/>
          <w:w w:val="100"/>
          <w:position w:val="0"/>
          <w:sz w:val="9"/>
          <w:szCs w:val="9"/>
        </w:rPr>
        <w:t>业务横向扩</w:t>
      </w:r>
      <w:r>
        <w:rPr>
          <w:rFonts w:ascii="SimHei" w:eastAsia="SimHei" w:hAnsi="SimHei" w:cs="SimHei"/>
          <w:color w:val="585657"/>
          <w:spacing w:val="0"/>
          <w:w w:val="100"/>
          <w:position w:val="0"/>
          <w:sz w:val="9"/>
          <w:szCs w:val="9"/>
        </w:rPr>
        <w:t>张/技</w:t>
      </w:r>
      <w:r>
        <w:rPr>
          <w:rFonts w:ascii="SimHei" w:eastAsia="SimHei" w:hAnsi="SimHei" w:cs="SimHei"/>
          <w:color w:val="3E3E3E"/>
          <w:spacing w:val="0"/>
          <w:w w:val="100"/>
          <w:position w:val="0"/>
          <w:sz w:val="9"/>
          <w:szCs w:val="9"/>
        </w:rPr>
        <w:t>术云化</w:t>
        <w:tab/>
        <w:t>技术/教据/</w:t>
      </w:r>
      <w:r>
        <w:rPr>
          <w:rFonts w:ascii="SimHei" w:eastAsia="SimHei" w:hAnsi="SimHei" w:cs="SimHei"/>
          <w:color w:val="585657"/>
          <w:spacing w:val="0"/>
          <w:w w:val="100"/>
          <w:position w:val="0"/>
          <w:sz w:val="9"/>
          <w:szCs w:val="9"/>
        </w:rPr>
        <w:t>业务</w:t>
      </w:r>
      <w:r>
        <w:rPr>
          <w:rFonts w:ascii="SimHei" w:eastAsia="SimHei" w:hAnsi="SimHei" w:cs="SimHei"/>
          <w:color w:val="3E3E3E"/>
          <w:spacing w:val="0"/>
          <w:w w:val="100"/>
          <w:position w:val="0"/>
          <w:sz w:val="9"/>
          <w:szCs w:val="9"/>
        </w:rPr>
        <w:t xml:space="preserve">/场景/第三方 </w:t>
      </w:r>
      <w:r>
        <w:rPr>
          <w:rFonts w:ascii="SimHei" w:eastAsia="SimHei" w:hAnsi="SimHei" w:cs="SimHei"/>
          <w:color w:val="205B9D"/>
          <w:spacing w:val="0"/>
          <w:w w:val="100"/>
          <w:position w:val="0"/>
          <w:sz w:val="9"/>
          <w:szCs w:val="9"/>
        </w:rPr>
        <w:t>;</w:t>
        <w:tab/>
      </w:r>
      <w:r>
        <w:rPr>
          <w:rFonts w:ascii="SimHei" w:eastAsia="SimHei" w:hAnsi="SimHei" w:cs="SimHei"/>
          <w:color w:val="3E3E3E"/>
          <w:spacing w:val="0"/>
          <w:w w:val="100"/>
          <w:position w:val="0"/>
          <w:sz w:val="9"/>
          <w:szCs w:val="9"/>
        </w:rPr>
        <w:t>行业模</w:t>
      </w:r>
      <w:r>
        <w:rPr>
          <w:rFonts w:ascii="SimHei" w:eastAsia="SimHei" w:hAnsi="SimHei" w:cs="SimHei"/>
          <w:color w:val="585657"/>
          <w:spacing w:val="0"/>
          <w:w w:val="100"/>
          <w:position w:val="0"/>
          <w:sz w:val="9"/>
          <w:szCs w:val="9"/>
        </w:rPr>
        <w:t>式升级</w:t>
      </w:r>
    </w:p>
    <w:p>
      <w:pPr>
        <w:pStyle w:val="Style2"/>
        <w:keepNext w:val="0"/>
        <w:keepLines w:val="0"/>
        <w:widowControl w:val="0"/>
        <w:shd w:val="clear" w:color="auto" w:fill="auto"/>
        <w:tabs>
          <w:tab w:pos="2918" w:val="left"/>
        </w:tabs>
        <w:bidi w:val="0"/>
        <w:spacing w:before="0" w:after="280" w:line="313" w:lineRule="exact"/>
        <w:ind w:left="0" w:right="0" w:firstLine="0"/>
        <w:jc w:val="center"/>
        <w:rPr>
          <w:sz w:val="17"/>
          <w:szCs w:val="17"/>
        </w:rPr>
      </w:pPr>
      <w:r>
        <w:rPr>
          <w:rFonts w:ascii="SimHei" w:eastAsia="SimHei" w:hAnsi="SimHei" w:cs="SimHei"/>
          <w:color w:val="205B9D"/>
          <w:spacing w:val="0"/>
          <w:w w:val="100"/>
          <w:position w:val="0"/>
          <w:sz w:val="17"/>
          <w:szCs w:val="17"/>
        </w:rPr>
        <w:t>慧康云</w:t>
      </w:r>
      <w:r>
        <w:rPr>
          <w:rFonts w:ascii="Arial" w:eastAsia="Arial" w:hAnsi="Arial" w:cs="Arial"/>
          <w:color w:val="205B9D"/>
          <w:spacing w:val="0"/>
          <w:w w:val="100"/>
          <w:position w:val="0"/>
          <w:sz w:val="17"/>
          <w:szCs w:val="17"/>
        </w:rPr>
        <w:t>L0</w:t>
      </w:r>
      <w:r>
        <w:rPr>
          <w:rFonts w:ascii="SimHei" w:eastAsia="SimHei" w:hAnsi="SimHei" w:cs="SimHei"/>
          <w:color w:val="205B9D"/>
          <w:spacing w:val="0"/>
          <w:w w:val="100"/>
          <w:position w:val="0"/>
          <w:sz w:val="17"/>
          <w:szCs w:val="17"/>
        </w:rPr>
        <w:t>时期</w:t>
        <w:tab/>
        <w:t>! 慧康云</w:t>
      </w:r>
      <w:r>
        <w:rPr>
          <w:rFonts w:ascii="Arial" w:eastAsia="Arial" w:hAnsi="Arial" w:cs="Arial"/>
          <w:color w:val="205B9D"/>
          <w:spacing w:val="0"/>
          <w:w w:val="100"/>
          <w:position w:val="0"/>
          <w:sz w:val="17"/>
          <w:szCs w:val="17"/>
        </w:rPr>
        <w:t>2.0</w:t>
      </w:r>
      <w:r>
        <w:rPr>
          <w:rFonts w:ascii="SimHei" w:eastAsia="SimHei" w:hAnsi="SimHei" w:cs="SimHei"/>
          <w:color w:val="205B9D"/>
          <w:spacing w:val="0"/>
          <w:w w:val="100"/>
          <w:position w:val="0"/>
          <w:sz w:val="17"/>
          <w:szCs w:val="17"/>
        </w:rPr>
        <w:t>时期</w:t>
      </w:r>
    </w:p>
    <w:p>
      <w:pPr>
        <w:pStyle w:val="Style15"/>
        <w:keepNext w:val="0"/>
        <w:keepLines w:val="0"/>
        <w:widowControl w:val="0"/>
        <w:shd w:val="clear" w:color="auto" w:fill="auto"/>
        <w:tabs>
          <w:tab w:pos="714" w:val="left"/>
        </w:tabs>
        <w:bidi w:val="0"/>
        <w:spacing w:before="0" w:after="0" w:line="313" w:lineRule="exact"/>
        <w:ind w:left="0" w:right="0"/>
        <w:jc w:val="both"/>
      </w:pPr>
      <w:bookmarkStart w:id="257" w:name="bookmark257"/>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t>主营业务规划</w:t>
      </w:r>
    </w:p>
    <w:p>
      <w:pPr>
        <w:pStyle w:val="Style15"/>
        <w:keepNext w:val="0"/>
        <w:keepLines w:val="0"/>
        <w:widowControl w:val="0"/>
        <w:shd w:val="clear" w:color="auto" w:fill="auto"/>
        <w:bidi w:val="0"/>
        <w:spacing w:before="0" w:after="0" w:line="315" w:lineRule="exact"/>
        <w:ind w:left="0" w:right="0"/>
        <w:jc w:val="left"/>
      </w:pPr>
      <w:r>
        <w:rPr>
          <w:color w:val="000000"/>
          <w:spacing w:val="0"/>
          <w:w w:val="100"/>
          <w:position w:val="0"/>
        </w:rPr>
        <w:t>公司将依据《“健康中国</w:t>
      </w:r>
      <w:r>
        <w:rPr>
          <w:rFonts w:ascii="Times New Roman" w:eastAsia="Times New Roman" w:hAnsi="Times New Roman" w:cs="Times New Roman"/>
          <w:color w:val="000000"/>
          <w:spacing w:val="0"/>
          <w:w w:val="100"/>
          <w:position w:val="0"/>
        </w:rPr>
        <w:t>2030</w:t>
      </w:r>
      <w:r>
        <w:rPr>
          <w:color w:val="000000"/>
          <w:spacing w:val="0"/>
          <w:w w:val="100"/>
          <w:position w:val="0"/>
        </w:rPr>
        <w:t>”规划纲要》《国民经济和社会发展第十四个五年规划和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年远景目标纲要》等新政策， 紧跟产业步伐，顺应行业的发展，结合自身市场拓展、业务特点及产品服务优势，启动“慧康云</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的整体云化转型发展 战略，并以“一体两翼”加医保事业部的业务划分，构建横向业务发展经营模式，产品涵盖医疗、卫生、医保、健康、养老 等各种服务场景。</w:t>
      </w:r>
    </w:p>
    <w:p>
      <w:pPr>
        <w:pStyle w:val="Style15"/>
        <w:keepNext w:val="0"/>
        <w:keepLines w:val="0"/>
        <w:widowControl w:val="0"/>
        <w:shd w:val="clear" w:color="auto" w:fill="auto"/>
        <w:tabs>
          <w:tab w:pos="734" w:val="left"/>
        </w:tabs>
        <w:bidi w:val="0"/>
        <w:spacing w:before="0" w:after="0" w:line="313" w:lineRule="exact"/>
        <w:ind w:left="0" w:right="0"/>
        <w:jc w:val="both"/>
      </w:pPr>
      <w:bookmarkStart w:id="258" w:name="bookmark258"/>
      <w:r>
        <w:rPr>
          <w:rFonts w:ascii="Times New Roman" w:eastAsia="Times New Roman" w:hAnsi="Times New Roman" w:cs="Times New Roman"/>
          <w:color w:val="000000"/>
          <w:spacing w:val="0"/>
          <w:w w:val="100"/>
          <w:position w:val="0"/>
        </w:rPr>
        <w:t>2</w:t>
      </w:r>
      <w:bookmarkEnd w:id="258"/>
      <w:r>
        <w:rPr>
          <w:color w:val="000000"/>
          <w:spacing w:val="0"/>
          <w:w w:val="100"/>
          <w:position w:val="0"/>
        </w:rPr>
        <w:t>、</w:t>
        <w:tab/>
        <w:t>研发与创新规划</w:t>
      </w:r>
    </w:p>
    <w:p>
      <w:pPr>
        <w:pStyle w:val="Style15"/>
        <w:keepNext w:val="0"/>
        <w:keepLines w:val="0"/>
        <w:widowControl w:val="0"/>
        <w:shd w:val="clear" w:color="auto" w:fill="auto"/>
        <w:tabs>
          <w:tab w:pos="820" w:val="left"/>
        </w:tabs>
        <w:bidi w:val="0"/>
        <w:spacing w:before="0" w:after="0" w:line="313" w:lineRule="exact"/>
        <w:ind w:left="0" w:right="0"/>
        <w:jc w:val="both"/>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1</w:t>
      </w:r>
      <w:r>
        <w:rPr>
          <w:color w:val="000000"/>
          <w:spacing w:val="0"/>
          <w:w w:val="100"/>
          <w:position w:val="0"/>
        </w:rPr>
        <w:t>）</w:t>
        <w:tab/>
        <w:t>研发中心建设计划</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当前医疗信息化产业技术正处于向大数据、云计算快速发展的潮流中，产业技术革命推动产品与服务理念发生了深刻的 变化，医疗信息化企业需要保持对新技术的敏感度，缩短新产品的研发及上市时间。尤其是未来新技术的应用将催生出</w:t>
      </w:r>
      <w:r>
        <w:rPr>
          <w:rFonts w:ascii="Times New Roman" w:eastAsia="Times New Roman" w:hAnsi="Times New Roman" w:cs="Times New Roman"/>
          <w:color w:val="000000"/>
          <w:spacing w:val="0"/>
          <w:w w:val="100"/>
          <w:position w:val="0"/>
        </w:rPr>
        <w:t xml:space="preserve">B2C </w:t>
      </w:r>
      <w:r>
        <w:rPr>
          <w:color w:val="000000"/>
          <w:spacing w:val="0"/>
          <w:w w:val="100"/>
          <w:position w:val="0"/>
        </w:rPr>
        <w:t>和</w:t>
      </w:r>
      <w:r>
        <w:rPr>
          <w:rFonts w:ascii="Times New Roman" w:eastAsia="Times New Roman" w:hAnsi="Times New Roman" w:cs="Times New Roman"/>
          <w:color w:val="000000"/>
          <w:spacing w:val="0"/>
          <w:w w:val="100"/>
          <w:position w:val="0"/>
        </w:rPr>
        <w:t>O2O</w:t>
      </w:r>
      <w:r>
        <w:rPr>
          <w:color w:val="000000"/>
          <w:spacing w:val="0"/>
          <w:w w:val="100"/>
          <w:position w:val="0"/>
        </w:rPr>
        <w:t>等运营模式在医疗卫生领域的运用，带动健康服务业运作和盈利模式的创新。因此，通过先进的信息技术手段将医疗 服务、健康管理与促进、健康保险以及相关服务进行有机整合，在此基础上实现产品、服务以及盈利模式的创新将成为公司 建立持久市场竞争力的重要途径。</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目前公司的研发人员、设备、技术配置尚能满足现阶段研发工作的需要，但是随着产业的发展和技术的不断进步和深化， 公司亟待加快研发中心的建设，承担公司前瞻性研发任务，及时推出符合产业发展趋势和技术要求的新产品，继续保持公司 的技术领先优势。同时，未来研发中心还将支撑公司现阶段云技术开发平台建设任务和产品更新换代的基础性的技术开发。</w:t>
      </w:r>
    </w:p>
    <w:p>
      <w:pPr>
        <w:pStyle w:val="Style15"/>
        <w:keepNext w:val="0"/>
        <w:keepLines w:val="0"/>
        <w:widowControl w:val="0"/>
        <w:shd w:val="clear" w:color="auto" w:fill="auto"/>
        <w:tabs>
          <w:tab w:pos="820" w:val="left"/>
        </w:tabs>
        <w:bidi w:val="0"/>
        <w:spacing w:before="0" w:after="0" w:line="313" w:lineRule="exact"/>
        <w:ind w:left="0" w:right="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2</w:t>
      </w:r>
      <w:r>
        <w:rPr>
          <w:color w:val="000000"/>
          <w:spacing w:val="0"/>
          <w:w w:val="100"/>
          <w:position w:val="0"/>
        </w:rPr>
        <w:t>）</w:t>
        <w:tab/>
        <w:t>研发体系建设计划</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公司将以区域研究院形式部署并建立技术创新体系，研发体系服务半径将覆盖我国华北（含西北）、华东、华南和华中 （含西南）的大部分地区。公司区域研究院创新体系的建设旨在紧跟产业技术前沿，吸引并积累多背景、高素质的专业型人 才，加强与国内高等科研院校的产学研合作，紧跟国际先进技术的步伐，从而开拓公司对产业发展前瞻性的研究视野。</w:t>
      </w:r>
    </w:p>
    <w:p>
      <w:pPr>
        <w:pStyle w:val="Style15"/>
        <w:keepNext w:val="0"/>
        <w:keepLines w:val="0"/>
        <w:widowControl w:val="0"/>
        <w:shd w:val="clear" w:color="auto" w:fill="auto"/>
        <w:tabs>
          <w:tab w:pos="734" w:val="left"/>
        </w:tabs>
        <w:bidi w:val="0"/>
        <w:spacing w:before="0" w:after="0" w:line="313" w:lineRule="exact"/>
        <w:ind w:left="0" w:right="0"/>
        <w:jc w:val="both"/>
      </w:pPr>
      <w:bookmarkStart w:id="261" w:name="bookmark261"/>
      <w:r>
        <w:rPr>
          <w:rFonts w:ascii="Times New Roman" w:eastAsia="Times New Roman" w:hAnsi="Times New Roman" w:cs="Times New Roman"/>
          <w:color w:val="000000"/>
          <w:spacing w:val="0"/>
          <w:w w:val="100"/>
          <w:position w:val="0"/>
        </w:rPr>
        <w:t>3</w:t>
      </w:r>
      <w:bookmarkEnd w:id="261"/>
      <w:r>
        <w:rPr>
          <w:color w:val="000000"/>
          <w:spacing w:val="0"/>
          <w:w w:val="100"/>
          <w:position w:val="0"/>
        </w:rPr>
        <w:t>、</w:t>
        <w:tab/>
        <w:t>市场开发和品牌建设规划</w:t>
      </w:r>
    </w:p>
    <w:p>
      <w:pPr>
        <w:pStyle w:val="Style15"/>
        <w:keepNext w:val="0"/>
        <w:keepLines w:val="0"/>
        <w:widowControl w:val="0"/>
        <w:shd w:val="clear" w:color="auto" w:fill="auto"/>
        <w:bidi w:val="0"/>
        <w:spacing w:before="0" w:after="120" w:line="313" w:lineRule="exact"/>
        <w:ind w:left="0" w:right="0"/>
        <w:jc w:val="both"/>
      </w:pPr>
      <w:r>
        <w:rPr>
          <w:color w:val="000000"/>
          <w:spacing w:val="0"/>
          <w:w w:val="100"/>
          <w:position w:val="0"/>
        </w:rPr>
        <w:t>深入了解客户需求是提升服务水平首要条件，了解客户需求就必须直接接触客户。公司将通过现有全国范围内设立的营</w:t>
        <w:br w:type="page"/>
      </w:r>
      <w:r>
        <w:rPr>
          <w:color w:val="000000"/>
          <w:spacing w:val="0"/>
          <w:w w:val="100"/>
          <w:position w:val="0"/>
        </w:rPr>
        <w:t>销中心，增强销售与技术支持管理水平，实现更大规模的产品、服务推广，在此基础上将产品及服务延伸到全国重点地市， 并针对不同区域客户需求提供定制化的服务，有效倾听和收集用户的反馈和意见，针对性地改善产品及服务情况，进一步增 强客户的粘性，提升公司的形象并巩固公司的市场地位，从而为公司进一步的产品开发、服务创新、市场竞争等方面采取新 措施提供决策上的依据。</w:t>
      </w:r>
    </w:p>
    <w:p>
      <w:pPr>
        <w:pStyle w:val="Style15"/>
        <w:keepNext w:val="0"/>
        <w:keepLines w:val="0"/>
        <w:widowControl w:val="0"/>
        <w:shd w:val="clear" w:color="auto" w:fill="auto"/>
        <w:bidi w:val="0"/>
        <w:spacing w:before="0" w:after="0"/>
        <w:ind w:left="0" w:right="0" w:firstLine="360"/>
        <w:jc w:val="both"/>
      </w:pPr>
      <w:bookmarkStart w:id="262" w:name="bookmark262"/>
      <w:r>
        <w:rPr>
          <w:rFonts w:ascii="Times New Roman" w:eastAsia="Times New Roman" w:hAnsi="Times New Roman" w:cs="Times New Roman"/>
          <w:color w:val="000000"/>
          <w:spacing w:val="0"/>
          <w:w w:val="100"/>
          <w:position w:val="0"/>
        </w:rPr>
        <w:t>4</w:t>
      </w:r>
      <w:bookmarkEnd w:id="262"/>
      <w:r>
        <w:rPr>
          <w:color w:val="000000"/>
          <w:spacing w:val="0"/>
          <w:w w:val="100"/>
          <w:position w:val="0"/>
        </w:rPr>
        <w:t>、人力资源规划</w:t>
      </w:r>
    </w:p>
    <w:p>
      <w:pPr>
        <w:pStyle w:val="Style1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公司坚持以人为本的原则，制定人力资源发展战略，并将其作为公司实现总体发展战略的根本保障。通过建设有市场竞 争力的薪酬体系和公平竞争的职业晋升机制，吸引专业的技术人员和优秀的管理人才加入公司，以不断提升公司的管理能力 和技术创新能力。通过完善人才激励和约束机制，培养并留住高水平的技术人才和管理人才，以保持公司核心人才团队的稳 定性和工作积极性。通过建立人才储备计划，不断吸收优秀的新鲜血液，加强后续人才的培养和储备，形成完整有序的人才 梯队。</w:t>
      </w:r>
    </w:p>
    <w:p>
      <w:pPr>
        <w:pStyle w:val="Style15"/>
        <w:keepNext w:val="0"/>
        <w:keepLines w:val="0"/>
        <w:widowControl w:val="0"/>
        <w:shd w:val="clear" w:color="auto" w:fill="auto"/>
        <w:bidi w:val="0"/>
        <w:spacing w:before="0" w:after="120" w:line="314" w:lineRule="exact"/>
        <w:ind w:left="0" w:right="0" w:firstLine="360"/>
        <w:jc w:val="both"/>
      </w:pPr>
      <w:bookmarkStart w:id="263" w:name="bookmark263"/>
      <w:r>
        <w:rPr>
          <w:b/>
          <w:bCs/>
          <w:color w:val="000000"/>
          <w:spacing w:val="0"/>
          <w:w w:val="100"/>
          <w:position w:val="0"/>
        </w:rPr>
        <w:t>（</w:t>
      </w:r>
      <w:bookmarkEnd w:id="263"/>
      <w:r>
        <w:rPr>
          <w:b/>
          <w:bCs/>
          <w:color w:val="000000"/>
          <w:spacing w:val="0"/>
          <w:w w:val="100"/>
          <w:position w:val="0"/>
        </w:rPr>
        <w:t>二）</w:t>
      </w:r>
      <w:r>
        <w:rPr>
          <w:rFonts w:ascii="Times New Roman" w:eastAsia="Times New Roman" w:hAnsi="Times New Roman" w:cs="Times New Roman"/>
          <w:b/>
          <w:bCs/>
          <w:color w:val="000000"/>
          <w:spacing w:val="0"/>
          <w:w w:val="100"/>
          <w:position w:val="0"/>
        </w:rPr>
        <w:t>2022</w:t>
      </w:r>
      <w:r>
        <w:rPr>
          <w:b/>
          <w:bCs/>
          <w:color w:val="000000"/>
          <w:spacing w:val="0"/>
          <w:w w:val="100"/>
          <w:position w:val="0"/>
        </w:rPr>
        <w:t>年度经营计划</w:t>
      </w:r>
    </w:p>
    <w:p>
      <w:pPr>
        <w:pStyle w:val="Style15"/>
        <w:keepNext w:val="0"/>
        <w:keepLines w:val="0"/>
        <w:widowControl w:val="0"/>
        <w:shd w:val="clear" w:color="auto" w:fill="auto"/>
        <w:tabs>
          <w:tab w:pos="691" w:val="left"/>
        </w:tabs>
        <w:bidi w:val="0"/>
        <w:spacing w:before="0" w:after="0"/>
        <w:ind w:left="0" w:right="0" w:firstLine="360"/>
        <w:jc w:val="both"/>
      </w:pPr>
      <w:bookmarkStart w:id="264" w:name="bookmark264"/>
      <w:r>
        <w:rPr>
          <w:rFonts w:ascii="Times New Roman" w:eastAsia="Times New Roman" w:hAnsi="Times New Roman" w:cs="Times New Roman"/>
          <w:color w:val="000000"/>
          <w:spacing w:val="0"/>
          <w:w w:val="100"/>
          <w:position w:val="0"/>
        </w:rPr>
        <w:t>1</w:t>
      </w:r>
      <w:bookmarkEnd w:id="264"/>
      <w:r>
        <w:rPr>
          <w:color w:val="000000"/>
          <w:spacing w:val="0"/>
          <w:w w:val="100"/>
          <w:position w:val="0"/>
        </w:rPr>
        <w:t>、</w:t>
        <w:tab/>
        <w:t>主要经营目标</w:t>
      </w:r>
    </w:p>
    <w:p>
      <w:pPr>
        <w:pStyle w:val="Style15"/>
        <w:keepNext w:val="0"/>
        <w:keepLines w:val="0"/>
        <w:widowControl w:val="0"/>
        <w:shd w:val="clear" w:color="auto" w:fill="auto"/>
        <w:bidi w:val="0"/>
        <w:spacing w:before="0" w:after="40" w:line="314" w:lineRule="exact"/>
        <w:ind w:left="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年，公司将继续坚持立足医疗卫生健康信息化行业，依托“一体两翼”加医保事业部的业务协同发展，同时，坚持 结构优化调整，通过加强工程管理、提高交付效率、提升签约质量等多方面的举措，继续保持传统业务和创新业务稳步快速 的经营增长。</w:t>
      </w:r>
    </w:p>
    <w:p>
      <w:pPr>
        <w:pStyle w:val="Style15"/>
        <w:keepNext w:val="0"/>
        <w:keepLines w:val="0"/>
        <w:widowControl w:val="0"/>
        <w:shd w:val="clear" w:color="auto" w:fill="auto"/>
        <w:bidi w:val="0"/>
        <w:spacing w:before="0" w:after="120" w:line="314" w:lineRule="exact"/>
        <w:ind w:left="0" w:right="0" w:firstLine="360"/>
        <w:jc w:val="both"/>
      </w:pPr>
      <w:r>
        <w:rPr>
          <w:b/>
          <w:bCs/>
          <w:color w:val="000000"/>
          <w:spacing w:val="0"/>
          <w:w w:val="100"/>
          <w:position w:val="0"/>
        </w:rPr>
        <w:t>上述目标受未来经营环境影响存在一定的不确定性，并不构成对投资者的业绩承诺，敬请投资者注意投资风险。</w:t>
      </w:r>
    </w:p>
    <w:p>
      <w:pPr>
        <w:pStyle w:val="Style15"/>
        <w:keepNext w:val="0"/>
        <w:keepLines w:val="0"/>
        <w:widowControl w:val="0"/>
        <w:shd w:val="clear" w:color="auto" w:fill="auto"/>
        <w:tabs>
          <w:tab w:pos="691" w:val="left"/>
        </w:tabs>
        <w:bidi w:val="0"/>
        <w:spacing w:before="0" w:after="0"/>
        <w:ind w:left="0" w:right="0" w:firstLine="360"/>
        <w:jc w:val="both"/>
      </w:pPr>
      <w:bookmarkStart w:id="265" w:name="bookmark265"/>
      <w:r>
        <w:rPr>
          <w:rFonts w:ascii="Times New Roman" w:eastAsia="Times New Roman" w:hAnsi="Times New Roman" w:cs="Times New Roman"/>
          <w:color w:val="000000"/>
          <w:spacing w:val="0"/>
          <w:w w:val="100"/>
          <w:position w:val="0"/>
        </w:rPr>
        <w:t>2</w:t>
      </w:r>
      <w:bookmarkEnd w:id="265"/>
      <w:r>
        <w:rPr>
          <w:color w:val="000000"/>
          <w:spacing w:val="0"/>
          <w:w w:val="100"/>
          <w:position w:val="0"/>
        </w:rPr>
        <w:t>、</w:t>
        <w:tab/>
        <w:t>主要经营计划</w:t>
      </w:r>
    </w:p>
    <w:p>
      <w:pPr>
        <w:pStyle w:val="Style15"/>
        <w:keepNext w:val="0"/>
        <w:keepLines w:val="0"/>
        <w:widowControl w:val="0"/>
        <w:shd w:val="clear" w:color="auto" w:fill="auto"/>
        <w:tabs>
          <w:tab w:pos="759" w:val="left"/>
        </w:tabs>
        <w:bidi w:val="0"/>
        <w:spacing w:before="0" w:after="40" w:line="314" w:lineRule="exact"/>
        <w:ind w:left="0" w:right="0" w:firstLine="360"/>
        <w:jc w:val="left"/>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1</w:t>
      </w:r>
      <w:r>
        <w:rPr>
          <w:color w:val="000000"/>
          <w:spacing w:val="0"/>
          <w:w w:val="100"/>
          <w:position w:val="0"/>
        </w:rPr>
        <w:t>）</w:t>
        <w:tab/>
        <w:t>持续推进“慧康云”发展战略规划，驱动多业态的新产品云化覆盖</w:t>
      </w:r>
    </w:p>
    <w:p>
      <w:pPr>
        <w:pStyle w:val="Style15"/>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年，公司将继续推进“慧康云”的整体云化转型发展战略，在云端构建完成一个完整的医卫应用服务和医卫健康服 务云平台，包括医疗应用云市场，在线</w:t>
      </w:r>
      <w:r>
        <w:rPr>
          <w:rFonts w:ascii="Times New Roman" w:eastAsia="Times New Roman" w:hAnsi="Times New Roman" w:cs="Times New Roman"/>
          <w:color w:val="000000"/>
          <w:spacing w:val="0"/>
          <w:w w:val="100"/>
          <w:position w:val="0"/>
        </w:rPr>
        <w:t>SAAS</w:t>
      </w:r>
      <w:r>
        <w:rPr>
          <w:color w:val="000000"/>
          <w:spacing w:val="0"/>
          <w:w w:val="100"/>
          <w:position w:val="0"/>
        </w:rPr>
        <w:t>应用平台、运维云平台，健康产品和服务运营云平台等面向外部的云生态体系， 实现更加实时、便捷的医疗卫生健康信息互联互通；同时，基于“技术中台+数据中台+多态智联”架构，搭建硬件、软件与 数据资源的基础底层系统“创业智慧医疗基础</w:t>
      </w:r>
      <w:r>
        <w:rPr>
          <w:rFonts w:ascii="Times New Roman" w:eastAsia="Times New Roman" w:hAnsi="Times New Roman" w:cs="Times New Roman"/>
          <w:color w:val="000000"/>
          <w:spacing w:val="0"/>
          <w:w w:val="100"/>
          <w:position w:val="0"/>
        </w:rPr>
        <w:t>OS</w:t>
      </w:r>
      <w:r>
        <w:rPr>
          <w:color w:val="000000"/>
          <w:spacing w:val="0"/>
          <w:w w:val="100"/>
          <w:position w:val="0"/>
        </w:rPr>
        <w:t>（</w:t>
      </w:r>
      <w:r>
        <w:rPr>
          <w:rFonts w:ascii="Times New Roman" w:eastAsia="Times New Roman" w:hAnsi="Times New Roman" w:cs="Times New Roman"/>
          <w:color w:val="000000"/>
          <w:spacing w:val="0"/>
          <w:w w:val="100"/>
          <w:position w:val="0"/>
        </w:rPr>
        <w:t>BIOS</w:t>
      </w:r>
      <w:r>
        <w:rPr>
          <w:color w:val="000000"/>
          <w:spacing w:val="0"/>
          <w:w w:val="100"/>
          <w:position w:val="0"/>
        </w:rPr>
        <w:t>）</w:t>
      </w:r>
      <w:r>
        <w:rPr>
          <w:color w:val="000000"/>
          <w:spacing w:val="0"/>
          <w:w w:val="100"/>
          <w:position w:val="0"/>
        </w:rPr>
        <w:t>”，逐步实现软件应用与服务的上云发布。</w:t>
      </w:r>
    </w:p>
    <w:p>
      <w:pPr>
        <w:pStyle w:val="Style15"/>
        <w:keepNext w:val="0"/>
        <w:keepLines w:val="0"/>
        <w:widowControl w:val="0"/>
        <w:shd w:val="clear" w:color="auto" w:fill="auto"/>
        <w:tabs>
          <w:tab w:pos="759" w:val="left"/>
        </w:tabs>
        <w:bidi w:val="0"/>
        <w:spacing w:before="0" w:after="40" w:line="314" w:lineRule="exact"/>
        <w:ind w:left="0" w:right="0" w:firstLine="36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2</w:t>
      </w:r>
      <w:r>
        <w:rPr>
          <w:color w:val="000000"/>
          <w:spacing w:val="0"/>
          <w:w w:val="100"/>
          <w:position w:val="0"/>
        </w:rPr>
        <w:t>）</w:t>
        <w:tab/>
        <w:t>加强以患者为中心的新一代云化产品系列的市场渗透</w:t>
      </w:r>
    </w:p>
    <w:p>
      <w:pPr>
        <w:pStyle w:val="Style15"/>
        <w:keepNext w:val="0"/>
        <w:keepLines w:val="0"/>
        <w:widowControl w:val="0"/>
        <w:shd w:val="clear" w:color="auto" w:fill="auto"/>
        <w:bidi w:val="0"/>
        <w:spacing w:before="0" w:after="40" w:line="315" w:lineRule="exact"/>
        <w:ind w:left="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年，公司将向目前老客户主推新一代云化产品系列，增加云化新产品的客户使用数量，积累新产品技术实施经验和 提升客户满意度，并树立更多的标杆项目和原型客户，沉淀创新成果的转化，进而持续升级产品，智能驱动公司云化产品体 系的自我不断优化，以提升公司产品竞争力，为公司整体云化转型发展战略奠定基础，最终实现为医疗机构和患者提供更加 安全、高效的医疗信息化服务的愿景。</w:t>
      </w:r>
    </w:p>
    <w:p>
      <w:pPr>
        <w:pStyle w:val="Style15"/>
        <w:keepNext w:val="0"/>
        <w:keepLines w:val="0"/>
        <w:widowControl w:val="0"/>
        <w:shd w:val="clear" w:color="auto" w:fill="auto"/>
        <w:tabs>
          <w:tab w:pos="759" w:val="left"/>
        </w:tabs>
        <w:bidi w:val="0"/>
        <w:spacing w:before="0" w:after="40" w:line="314" w:lineRule="exact"/>
        <w:ind w:left="0" w:right="0" w:firstLine="36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3</w:t>
      </w:r>
      <w:r>
        <w:rPr>
          <w:color w:val="000000"/>
          <w:spacing w:val="0"/>
          <w:w w:val="100"/>
          <w:position w:val="0"/>
        </w:rPr>
        <w:t>）</w:t>
        <w:tab/>
        <w:t>紧跟医疗系统一体化建设，区域医疗信息的互联互通需求</w:t>
      </w:r>
    </w:p>
    <w:p>
      <w:pPr>
        <w:pStyle w:val="Style15"/>
        <w:keepNext w:val="0"/>
        <w:keepLines w:val="0"/>
        <w:widowControl w:val="0"/>
        <w:shd w:val="clear" w:color="auto" w:fill="auto"/>
        <w:bidi w:val="0"/>
        <w:spacing w:before="0" w:after="40" w:line="317" w:lineRule="exact"/>
        <w:ind w:left="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年，公司将在“一四五”的政策导向下继续紧跟行业政策方向，助力满足国家医疗卫生平台一体化、标准化建设的 需求，加速推进以“普惠民生”为核心的信息化建设，通过自身信息化优势，不断深化新场景、新技术的应用，为推动国家 医疗体系高质量蓝图做出贡献。</w:t>
      </w:r>
    </w:p>
    <w:p>
      <w:pPr>
        <w:pStyle w:val="Style15"/>
        <w:keepNext w:val="0"/>
        <w:keepLines w:val="0"/>
        <w:widowControl w:val="0"/>
        <w:shd w:val="clear" w:color="auto" w:fill="auto"/>
        <w:tabs>
          <w:tab w:pos="759" w:val="left"/>
        </w:tabs>
        <w:bidi w:val="0"/>
        <w:spacing w:before="0" w:after="40" w:line="314" w:lineRule="exact"/>
        <w:ind w:left="0" w:right="0" w:firstLine="36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4</w:t>
      </w:r>
      <w:r>
        <w:rPr>
          <w:color w:val="000000"/>
          <w:spacing w:val="0"/>
          <w:w w:val="100"/>
          <w:position w:val="0"/>
        </w:rPr>
        <w:t>）</w:t>
        <w:tab/>
        <w:t>把握医保端改革机会，与医疗卫生信息化互为助力</w:t>
      </w:r>
    </w:p>
    <w:p>
      <w:pPr>
        <w:pStyle w:val="Style15"/>
        <w:keepNext w:val="0"/>
        <w:keepLines w:val="0"/>
        <w:widowControl w:val="0"/>
        <w:shd w:val="clear" w:color="auto" w:fill="auto"/>
        <w:bidi w:val="0"/>
        <w:spacing w:before="0" w:after="40" w:line="317" w:lineRule="exact"/>
        <w:ind w:left="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年，公司作为国家医疗保障信息平台承建单位之一，将基于目前参与并做好做优的省级医保平台项目的建设经验以 及培育出的市场口碑，有针对性在优势区域进一步探索医保项目增量，迅速开拓医保信息化领域市场，扩大市场占有率，并 把握医保端改革实现院端信息化升级改造增量市场。</w:t>
      </w:r>
    </w:p>
    <w:p>
      <w:pPr>
        <w:pStyle w:val="Style15"/>
        <w:keepNext w:val="0"/>
        <w:keepLines w:val="0"/>
        <w:widowControl w:val="0"/>
        <w:shd w:val="clear" w:color="auto" w:fill="auto"/>
        <w:tabs>
          <w:tab w:pos="759" w:val="left"/>
        </w:tabs>
        <w:bidi w:val="0"/>
        <w:spacing w:before="0" w:after="40" w:line="314" w:lineRule="exact"/>
        <w:ind w:left="0" w:right="0" w:firstLine="360"/>
        <w:jc w:val="left"/>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5</w:t>
      </w:r>
      <w:r>
        <w:rPr>
          <w:color w:val="000000"/>
          <w:spacing w:val="0"/>
          <w:w w:val="100"/>
          <w:position w:val="0"/>
        </w:rPr>
        <w:t>）</w:t>
        <w:tab/>
        <w:t>创新业务依托“健康城市”模式，布局多场景智慧医疗信息化</w:t>
      </w:r>
    </w:p>
    <w:p>
      <w:pPr>
        <w:pStyle w:val="Style15"/>
        <w:keepNext w:val="0"/>
        <w:keepLines w:val="0"/>
        <w:widowControl w:val="0"/>
        <w:shd w:val="clear" w:color="auto" w:fill="auto"/>
        <w:bidi w:val="0"/>
        <w:spacing w:before="0" w:after="40" w:line="312" w:lineRule="exact"/>
        <w:ind w:left="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年，公司将继续推动和完善以医疗信息数据流为支撑，以健康城市职能流为依托，以健康城市场景流为运营内容的 “健康城市</w:t>
      </w:r>
      <w:r>
        <w:rPr>
          <w:rFonts w:ascii="Times New Roman" w:eastAsia="Times New Roman" w:hAnsi="Times New Roman" w:cs="Times New Roman"/>
          <w:color w:val="000000"/>
          <w:spacing w:val="0"/>
          <w:w w:val="100"/>
          <w:position w:val="0"/>
        </w:rPr>
        <w:t>2.0</w:t>
      </w:r>
      <w:r>
        <w:rPr>
          <w:color w:val="000000"/>
          <w:spacing w:val="0"/>
          <w:w w:val="100"/>
          <w:position w:val="0"/>
        </w:rPr>
        <w:t>”</w:t>
      </w:r>
      <w:r>
        <w:rPr>
          <w:color w:val="000000"/>
          <w:spacing w:val="0"/>
          <w:w w:val="100"/>
          <w:position w:val="0"/>
        </w:rPr>
        <w:t>整体解决方案的落地和市场拓展，塑造医疗云服务、健康云服务、健康档案云服务、健康运营云服务四位 一体的“健康城市”平台。为个人、家庭、社区不同场景下健康医疗服务运营提供技术支撑，推动医疗资源进一步整合，在 医疗信息化商业运营收入方面获得更多的产品应用和运营场景的突破，包括</w:t>
      </w:r>
      <w:r>
        <w:rPr>
          <w:rFonts w:ascii="Times New Roman" w:eastAsia="Times New Roman" w:hAnsi="Times New Roman" w:cs="Times New Roman"/>
          <w:color w:val="000000"/>
          <w:spacing w:val="0"/>
          <w:w w:val="100"/>
          <w:position w:val="0"/>
        </w:rPr>
        <w:t>C</w:t>
      </w:r>
      <w:r>
        <w:rPr>
          <w:color w:val="000000"/>
          <w:spacing w:val="0"/>
          <w:w w:val="100"/>
          <w:position w:val="0"/>
        </w:rPr>
        <w:t>端产品、药品物流、移动支付结算、健康管理、 网约护士、健康养老等多个互联网运营新模式。打造以“健康城市”为依托的“互联网</w:t>
      </w:r>
      <w:r>
        <w:rPr>
          <w:rFonts w:ascii="Times New Roman" w:eastAsia="Times New Roman" w:hAnsi="Times New Roman" w:cs="Times New Roman"/>
          <w:color w:val="000000"/>
          <w:spacing w:val="0"/>
          <w:w w:val="100"/>
          <w:position w:val="0"/>
        </w:rPr>
        <w:t>+</w:t>
      </w:r>
      <w:r>
        <w:rPr>
          <w:color w:val="000000"/>
          <w:spacing w:val="0"/>
          <w:w w:val="100"/>
          <w:position w:val="0"/>
        </w:rPr>
        <w:t>医疗健康”的城市级医疗信息化商 业运营生态闭环，帮助城市实现居民医疗健康服务全覆盖，最终能够满足城市居民“医康养护”服务全流程一体化的目标。</w:t>
      </w:r>
      <w:r>
        <w:br w:type="page"/>
      </w:r>
    </w:p>
    <w:p>
      <w:pPr>
        <w:pStyle w:val="Style15"/>
        <w:keepNext w:val="0"/>
        <w:keepLines w:val="0"/>
        <w:widowControl w:val="0"/>
        <w:shd w:val="clear" w:color="auto" w:fill="auto"/>
        <w:bidi w:val="0"/>
        <w:spacing w:before="0" w:after="100" w:line="240" w:lineRule="auto"/>
        <w:ind w:left="0" w:right="0" w:firstLine="360"/>
        <w:jc w:val="left"/>
      </w:pPr>
      <w:bookmarkStart w:id="271" w:name="bookmark271"/>
      <w:r>
        <w:rPr>
          <w:b/>
          <w:bCs/>
          <w:color w:val="000000"/>
          <w:spacing w:val="0"/>
          <w:w w:val="100"/>
          <w:position w:val="0"/>
        </w:rPr>
        <w:t>（</w:t>
      </w:r>
      <w:bookmarkEnd w:id="271"/>
      <w:r>
        <w:rPr>
          <w:b/>
          <w:bCs/>
          <w:color w:val="000000"/>
          <w:spacing w:val="0"/>
          <w:w w:val="100"/>
          <w:position w:val="0"/>
        </w:rPr>
        <w:t>三）可能面对的风险和应对措施</w:t>
      </w:r>
    </w:p>
    <w:p>
      <w:pPr>
        <w:pStyle w:val="Style15"/>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参见第一节“重要提示、目录和释义”。</w:t>
      </w:r>
    </w:p>
    <w:p>
      <w:pPr>
        <w:pStyle w:val="Style19"/>
        <w:keepNext/>
        <w:keepLines/>
        <w:widowControl w:val="0"/>
        <w:shd w:val="clear" w:color="auto" w:fill="auto"/>
        <w:bidi w:val="0"/>
        <w:spacing w:before="0" w:after="360" w:line="240" w:lineRule="auto"/>
        <w:ind w:left="0" w:right="0" w:firstLine="480"/>
        <w:jc w:val="left"/>
      </w:pPr>
      <w:bookmarkStart w:id="272" w:name="bookmark272"/>
      <w:bookmarkStart w:id="273" w:name="bookmark273"/>
      <w:bookmarkStart w:id="274" w:name="bookmark274"/>
      <w:r>
        <w:rPr>
          <w:color w:val="000000"/>
          <w:spacing w:val="0"/>
          <w:w w:val="100"/>
          <w:position w:val="0"/>
          <w:sz w:val="24"/>
          <w:szCs w:val="24"/>
        </w:rPr>
        <w:t>十二、报告期内接待调研、沟通、采访等活动登记表</w:t>
      </w:r>
      <w:bookmarkEnd w:id="272"/>
      <w:bookmarkEnd w:id="273"/>
      <w:bookmarkEnd w:id="274"/>
    </w:p>
    <w:p>
      <w:pPr>
        <w:pStyle w:val="Style21"/>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”适用口不适用</w:t>
      </w:r>
    </w:p>
    <w:tbl>
      <w:tblPr>
        <w:tblOverlap w:val="never"/>
        <w:jc w:val="center"/>
        <w:tblLayout w:type="fixed"/>
      </w:tblPr>
      <w:tblGrid>
        <w:gridCol w:w="878"/>
        <w:gridCol w:w="1142"/>
        <w:gridCol w:w="619"/>
        <w:gridCol w:w="739"/>
        <w:gridCol w:w="2030"/>
        <w:gridCol w:w="2630"/>
        <w:gridCol w:w="154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接待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接待</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对象</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调研的基本情况 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西部证券、长江证券、 中信建投、</w:t>
            </w:r>
            <w:r>
              <w:rPr>
                <w:rFonts w:ascii="Times New Roman" w:eastAsia="Times New Roman" w:hAnsi="Times New Roman" w:cs="Times New Roman"/>
                <w:color w:val="000000"/>
                <w:spacing w:val="0"/>
                <w:w w:val="100"/>
                <w:position w:val="0"/>
              </w:rPr>
              <w:t>APS</w:t>
            </w:r>
            <w:r>
              <w:rPr>
                <w:color w:val="000000"/>
                <w:spacing w:val="0"/>
                <w:w w:val="100"/>
                <w:position w:val="0"/>
              </w:rPr>
              <w:t>资产管 理等</w:t>
            </w:r>
            <w:r>
              <w:rPr>
                <w:rFonts w:ascii="Times New Roman" w:eastAsia="Times New Roman" w:hAnsi="Times New Roman" w:cs="Times New Roman"/>
                <w:color w:val="000000"/>
                <w:spacing w:val="0"/>
                <w:w w:val="100"/>
                <w:position w:val="0"/>
              </w:rPr>
              <w:t>118</w:t>
            </w:r>
            <w:r>
              <w:rPr>
                <w:color w:val="000000"/>
                <w:spacing w:val="0"/>
                <w:w w:val="100"/>
                <w:position w:val="0"/>
              </w:rPr>
              <w:t>家机构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日披露的《</w:t>
            </w:r>
            <w:r>
              <w:rPr>
                <w:rFonts w:ascii="Times New Roman" w:eastAsia="Times New Roman" w:hAnsi="Times New Roman" w:cs="Times New Roman"/>
                <w:color w:val="000000"/>
                <w:spacing w:val="0"/>
                <w:w w:val="100"/>
                <w:position w:val="0"/>
              </w:rPr>
              <w:t>300451</w:t>
            </w:r>
            <w:r>
              <w:rPr>
                <w:color w:val="000000"/>
                <w:spacing w:val="0"/>
                <w:w w:val="100"/>
                <w:position w:val="0"/>
              </w:rPr>
              <w:t>创业慧 康调研活动信息</w:t>
            </w:r>
            <w:r>
              <w:rPr>
                <w:rFonts w:ascii="Times New Roman" w:eastAsia="Times New Roman" w:hAnsi="Times New Roman" w:cs="Times New Roman"/>
                <w:color w:val="000000"/>
                <w:spacing w:val="0"/>
                <w:w w:val="100"/>
                <w:position w:val="0"/>
              </w:rPr>
              <w:t>20210207</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http://www. cninfo</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淡水泉投资、相聚资本、</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毅达融京资本、</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Champlain</w:t>
            </w:r>
            <w:r>
              <w:rPr>
                <w:color w:val="000000"/>
                <w:spacing w:val="0"/>
                <w:w w:val="100"/>
                <w:position w:val="0"/>
              </w:rPr>
              <w:t>、</w:t>
            </w:r>
            <w:r>
              <w:rPr>
                <w:color w:val="000000"/>
                <w:spacing w:val="0"/>
                <w:w w:val="100"/>
                <w:position w:val="0"/>
              </w:rPr>
              <w:t>拾贝投资等</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w:t>
            </w:r>
            <w:r>
              <w:rPr>
                <w:color w:val="000000"/>
                <w:spacing w:val="0"/>
                <w:w w:val="100"/>
                <w:position w:val="0"/>
              </w:rPr>
              <w:t>家机构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日披露的《</w:t>
            </w:r>
            <w:r>
              <w:rPr>
                <w:rFonts w:ascii="Times New Roman" w:eastAsia="Times New Roman" w:hAnsi="Times New Roman" w:cs="Times New Roman"/>
                <w:color w:val="000000"/>
                <w:spacing w:val="0"/>
                <w:w w:val="100"/>
                <w:position w:val="0"/>
              </w:rPr>
              <w:t>300451</w:t>
            </w:r>
            <w:r>
              <w:rPr>
                <w:color w:val="000000"/>
                <w:spacing w:val="0"/>
                <w:w w:val="100"/>
                <w:position w:val="0"/>
              </w:rPr>
              <w:t>创业慧 康调研活动信息</w:t>
            </w:r>
            <w:r>
              <w:rPr>
                <w:rFonts w:ascii="Times New Roman" w:eastAsia="Times New Roman" w:hAnsi="Times New Roman" w:cs="Times New Roman"/>
                <w:color w:val="000000"/>
                <w:spacing w:val="0"/>
                <w:w w:val="100"/>
                <w:position w:val="0"/>
              </w:rPr>
              <w:t>20210426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公众投资者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日披露的《</w:t>
            </w:r>
            <w:r>
              <w:rPr>
                <w:rFonts w:ascii="Times New Roman" w:eastAsia="Times New Roman" w:hAnsi="Times New Roman" w:cs="Times New Roman"/>
                <w:color w:val="000000"/>
                <w:spacing w:val="0"/>
                <w:w w:val="100"/>
                <w:position w:val="0"/>
              </w:rPr>
              <w:t>300451</w:t>
            </w:r>
            <w:r>
              <w:rPr>
                <w:color w:val="000000"/>
                <w:spacing w:val="0"/>
                <w:w w:val="100"/>
                <w:position w:val="0"/>
              </w:rPr>
              <w:t xml:space="preserve">创业慧 康业绩说明会、路演活动等 </w:t>
            </w:r>
            <w:r>
              <w:rPr>
                <w:rFonts w:ascii="Times New Roman" w:eastAsia="Times New Roman" w:hAnsi="Times New Roman" w:cs="Times New Roman"/>
                <w:color w:val="000000"/>
                <w:spacing w:val="0"/>
                <w:w w:val="100"/>
                <w:position w:val="0"/>
              </w:rPr>
              <w:t>20210429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.com.cn</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兴业证券、东方证券、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远策投资等</w:t>
            </w:r>
            <w:r>
              <w:rPr>
                <w:rFonts w:ascii="Times New Roman" w:eastAsia="Times New Roman" w:hAnsi="Times New Roman" w:cs="Times New Roman"/>
                <w:color w:val="000000"/>
                <w:spacing w:val="0"/>
                <w:w w:val="100"/>
                <w:position w:val="0"/>
              </w:rPr>
              <w:t>12</w:t>
            </w:r>
            <w:r>
              <w:rPr>
                <w:color w:val="000000"/>
                <w:spacing w:val="0"/>
                <w:w w:val="100"/>
                <w:position w:val="0"/>
              </w:rPr>
              <w:t>家机构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日披露的《</w:t>
            </w:r>
            <w:r>
              <w:rPr>
                <w:rFonts w:ascii="Times New Roman" w:eastAsia="Times New Roman" w:hAnsi="Times New Roman" w:cs="Times New Roman"/>
                <w:color w:val="000000"/>
                <w:spacing w:val="0"/>
                <w:w w:val="100"/>
                <w:position w:val="0"/>
              </w:rPr>
              <w:t>300451</w:t>
            </w:r>
            <w:r>
              <w:rPr>
                <w:color w:val="000000"/>
                <w:spacing w:val="0"/>
                <w:w w:val="100"/>
                <w:position w:val="0"/>
              </w:rPr>
              <w:t>创业慧 康调研活动信息</w:t>
            </w:r>
            <w:r>
              <w:rPr>
                <w:rFonts w:ascii="Times New Roman" w:eastAsia="Times New Roman" w:hAnsi="Times New Roman" w:cs="Times New Roman"/>
                <w:color w:val="000000"/>
                <w:spacing w:val="0"/>
                <w:w w:val="100"/>
                <w:position w:val="0"/>
              </w:rPr>
              <w:t>20210704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.com.cn</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北京枫瑞资产、易方达 基金、北京永瑞财富投 资管理、沣杨资等</w:t>
            </w:r>
            <w:r>
              <w:rPr>
                <w:rFonts w:ascii="Times New Roman" w:eastAsia="Times New Roman" w:hAnsi="Times New Roman" w:cs="Times New Roman"/>
                <w:color w:val="000000"/>
                <w:spacing w:val="0"/>
                <w:w w:val="100"/>
                <w:position w:val="0"/>
              </w:rPr>
              <w:t xml:space="preserve">188 </w:t>
            </w:r>
            <w:r>
              <w:rPr>
                <w:color w:val="000000"/>
                <w:spacing w:val="0"/>
                <w:w w:val="100"/>
                <w:position w:val="0"/>
              </w:rPr>
              <w:t>家机构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日披露的《</w:t>
            </w:r>
            <w:r>
              <w:rPr>
                <w:rFonts w:ascii="Times New Roman" w:eastAsia="Times New Roman" w:hAnsi="Times New Roman" w:cs="Times New Roman"/>
                <w:color w:val="000000"/>
                <w:spacing w:val="0"/>
                <w:w w:val="100"/>
                <w:position w:val="0"/>
              </w:rPr>
              <w:t>300451</w:t>
            </w:r>
            <w:r>
              <w:rPr>
                <w:color w:val="000000"/>
                <w:spacing w:val="0"/>
                <w:w w:val="100"/>
                <w:position w:val="0"/>
              </w:rPr>
              <w:t>创业慧 康调研活动信息</w:t>
            </w:r>
            <w:r>
              <w:rPr>
                <w:rFonts w:ascii="Times New Roman" w:eastAsia="Times New Roman" w:hAnsi="Times New Roman" w:cs="Times New Roman"/>
                <w:color w:val="000000"/>
                <w:spacing w:val="0"/>
                <w:w w:val="100"/>
                <w:position w:val="0"/>
              </w:rPr>
              <w:t>20210726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.com.cn</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源乘投资、创金合信基 金、泓澄投资、国泰君 安等</w:t>
            </w:r>
            <w:r>
              <w:rPr>
                <w:rFonts w:ascii="Times New Roman" w:eastAsia="Times New Roman" w:hAnsi="Times New Roman" w:cs="Times New Roman"/>
                <w:color w:val="000000"/>
                <w:spacing w:val="0"/>
                <w:w w:val="100"/>
                <w:position w:val="0"/>
              </w:rPr>
              <w:t>75</w:t>
            </w:r>
            <w:r>
              <w:rPr>
                <w:color w:val="000000"/>
                <w:spacing w:val="0"/>
                <w:w w:val="100"/>
                <w:position w:val="0"/>
              </w:rPr>
              <w:t>家机构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日披露的《</w:t>
            </w:r>
            <w:r>
              <w:rPr>
                <w:rFonts w:ascii="Times New Roman" w:eastAsia="Times New Roman" w:hAnsi="Times New Roman" w:cs="Times New Roman"/>
                <w:color w:val="000000"/>
                <w:spacing w:val="0"/>
                <w:w w:val="100"/>
                <w:position w:val="0"/>
              </w:rPr>
              <w:t>300451</w:t>
            </w:r>
            <w:r>
              <w:rPr>
                <w:color w:val="000000"/>
                <w:spacing w:val="0"/>
                <w:w w:val="100"/>
                <w:position w:val="0"/>
              </w:rPr>
              <w:t>创业慧 康调研活动信息</w:t>
            </w:r>
            <w:r>
              <w:rPr>
                <w:rFonts w:ascii="Times New Roman" w:eastAsia="Times New Roman" w:hAnsi="Times New Roman" w:cs="Times New Roman"/>
                <w:color w:val="000000"/>
                <w:spacing w:val="0"/>
                <w:w w:val="100"/>
                <w:position w:val="0"/>
              </w:rPr>
              <w:t>20211029</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.com.cn</w:t>
            </w:r>
          </w:p>
        </w:tc>
      </w:tr>
    </w:tbl>
    <w:p>
      <w:pPr>
        <w:sectPr>
          <w:footnotePr>
            <w:pos w:val="pageBottom"/>
            <w:numFmt w:val="decimal"/>
            <w:numRestart w:val="continuous"/>
          </w:footnotePr>
          <w:pgSz w:w="11900" w:h="16840"/>
          <w:pgMar w:top="1350" w:right="1027" w:bottom="1484" w:left="1091" w:header="0" w:footer="3" w:gutter="0"/>
          <w:cols w:space="720"/>
          <w:noEndnote/>
          <w:rtlGutter w:val="0"/>
          <w:docGrid w:linePitch="360"/>
        </w:sectPr>
      </w:pPr>
    </w:p>
    <w:p>
      <w:pPr>
        <w:pStyle w:val="Style8"/>
        <w:keepNext/>
        <w:keepLines/>
        <w:widowControl w:val="0"/>
        <w:shd w:val="clear" w:color="auto" w:fill="auto"/>
        <w:bidi w:val="0"/>
        <w:spacing w:before="520" w:after="540" w:line="240" w:lineRule="auto"/>
        <w:ind w:left="0" w:right="0" w:firstLine="0"/>
        <w:jc w:val="center"/>
      </w:pPr>
      <w:bookmarkStart w:id="275" w:name="bookmark275"/>
      <w:bookmarkStart w:id="276" w:name="bookmark276"/>
      <w:bookmarkStart w:id="277" w:name="bookmark277"/>
      <w:r>
        <w:rPr>
          <w:color w:val="000000"/>
          <w:spacing w:val="0"/>
          <w:w w:val="100"/>
          <w:position w:val="0"/>
        </w:rPr>
        <w:t>第四节公司治理</w:t>
      </w:r>
      <w:bookmarkEnd w:id="275"/>
      <w:bookmarkEnd w:id="276"/>
      <w:bookmarkEnd w:id="277"/>
    </w:p>
    <w:p>
      <w:pPr>
        <w:pStyle w:val="Style19"/>
        <w:keepNext/>
        <w:keepLines/>
        <w:widowControl w:val="0"/>
        <w:shd w:val="clear" w:color="auto" w:fill="auto"/>
        <w:bidi w:val="0"/>
        <w:spacing w:before="0" w:after="2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一</w:t>
      </w:r>
      <w:bookmarkEnd w:id="280"/>
      <w:r>
        <w:rPr>
          <w:color w:val="000000"/>
          <w:spacing w:val="0"/>
          <w:w w:val="100"/>
          <w:position w:val="0"/>
          <w:sz w:val="24"/>
          <w:szCs w:val="24"/>
        </w:rPr>
        <w:t>、公司治理的基本状况</w:t>
      </w:r>
      <w:bookmarkEnd w:id="278"/>
      <w:bookmarkEnd w:id="279"/>
      <w:bookmarkEnd w:id="281"/>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公司严格按照《公司法》、《证券法》、《深圳证券交易所创业板股票上市规则》、《深圳证券交易所创业板上市公司 规范运作指引》等相关法律、法规和规范性文件的要求，不断完善公司的法人治理结构，建立健全公司内部管理和控制制度， 持续深入开展公司治理活动，促进公司规范运作，提高公司治理水平。报告期内，公司股东大会、董事会、监事会依法运作， 公司治理的实际情况符合中国证监会、深圳证券交易所等发布的法律法规和规范性文件的要求。</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截止目前，公司依据监管部门和公司实际情况在治理方面制定了各项规章制度，主要有《公司章程》《股东大会议事规 则》《董事会议事规则》《监事会议事规则》《独立董事工作制度》《战略委员会工作规则》《审计委员会工作规则》《提 名委员会工作规则》《薪酬与考核委员会工作规则》《总经理工作细则》《董事会秘书工作细则》《对外投资管理制度》《对 外担保管理制度》《关联交易决策制度》、《募集资金管理制度》《内部审计制度》《内部控制制度》等规章制度。通过一 系列制度的制定，搭建了较为完善的公司法人治理结构的制度平台，从制度上明确了股东大会、董事会、监事会及管理层各 自应履行的职责和议事规程，从而为公司的规范运作提供了制度保障。</w:t>
      </w:r>
    </w:p>
    <w:p>
      <w:pPr>
        <w:pStyle w:val="Style15"/>
        <w:keepNext w:val="0"/>
        <w:keepLines w:val="0"/>
        <w:widowControl w:val="0"/>
        <w:shd w:val="clear" w:color="auto" w:fill="auto"/>
        <w:tabs>
          <w:tab w:pos="851" w:val="left"/>
        </w:tabs>
        <w:bidi w:val="0"/>
        <w:spacing w:before="0" w:after="0" w:line="314" w:lineRule="exact"/>
        <w:ind w:left="0" w:right="0"/>
        <w:jc w:val="both"/>
      </w:pPr>
      <w:bookmarkStart w:id="282" w:name="bookmark282"/>
      <w:r>
        <w:rPr>
          <w:color w:val="000000"/>
          <w:spacing w:val="0"/>
          <w:w w:val="100"/>
          <w:position w:val="0"/>
        </w:rPr>
        <w:t>（</w:t>
      </w:r>
      <w:bookmarkEnd w:id="282"/>
      <w:r>
        <w:rPr>
          <w:color w:val="000000"/>
          <w:spacing w:val="0"/>
          <w:w w:val="100"/>
          <w:position w:val="0"/>
        </w:rPr>
        <w:t>一）</w:t>
        <w:tab/>
        <w:t>关于股东和股东大会</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公司严格按照《公司法》《上市公司股东大会规则》《公司章程》《股东大会议事规则》等相关法律、法规和规范性文 件的要求召开股东大会，规范股东大会的召集、召开及表决程序。报告期内，公司召开的股东大会均有公司董事会召集召开， 董事长主持，公司聘请的法律顾问对股东大会现场会议进行了见证并出具了法律意见书。在股东大会上能够保证各位股东有 充分的发言权，确保全体股东特别是中小股东享有平等地位，充分行使自己的权利。</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报告期内，本公司召开的股东大会不存在违反《上市公司股东大会规则》的情形，公司未发生独立或合计持有本公司有 表决权股份总额</w:t>
      </w:r>
      <w:r>
        <w:rPr>
          <w:color w:val="000000"/>
          <w:spacing w:val="0"/>
          <w:w w:val="100"/>
          <w:position w:val="0"/>
          <w:sz w:val="18"/>
          <w:szCs w:val="18"/>
        </w:rPr>
        <w:t>10%</w:t>
      </w:r>
      <w:r>
        <w:rPr>
          <w:color w:val="000000"/>
          <w:spacing w:val="0"/>
          <w:w w:val="100"/>
          <w:position w:val="0"/>
        </w:rPr>
        <w:t>以上的股东请求召开临时股东大会的情形，也不存在监事会提议召开的股东大会。按照《公司法》、《公 司章程》的规定应由股东大会审议的重大事项，本公司均通过股东大会审议，不存在绕过股东大会的情况，也不存在先实施 后审议的情况。</w:t>
      </w:r>
    </w:p>
    <w:p>
      <w:pPr>
        <w:pStyle w:val="Style15"/>
        <w:keepNext w:val="0"/>
        <w:keepLines w:val="0"/>
        <w:widowControl w:val="0"/>
        <w:shd w:val="clear" w:color="auto" w:fill="auto"/>
        <w:tabs>
          <w:tab w:pos="851" w:val="left"/>
        </w:tabs>
        <w:bidi w:val="0"/>
        <w:spacing w:before="0" w:after="0" w:line="314" w:lineRule="exact"/>
        <w:ind w:left="0" w:right="0"/>
        <w:jc w:val="both"/>
      </w:pPr>
      <w:bookmarkStart w:id="283" w:name="bookmark283"/>
      <w:r>
        <w:rPr>
          <w:color w:val="000000"/>
          <w:spacing w:val="0"/>
          <w:w w:val="100"/>
          <w:position w:val="0"/>
        </w:rPr>
        <w:t>（</w:t>
      </w:r>
      <w:bookmarkEnd w:id="283"/>
      <w:r>
        <w:rPr>
          <w:color w:val="000000"/>
          <w:spacing w:val="0"/>
          <w:w w:val="100"/>
          <w:position w:val="0"/>
        </w:rPr>
        <w:t>二）</w:t>
        <w:tab/>
        <w:t>关于公司与控股股东</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公司控股股东、实际控制人葛航先生严格按照《上市公司治理准则》《深圳证券交易所创业板上市规则》《深证证券交 易所创业板规范运作指引》《公司章程》等的规定和要求，不存在超越公司股东大会直接或间接干预公司的决策和经营活动 的行为，未损害公司及其他股东的利益，不存在控股股东占用公司资金的现象，公司不存在为控股股东提供担保的情况。</w:t>
      </w:r>
    </w:p>
    <w:p>
      <w:pPr>
        <w:pStyle w:val="Style15"/>
        <w:keepNext w:val="0"/>
        <w:keepLines w:val="0"/>
        <w:widowControl w:val="0"/>
        <w:shd w:val="clear" w:color="auto" w:fill="auto"/>
        <w:tabs>
          <w:tab w:pos="851" w:val="left"/>
        </w:tabs>
        <w:bidi w:val="0"/>
        <w:spacing w:before="0" w:after="0" w:line="314" w:lineRule="exact"/>
        <w:ind w:left="0" w:right="0"/>
        <w:jc w:val="both"/>
      </w:pPr>
      <w:bookmarkStart w:id="284" w:name="bookmark284"/>
      <w:r>
        <w:rPr>
          <w:color w:val="000000"/>
          <w:spacing w:val="0"/>
          <w:w w:val="100"/>
          <w:position w:val="0"/>
        </w:rPr>
        <w:t>（</w:t>
      </w:r>
      <w:bookmarkEnd w:id="284"/>
      <w:r>
        <w:rPr>
          <w:color w:val="000000"/>
          <w:spacing w:val="0"/>
          <w:w w:val="100"/>
          <w:position w:val="0"/>
        </w:rPr>
        <w:t>三）</w:t>
        <w:tab/>
        <w:t>关于董事和董事会</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董事会的人数及人员构成符合法律、法规和《公司章程》的规定。各位董事能够依照《董事会议事规则》、《独立董事 工作制度》、《深圳证券交易所创业板上市公司规范运作指引》等相关规定开展工作，出席董事会、董事会专门委员会和股 东大会，勤勉尽责地履行职责和义务，同时各位董事均积极参加相关培训，熟悉相关法律法规，切实提高了履行董事职责的 能力。</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公司按照《深圳证券交易所创业板上市公司规范运作指引》的规定，下设有审计委员会、战略委员会、薪酬与考核委员 会和提名委员会四个专门委员会。专门委员会成员全部由董事组成，除战略委员会由董事长担任召集人以外，其他专门委员 会均有独立董事担任召集人，为董事会的决策提供了科学和专业的意见。各委员会依据《公司章程》和董事会专门委员会工 作规则的规定履行职责，不受公司任何其他部门和个人干预。</w:t>
      </w:r>
    </w:p>
    <w:p>
      <w:pPr>
        <w:pStyle w:val="Style15"/>
        <w:keepNext w:val="0"/>
        <w:keepLines w:val="0"/>
        <w:widowControl w:val="0"/>
        <w:shd w:val="clear" w:color="auto" w:fill="auto"/>
        <w:tabs>
          <w:tab w:pos="851" w:val="left"/>
        </w:tabs>
        <w:bidi w:val="0"/>
        <w:spacing w:before="0" w:after="0" w:line="314" w:lineRule="exact"/>
        <w:ind w:left="0" w:right="0"/>
        <w:jc w:val="both"/>
      </w:pPr>
      <w:bookmarkStart w:id="285" w:name="bookmark285"/>
      <w:r>
        <w:rPr>
          <w:color w:val="000000"/>
          <w:spacing w:val="0"/>
          <w:w w:val="100"/>
          <w:position w:val="0"/>
        </w:rPr>
        <w:t>（</w:t>
      </w:r>
      <w:bookmarkEnd w:id="285"/>
      <w:r>
        <w:rPr>
          <w:color w:val="000000"/>
          <w:spacing w:val="0"/>
          <w:w w:val="100"/>
          <w:position w:val="0"/>
        </w:rPr>
        <w:t>四）</w:t>
        <w:tab/>
        <w:t>关于监事与监事会</w:t>
      </w:r>
    </w:p>
    <w:p>
      <w:pPr>
        <w:pStyle w:val="Style15"/>
        <w:keepNext w:val="0"/>
        <w:keepLines w:val="0"/>
        <w:widowControl w:val="0"/>
        <w:shd w:val="clear" w:color="auto" w:fill="auto"/>
        <w:bidi w:val="0"/>
        <w:spacing w:before="0" w:after="100" w:line="314" w:lineRule="exact"/>
        <w:ind w:left="0" w:right="0"/>
        <w:jc w:val="both"/>
      </w:pPr>
      <w:r>
        <w:rPr>
          <w:color w:val="000000"/>
          <w:spacing w:val="0"/>
          <w:w w:val="100"/>
          <w:position w:val="0"/>
        </w:rPr>
        <w:t>公司监事会设监事三名，其中职工监事一名，监事会的人数和人员构成符合相关规定。报告期内所有监事均能够按照《公 司章程》、《监事会议事规则》以及相关法律、法规和规范性文件的要求，认真履行自己的职责，对公司重大事项、财务状 况以及董事、高级管理人员履行职责的合法合规性进行监督。同时，公司监事积极参加相关培训，通过进一步的学习，熟悉 有关法律法规，切实提高了履行监事职责的能力。</w:t>
      </w:r>
    </w:p>
    <w:p>
      <w:pPr>
        <w:pStyle w:val="Style15"/>
        <w:keepNext w:val="0"/>
        <w:keepLines w:val="0"/>
        <w:widowControl w:val="0"/>
        <w:shd w:val="clear" w:color="auto" w:fill="auto"/>
        <w:bidi w:val="0"/>
        <w:spacing w:before="0" w:after="260" w:line="240" w:lineRule="auto"/>
        <w:ind w:left="0" w:right="0"/>
        <w:jc w:val="both"/>
      </w:pPr>
      <w:bookmarkStart w:id="286" w:name="bookmark286"/>
      <w:r>
        <w:rPr>
          <w:color w:val="000000"/>
          <w:spacing w:val="0"/>
          <w:w w:val="100"/>
          <w:position w:val="0"/>
        </w:rPr>
        <w:t>（</w:t>
      </w:r>
      <w:bookmarkEnd w:id="286"/>
      <w:r>
        <w:rPr>
          <w:color w:val="000000"/>
          <w:spacing w:val="0"/>
          <w:w w:val="100"/>
          <w:position w:val="0"/>
        </w:rPr>
        <w:t>五）关于信息披露与透明度</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公司高度重视信息披露与投资者关系管理工作，严格按照《上市公司信息披露管理办法》、《深圳证券交易所创业板上 市公司的信息披露格式指引》等规定以及公司制定的《信息披露制度》等操作性文件的要求真实、准确、完整及时的披露信 息。同时，明确董事长为公司信息披露第一责任人，董事会秘书为信息披露负责人，证券部负责信息披露的日常事务。公司 指定《证券时报》《证券日报》《中国证券报》公司信息披露报纸，巨潮资讯网为公司信息披露网站。公司上市以来，不断 探索更加有效的方式开展投资者关系管理工作，设立了互动易、投资者关系管理微信公众号、电话专线、专用邮箱等多种渠 道与投资者进行沟通和交流。</w:t>
      </w:r>
    </w:p>
    <w:p>
      <w:pPr>
        <w:pStyle w:val="Style15"/>
        <w:keepNext w:val="0"/>
        <w:keepLines w:val="0"/>
        <w:widowControl w:val="0"/>
        <w:shd w:val="clear" w:color="auto" w:fill="auto"/>
        <w:bidi w:val="0"/>
        <w:spacing w:before="0" w:after="0" w:line="312" w:lineRule="exact"/>
        <w:ind w:left="0" w:right="0"/>
        <w:jc w:val="both"/>
      </w:pPr>
      <w:bookmarkStart w:id="287" w:name="bookmark287"/>
      <w:r>
        <w:rPr>
          <w:color w:val="000000"/>
          <w:spacing w:val="0"/>
          <w:w w:val="100"/>
          <w:position w:val="0"/>
        </w:rPr>
        <w:t>（</w:t>
      </w:r>
      <w:bookmarkEnd w:id="287"/>
      <w:r>
        <w:rPr>
          <w:color w:val="000000"/>
          <w:spacing w:val="0"/>
          <w:w w:val="100"/>
          <w:position w:val="0"/>
        </w:rPr>
        <w:t>六）关于相关利益者</w:t>
      </w:r>
    </w:p>
    <w:p>
      <w:pPr>
        <w:pStyle w:val="Style15"/>
        <w:keepNext w:val="0"/>
        <w:keepLines w:val="0"/>
        <w:widowControl w:val="0"/>
        <w:shd w:val="clear" w:color="auto" w:fill="auto"/>
        <w:bidi w:val="0"/>
        <w:spacing w:before="0" w:after="280" w:line="312" w:lineRule="exact"/>
        <w:ind w:left="0" w:right="0"/>
        <w:jc w:val="both"/>
      </w:pPr>
      <w:r>
        <w:rPr>
          <w:color w:val="000000"/>
          <w:spacing w:val="0"/>
          <w:w w:val="100"/>
          <w:position w:val="0"/>
        </w:rPr>
        <w:t>公司充分尊重和维护相关利益者的合法权益，重视公司的社会责任，积极与相关利益者合作，加强与各方的沟通和交流， 实现股东、员工、社会等各方利益的协调平衡，共同推动公司持续、健康的发展。</w:t>
      </w:r>
    </w:p>
    <w:p>
      <w:pPr>
        <w:pStyle w:val="Style15"/>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公司治理的实际状况与法律、行政法规和中国证监会发布的关于上市公司治理的规定是否存在重大差异 口是"否</w:t>
      </w:r>
    </w:p>
    <w:p>
      <w:pPr>
        <w:pStyle w:val="Style15"/>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19"/>
        <w:keepNext/>
        <w:keepLines/>
        <w:widowControl w:val="0"/>
        <w:shd w:val="clear" w:color="auto" w:fill="auto"/>
        <w:tabs>
          <w:tab w:pos="608" w:val="left"/>
        </w:tabs>
        <w:bidi w:val="0"/>
        <w:spacing w:before="0" w:after="340" w:line="312" w:lineRule="exact"/>
        <w:ind w:left="0" w:right="0" w:firstLine="0"/>
        <w:jc w:val="both"/>
      </w:pPr>
      <w:bookmarkStart w:id="288" w:name="bookmark288"/>
      <w:bookmarkStart w:id="289" w:name="bookmark289"/>
      <w:bookmarkStart w:id="290" w:name="bookmark290"/>
      <w:bookmarkStart w:id="291" w:name="bookmark291"/>
      <w:r>
        <w:rPr>
          <w:color w:val="000000"/>
          <w:spacing w:val="0"/>
          <w:w w:val="100"/>
          <w:position w:val="0"/>
          <w:sz w:val="24"/>
          <w:szCs w:val="24"/>
        </w:rPr>
        <w:t>二</w:t>
      </w:r>
      <w:bookmarkEnd w:id="290"/>
      <w:r>
        <w:rPr>
          <w:color w:val="000000"/>
          <w:spacing w:val="0"/>
          <w:w w:val="100"/>
          <w:position w:val="0"/>
          <w:sz w:val="24"/>
          <w:szCs w:val="24"/>
        </w:rPr>
        <w:t>、</w:t>
        <w:tab/>
        <w:t>公司相对于控股股东、实际控制人在保证公司资产、人员、财务、机构、业务等方面的 独立情况</w:t>
      </w:r>
      <w:bookmarkEnd w:id="288"/>
      <w:bookmarkEnd w:id="289"/>
      <w:bookmarkEnd w:id="291"/>
    </w:p>
    <w:p>
      <w:pPr>
        <w:pStyle w:val="Style15"/>
        <w:keepNext w:val="0"/>
        <w:keepLines w:val="0"/>
        <w:widowControl w:val="0"/>
        <w:shd w:val="clear" w:color="auto" w:fill="auto"/>
        <w:tabs>
          <w:tab w:pos="684" w:val="left"/>
        </w:tabs>
        <w:bidi w:val="0"/>
        <w:spacing w:before="0" w:after="0"/>
        <w:ind w:left="0" w:right="0"/>
        <w:jc w:val="both"/>
      </w:pPr>
      <w:bookmarkStart w:id="292" w:name="bookmark292"/>
      <w:r>
        <w:rPr>
          <w:rFonts w:ascii="Times New Roman" w:eastAsia="Times New Roman" w:hAnsi="Times New Roman" w:cs="Times New Roman"/>
          <w:color w:val="000000"/>
          <w:spacing w:val="0"/>
          <w:w w:val="100"/>
          <w:position w:val="0"/>
        </w:rPr>
        <w:t>1</w:t>
      </w:r>
      <w:bookmarkEnd w:id="292"/>
      <w:r>
        <w:rPr>
          <w:color w:val="000000"/>
          <w:spacing w:val="0"/>
          <w:w w:val="100"/>
          <w:position w:val="0"/>
        </w:rPr>
        <w:t>、</w:t>
        <w:tab/>
        <w:t>业务独立情况</w:t>
      </w:r>
    </w:p>
    <w:p>
      <w:pPr>
        <w:pStyle w:val="Style15"/>
        <w:keepNext w:val="0"/>
        <w:keepLines w:val="0"/>
        <w:widowControl w:val="0"/>
        <w:shd w:val="clear" w:color="auto" w:fill="auto"/>
        <w:bidi w:val="0"/>
        <w:spacing w:before="0" w:after="80" w:line="312" w:lineRule="exact"/>
        <w:ind w:left="0" w:right="0"/>
        <w:jc w:val="left"/>
      </w:pPr>
      <w:r>
        <w:rPr>
          <w:color w:val="000000"/>
          <w:spacing w:val="0"/>
          <w:w w:val="100"/>
          <w:position w:val="0"/>
        </w:rPr>
        <w:t>公司拥有独立完整的业务体系和面向市场的独立经营能力。公司实际控制人及持有公司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以上股份的股东已向本公司 出具了《关于避免同业竞争的承诺函》，承诺不从事与本公司形成竞争关系的相关业务。公司严格按照《公司法》《证券法》 等有关法律、法规和《公司章程》的要求规范运作，建立健全了公司法人治理结构，在业务、资产、人员、机构、财务等方 面均独立于实际控制人及其控制的其他企业，公司具有独立、完整的资产和业务体系，具备面向市场独立经营的能力。</w:t>
      </w:r>
    </w:p>
    <w:p>
      <w:pPr>
        <w:pStyle w:val="Style15"/>
        <w:keepNext w:val="0"/>
        <w:keepLines w:val="0"/>
        <w:widowControl w:val="0"/>
        <w:shd w:val="clear" w:color="auto" w:fill="auto"/>
        <w:tabs>
          <w:tab w:pos="703" w:val="left"/>
        </w:tabs>
        <w:bidi w:val="0"/>
        <w:spacing w:before="0" w:after="0"/>
        <w:ind w:left="0" w:right="0"/>
        <w:jc w:val="both"/>
      </w:pPr>
      <w:bookmarkStart w:id="293" w:name="bookmark293"/>
      <w:r>
        <w:rPr>
          <w:rFonts w:ascii="Times New Roman" w:eastAsia="Times New Roman" w:hAnsi="Times New Roman" w:cs="Times New Roman"/>
          <w:color w:val="000000"/>
          <w:spacing w:val="0"/>
          <w:w w:val="100"/>
          <w:position w:val="0"/>
        </w:rPr>
        <w:t>2</w:t>
      </w:r>
      <w:bookmarkEnd w:id="293"/>
      <w:r>
        <w:rPr>
          <w:color w:val="000000"/>
          <w:spacing w:val="0"/>
          <w:w w:val="100"/>
          <w:position w:val="0"/>
        </w:rPr>
        <w:t>、</w:t>
        <w:tab/>
        <w:t>人员独立情况</w:t>
      </w:r>
    </w:p>
    <w:p>
      <w:pPr>
        <w:pStyle w:val="Style15"/>
        <w:keepNext w:val="0"/>
        <w:keepLines w:val="0"/>
        <w:widowControl w:val="0"/>
        <w:shd w:val="clear" w:color="auto" w:fill="auto"/>
        <w:bidi w:val="0"/>
        <w:spacing w:before="0" w:after="80" w:line="312" w:lineRule="exact"/>
        <w:ind w:left="0" w:right="0"/>
        <w:jc w:val="both"/>
      </w:pPr>
      <w:r>
        <w:rPr>
          <w:color w:val="000000"/>
          <w:spacing w:val="0"/>
          <w:w w:val="100"/>
          <w:position w:val="0"/>
        </w:rPr>
        <w:t>公司董事、监事及高级管理人员严格按照《公司法》《公司章程》的有关规定产生；公司总经理、副总经理、财务负责 人、董事会秘书等高级管理人员均专职在公司工作并领取薪酬；公司的人事及工资管理完全独立，在地方社保部门办理了独 立的社保登记，并根据《劳动法》和公司劳动管理制度等有关规定与公司员工签订劳动合同。</w:t>
      </w:r>
    </w:p>
    <w:p>
      <w:pPr>
        <w:pStyle w:val="Style15"/>
        <w:keepNext w:val="0"/>
        <w:keepLines w:val="0"/>
        <w:widowControl w:val="0"/>
        <w:shd w:val="clear" w:color="auto" w:fill="auto"/>
        <w:tabs>
          <w:tab w:pos="703" w:val="left"/>
        </w:tabs>
        <w:bidi w:val="0"/>
        <w:spacing w:before="0" w:after="0"/>
        <w:ind w:left="0" w:right="0"/>
        <w:jc w:val="both"/>
      </w:pPr>
      <w:bookmarkStart w:id="294" w:name="bookmark294"/>
      <w:r>
        <w:rPr>
          <w:rFonts w:ascii="Times New Roman" w:eastAsia="Times New Roman" w:hAnsi="Times New Roman" w:cs="Times New Roman"/>
          <w:color w:val="000000"/>
          <w:spacing w:val="0"/>
          <w:w w:val="100"/>
          <w:position w:val="0"/>
        </w:rPr>
        <w:t>3</w:t>
      </w:r>
      <w:bookmarkEnd w:id="294"/>
      <w:r>
        <w:rPr>
          <w:color w:val="000000"/>
          <w:spacing w:val="0"/>
          <w:w w:val="100"/>
          <w:position w:val="0"/>
        </w:rPr>
        <w:t>、</w:t>
        <w:tab/>
        <w:t>资产完整情况</w:t>
      </w:r>
    </w:p>
    <w:p>
      <w:pPr>
        <w:pStyle w:val="Style15"/>
        <w:keepNext w:val="0"/>
        <w:keepLines w:val="0"/>
        <w:widowControl w:val="0"/>
        <w:shd w:val="clear" w:color="auto" w:fill="auto"/>
        <w:bidi w:val="0"/>
        <w:spacing w:before="0" w:after="80" w:line="312" w:lineRule="exact"/>
        <w:ind w:left="0" w:right="0"/>
        <w:jc w:val="both"/>
      </w:pPr>
      <w:r>
        <w:rPr>
          <w:color w:val="000000"/>
          <w:spacing w:val="0"/>
          <w:w w:val="100"/>
          <w:position w:val="0"/>
        </w:rPr>
        <w:t>公司合法拥有与生产经营有关的资产，拥有独立完整的生产系统、辅助生产系统和配套设施，具有独立的原料采购和产 品销售系统。公司拥有与经营有关的研发、生产、销售和技术服务体系及房屋所有权、土地使用权、商标、专利权及专利申 请权、车辆、办公设施等相关资产，上述资产不存在与他人共有的情形。报告期内，公司不存在以其资产、权益或信用为关 联方提供担保的情形，也不存在公司的资产或资源被公司股东、实际控制人及其控制的其他企业使用或占用的情形，公司对 所有资产均拥有完整的控制和支配权。</w:t>
      </w:r>
    </w:p>
    <w:p>
      <w:pPr>
        <w:pStyle w:val="Style15"/>
        <w:keepNext w:val="0"/>
        <w:keepLines w:val="0"/>
        <w:widowControl w:val="0"/>
        <w:shd w:val="clear" w:color="auto" w:fill="auto"/>
        <w:tabs>
          <w:tab w:pos="703" w:val="left"/>
        </w:tabs>
        <w:bidi w:val="0"/>
        <w:spacing w:before="0" w:after="0"/>
        <w:ind w:left="0" w:right="0"/>
        <w:jc w:val="both"/>
      </w:pPr>
      <w:bookmarkStart w:id="295" w:name="bookmark295"/>
      <w:r>
        <w:rPr>
          <w:rFonts w:ascii="Times New Roman" w:eastAsia="Times New Roman" w:hAnsi="Times New Roman" w:cs="Times New Roman"/>
          <w:color w:val="000000"/>
          <w:spacing w:val="0"/>
          <w:w w:val="100"/>
          <w:position w:val="0"/>
        </w:rPr>
        <w:t>4</w:t>
      </w:r>
      <w:bookmarkEnd w:id="295"/>
      <w:r>
        <w:rPr>
          <w:color w:val="000000"/>
          <w:spacing w:val="0"/>
          <w:w w:val="100"/>
          <w:position w:val="0"/>
        </w:rPr>
        <w:t>、</w:t>
        <w:tab/>
        <w:t>机构独立情况</w:t>
      </w:r>
    </w:p>
    <w:p>
      <w:pPr>
        <w:pStyle w:val="Style15"/>
        <w:keepNext w:val="0"/>
        <w:keepLines w:val="0"/>
        <w:widowControl w:val="0"/>
        <w:shd w:val="clear" w:color="auto" w:fill="auto"/>
        <w:bidi w:val="0"/>
        <w:spacing w:before="0" w:after="80" w:line="312" w:lineRule="exact"/>
        <w:ind w:left="0" w:right="0"/>
        <w:jc w:val="both"/>
      </w:pPr>
      <w:r>
        <w:rPr>
          <w:color w:val="000000"/>
          <w:spacing w:val="0"/>
          <w:w w:val="100"/>
          <w:position w:val="0"/>
        </w:rPr>
        <w:t>公司按《公司法》与《公司章程》的要求建立健全了股东大会、董事会、监事会和经营管理层的组织结构体系，独立行 使经营管理职权。公司设有职能部门和分支机构，不存在与实际控制人及其控制的其他企业间机构混同的情形。</w:t>
      </w:r>
    </w:p>
    <w:p>
      <w:pPr>
        <w:pStyle w:val="Style15"/>
        <w:keepNext w:val="0"/>
        <w:keepLines w:val="0"/>
        <w:widowControl w:val="0"/>
        <w:shd w:val="clear" w:color="auto" w:fill="auto"/>
        <w:tabs>
          <w:tab w:pos="703" w:val="left"/>
        </w:tabs>
        <w:bidi w:val="0"/>
        <w:spacing w:before="0" w:after="0"/>
        <w:ind w:left="0" w:right="0"/>
        <w:jc w:val="both"/>
      </w:pPr>
      <w:bookmarkStart w:id="296" w:name="bookmark296"/>
      <w:r>
        <w:rPr>
          <w:rFonts w:ascii="Times New Roman" w:eastAsia="Times New Roman" w:hAnsi="Times New Roman" w:cs="Times New Roman"/>
          <w:color w:val="000000"/>
          <w:spacing w:val="0"/>
          <w:w w:val="100"/>
          <w:position w:val="0"/>
        </w:rPr>
        <w:t>5</w:t>
      </w:r>
      <w:bookmarkEnd w:id="296"/>
      <w:r>
        <w:rPr>
          <w:color w:val="000000"/>
          <w:spacing w:val="0"/>
          <w:w w:val="100"/>
          <w:position w:val="0"/>
        </w:rPr>
        <w:t>、</w:t>
        <w:tab/>
        <w:t>财务独立情况</w:t>
      </w:r>
    </w:p>
    <w:p>
      <w:pPr>
        <w:pStyle w:val="Style15"/>
        <w:keepNext w:val="0"/>
        <w:keepLines w:val="0"/>
        <w:widowControl w:val="0"/>
        <w:shd w:val="clear" w:color="auto" w:fill="auto"/>
        <w:bidi w:val="0"/>
        <w:spacing w:before="0" w:after="340" w:line="312" w:lineRule="exact"/>
        <w:ind w:left="0" w:right="0"/>
        <w:jc w:val="both"/>
      </w:pPr>
      <w:r>
        <w:rPr>
          <w:color w:val="000000"/>
          <w:spacing w:val="0"/>
          <w:w w:val="100"/>
          <w:position w:val="0"/>
        </w:rPr>
        <w:t>公司设有独立的财务部门，建立了独立的会计核算体系、规范的财务管理制度和对子公司、分支机构的财务管理制度， 能够独立进行财务决策；财务负责人和财务人员均专职在本公司工作；在银行独立开立账户，并依法独立进行纳税申报和履 行纳税义务；独立对外签订合同，不存在与股东共用银行账户或混合纳税现象。</w:t>
      </w:r>
    </w:p>
    <w:p>
      <w:pPr>
        <w:pStyle w:val="Style19"/>
        <w:keepNext/>
        <w:keepLines/>
        <w:widowControl w:val="0"/>
        <w:shd w:val="clear" w:color="auto" w:fill="auto"/>
        <w:tabs>
          <w:tab w:pos="608" w:val="left"/>
        </w:tabs>
        <w:bidi w:val="0"/>
        <w:spacing w:before="0" w:after="280" w:line="312" w:lineRule="exact"/>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三</w:t>
      </w:r>
      <w:bookmarkEnd w:id="299"/>
      <w:r>
        <w:rPr>
          <w:color w:val="000000"/>
          <w:spacing w:val="0"/>
          <w:w w:val="100"/>
          <w:position w:val="0"/>
          <w:sz w:val="24"/>
          <w:szCs w:val="24"/>
        </w:rPr>
        <w:t>、</w:t>
        <w:tab/>
        <w:t>同业竞争情况</w:t>
      </w:r>
      <w:bookmarkEnd w:id="297"/>
      <w:bookmarkEnd w:id="298"/>
      <w:bookmarkEnd w:id="300"/>
    </w:p>
    <w:p>
      <w:pPr>
        <w:pStyle w:val="Style1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bidi w:val="0"/>
        <w:spacing w:before="0" w:after="34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四</w:t>
      </w:r>
      <w:bookmarkEnd w:id="303"/>
      <w:r>
        <w:rPr>
          <w:color w:val="000000"/>
          <w:spacing w:val="0"/>
          <w:w w:val="100"/>
          <w:position w:val="0"/>
          <w:sz w:val="24"/>
          <w:szCs w:val="24"/>
        </w:rPr>
        <w:t>、报告期内召开的年度股东大会和临时股东大会的有关情况</w:t>
      </w:r>
      <w:bookmarkEnd w:id="301"/>
      <w:bookmarkEnd w:id="302"/>
      <w:bookmarkEnd w:id="304"/>
    </w:p>
    <w:p>
      <w:pPr>
        <w:pStyle w:val="Style24"/>
        <w:keepNext/>
        <w:keepLines/>
        <w:widowControl w:val="0"/>
        <w:shd w:val="clear" w:color="auto" w:fill="auto"/>
        <w:bidi w:val="0"/>
        <w:spacing w:before="0" w:after="34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、本报告期股东大会情况</w:t>
      </w:r>
      <w:bookmarkEnd w:id="305"/>
      <w:bookmarkEnd w:id="306"/>
      <w:bookmarkEnd w:id="308"/>
    </w:p>
    <w:tbl>
      <w:tblPr>
        <w:tblOverlap w:val="never"/>
        <w:jc w:val="center"/>
        <w:tblLayout w:type="fixed"/>
      </w:tblPr>
      <w:tblGrid>
        <w:gridCol w:w="1310"/>
        <w:gridCol w:w="1229"/>
        <w:gridCol w:w="1570"/>
        <w:gridCol w:w="1642"/>
        <w:gridCol w:w="1670"/>
        <w:gridCol w:w="215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年年度股东大会决 议公告，公告编号： </w:t>
            </w:r>
            <w:r>
              <w:rPr>
                <w:rFonts w:ascii="Times New Roman" w:eastAsia="Times New Roman" w:hAnsi="Times New Roman" w:cs="Times New Roman"/>
                <w:color w:val="000000"/>
                <w:spacing w:val="0"/>
                <w:w w:val="100"/>
                <w:position w:val="0"/>
              </w:rPr>
              <w:t>2021-031</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年第一 次临时股东大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临时股东大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 大会决议公告，公告编 号：</w:t>
            </w:r>
            <w:r>
              <w:rPr>
                <w:rFonts w:ascii="Times New Roman" w:eastAsia="Times New Roman" w:hAnsi="Times New Roman" w:cs="Times New Roman"/>
                <w:color w:val="000000"/>
                <w:spacing w:val="0"/>
                <w:w w:val="100"/>
                <w:position w:val="0"/>
              </w:rPr>
              <w:t>2021-058</w:t>
            </w:r>
            <w:r>
              <w:rPr>
                <w:color w:val="000000"/>
                <w:spacing w:val="0"/>
                <w:w w:val="100"/>
                <w:position w:val="0"/>
              </w:rPr>
              <w:t>。</w:t>
            </w:r>
          </w:p>
        </w:tc>
      </w:tr>
    </w:tbl>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、表决权恢复的优先股股东请求召开临时股东大会</w:t>
      </w:r>
      <w:bookmarkEnd w:id="309"/>
      <w:bookmarkEnd w:id="310"/>
      <w:bookmarkEnd w:id="312"/>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2" w:val="left"/>
        </w:tabs>
        <w:bidi w:val="0"/>
        <w:spacing w:before="0" w:after="38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五</w:t>
      </w:r>
      <w:bookmarkEnd w:id="315"/>
      <w:r>
        <w:rPr>
          <w:color w:val="000000"/>
          <w:spacing w:val="0"/>
          <w:w w:val="100"/>
          <w:position w:val="0"/>
          <w:sz w:val="24"/>
          <w:szCs w:val="24"/>
        </w:rPr>
        <w:t>、</w:t>
        <w:tab/>
        <w:t>公司具有表决权差异安排</w:t>
      </w:r>
      <w:bookmarkEnd w:id="313"/>
      <w:bookmarkEnd w:id="314"/>
      <w:bookmarkEnd w:id="316"/>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2" w:val="left"/>
        </w:tabs>
        <w:bidi w:val="0"/>
        <w:spacing w:before="0" w:after="38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六</w:t>
      </w:r>
      <w:bookmarkEnd w:id="319"/>
      <w:r>
        <w:rPr>
          <w:color w:val="000000"/>
          <w:spacing w:val="0"/>
          <w:w w:val="100"/>
          <w:position w:val="0"/>
          <w:sz w:val="24"/>
          <w:szCs w:val="24"/>
        </w:rPr>
        <w:t>、</w:t>
        <w:tab/>
        <w:t>红筹架构公司治理情况</w:t>
      </w:r>
      <w:bookmarkEnd w:id="317"/>
      <w:bookmarkEnd w:id="318"/>
      <w:bookmarkEnd w:id="320"/>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40" w:line="240" w:lineRule="auto"/>
        <w:ind w:left="0" w:right="0" w:firstLine="0"/>
        <w:jc w:val="left"/>
      </w:pPr>
      <w:bookmarkStart w:id="321" w:name="bookmark321"/>
      <w:bookmarkStart w:id="322" w:name="bookmark322"/>
      <w:bookmarkStart w:id="323" w:name="bookmark323"/>
      <w:bookmarkStart w:id="324" w:name="bookmark324"/>
      <w:r>
        <w:rPr>
          <w:color w:val="000000"/>
          <w:spacing w:val="0"/>
          <w:w w:val="100"/>
          <w:position w:val="0"/>
          <w:sz w:val="24"/>
          <w:szCs w:val="24"/>
        </w:rPr>
        <w:t>七</w:t>
      </w:r>
      <w:bookmarkEnd w:id="323"/>
      <w:r>
        <w:rPr>
          <w:color w:val="000000"/>
          <w:spacing w:val="0"/>
          <w:w w:val="100"/>
          <w:position w:val="0"/>
          <w:sz w:val="24"/>
          <w:szCs w:val="24"/>
        </w:rPr>
        <w:t>、董事、监事和高级管理人员情况</w:t>
      </w:r>
      <w:bookmarkEnd w:id="321"/>
      <w:bookmarkEnd w:id="322"/>
      <w:bookmarkEnd w:id="324"/>
    </w:p>
    <w:p>
      <w:pPr>
        <w:pStyle w:val="Style24"/>
        <w:keepNext/>
        <w:keepLines/>
        <w:widowControl w:val="0"/>
        <w:shd w:val="clear" w:color="auto" w:fill="auto"/>
        <w:bidi w:val="0"/>
        <w:spacing w:before="0" w:after="34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1</w:t>
      </w:r>
      <w:bookmarkEnd w:id="327"/>
      <w:r>
        <w:rPr>
          <w:color w:val="000000"/>
          <w:spacing w:val="0"/>
          <w:w w:val="100"/>
          <w:position w:val="0"/>
        </w:rPr>
        <w:t>、基本情况</w:t>
      </w:r>
      <w:bookmarkEnd w:id="325"/>
      <w:bookmarkEnd w:id="326"/>
      <w:bookmarkEnd w:id="328"/>
    </w:p>
    <w:tbl>
      <w:tblPr>
        <w:tblOverlap w:val="never"/>
        <w:jc w:val="center"/>
        <w:tblLayout w:type="fixed"/>
      </w:tblPr>
      <w:tblGrid>
        <w:gridCol w:w="734"/>
        <w:gridCol w:w="739"/>
        <w:gridCol w:w="600"/>
        <w:gridCol w:w="490"/>
        <w:gridCol w:w="461"/>
        <w:gridCol w:w="768"/>
        <w:gridCol w:w="850"/>
        <w:gridCol w:w="1248"/>
        <w:gridCol w:w="734"/>
        <w:gridCol w:w="734"/>
        <w:gridCol w:w="739"/>
        <w:gridCol w:w="734"/>
        <w:gridCol w:w="739"/>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性 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期末 持股 数</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80"/>
              <w:jc w:val="left"/>
            </w:pPr>
            <w:r>
              <w:rPr>
                <w:color w:val="000000"/>
                <w:spacing w:val="0"/>
                <w:w w:val="100"/>
                <w:position w:val="0"/>
              </w:rPr>
              <w:t>股份</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增减 变动 的原 因</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200,823,326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30,886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60,246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230,18</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股份 减持、 利润 分配 转增 股本</w:t>
            </w:r>
          </w:p>
        </w:tc>
      </w:tr>
    </w:tbl>
    <w:p>
      <w:pPr>
        <w:spacing w:lineRule="exact" w:line="1"/>
        <w:rPr>
          <w:sz w:val="2"/>
          <w:szCs w:val="2"/>
        </w:rPr>
      </w:pPr>
      <w:r>
        <w:br w:type="page"/>
      </w:r>
    </w:p>
    <w:tbl>
      <w:tblPr>
        <w:tblOverlap w:val="never"/>
        <w:jc w:val="center"/>
        <w:tblLayout w:type="fixed"/>
      </w:tblPr>
      <w:tblGrid>
        <w:gridCol w:w="734"/>
        <w:gridCol w:w="739"/>
        <w:gridCol w:w="600"/>
        <w:gridCol w:w="490"/>
        <w:gridCol w:w="461"/>
        <w:gridCol w:w="768"/>
        <w:gridCol w:w="850"/>
        <w:gridCol w:w="1248"/>
        <w:gridCol w:w="734"/>
        <w:gridCol w:w="734"/>
        <w:gridCol w:w="739"/>
        <w:gridCol w:w="734"/>
        <w:gridCol w:w="739"/>
      </w:tblGrid>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张吕 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27,928,029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7,378, 509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31,973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股份 减持、 利润 分配 转增 股本</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463,12</w:t>
            </w:r>
          </w:p>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利润 分配 转增 股本</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葛波 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利润 分配 转增 股本</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杨建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蔡家 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4"/>
        <w:gridCol w:w="739"/>
        <w:gridCol w:w="600"/>
        <w:gridCol w:w="490"/>
        <w:gridCol w:w="461"/>
        <w:gridCol w:w="768"/>
        <w:gridCol w:w="850"/>
        <w:gridCol w:w="1248"/>
        <w:gridCol w:w="734"/>
        <w:gridCol w:w="734"/>
        <w:gridCol w:w="739"/>
        <w:gridCol w:w="734"/>
        <w:gridCol w:w="73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职工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因担 任职 工监 事所 持有 的限 制性 股票 回购 注销</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高春 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副总 经理、 总工 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 分配 转增 股本</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郁燕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524,997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682,49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 分配 转增 股本</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方宝 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2011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356,249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 分配 转增 股本</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797,40 1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 分配 转增 股本</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 分配 转增 股本</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孙烈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2017</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417,05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利润 分配 转增 股本</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231,287,996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34,219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68,308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265,37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after="2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2</w:t>
      </w:r>
      <w:bookmarkEnd w:id="331"/>
      <w:r>
        <w:rPr>
          <w:color w:val="000000"/>
          <w:spacing w:val="0"/>
          <w:w w:val="100"/>
          <w:position w:val="0"/>
        </w:rPr>
        <w:t>、任职情况</w:t>
      </w:r>
      <w:bookmarkEnd w:id="329"/>
      <w:bookmarkEnd w:id="330"/>
      <w:bookmarkEnd w:id="332"/>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公司现任董事、监事、高级管理人员专业背景、主要工作经历以及目前在公司的主要职责：</w:t>
      </w:r>
    </w:p>
    <w:p>
      <w:pPr>
        <w:pStyle w:val="Style15"/>
        <w:keepNext w:val="0"/>
        <w:keepLines w:val="0"/>
        <w:widowControl w:val="0"/>
        <w:shd w:val="clear" w:color="auto" w:fill="auto"/>
        <w:tabs>
          <w:tab w:pos="851" w:val="left"/>
        </w:tabs>
        <w:bidi w:val="0"/>
        <w:spacing w:before="0" w:after="0" w:line="315" w:lineRule="exact"/>
        <w:ind w:left="0" w:right="0"/>
        <w:jc w:val="both"/>
      </w:pPr>
      <w:bookmarkStart w:id="333" w:name="bookmark333"/>
      <w:r>
        <w:rPr>
          <w:color w:val="000000"/>
          <w:spacing w:val="0"/>
          <w:w w:val="100"/>
          <w:position w:val="0"/>
        </w:rPr>
        <w:t>（</w:t>
      </w:r>
      <w:bookmarkEnd w:id="333"/>
      <w:r>
        <w:rPr>
          <w:color w:val="000000"/>
          <w:spacing w:val="0"/>
          <w:w w:val="100"/>
          <w:position w:val="0"/>
        </w:rPr>
        <w:t>一）</w:t>
        <w:tab/>
        <w:t>董事会成员</w:t>
      </w:r>
    </w:p>
    <w:p>
      <w:pPr>
        <w:pStyle w:val="Style15"/>
        <w:keepNext w:val="0"/>
        <w:keepLines w:val="0"/>
        <w:widowControl w:val="0"/>
        <w:shd w:val="clear" w:color="auto" w:fill="auto"/>
        <w:tabs>
          <w:tab w:pos="649" w:val="left"/>
        </w:tabs>
        <w:bidi w:val="0"/>
        <w:spacing w:before="0" w:after="0" w:line="315" w:lineRule="exact"/>
        <w:ind w:left="0" w:right="0"/>
        <w:jc w:val="both"/>
      </w:pPr>
      <w:bookmarkStart w:id="334" w:name="bookmark334"/>
      <w:r>
        <w:rPr>
          <w:rFonts w:ascii="Times New Roman" w:eastAsia="Times New Roman" w:hAnsi="Times New Roman" w:cs="Times New Roman"/>
          <w:color w:val="000000"/>
          <w:spacing w:val="0"/>
          <w:w w:val="100"/>
          <w:position w:val="0"/>
        </w:rPr>
        <w:t>1</w:t>
      </w:r>
      <w:bookmarkEnd w:id="334"/>
      <w:r>
        <w:rPr>
          <w:color w:val="000000"/>
          <w:spacing w:val="0"/>
          <w:w w:val="100"/>
          <w:position w:val="0"/>
        </w:rPr>
        <w:t>、</w:t>
        <w:tab/>
        <w:t>葛航先生，</w:t>
      </w:r>
      <w:r>
        <w:rPr>
          <w:rFonts w:ascii="Times New Roman" w:eastAsia="Times New Roman" w:hAnsi="Times New Roman" w:cs="Times New Roman"/>
          <w:color w:val="000000"/>
          <w:spacing w:val="0"/>
          <w:w w:val="100"/>
          <w:position w:val="0"/>
        </w:rPr>
        <w:t>1963</w:t>
      </w:r>
      <w:r>
        <w:rPr>
          <w:color w:val="000000"/>
          <w:spacing w:val="0"/>
          <w:w w:val="100"/>
          <w:position w:val="0"/>
        </w:rPr>
        <w:t>年出生，浙江大学工业制动控制专业，长江商学院</w:t>
      </w:r>
      <w:r>
        <w:rPr>
          <w:rFonts w:ascii="Times New Roman" w:eastAsia="Times New Roman" w:hAnsi="Times New Roman" w:cs="Times New Roman"/>
          <w:color w:val="000000"/>
          <w:spacing w:val="0"/>
          <w:w w:val="100"/>
          <w:position w:val="0"/>
        </w:rPr>
        <w:t>EMBA</w:t>
      </w:r>
      <w:r>
        <w:rPr>
          <w:color w:val="000000"/>
          <w:spacing w:val="0"/>
          <w:w w:val="100"/>
          <w:position w:val="0"/>
        </w:rPr>
        <w:t>硕士研究生，清华经管明尼苏达大学联合 培养博士</w:t>
      </w:r>
      <w:r>
        <w:rPr>
          <w:color w:val="000000"/>
          <w:spacing w:val="0"/>
          <w:w w:val="100"/>
          <w:position w:val="0"/>
        </w:rPr>
        <w:t>，</w:t>
      </w:r>
      <w:r>
        <w:rPr>
          <w:color w:val="000000"/>
          <w:spacing w:val="0"/>
          <w:w w:val="100"/>
          <w:position w:val="0"/>
        </w:rPr>
        <w:t xml:space="preserve">高级工程师，高级经济师。曾任浙江浙大网新软件产业集团有限公司董事长、浙大网新科技股份有限公司董事兼 副总裁等职务。曾荣获改革开放四十年浙江工业创业发展四十人之一、中国上市公司十大创业领袖人物、浙江省优秀企业家、 浙江省科技进步奖、浙江省软件行业杰出企业家、浙江软件行业杰出人才、浙江省科技创新先进个人、杭州市新世纪“ </w:t>
      </w:r>
      <w:r>
        <w:rPr>
          <w:rFonts w:ascii="Times New Roman" w:eastAsia="Times New Roman" w:hAnsi="Times New Roman" w:cs="Times New Roman"/>
          <w:color w:val="000000"/>
          <w:spacing w:val="0"/>
          <w:w w:val="100"/>
          <w:position w:val="0"/>
        </w:rPr>
        <w:t>131</w:t>
      </w:r>
      <w:r>
        <w:rPr>
          <w:color w:val="000000"/>
          <w:spacing w:val="0"/>
          <w:w w:val="100"/>
          <w:position w:val="0"/>
        </w:rPr>
        <w:t>” 优秀中青年人才培养计划培养人选、杭州市成绩突出科技工作者杭州市第五届优秀社会主义事业建设者、杭州市级领军人才、 杭州市劳动模范、杭州市科技进步奖、杭州市新产品新技术奖、杭州市管理创新奖、</w:t>
      </w:r>
      <w:r>
        <w:rPr>
          <w:rFonts w:ascii="Times New Roman" w:eastAsia="Times New Roman" w:hAnsi="Times New Roman" w:cs="Times New Roman"/>
          <w:color w:val="000000"/>
          <w:spacing w:val="0"/>
          <w:w w:val="100"/>
          <w:position w:val="0"/>
        </w:rPr>
        <w:t>2020</w:t>
      </w:r>
      <w:r>
        <w:rPr>
          <w:color w:val="000000"/>
          <w:spacing w:val="0"/>
          <w:w w:val="100"/>
          <w:position w:val="0"/>
        </w:rPr>
        <w:t>年优秀杭商、杭州市高层人才</w:t>
      </w:r>
      <w:r>
        <w:rPr>
          <w:rFonts w:ascii="Times New Roman" w:eastAsia="Times New Roman" w:hAnsi="Times New Roman" w:cs="Times New Roman"/>
          <w:color w:val="000000"/>
          <w:spacing w:val="0"/>
          <w:w w:val="100"/>
          <w:position w:val="0"/>
        </w:rPr>
        <w:t>D</w:t>
      </w:r>
      <w:r>
        <w:rPr>
          <w:color w:val="000000"/>
          <w:spacing w:val="0"/>
          <w:w w:val="100"/>
          <w:position w:val="0"/>
        </w:rPr>
        <w:t>类 人才等称号。现任西湖大学荣誉董事、九三学社西湖大学支社主任委员、浙江省软件行业协会会长、浙商大健康委员会副会 长、浙江大学校友总会健康分会秘书长。现任公司董事长，浙江中宇信息科技有限公司执行董事，北京甲和灯科技股份有限 公司、杭州迪通创健股权投资基金管理有限公司、浙江未来社区开发运营集团有限公司董事，杭州鼎心企业管理咨询有限公 司执行董事兼总经理。</w:t>
      </w:r>
    </w:p>
    <w:p>
      <w:pPr>
        <w:pStyle w:val="Style15"/>
        <w:keepNext w:val="0"/>
        <w:keepLines w:val="0"/>
        <w:widowControl w:val="0"/>
        <w:shd w:val="clear" w:color="auto" w:fill="auto"/>
        <w:tabs>
          <w:tab w:pos="644" w:val="left"/>
        </w:tabs>
        <w:bidi w:val="0"/>
        <w:spacing w:before="0" w:after="0" w:line="315" w:lineRule="exact"/>
        <w:ind w:left="0" w:right="0"/>
        <w:jc w:val="both"/>
      </w:pPr>
      <w:bookmarkStart w:id="335" w:name="bookmark335"/>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张吕峥先生，</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年出生，中国国籍，浙江大学研究生学历，高级工程师，高级经济师，曾荣获浙江省科技新浙商、 浙江省优秀企业家、杭州市优秀企业家、杭州市级领军人才、杭州市新产品新技术一等奖。现任九三学社滨江一支社委员， 杭州市滨江区第六届人民代表大会代表。历任公司董事、副总经理，现任公司董事兼总经理、创业软件南京有限公司执行董 事、广东中拓信息技术有限公司董事长、中山市蓝天电脑有限公司蓝天电脑董事长、浙江创源环境科技股份有限公司董事。</w:t>
      </w:r>
    </w:p>
    <w:p>
      <w:pPr>
        <w:pStyle w:val="Style15"/>
        <w:keepNext w:val="0"/>
        <w:keepLines w:val="0"/>
        <w:widowControl w:val="0"/>
        <w:shd w:val="clear" w:color="auto" w:fill="auto"/>
        <w:tabs>
          <w:tab w:pos="654" w:val="left"/>
        </w:tabs>
        <w:bidi w:val="0"/>
        <w:spacing w:before="0" w:after="0" w:line="315" w:lineRule="exact"/>
        <w:ind w:left="0" w:right="0"/>
        <w:jc w:val="both"/>
      </w:pPr>
      <w:bookmarkStart w:id="336" w:name="bookmark336"/>
      <w:r>
        <w:rPr>
          <w:rFonts w:ascii="Times New Roman" w:eastAsia="Times New Roman" w:hAnsi="Times New Roman" w:cs="Times New Roman"/>
          <w:color w:val="000000"/>
          <w:spacing w:val="0"/>
          <w:w w:val="100"/>
          <w:position w:val="0"/>
        </w:rPr>
        <w:t>3</w:t>
      </w:r>
      <w:bookmarkEnd w:id="336"/>
      <w:r>
        <w:rPr>
          <w:color w:val="000000"/>
          <w:spacing w:val="0"/>
          <w:w w:val="100"/>
          <w:position w:val="0"/>
        </w:rPr>
        <w:t>、</w:t>
        <w:tab/>
        <w:t>胡燕女士，</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年出生，中国国籍，法学、会计学本科，项目管理硕士研究生学历，曾荣获浙江上市公司协会</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年优秀董事会秘书、第十届、第十一届、第十二届中国上市公司投资者关系天马奖“最佳董秘”，第十二届、第十五届中国 上市公司价值评选“最佳董秘”称号。</w:t>
      </w:r>
      <w:r>
        <w:rPr>
          <w:rFonts w:ascii="Times New Roman" w:eastAsia="Times New Roman" w:hAnsi="Times New Roman" w:cs="Times New Roman"/>
          <w:color w:val="000000"/>
          <w:spacing w:val="0"/>
          <w:w w:val="100"/>
          <w:position w:val="0"/>
        </w:rPr>
        <w:t>1998</w:t>
      </w:r>
      <w:r>
        <w:rPr>
          <w:color w:val="000000"/>
          <w:spacing w:val="0"/>
          <w:w w:val="100"/>
          <w:position w:val="0"/>
        </w:rPr>
        <w:t>年至今在创业慧康科技股份有限公司工作，历任公司财务部副经理、证券法务部 经理、公司总经理助理。现任公司董事兼董事会秘书、杭州美诺泰科科技有限公司董事。</w:t>
      </w:r>
    </w:p>
    <w:p>
      <w:pPr>
        <w:pStyle w:val="Style15"/>
        <w:keepNext w:val="0"/>
        <w:keepLines w:val="0"/>
        <w:widowControl w:val="0"/>
        <w:shd w:val="clear" w:color="auto" w:fill="auto"/>
        <w:tabs>
          <w:tab w:pos="639" w:val="left"/>
        </w:tabs>
        <w:bidi w:val="0"/>
        <w:spacing w:before="0" w:after="0" w:line="315" w:lineRule="exact"/>
        <w:ind w:left="0" w:right="0"/>
        <w:jc w:val="both"/>
      </w:pPr>
      <w:bookmarkStart w:id="337" w:name="bookmark337"/>
      <w:r>
        <w:rPr>
          <w:rFonts w:ascii="Times New Roman" w:eastAsia="Times New Roman" w:hAnsi="Times New Roman" w:cs="Times New Roman"/>
          <w:color w:val="000000"/>
          <w:spacing w:val="0"/>
          <w:w w:val="100"/>
          <w:position w:val="0"/>
        </w:rPr>
        <w:t>4</w:t>
      </w:r>
      <w:bookmarkEnd w:id="337"/>
      <w:r>
        <w:rPr>
          <w:color w:val="000000"/>
          <w:spacing w:val="0"/>
          <w:w w:val="100"/>
          <w:position w:val="0"/>
        </w:rPr>
        <w:t>、</w:t>
        <w:tab/>
        <w:t>应晶先生，</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年出生，中国国籍，计算机专业，博士研究生学历，浙江大学计算机学院教授，博士生导师，现任 公司董事，杭州美诺泰科科技有限公司董事。</w:t>
      </w:r>
    </w:p>
    <w:p>
      <w:pPr>
        <w:pStyle w:val="Style15"/>
        <w:keepNext w:val="0"/>
        <w:keepLines w:val="0"/>
        <w:widowControl w:val="0"/>
        <w:shd w:val="clear" w:color="auto" w:fill="auto"/>
        <w:tabs>
          <w:tab w:pos="654" w:val="left"/>
        </w:tabs>
        <w:bidi w:val="0"/>
        <w:spacing w:before="0" w:after="0" w:line="315" w:lineRule="exact"/>
        <w:ind w:left="0" w:right="0"/>
        <w:jc w:val="both"/>
      </w:pPr>
      <w:bookmarkStart w:id="338" w:name="bookmark338"/>
      <w:r>
        <w:rPr>
          <w:rFonts w:ascii="Times New Roman" w:eastAsia="Times New Roman" w:hAnsi="Times New Roman" w:cs="Times New Roman"/>
          <w:color w:val="000000"/>
          <w:spacing w:val="0"/>
          <w:w w:val="100"/>
          <w:position w:val="0"/>
        </w:rPr>
        <w:t>5</w:t>
      </w:r>
      <w:bookmarkEnd w:id="338"/>
      <w:r>
        <w:rPr>
          <w:color w:val="000000"/>
          <w:spacing w:val="0"/>
          <w:w w:val="100"/>
          <w:position w:val="0"/>
        </w:rPr>
        <w:t>、</w:t>
        <w:tab/>
        <w:t>赵晔女士，</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年出生，中国国籍，本科学历，高级经济师。历任浙江建达电子工程有限公司惠普金牌服务中心经 理、信息产品技术支持服务事业部总经理、杭州慧康物联网科技有限公司董事长。现任公司董事。</w:t>
      </w:r>
    </w:p>
    <w:p>
      <w:pPr>
        <w:pStyle w:val="Style15"/>
        <w:keepNext w:val="0"/>
        <w:keepLines w:val="0"/>
        <w:widowControl w:val="0"/>
        <w:shd w:val="clear" w:color="auto" w:fill="auto"/>
        <w:tabs>
          <w:tab w:pos="649" w:val="left"/>
        </w:tabs>
        <w:bidi w:val="0"/>
        <w:spacing w:before="0" w:after="0" w:line="315" w:lineRule="exact"/>
        <w:ind w:left="0" w:right="0"/>
        <w:jc w:val="both"/>
      </w:pPr>
      <w:bookmarkStart w:id="339" w:name="bookmark339"/>
      <w:r>
        <w:rPr>
          <w:rFonts w:ascii="Times New Roman" w:eastAsia="Times New Roman" w:hAnsi="Times New Roman" w:cs="Times New Roman"/>
          <w:color w:val="000000"/>
          <w:spacing w:val="0"/>
          <w:w w:val="100"/>
          <w:position w:val="0"/>
        </w:rPr>
        <w:t>6</w:t>
      </w:r>
      <w:bookmarkEnd w:id="339"/>
      <w:r>
        <w:rPr>
          <w:color w:val="000000"/>
          <w:spacing w:val="0"/>
          <w:w w:val="100"/>
          <w:position w:val="0"/>
        </w:rPr>
        <w:t>、</w:t>
        <w:tab/>
        <w:t>葛波休先生，</w:t>
      </w:r>
      <w:r>
        <w:rPr>
          <w:rFonts w:ascii="Times New Roman" w:eastAsia="Times New Roman" w:hAnsi="Times New Roman" w:cs="Times New Roman"/>
          <w:color w:val="000000"/>
          <w:spacing w:val="0"/>
          <w:w w:val="100"/>
          <w:position w:val="0"/>
        </w:rPr>
        <w:t>1990</w:t>
      </w:r>
      <w:r>
        <w:rPr>
          <w:color w:val="000000"/>
          <w:spacing w:val="0"/>
          <w:w w:val="100"/>
          <w:position w:val="0"/>
        </w:rPr>
        <w:t>年出生，中国国籍，北京协和医学院</w:t>
      </w:r>
      <w:r>
        <w:rPr>
          <w:rFonts w:ascii="Times New Roman" w:eastAsia="Times New Roman" w:hAnsi="Times New Roman" w:cs="Times New Roman"/>
          <w:color w:val="000000"/>
          <w:spacing w:val="0"/>
          <w:w w:val="100"/>
          <w:position w:val="0"/>
        </w:rPr>
        <w:t>MPH</w:t>
      </w:r>
      <w:r>
        <w:rPr>
          <w:color w:val="000000"/>
          <w:spacing w:val="0"/>
          <w:w w:val="100"/>
          <w:position w:val="0"/>
        </w:rPr>
        <w:t>，</w:t>
      </w:r>
      <w:r>
        <w:rPr>
          <w:color w:val="000000"/>
          <w:spacing w:val="0"/>
          <w:w w:val="100"/>
          <w:position w:val="0"/>
        </w:rPr>
        <w:t>研究生学历。</w:t>
      </w:r>
      <w:r>
        <w:rPr>
          <w:rFonts w:ascii="Times New Roman" w:eastAsia="Times New Roman" w:hAnsi="Times New Roman" w:cs="Times New Roman"/>
          <w:color w:val="000000"/>
          <w:spacing w:val="0"/>
          <w:w w:val="100"/>
          <w:position w:val="0"/>
        </w:rPr>
        <w:t>2014</w:t>
      </w:r>
      <w:r>
        <w:rPr>
          <w:color w:val="000000"/>
          <w:spacing w:val="0"/>
          <w:w w:val="100"/>
          <w:position w:val="0"/>
        </w:rPr>
        <w:t>年至今在公司工作，历任公司总裁 办副主任，互联网事业群总经理助理，现任公司对外投资部经理，投后管理一处。</w:t>
      </w:r>
    </w:p>
    <w:p>
      <w:pPr>
        <w:pStyle w:val="Style15"/>
        <w:keepNext w:val="0"/>
        <w:keepLines w:val="0"/>
        <w:widowControl w:val="0"/>
        <w:shd w:val="clear" w:color="auto" w:fill="auto"/>
        <w:tabs>
          <w:tab w:pos="654" w:val="left"/>
        </w:tabs>
        <w:bidi w:val="0"/>
        <w:spacing w:before="0" w:after="0" w:line="315" w:lineRule="exact"/>
        <w:ind w:left="0" w:right="0"/>
        <w:jc w:val="both"/>
      </w:pPr>
      <w:bookmarkStart w:id="340" w:name="bookmark340"/>
      <w:r>
        <w:rPr>
          <w:rFonts w:ascii="Times New Roman" w:eastAsia="Times New Roman" w:hAnsi="Times New Roman" w:cs="Times New Roman"/>
          <w:color w:val="000000"/>
          <w:spacing w:val="0"/>
          <w:w w:val="100"/>
          <w:position w:val="0"/>
        </w:rPr>
        <w:t>7</w:t>
      </w:r>
      <w:bookmarkEnd w:id="340"/>
      <w:r>
        <w:rPr>
          <w:color w:val="000000"/>
          <w:spacing w:val="0"/>
          <w:w w:val="100"/>
          <w:position w:val="0"/>
        </w:rPr>
        <w:t>、</w:t>
        <w:tab/>
        <w:t>蔡家楣先生，</w:t>
      </w:r>
      <w:r>
        <w:rPr>
          <w:rFonts w:ascii="Times New Roman" w:eastAsia="Times New Roman" w:hAnsi="Times New Roman" w:cs="Times New Roman"/>
          <w:color w:val="000000"/>
          <w:spacing w:val="0"/>
          <w:w w:val="100"/>
          <w:position w:val="0"/>
        </w:rPr>
        <w:t>1946</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rPr>
        <w:t>1985</w:t>
      </w:r>
      <w:r>
        <w:rPr>
          <w:color w:val="000000"/>
          <w:spacing w:val="0"/>
          <w:w w:val="100"/>
          <w:position w:val="0"/>
        </w:rPr>
        <w:t>年起历任浙江工业大学实验室主任、副系主任、教务处副处 长、信息学院副院长、院长、软件学院院长、浙江省软件行业协会理事长、杭州计算机学会理事长。现任公司独立董事，新 湖中宝股份有限公司、浙江升华兰德科技股份有限公司、浙大网新科技股份有限公司独立董事。</w:t>
      </w:r>
    </w:p>
    <w:p>
      <w:pPr>
        <w:pStyle w:val="Style15"/>
        <w:keepNext w:val="0"/>
        <w:keepLines w:val="0"/>
        <w:widowControl w:val="0"/>
        <w:shd w:val="clear" w:color="auto" w:fill="auto"/>
        <w:tabs>
          <w:tab w:pos="654" w:val="left"/>
        </w:tabs>
        <w:bidi w:val="0"/>
        <w:spacing w:before="0" w:after="0" w:line="315" w:lineRule="exact"/>
        <w:ind w:left="0" w:right="0"/>
        <w:jc w:val="both"/>
      </w:pPr>
      <w:bookmarkStart w:id="341" w:name="bookmark341"/>
      <w:r>
        <w:rPr>
          <w:rFonts w:ascii="Times New Roman" w:eastAsia="Times New Roman" w:hAnsi="Times New Roman" w:cs="Times New Roman"/>
          <w:color w:val="000000"/>
          <w:spacing w:val="0"/>
          <w:w w:val="100"/>
          <w:position w:val="0"/>
        </w:rPr>
        <w:t>8</w:t>
      </w:r>
      <w:bookmarkEnd w:id="341"/>
      <w:r>
        <w:rPr>
          <w:color w:val="000000"/>
          <w:spacing w:val="0"/>
          <w:w w:val="100"/>
          <w:position w:val="0"/>
        </w:rPr>
        <w:t>、</w:t>
        <w:tab/>
        <w:t>杨建刚先生，</w:t>
      </w:r>
      <w:r>
        <w:rPr>
          <w:rFonts w:ascii="Times New Roman" w:eastAsia="Times New Roman" w:hAnsi="Times New Roman" w:cs="Times New Roman"/>
          <w:color w:val="000000"/>
          <w:spacing w:val="0"/>
          <w:w w:val="100"/>
          <w:position w:val="0"/>
        </w:rPr>
        <w:t>1959</w:t>
      </w:r>
      <w:r>
        <w:rPr>
          <w:color w:val="000000"/>
          <w:spacing w:val="0"/>
          <w:w w:val="100"/>
          <w:position w:val="0"/>
        </w:rPr>
        <w:t>年出生，中国国籍。</w:t>
      </w:r>
      <w:r>
        <w:rPr>
          <w:rFonts w:ascii="Times New Roman" w:eastAsia="Times New Roman" w:hAnsi="Times New Roman" w:cs="Times New Roman"/>
          <w:color w:val="000000"/>
          <w:spacing w:val="0"/>
          <w:w w:val="100"/>
          <w:position w:val="0"/>
        </w:rPr>
        <w:t>1976</w:t>
      </w:r>
      <w:r>
        <w:rPr>
          <w:color w:val="000000"/>
          <w:spacing w:val="0"/>
          <w:w w:val="100"/>
          <w:position w:val="0"/>
        </w:rPr>
        <w:t>年参加工作，</w:t>
      </w:r>
      <w:r>
        <w:rPr>
          <w:rFonts w:ascii="Times New Roman" w:eastAsia="Times New Roman" w:hAnsi="Times New Roman" w:cs="Times New Roman"/>
          <w:color w:val="000000"/>
          <w:spacing w:val="0"/>
          <w:w w:val="100"/>
          <w:position w:val="0"/>
        </w:rPr>
        <w:t>1987</w:t>
      </w:r>
      <w:r>
        <w:rPr>
          <w:color w:val="000000"/>
          <w:spacing w:val="0"/>
          <w:w w:val="100"/>
          <w:position w:val="0"/>
        </w:rPr>
        <w:t>年公派留学法国，</w:t>
      </w:r>
      <w:r>
        <w:rPr>
          <w:rFonts w:ascii="Times New Roman" w:eastAsia="Times New Roman" w:hAnsi="Times New Roman" w:cs="Times New Roman"/>
          <w:color w:val="000000"/>
          <w:spacing w:val="0"/>
          <w:w w:val="100"/>
          <w:position w:val="0"/>
        </w:rPr>
        <w:t>1991</w:t>
      </w:r>
      <w:r>
        <w:rPr>
          <w:color w:val="000000"/>
          <w:spacing w:val="0"/>
          <w:w w:val="100"/>
          <w:position w:val="0"/>
        </w:rPr>
        <w:t>年获法国</w:t>
      </w:r>
      <w:r>
        <w:rPr>
          <w:rFonts w:ascii="Times New Roman" w:eastAsia="Times New Roman" w:hAnsi="Times New Roman" w:cs="Times New Roman"/>
          <w:color w:val="000000"/>
          <w:spacing w:val="0"/>
          <w:w w:val="100"/>
          <w:position w:val="0"/>
        </w:rPr>
        <w:t>ENSAM</w:t>
      </w:r>
      <w:r>
        <w:rPr>
          <w:color w:val="000000"/>
          <w:spacing w:val="0"/>
          <w:w w:val="100"/>
          <w:position w:val="0"/>
        </w:rPr>
        <w:t>博士学位。</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年浙江大学电工学科博士后，</w:t>
      </w:r>
      <w:r>
        <w:rPr>
          <w:rFonts w:ascii="Times New Roman" w:eastAsia="Times New Roman" w:hAnsi="Times New Roman" w:cs="Times New Roman"/>
          <w:color w:val="000000"/>
          <w:spacing w:val="0"/>
          <w:w w:val="100"/>
          <w:position w:val="0"/>
        </w:rPr>
        <w:t>1994</w:t>
      </w:r>
      <w:r>
        <w:rPr>
          <w:color w:val="000000"/>
          <w:spacing w:val="0"/>
          <w:w w:val="100"/>
          <w:position w:val="0"/>
        </w:rPr>
        <w:t>年起在浙江大学计算机学院任教，教授，博士生导师。现任公司独立董事。</w:t>
      </w:r>
    </w:p>
    <w:p>
      <w:pPr>
        <w:pStyle w:val="Style15"/>
        <w:keepNext w:val="0"/>
        <w:keepLines w:val="0"/>
        <w:widowControl w:val="0"/>
        <w:shd w:val="clear" w:color="auto" w:fill="auto"/>
        <w:tabs>
          <w:tab w:pos="654" w:val="left"/>
        </w:tabs>
        <w:bidi w:val="0"/>
        <w:spacing w:before="0" w:after="0" w:line="315" w:lineRule="exact"/>
        <w:ind w:left="0" w:right="0"/>
        <w:jc w:val="both"/>
      </w:pPr>
      <w:bookmarkStart w:id="342" w:name="bookmark342"/>
      <w:r>
        <w:rPr>
          <w:rFonts w:ascii="Times New Roman" w:eastAsia="Times New Roman" w:hAnsi="Times New Roman" w:cs="Times New Roman"/>
          <w:color w:val="000000"/>
          <w:spacing w:val="0"/>
          <w:w w:val="100"/>
          <w:position w:val="0"/>
        </w:rPr>
        <w:t>9</w:t>
      </w:r>
      <w:bookmarkEnd w:id="342"/>
      <w:r>
        <w:rPr>
          <w:color w:val="000000"/>
          <w:spacing w:val="0"/>
          <w:w w:val="100"/>
          <w:position w:val="0"/>
        </w:rPr>
        <w:t>、</w:t>
        <w:tab/>
        <w:t>谭青女士，</w:t>
      </w:r>
      <w:r>
        <w:rPr>
          <w:rFonts w:ascii="Times New Roman" w:eastAsia="Times New Roman" w:hAnsi="Times New Roman" w:cs="Times New Roman"/>
          <w:color w:val="000000"/>
          <w:spacing w:val="0"/>
          <w:w w:val="100"/>
          <w:position w:val="0"/>
        </w:rPr>
        <w:t>1974</w:t>
      </w:r>
      <w:r>
        <w:rPr>
          <w:color w:val="000000"/>
          <w:spacing w:val="0"/>
          <w:w w:val="100"/>
          <w:position w:val="0"/>
        </w:rPr>
        <w:t xml:space="preserve">年出生，中国人民大学会计学博士、上海财经大学会计学院博士后在站研究，教授、高级经济师。 </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月任职于江西旅游商贸职业学院担任会计学专业主干课程的教学与研究工作；</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月至今担任杭州 电子科技大学会计学院教授、硕士生导师，其中</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月为美国瓦尔帕莱大学访问学者。现任公司独立董事， 绿康生化股份有限公司、深圳海联讯科技股份有限公司、浙江佳力科技股份有限公司独立董事，芜湖三联锻造股份有限公司、 江苏伟康洁靖医疗器械股份有限公司董事。</w:t>
      </w:r>
    </w:p>
    <w:p>
      <w:pPr>
        <w:pStyle w:val="Style15"/>
        <w:keepNext w:val="0"/>
        <w:keepLines w:val="0"/>
        <w:widowControl w:val="0"/>
        <w:shd w:val="clear" w:color="auto" w:fill="auto"/>
        <w:tabs>
          <w:tab w:pos="851" w:val="left"/>
        </w:tabs>
        <w:bidi w:val="0"/>
        <w:spacing w:before="0" w:after="0" w:line="315" w:lineRule="exact"/>
        <w:ind w:left="0" w:right="0"/>
        <w:jc w:val="both"/>
      </w:pPr>
      <w:bookmarkStart w:id="343" w:name="bookmark343"/>
      <w:r>
        <w:rPr>
          <w:color w:val="000000"/>
          <w:spacing w:val="0"/>
          <w:w w:val="100"/>
          <w:position w:val="0"/>
        </w:rPr>
        <w:t>（</w:t>
      </w:r>
      <w:bookmarkEnd w:id="343"/>
      <w:r>
        <w:rPr>
          <w:color w:val="000000"/>
          <w:spacing w:val="0"/>
          <w:w w:val="100"/>
          <w:position w:val="0"/>
        </w:rPr>
        <w:t>二）</w:t>
        <w:tab/>
        <w:t>监事会成员</w:t>
      </w:r>
    </w:p>
    <w:p>
      <w:pPr>
        <w:pStyle w:val="Style15"/>
        <w:keepNext w:val="0"/>
        <w:keepLines w:val="0"/>
        <w:widowControl w:val="0"/>
        <w:shd w:val="clear" w:color="auto" w:fill="auto"/>
        <w:tabs>
          <w:tab w:pos="644" w:val="left"/>
        </w:tabs>
        <w:bidi w:val="0"/>
        <w:spacing w:before="0" w:after="0" w:line="315" w:lineRule="exact"/>
        <w:ind w:left="0" w:right="0"/>
        <w:jc w:val="both"/>
      </w:pPr>
      <w:bookmarkStart w:id="344" w:name="bookmark344"/>
      <w:r>
        <w:rPr>
          <w:rFonts w:ascii="Times New Roman" w:eastAsia="Times New Roman" w:hAnsi="Times New Roman" w:cs="Times New Roman"/>
          <w:color w:val="000000"/>
          <w:spacing w:val="0"/>
          <w:w w:val="100"/>
          <w:position w:val="0"/>
        </w:rPr>
        <w:t>1</w:t>
      </w:r>
      <w:bookmarkEnd w:id="344"/>
      <w:r>
        <w:rPr>
          <w:color w:val="000000"/>
          <w:spacing w:val="0"/>
          <w:w w:val="100"/>
          <w:position w:val="0"/>
        </w:rPr>
        <w:t>、</w:t>
        <w:tab/>
        <w:t>叶建先生，出生于</w:t>
      </w:r>
      <w:r>
        <w:rPr>
          <w:rFonts w:ascii="Times New Roman" w:eastAsia="Times New Roman" w:hAnsi="Times New Roman" w:cs="Times New Roman"/>
          <w:color w:val="000000"/>
          <w:spacing w:val="0"/>
          <w:w w:val="100"/>
          <w:position w:val="0"/>
        </w:rPr>
        <w:t>1969</w:t>
      </w:r>
      <w:r>
        <w:rPr>
          <w:color w:val="000000"/>
          <w:spacing w:val="0"/>
          <w:w w:val="100"/>
          <w:position w:val="0"/>
        </w:rPr>
        <w:t>年，中国国籍，浙江大学</w:t>
      </w:r>
      <w:r>
        <w:rPr>
          <w:rFonts w:ascii="Times New Roman" w:eastAsia="Times New Roman" w:hAnsi="Times New Roman" w:cs="Times New Roman"/>
          <w:color w:val="000000"/>
          <w:spacing w:val="0"/>
          <w:w w:val="100"/>
          <w:position w:val="0"/>
        </w:rPr>
        <w:t>MBA</w:t>
      </w:r>
      <w:r>
        <w:rPr>
          <w:color w:val="000000"/>
          <w:spacing w:val="0"/>
          <w:w w:val="100"/>
          <w:position w:val="0"/>
        </w:rPr>
        <w:t>。</w:t>
      </w:r>
      <w:r>
        <w:rPr>
          <w:rFonts w:ascii="Times New Roman" w:eastAsia="Times New Roman" w:hAnsi="Times New Roman" w:cs="Times New Roman"/>
          <w:color w:val="000000"/>
          <w:spacing w:val="0"/>
          <w:w w:val="100"/>
          <w:position w:val="0"/>
        </w:rPr>
        <w:t>1990</w:t>
      </w:r>
      <w:r>
        <w:rPr>
          <w:color w:val="000000"/>
          <w:spacing w:val="0"/>
          <w:w w:val="100"/>
          <w:position w:val="0"/>
        </w:rPr>
        <w:t>年参加工作，曾就职于杭州应用工程技术学院计算中心、 保隆（天津）国际贸易有限公司、浙租方博计算机有限公司，深圳新地网络信息技术有限公司。</w:t>
      </w:r>
      <w:r>
        <w:rPr>
          <w:rFonts w:ascii="Times New Roman" w:eastAsia="Times New Roman" w:hAnsi="Times New Roman" w:cs="Times New Roman"/>
          <w:color w:val="000000"/>
          <w:spacing w:val="0"/>
          <w:w w:val="100"/>
          <w:position w:val="0"/>
        </w:rPr>
        <w:t>2000</w:t>
      </w:r>
      <w:r>
        <w:rPr>
          <w:color w:val="000000"/>
          <w:spacing w:val="0"/>
          <w:w w:val="100"/>
          <w:position w:val="0"/>
        </w:rPr>
        <w:t>至</w:t>
      </w:r>
      <w:r>
        <w:rPr>
          <w:rFonts w:ascii="Times New Roman" w:eastAsia="Times New Roman" w:hAnsi="Times New Roman" w:cs="Times New Roman"/>
          <w:color w:val="000000"/>
          <w:spacing w:val="0"/>
          <w:w w:val="100"/>
          <w:position w:val="0"/>
        </w:rPr>
        <w:t>2011</w:t>
      </w:r>
      <w:r>
        <w:rPr>
          <w:color w:val="000000"/>
          <w:spacing w:val="0"/>
          <w:w w:val="100"/>
          <w:position w:val="0"/>
        </w:rPr>
        <w:t>年任杭州创业计 算机工程有限公司执行董事、总经理职务，现任公司监事会主席，杭州联旗科技有限公司执行董事，重庆创易康软件有限公 司执行董事兼总经理，杭州卓腾信息技术有限公司、浙江创源环境科技股份有限公司董事。</w:t>
      </w:r>
    </w:p>
    <w:p>
      <w:pPr>
        <w:pStyle w:val="Style15"/>
        <w:keepNext w:val="0"/>
        <w:keepLines w:val="0"/>
        <w:widowControl w:val="0"/>
        <w:shd w:val="clear" w:color="auto" w:fill="auto"/>
        <w:tabs>
          <w:tab w:pos="294" w:val="left"/>
        </w:tabs>
        <w:bidi w:val="0"/>
        <w:spacing w:before="0" w:after="0" w:line="315" w:lineRule="exact"/>
        <w:ind w:left="0" w:right="0"/>
        <w:jc w:val="both"/>
      </w:pPr>
      <w:bookmarkStart w:id="345" w:name="bookmark345"/>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贾驰女士，出生于</w:t>
      </w:r>
      <w:r>
        <w:rPr>
          <w:rFonts w:ascii="Times New Roman" w:eastAsia="Times New Roman" w:hAnsi="Times New Roman" w:cs="Times New Roman"/>
          <w:color w:val="000000"/>
          <w:spacing w:val="0"/>
          <w:w w:val="100"/>
          <w:position w:val="0"/>
        </w:rPr>
        <w:t>1977</w:t>
      </w:r>
      <w:r>
        <w:rPr>
          <w:color w:val="000000"/>
          <w:spacing w:val="0"/>
          <w:w w:val="100"/>
          <w:position w:val="0"/>
        </w:rPr>
        <w:t>年，中国国籍，博士研究生学历，副教授。</w:t>
      </w:r>
      <w:r>
        <w:rPr>
          <w:rFonts w:ascii="Times New Roman" w:eastAsia="Times New Roman" w:hAnsi="Times New Roman" w:cs="Times New Roman"/>
          <w:color w:val="000000"/>
          <w:spacing w:val="0"/>
          <w:w w:val="100"/>
          <w:position w:val="0"/>
        </w:rPr>
        <w:t>1999</w:t>
      </w:r>
      <w:r>
        <w:rPr>
          <w:color w:val="000000"/>
          <w:spacing w:val="0"/>
          <w:w w:val="100"/>
          <w:position w:val="0"/>
        </w:rPr>
        <w:t>至</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年在浙江东方集团股份有限公司任职 </w:t>
      </w:r>
      <w:r>
        <w:rPr>
          <w:color w:val="000000"/>
          <w:spacing w:val="0"/>
          <w:w w:val="100"/>
          <w:position w:val="0"/>
        </w:rPr>
        <w:t>员，</w:t>
      </w:r>
      <w:r>
        <w:rPr>
          <w:rFonts w:ascii="Times New Roman" w:eastAsia="Times New Roman" w:hAnsi="Times New Roman" w:cs="Times New Roman"/>
          <w:color w:val="000000"/>
          <w:spacing w:val="0"/>
          <w:w w:val="100"/>
          <w:position w:val="0"/>
        </w:rPr>
        <w:t>2003</w:t>
      </w:r>
      <w:r>
        <w:rPr>
          <w:color w:val="000000"/>
          <w:spacing w:val="0"/>
          <w:w w:val="100"/>
          <w:position w:val="0"/>
        </w:rPr>
        <w:t>至今在浙江工商大学任教，任副教授，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月起至今任公司监事。</w:t>
      </w:r>
    </w:p>
    <w:p>
      <w:pPr>
        <w:pStyle w:val="Style15"/>
        <w:keepNext w:val="0"/>
        <w:keepLines w:val="0"/>
        <w:widowControl w:val="0"/>
        <w:shd w:val="clear" w:color="auto" w:fill="auto"/>
        <w:bidi w:val="0"/>
        <w:spacing w:before="0" w:after="0" w:line="315" w:lineRule="exact"/>
        <w:ind w:left="0" w:right="0" w:firstLine="360"/>
        <w:jc w:val="left"/>
      </w:pPr>
      <w:bookmarkStart w:id="346" w:name="bookmark346"/>
      <w:r>
        <w:rPr>
          <w:rFonts w:ascii="Times New Roman" w:eastAsia="Times New Roman" w:hAnsi="Times New Roman" w:cs="Times New Roman"/>
          <w:color w:val="000000"/>
          <w:spacing w:val="0"/>
          <w:w w:val="100"/>
          <w:position w:val="0"/>
        </w:rPr>
        <w:t>3</w:t>
      </w:r>
      <w:bookmarkEnd w:id="346"/>
      <w:r>
        <w:rPr>
          <w:color w:val="000000"/>
          <w:spacing w:val="0"/>
          <w:w w:val="100"/>
          <w:position w:val="0"/>
        </w:rPr>
        <w:t>、张超先生，出生于</w:t>
      </w:r>
      <w:r>
        <w:rPr>
          <w:rFonts w:ascii="Times New Roman" w:eastAsia="Times New Roman" w:hAnsi="Times New Roman" w:cs="Times New Roman"/>
          <w:color w:val="000000"/>
          <w:spacing w:val="0"/>
          <w:w w:val="100"/>
          <w:position w:val="0"/>
        </w:rPr>
        <w:t>1988</w:t>
      </w:r>
      <w:r>
        <w:rPr>
          <w:color w:val="000000"/>
          <w:spacing w:val="0"/>
          <w:w w:val="100"/>
          <w:position w:val="0"/>
        </w:rPr>
        <w:t>年，中国国籍，本科学历。</w:t>
      </w:r>
      <w:r>
        <w:rPr>
          <w:rFonts w:ascii="Times New Roman" w:eastAsia="Times New Roman" w:hAnsi="Times New Roman" w:cs="Times New Roman"/>
          <w:color w:val="000000"/>
          <w:spacing w:val="0"/>
          <w:w w:val="100"/>
          <w:position w:val="0"/>
        </w:rPr>
        <w:t>2011</w:t>
      </w:r>
      <w:r>
        <w:rPr>
          <w:color w:val="000000"/>
          <w:spacing w:val="0"/>
          <w:w w:val="100"/>
          <w:position w:val="0"/>
        </w:rPr>
        <w:t>年至今在公司任职，现任公司商务部总经理、职工代表监事。</w:t>
      </w:r>
    </w:p>
    <w:p>
      <w:pPr>
        <w:pStyle w:val="Style15"/>
        <w:keepNext w:val="0"/>
        <w:keepLines w:val="0"/>
        <w:widowControl w:val="0"/>
        <w:shd w:val="clear" w:color="auto" w:fill="auto"/>
        <w:bidi w:val="0"/>
        <w:spacing w:before="0" w:after="0" w:line="315" w:lineRule="exact"/>
        <w:ind w:left="0" w:right="0" w:firstLine="360"/>
        <w:jc w:val="left"/>
      </w:pPr>
      <w:bookmarkStart w:id="347" w:name="bookmark347"/>
      <w:r>
        <w:rPr>
          <w:color w:val="000000"/>
          <w:spacing w:val="0"/>
          <w:w w:val="100"/>
          <w:position w:val="0"/>
        </w:rPr>
        <w:t>（</w:t>
      </w:r>
      <w:bookmarkEnd w:id="347"/>
      <w:r>
        <w:rPr>
          <w:color w:val="000000"/>
          <w:spacing w:val="0"/>
          <w:w w:val="100"/>
          <w:position w:val="0"/>
        </w:rPr>
        <w:t>三）高级管理人员</w:t>
      </w:r>
    </w:p>
    <w:p>
      <w:pPr>
        <w:pStyle w:val="Style15"/>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公司高级管理人员共</w:t>
      </w:r>
      <w:r>
        <w:rPr>
          <w:rFonts w:ascii="Times New Roman" w:eastAsia="Times New Roman" w:hAnsi="Times New Roman" w:cs="Times New Roman"/>
          <w:color w:val="000000"/>
          <w:spacing w:val="0"/>
          <w:w w:val="100"/>
          <w:position w:val="0"/>
        </w:rPr>
        <w:t>9</w:t>
      </w:r>
      <w:r>
        <w:rPr>
          <w:color w:val="000000"/>
          <w:spacing w:val="0"/>
          <w:w w:val="100"/>
          <w:position w:val="0"/>
        </w:rPr>
        <w:t>名，全部专职在公司领取薪水。上述高级管理人员简历如下：</w:t>
      </w:r>
    </w:p>
    <w:p>
      <w:pPr>
        <w:pStyle w:val="Style15"/>
        <w:keepNext w:val="0"/>
        <w:keepLines w:val="0"/>
        <w:widowControl w:val="0"/>
        <w:shd w:val="clear" w:color="auto" w:fill="auto"/>
        <w:tabs>
          <w:tab w:pos="677" w:val="left"/>
        </w:tabs>
        <w:bidi w:val="0"/>
        <w:spacing w:before="0" w:after="0" w:line="315" w:lineRule="exact"/>
        <w:ind w:left="0" w:right="0" w:firstLine="360"/>
        <w:jc w:val="left"/>
      </w:pPr>
      <w:bookmarkStart w:id="348" w:name="bookmark348"/>
      <w:r>
        <w:rPr>
          <w:rFonts w:ascii="Times New Roman" w:eastAsia="Times New Roman" w:hAnsi="Times New Roman" w:cs="Times New Roman"/>
          <w:color w:val="000000"/>
          <w:spacing w:val="0"/>
          <w:w w:val="100"/>
          <w:position w:val="0"/>
        </w:rPr>
        <w:t>1</w:t>
      </w:r>
      <w:bookmarkEnd w:id="348"/>
      <w:r>
        <w:rPr>
          <w:color w:val="000000"/>
          <w:spacing w:val="0"/>
          <w:w w:val="100"/>
          <w:position w:val="0"/>
        </w:rPr>
        <w:t>、</w:t>
        <w:tab/>
        <w:t>张吕峥先生，总经理，简历见“（一）董事会成员”。</w:t>
      </w:r>
    </w:p>
    <w:p>
      <w:pPr>
        <w:pStyle w:val="Style15"/>
        <w:keepNext w:val="0"/>
        <w:keepLines w:val="0"/>
        <w:widowControl w:val="0"/>
        <w:shd w:val="clear" w:color="auto" w:fill="auto"/>
        <w:bidi w:val="0"/>
        <w:spacing w:before="0" w:after="0" w:line="315" w:lineRule="exact"/>
        <w:ind w:left="0" w:right="0" w:firstLine="360"/>
        <w:jc w:val="left"/>
      </w:pPr>
      <w:bookmarkStart w:id="349" w:name="bookmark349"/>
      <w:r>
        <w:rPr>
          <w:rFonts w:ascii="Times New Roman" w:eastAsia="Times New Roman" w:hAnsi="Times New Roman" w:cs="Times New Roman"/>
          <w:color w:val="000000"/>
          <w:spacing w:val="0"/>
          <w:w w:val="100"/>
          <w:position w:val="0"/>
        </w:rPr>
        <w:t>2</w:t>
      </w:r>
      <w:bookmarkEnd w:id="349"/>
      <w:r>
        <w:rPr>
          <w:color w:val="000000"/>
          <w:spacing w:val="0"/>
          <w:w w:val="100"/>
          <w:position w:val="0"/>
        </w:rPr>
        <w:t>、 胡燕女士，董事会秘书，简历见“（一）董事会成员”。</w:t>
      </w:r>
    </w:p>
    <w:p>
      <w:pPr>
        <w:pStyle w:val="Style15"/>
        <w:keepNext w:val="0"/>
        <w:keepLines w:val="0"/>
        <w:widowControl w:val="0"/>
        <w:shd w:val="clear" w:color="auto" w:fill="auto"/>
        <w:bidi w:val="0"/>
        <w:spacing w:before="0" w:after="0" w:line="315" w:lineRule="exact"/>
        <w:ind w:left="0" w:right="0" w:firstLine="360"/>
        <w:jc w:val="left"/>
      </w:pPr>
      <w:bookmarkStart w:id="350" w:name="bookmark350"/>
      <w:r>
        <w:rPr>
          <w:rFonts w:ascii="Times New Roman" w:eastAsia="Times New Roman" w:hAnsi="Times New Roman" w:cs="Times New Roman"/>
          <w:color w:val="000000"/>
          <w:spacing w:val="0"/>
          <w:w w:val="100"/>
          <w:position w:val="0"/>
        </w:rPr>
        <w:t>3</w:t>
      </w:r>
      <w:bookmarkEnd w:id="350"/>
      <w:r>
        <w:rPr>
          <w:color w:val="000000"/>
          <w:spacing w:val="0"/>
          <w:w w:val="100"/>
          <w:position w:val="0"/>
        </w:rPr>
        <w:t>、 高春蓉女士，</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年生，中国国籍，通信与信息系统专业，博士研究生学历。自</w:t>
      </w:r>
      <w:r>
        <w:rPr>
          <w:rFonts w:ascii="Times New Roman" w:eastAsia="Times New Roman" w:hAnsi="Times New Roman" w:cs="Times New Roman"/>
          <w:color w:val="000000"/>
          <w:spacing w:val="0"/>
          <w:w w:val="100"/>
          <w:position w:val="0"/>
        </w:rPr>
        <w:t>1992</w:t>
      </w:r>
      <w:r>
        <w:rPr>
          <w:color w:val="000000"/>
          <w:spacing w:val="0"/>
          <w:w w:val="100"/>
          <w:position w:val="0"/>
        </w:rPr>
        <w:t>年起在</w:t>
      </w:r>
      <w:r>
        <w:rPr>
          <w:rFonts w:ascii="Times New Roman" w:eastAsia="Times New Roman" w:hAnsi="Times New Roman" w:cs="Times New Roman"/>
          <w:color w:val="000000"/>
          <w:spacing w:val="0"/>
          <w:w w:val="100"/>
          <w:position w:val="0"/>
        </w:rPr>
        <w:t>CESEC</w:t>
      </w:r>
      <w:r>
        <w:rPr>
          <w:color w:val="000000"/>
          <w:spacing w:val="0"/>
          <w:w w:val="100"/>
          <w:position w:val="0"/>
        </w:rPr>
        <w:t>研究所工作，先 后承担过“七五”以来多项重点项目的体制论证、总体设计以及关键技术的研究工作，历任该研究所助理工程师、工程师、 高级工程师。</w:t>
      </w:r>
      <w:r>
        <w:rPr>
          <w:rFonts w:ascii="Times New Roman" w:eastAsia="Times New Roman" w:hAnsi="Times New Roman" w:cs="Times New Roman"/>
          <w:color w:val="000000"/>
          <w:spacing w:val="0"/>
          <w:w w:val="100"/>
          <w:position w:val="0"/>
        </w:rPr>
        <w:t>2013</w:t>
      </w:r>
      <w:r>
        <w:rPr>
          <w:color w:val="000000"/>
          <w:spacing w:val="0"/>
          <w:w w:val="100"/>
          <w:position w:val="0"/>
        </w:rPr>
        <w:t>年起在创业慧康科技股份有限公司工作，现任公司副总经理、总工程师。</w:t>
      </w:r>
    </w:p>
    <w:p>
      <w:pPr>
        <w:pStyle w:val="Style15"/>
        <w:keepNext w:val="0"/>
        <w:keepLines w:val="0"/>
        <w:widowControl w:val="0"/>
        <w:shd w:val="clear" w:color="auto" w:fill="auto"/>
        <w:tabs>
          <w:tab w:pos="681" w:val="left"/>
        </w:tabs>
        <w:bidi w:val="0"/>
        <w:spacing w:before="0" w:after="0" w:line="315" w:lineRule="exact"/>
        <w:ind w:left="0" w:right="0" w:firstLine="360"/>
        <w:jc w:val="left"/>
      </w:pPr>
      <w:bookmarkStart w:id="351" w:name="bookmark351"/>
      <w:r>
        <w:rPr>
          <w:rFonts w:ascii="Times New Roman" w:eastAsia="Times New Roman" w:hAnsi="Times New Roman" w:cs="Times New Roman"/>
          <w:color w:val="000000"/>
          <w:spacing w:val="0"/>
          <w:w w:val="100"/>
          <w:position w:val="0"/>
        </w:rPr>
        <w:t>4</w:t>
      </w:r>
      <w:bookmarkEnd w:id="351"/>
      <w:r>
        <w:rPr>
          <w:color w:val="000000"/>
          <w:spacing w:val="0"/>
          <w:w w:val="100"/>
          <w:position w:val="0"/>
        </w:rPr>
        <w:t>、</w:t>
        <w:tab/>
        <w:t>方宝林先生，</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年出生，中国国籍，本科学历，高级项目管理师。曾主持和参与了多项国家、省、市级重点项目 的技术开发和工程实施工作，多次荣获省、市科技奖励，</w:t>
      </w:r>
      <w:r>
        <w:rPr>
          <w:rFonts w:ascii="Times New Roman" w:eastAsia="Times New Roman" w:hAnsi="Times New Roman" w:cs="Times New Roman"/>
          <w:color w:val="000000"/>
          <w:spacing w:val="0"/>
          <w:w w:val="100"/>
          <w:position w:val="0"/>
        </w:rPr>
        <w:t>2010</w:t>
      </w:r>
      <w:r>
        <w:rPr>
          <w:color w:val="000000"/>
          <w:spacing w:val="0"/>
          <w:w w:val="100"/>
          <w:position w:val="0"/>
        </w:rPr>
        <w:t>年被评为杭州高新区优秀科技工作者。</w:t>
      </w:r>
      <w:r>
        <w:rPr>
          <w:rFonts w:ascii="Times New Roman" w:eastAsia="Times New Roman" w:hAnsi="Times New Roman" w:cs="Times New Roman"/>
          <w:color w:val="000000"/>
          <w:spacing w:val="0"/>
          <w:w w:val="100"/>
          <w:position w:val="0"/>
        </w:rPr>
        <w:t>2004</w:t>
      </w:r>
      <w:r>
        <w:rPr>
          <w:color w:val="000000"/>
          <w:spacing w:val="0"/>
          <w:w w:val="100"/>
          <w:position w:val="0"/>
        </w:rPr>
        <w:t>年加入公司，历任 公司</w:t>
      </w:r>
      <w:r>
        <w:rPr>
          <w:rFonts w:ascii="Times New Roman" w:eastAsia="Times New Roman" w:hAnsi="Times New Roman" w:cs="Times New Roman"/>
          <w:color w:val="000000"/>
          <w:spacing w:val="0"/>
          <w:w w:val="100"/>
          <w:position w:val="0"/>
        </w:rPr>
        <w:t>LIS</w:t>
      </w:r>
      <w:r>
        <w:rPr>
          <w:color w:val="000000"/>
          <w:spacing w:val="0"/>
          <w:w w:val="100"/>
          <w:position w:val="0"/>
        </w:rPr>
        <w:t>事业部总经理、研发中心主任，现任公司副总经理。</w:t>
      </w:r>
    </w:p>
    <w:p>
      <w:pPr>
        <w:pStyle w:val="Style15"/>
        <w:keepNext w:val="0"/>
        <w:keepLines w:val="0"/>
        <w:widowControl w:val="0"/>
        <w:shd w:val="clear" w:color="auto" w:fill="auto"/>
        <w:tabs>
          <w:tab w:pos="681" w:val="left"/>
        </w:tabs>
        <w:bidi w:val="0"/>
        <w:spacing w:before="0" w:after="0" w:line="315" w:lineRule="exact"/>
        <w:ind w:left="0" w:right="0" w:firstLine="360"/>
        <w:jc w:val="left"/>
      </w:pPr>
      <w:bookmarkStart w:id="352" w:name="bookmark352"/>
      <w:r>
        <w:rPr>
          <w:rFonts w:ascii="Times New Roman" w:eastAsia="Times New Roman" w:hAnsi="Times New Roman" w:cs="Times New Roman"/>
          <w:color w:val="000000"/>
          <w:spacing w:val="0"/>
          <w:w w:val="100"/>
          <w:position w:val="0"/>
        </w:rPr>
        <w:t>5</w:t>
      </w:r>
      <w:bookmarkEnd w:id="352"/>
      <w:r>
        <w:rPr>
          <w:color w:val="000000"/>
          <w:spacing w:val="0"/>
          <w:w w:val="100"/>
          <w:position w:val="0"/>
        </w:rPr>
        <w:t>、</w:t>
        <w:tab/>
        <w:t>张崧先生，</w:t>
      </w:r>
      <w:r>
        <w:rPr>
          <w:rFonts w:ascii="Times New Roman" w:eastAsia="Times New Roman" w:hAnsi="Times New Roman" w:cs="Times New Roman"/>
          <w:color w:val="000000"/>
          <w:spacing w:val="0"/>
          <w:w w:val="100"/>
          <w:position w:val="0"/>
        </w:rPr>
        <w:t>1982</w:t>
      </w:r>
      <w:r>
        <w:rPr>
          <w:color w:val="000000"/>
          <w:spacing w:val="0"/>
          <w:w w:val="100"/>
          <w:position w:val="0"/>
        </w:rPr>
        <w:t>年出生，中国国籍，本科学历。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月加入公司，分管创业慧康互联网事业群、闵行区联合运营 中心。现任公司副总经理、新疆创什信息科技有限公司执行董事、杭州慧心健康科技有限公司董事长。</w:t>
      </w:r>
    </w:p>
    <w:p>
      <w:pPr>
        <w:pStyle w:val="Style15"/>
        <w:keepNext w:val="0"/>
        <w:keepLines w:val="0"/>
        <w:widowControl w:val="0"/>
        <w:shd w:val="clear" w:color="auto" w:fill="auto"/>
        <w:tabs>
          <w:tab w:pos="691" w:val="left"/>
        </w:tabs>
        <w:bidi w:val="0"/>
        <w:spacing w:before="0" w:after="0" w:line="315" w:lineRule="exact"/>
        <w:ind w:left="0" w:right="0" w:firstLine="360"/>
        <w:jc w:val="left"/>
      </w:pPr>
      <w:bookmarkStart w:id="353" w:name="bookmark353"/>
      <w:r>
        <w:rPr>
          <w:rFonts w:ascii="Times New Roman" w:eastAsia="Times New Roman" w:hAnsi="Times New Roman" w:cs="Times New Roman"/>
          <w:color w:val="000000"/>
          <w:spacing w:val="0"/>
          <w:w w:val="100"/>
          <w:position w:val="0"/>
        </w:rPr>
        <w:t>6</w:t>
      </w:r>
      <w:bookmarkEnd w:id="353"/>
      <w:r>
        <w:rPr>
          <w:color w:val="000000"/>
          <w:spacing w:val="0"/>
          <w:w w:val="100"/>
          <w:position w:val="0"/>
        </w:rPr>
        <w:t>、</w:t>
        <w:tab/>
        <w:t>孙烈峰先生，</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年出生，中国国籍，本科学历，工程师。</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月在杭州汽车发动机厂工作。</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月起在创业慧康科技股份有限公司工作，长期从事创业慧康科技股份有限公司产品研发及管理工作，历任公司产品中心 总经理、上海研究院院长、华南研究院院长、华南大区总经理。现任公司副总经理、研发管理中心副主任。</w:t>
      </w:r>
    </w:p>
    <w:p>
      <w:pPr>
        <w:pStyle w:val="Style15"/>
        <w:keepNext w:val="0"/>
        <w:keepLines w:val="0"/>
        <w:widowControl w:val="0"/>
        <w:shd w:val="clear" w:color="auto" w:fill="auto"/>
        <w:tabs>
          <w:tab w:pos="691" w:val="left"/>
        </w:tabs>
        <w:bidi w:val="0"/>
        <w:spacing w:before="0" w:after="0" w:line="315" w:lineRule="exact"/>
        <w:ind w:left="0" w:right="0" w:firstLine="360"/>
        <w:jc w:val="left"/>
      </w:pPr>
      <w:bookmarkStart w:id="354" w:name="bookmark354"/>
      <w:r>
        <w:rPr>
          <w:rFonts w:ascii="Times New Roman" w:eastAsia="Times New Roman" w:hAnsi="Times New Roman" w:cs="Times New Roman"/>
          <w:color w:val="000000"/>
          <w:spacing w:val="0"/>
          <w:w w:val="100"/>
          <w:position w:val="0"/>
        </w:rPr>
        <w:t>7</w:t>
      </w:r>
      <w:bookmarkEnd w:id="354"/>
      <w:r>
        <w:rPr>
          <w:color w:val="000000"/>
          <w:spacing w:val="0"/>
          <w:w w:val="100"/>
          <w:position w:val="0"/>
        </w:rPr>
        <w:t>、</w:t>
        <w:tab/>
        <w:t>陈东先生，</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年出生，中国国籍，本科学历，工程师。</w:t>
      </w:r>
      <w:r>
        <w:rPr>
          <w:rFonts w:ascii="Times New Roman" w:eastAsia="Times New Roman" w:hAnsi="Times New Roman" w:cs="Times New Roman"/>
          <w:color w:val="000000"/>
          <w:spacing w:val="0"/>
          <w:w w:val="100"/>
          <w:position w:val="0"/>
        </w:rPr>
        <w:t>2000</w:t>
      </w:r>
      <w:r>
        <w:rPr>
          <w:color w:val="000000"/>
          <w:spacing w:val="0"/>
          <w:w w:val="100"/>
          <w:position w:val="0"/>
        </w:rPr>
        <w:t>年至今任职于创业慧康科技股份有限公司，曾任杭州 创业计算机公司副总经理，现任公司副总经理、杭州慧康物联网科技有限公司执行董事、天津创津科技有限公司经理兼执行 董事、杭州医康物联科技有限公司执行董事兼总经理、成都米索信息技术有限公司董事、自贡市杭创科技有限公司总经理。</w:t>
      </w:r>
    </w:p>
    <w:p>
      <w:pPr>
        <w:pStyle w:val="Style15"/>
        <w:keepNext w:val="0"/>
        <w:keepLines w:val="0"/>
        <w:widowControl w:val="0"/>
        <w:shd w:val="clear" w:color="auto" w:fill="auto"/>
        <w:tabs>
          <w:tab w:pos="696" w:val="left"/>
        </w:tabs>
        <w:bidi w:val="0"/>
        <w:spacing w:before="0" w:after="0" w:line="315" w:lineRule="exact"/>
        <w:ind w:left="0" w:right="0" w:firstLine="360"/>
        <w:jc w:val="left"/>
      </w:pPr>
      <w:bookmarkStart w:id="355" w:name="bookmark355"/>
      <w:r>
        <w:rPr>
          <w:rFonts w:ascii="Times New Roman" w:eastAsia="Times New Roman" w:hAnsi="Times New Roman" w:cs="Times New Roman"/>
          <w:color w:val="000000"/>
          <w:spacing w:val="0"/>
          <w:w w:val="100"/>
          <w:position w:val="0"/>
        </w:rPr>
        <w:t>8</w:t>
      </w:r>
      <w:bookmarkEnd w:id="355"/>
      <w:r>
        <w:rPr>
          <w:color w:val="000000"/>
          <w:spacing w:val="0"/>
          <w:w w:val="100"/>
          <w:position w:val="0"/>
        </w:rPr>
        <w:t>、</w:t>
        <w:tab/>
        <w:t>郁燕萍女士，</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年出生，中国国籍，经济管理专业，本科学历，高级经济师、注册会计师。</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年任浙 江省饲料公司会计，</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年任浙江中饲粮油饲料有限公司主办会计</w:t>
      </w:r>
      <w:r>
        <w:rPr>
          <w:color w:val="000000"/>
          <w:spacing w:val="0"/>
          <w:w w:val="100"/>
          <w:position w:val="0"/>
        </w:rPr>
        <w:t>，</w:t>
      </w:r>
      <w:r>
        <w:rPr>
          <w:color w:val="000000"/>
          <w:spacing w:val="0"/>
          <w:w w:val="100"/>
          <w:position w:val="0"/>
        </w:rPr>
        <w:t>浙江兴威工程技术有限公司财务经理。</w:t>
      </w:r>
      <w:r>
        <w:rPr>
          <w:rFonts w:ascii="Times New Roman" w:eastAsia="Times New Roman" w:hAnsi="Times New Roman" w:cs="Times New Roman"/>
          <w:color w:val="000000"/>
          <w:spacing w:val="0"/>
          <w:w w:val="100"/>
          <w:position w:val="0"/>
        </w:rPr>
        <w:t>2005</w:t>
      </w:r>
      <w:r>
        <w:rPr>
          <w:color w:val="000000"/>
          <w:spacing w:val="0"/>
          <w:w w:val="100"/>
          <w:position w:val="0"/>
        </w:rPr>
        <w:t>年 起在公司工作，曾任公司审计部经理，</w:t>
      </w:r>
      <w:r>
        <w:rPr>
          <w:rFonts w:ascii="Times New Roman" w:eastAsia="Times New Roman" w:hAnsi="Times New Roman" w:cs="Times New Roman"/>
          <w:color w:val="000000"/>
          <w:spacing w:val="0"/>
          <w:w w:val="100"/>
          <w:position w:val="0"/>
        </w:rPr>
        <w:t>2006</w:t>
      </w:r>
      <w:r>
        <w:rPr>
          <w:color w:val="000000"/>
          <w:spacing w:val="0"/>
          <w:w w:val="100"/>
          <w:position w:val="0"/>
        </w:rPr>
        <w:t>年起任公司财务总监，财务部负责人。现任公司财务总监，杭州梅清数码科技有 限公司董事、北京梅清智慧医疗科技有限公司董事。</w:t>
      </w:r>
    </w:p>
    <w:p>
      <w:pPr>
        <w:pStyle w:val="Style15"/>
        <w:keepNext w:val="0"/>
        <w:keepLines w:val="0"/>
        <w:widowControl w:val="0"/>
        <w:shd w:val="clear" w:color="auto" w:fill="auto"/>
        <w:bidi w:val="0"/>
        <w:spacing w:before="0" w:after="0" w:line="315" w:lineRule="exact"/>
        <w:ind w:left="0" w:right="0" w:firstLine="360"/>
        <w:jc w:val="left"/>
      </w:pPr>
      <w:r>
        <w:rPr>
          <w:color w:val="000000"/>
          <w:spacing w:val="0"/>
          <w:w w:val="100"/>
          <w:position w:val="0"/>
        </w:rPr>
        <w:t>在股东单位任职情况</w:t>
      </w:r>
    </w:p>
    <w:p>
      <w:pPr>
        <w:pStyle w:val="Style15"/>
        <w:keepNext w:val="0"/>
        <w:keepLines w:val="0"/>
        <w:widowControl w:val="0"/>
        <w:shd w:val="clear" w:color="auto" w:fill="auto"/>
        <w:bidi w:val="0"/>
        <w:spacing w:before="0" w:after="100" w:line="350" w:lineRule="exact"/>
        <w:ind w:left="360" w:right="0" w:firstLine="0"/>
        <w:jc w:val="both"/>
      </w:pPr>
      <w:r>
        <w:rPr>
          <w:color w:val="000000"/>
          <w:spacing w:val="0"/>
          <w:w w:val="100"/>
          <w:position w:val="0"/>
        </w:rPr>
        <w:t>口适用”不适用 在其他单位任职情况 ”适用口不适用</w:t>
      </w:r>
    </w:p>
    <w:tbl>
      <w:tblPr>
        <w:tblOverlap w:val="never"/>
        <w:jc w:val="center"/>
        <w:tblLayout w:type="fixed"/>
      </w:tblPr>
      <w:tblGrid>
        <w:gridCol w:w="840"/>
        <w:gridCol w:w="5458"/>
        <w:gridCol w:w="1742"/>
        <w:gridCol w:w="148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在其他单位担任的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hanging="18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北京甲和灯科技股份有限公司、杭州迪通创健股权投资基金管理有 限公司、浙江未来社区开发运营集团有限公司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浙江中宇信息科技有限公司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杭州鼎心企业管理咨询有限公司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浙江创源环境科技股份有限公司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浙江中宇信息科技有限公司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上海卫生信息工程技术研究中心有限公司、杭州中福投资管理有限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浙江创源环境科技股份有限公司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成都米索信息技术有限公司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浙江大学计算机学院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840"/>
        <w:gridCol w:w="5458"/>
        <w:gridCol w:w="1742"/>
        <w:gridCol w:w="148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浙江升华兰德科技股份有限公司、新湖中宝股份有限公司、浙大网 新科技股份有限公司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绿康生化股份有限公司、深圳海联讯科技股份有限公司、浙江佳力 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芜湖三联锻造股份有限公司、江苏伟康洁始医疗器械股份有限公司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杭州电子科技大学会计学院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教授、硕士生导师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浙江工商大学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公司现任及报告期内离任董事、监事和高级管理人员近三年证券监管机构处罚的情况 口适用”不适用</w:t>
      </w:r>
    </w:p>
    <w:p>
      <w:pPr>
        <w:pStyle w:val="Style24"/>
        <w:keepNext/>
        <w:keepLines/>
        <w:widowControl w:val="0"/>
        <w:shd w:val="clear" w:color="auto" w:fill="auto"/>
        <w:bidi w:val="0"/>
        <w:spacing w:before="0" w:after="24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、董事、监事、高级管理人员报酬情况</w:t>
      </w:r>
      <w:bookmarkEnd w:id="356"/>
      <w:bookmarkEnd w:id="357"/>
      <w:bookmarkEnd w:id="359"/>
    </w:p>
    <w:p>
      <w:pPr>
        <w:pStyle w:val="Style15"/>
        <w:keepNext w:val="0"/>
        <w:keepLines w:val="0"/>
        <w:widowControl w:val="0"/>
        <w:shd w:val="clear" w:color="auto" w:fill="auto"/>
        <w:bidi w:val="0"/>
        <w:spacing w:before="0" w:after="80" w:line="346" w:lineRule="exact"/>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555"/>
        <w:gridCol w:w="5054"/>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董事、监事及高级管理人员的薪酬方案由董事会薪酬与考 核委员会拟定，经董事会、监事会、股东大会审议通过后实施。</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董事、监事和高级管理人员的报酬按照公司规定，结合其 经营绩效、工作能力能考核确定并发放。</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公司现有独立董事、监事、高级管理人员的基本薪酬已按 月支付，其中一定比例考核后发放。</w:t>
            </w:r>
          </w:p>
        </w:tc>
      </w:tr>
    </w:tbl>
    <w:p>
      <w:pPr>
        <w:widowControl w:val="0"/>
        <w:spacing w:after="3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950"/>
        <w:gridCol w:w="1790"/>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从公司获得的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葛波休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谭青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贾驰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50"/>
        <w:gridCol w:w="1790"/>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郁燕萍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高春蓉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方宝林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孙烈峰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合计</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686.86</w:t>
            </w:r>
          </w:p>
        </w:tc>
        <w:tc>
          <w:tcPr>
            <w:tcBorders>
              <w:top w:val="single" w:sz="4"/>
              <w:left w:val="single" w:sz="4"/>
              <w:bottom w:val="single" w:sz="4"/>
              <w:right w:val="single" w:sz="4"/>
            </w:tcBorders>
            <w:shd w:val="clear" w:color="auto" w:fill="BEBEBE"/>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八</w:t>
      </w:r>
      <w:bookmarkEnd w:id="362"/>
      <w:r>
        <w:rPr>
          <w:color w:val="000000"/>
          <w:spacing w:val="0"/>
          <w:w w:val="100"/>
          <w:position w:val="0"/>
          <w:sz w:val="24"/>
          <w:szCs w:val="24"/>
        </w:rPr>
        <w:t>、报告期内董事履行职责的情况</w:t>
      </w:r>
      <w:bookmarkEnd w:id="360"/>
      <w:bookmarkEnd w:id="361"/>
      <w:bookmarkEnd w:id="363"/>
    </w:p>
    <w:p>
      <w:pPr>
        <w:pStyle w:val="Style24"/>
        <w:keepNext/>
        <w:keepLines/>
        <w:widowControl w:val="0"/>
        <w:shd w:val="clear" w:color="auto" w:fill="auto"/>
        <w:bidi w:val="0"/>
        <w:spacing w:before="0" w:after="32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、本报告期董事会情况</w:t>
      </w:r>
      <w:bookmarkEnd w:id="364"/>
      <w:bookmarkEnd w:id="365"/>
      <w:bookmarkEnd w:id="367"/>
    </w:p>
    <w:tbl>
      <w:tblPr>
        <w:tblOverlap w:val="never"/>
        <w:jc w:val="center"/>
        <w:tblLayout w:type="fixed"/>
      </w:tblPr>
      <w:tblGrid>
        <w:gridCol w:w="2280"/>
        <w:gridCol w:w="1651"/>
        <w:gridCol w:w="1680"/>
        <w:gridCol w:w="39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，第七届董事 会第四次会议公告，公告编号：</w:t>
            </w:r>
            <w:r>
              <w:rPr>
                <w:rFonts w:ascii="Times New Roman" w:eastAsia="Times New Roman" w:hAnsi="Times New Roman" w:cs="Times New Roman"/>
                <w:color w:val="000000"/>
                <w:spacing w:val="0"/>
                <w:w w:val="100"/>
                <w:position w:val="0"/>
              </w:rPr>
              <w:t>2021-009</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，第七届董事 会第五次会议公告，公告编号：</w:t>
            </w:r>
            <w:r>
              <w:rPr>
                <w:rFonts w:ascii="Times New Roman" w:eastAsia="Times New Roman" w:hAnsi="Times New Roman" w:cs="Times New Roman"/>
                <w:color w:val="000000"/>
                <w:spacing w:val="0"/>
                <w:w w:val="100"/>
                <w:position w:val="0"/>
              </w:rPr>
              <w:t>2021-040</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，第七届董事 会第六次会议公告，公告编号：</w:t>
            </w:r>
            <w:r>
              <w:rPr>
                <w:rFonts w:ascii="Times New Roman" w:eastAsia="Times New Roman" w:hAnsi="Times New Roman" w:cs="Times New Roman"/>
                <w:color w:val="000000"/>
                <w:spacing w:val="0"/>
                <w:w w:val="100"/>
                <w:position w:val="0"/>
              </w:rPr>
              <w:t>2021-047</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，第七届董事 会第七次会议公告，公告编号：</w:t>
            </w:r>
            <w:r>
              <w:rPr>
                <w:rFonts w:ascii="Times New Roman" w:eastAsia="Times New Roman" w:hAnsi="Times New Roman" w:cs="Times New Roman"/>
                <w:color w:val="000000"/>
                <w:spacing w:val="0"/>
                <w:w w:val="100"/>
                <w:position w:val="0"/>
              </w:rPr>
              <w:t>2021-054</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，第七届董事 会第九次会议公告，公告编号：</w:t>
            </w:r>
            <w:r>
              <w:rPr>
                <w:rFonts w:ascii="Times New Roman" w:eastAsia="Times New Roman" w:hAnsi="Times New Roman" w:cs="Times New Roman"/>
                <w:color w:val="000000"/>
                <w:spacing w:val="0"/>
                <w:w w:val="100"/>
                <w:position w:val="0"/>
              </w:rPr>
              <w:t>2021-062</w:t>
            </w:r>
            <w:r>
              <w:rPr>
                <w:color w:val="000000"/>
                <w:spacing w:val="0"/>
                <w:w w:val="100"/>
                <w:position w:val="0"/>
              </w:rPr>
              <w:t>。</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，第七届董事 会第十次会议公告，公告编号：</w:t>
            </w:r>
            <w:r>
              <w:rPr>
                <w:rFonts w:ascii="Times New Roman" w:eastAsia="Times New Roman" w:hAnsi="Times New Roman" w:cs="Times New Roman"/>
                <w:color w:val="000000"/>
                <w:spacing w:val="0"/>
                <w:w w:val="100"/>
                <w:position w:val="0"/>
              </w:rPr>
              <w:t>2021-070</w:t>
            </w: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、董事出席董事会及股东大会的情况</w:t>
      </w:r>
      <w:bookmarkEnd w:id="368"/>
      <w:bookmarkEnd w:id="369"/>
      <w:bookmarkEnd w:id="371"/>
    </w:p>
    <w:tbl>
      <w:tblPr>
        <w:tblOverlap w:val="never"/>
        <w:jc w:val="center"/>
        <w:tblLayout w:type="fixed"/>
      </w:tblPr>
      <w:tblGrid>
        <w:gridCol w:w="878"/>
        <w:gridCol w:w="1354"/>
        <w:gridCol w:w="1138"/>
        <w:gridCol w:w="1301"/>
        <w:gridCol w:w="1190"/>
        <w:gridCol w:w="1018"/>
        <w:gridCol w:w="1670"/>
        <w:gridCol w:w="1032"/>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是否连续两次未亲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自参加董事会会议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出席股东</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胡燕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葛波休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878"/>
        <w:gridCol w:w="1354"/>
        <w:gridCol w:w="1138"/>
        <w:gridCol w:w="1301"/>
        <w:gridCol w:w="1190"/>
        <w:gridCol w:w="1018"/>
        <w:gridCol w:w="1670"/>
        <w:gridCol w:w="103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蔡家楣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杨建刚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bl>
    <w:p>
      <w:pPr>
        <w:pStyle w:val="Style1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连续两次未亲自出席董事会的说明 不适用。</w:t>
      </w:r>
    </w:p>
    <w:p>
      <w:pPr>
        <w:pStyle w:val="Style24"/>
        <w:keepNext/>
        <w:keepLines/>
        <w:widowControl w:val="0"/>
        <w:shd w:val="clear" w:color="auto" w:fill="auto"/>
        <w:tabs>
          <w:tab w:pos="378" w:val="left"/>
        </w:tabs>
        <w:bidi w:val="0"/>
        <w:spacing w:before="0" w:after="24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董事对公司有关事项提出异议的情况</w:t>
      </w:r>
      <w:bookmarkEnd w:id="372"/>
      <w:bookmarkEnd w:id="373"/>
      <w:bookmarkEnd w:id="375"/>
    </w:p>
    <w:p>
      <w:pPr>
        <w:pStyle w:val="Style15"/>
        <w:keepNext w:val="0"/>
        <w:keepLines w:val="0"/>
        <w:widowControl w:val="0"/>
        <w:shd w:val="clear" w:color="auto" w:fill="auto"/>
        <w:bidi w:val="0"/>
        <w:spacing w:before="0" w:after="0" w:line="346" w:lineRule="exact"/>
        <w:ind w:left="0" w:right="0" w:firstLine="0"/>
        <w:jc w:val="left"/>
      </w:pPr>
      <w:r>
        <w:rPr>
          <w:color w:val="000000"/>
          <w:spacing w:val="0"/>
          <w:w w:val="100"/>
          <w:position w:val="0"/>
        </w:rPr>
        <w:t>董事对公司有关事项是否提出异议</w:t>
      </w:r>
    </w:p>
    <w:p>
      <w:pPr>
        <w:pStyle w:val="Style15"/>
        <w:keepNext w:val="0"/>
        <w:keepLines w:val="0"/>
        <w:widowControl w:val="0"/>
        <w:shd w:val="clear" w:color="auto" w:fill="auto"/>
        <w:bidi w:val="0"/>
        <w:spacing w:before="0" w:after="0" w:line="346" w:lineRule="exact"/>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报告期内董事对公司有关事项未提出异议。</w:t>
      </w:r>
    </w:p>
    <w:p>
      <w:pPr>
        <w:pStyle w:val="Style24"/>
        <w:keepNext/>
        <w:keepLines/>
        <w:widowControl w:val="0"/>
        <w:shd w:val="clear" w:color="auto" w:fill="auto"/>
        <w:tabs>
          <w:tab w:pos="378" w:val="left"/>
        </w:tabs>
        <w:bidi w:val="0"/>
        <w:spacing w:before="0" w:after="24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4</w:t>
      </w:r>
      <w:bookmarkEnd w:id="378"/>
      <w:r>
        <w:rPr>
          <w:color w:val="000000"/>
          <w:spacing w:val="0"/>
          <w:w w:val="100"/>
          <w:position w:val="0"/>
        </w:rPr>
        <w:t>、</w:t>
        <w:tab/>
        <w:t>董事履行职责的其他说明</w:t>
      </w:r>
      <w:bookmarkEnd w:id="376"/>
      <w:bookmarkEnd w:id="377"/>
      <w:bookmarkEnd w:id="379"/>
    </w:p>
    <w:p>
      <w:pPr>
        <w:pStyle w:val="Style15"/>
        <w:keepNext w:val="0"/>
        <w:keepLines w:val="0"/>
        <w:widowControl w:val="0"/>
        <w:shd w:val="clear" w:color="auto" w:fill="auto"/>
        <w:bidi w:val="0"/>
        <w:spacing w:before="0" w:after="0" w:line="346" w:lineRule="exact"/>
        <w:ind w:left="0" w:right="0" w:firstLine="0"/>
        <w:jc w:val="left"/>
      </w:pPr>
      <w:r>
        <w:rPr>
          <w:color w:val="000000"/>
          <w:spacing w:val="0"/>
          <w:w w:val="100"/>
          <w:position w:val="0"/>
        </w:rPr>
        <w:t>董事对公司有关建议是否被采纳</w:t>
      </w:r>
    </w:p>
    <w:p>
      <w:pPr>
        <w:pStyle w:val="Style15"/>
        <w:keepNext w:val="0"/>
        <w:keepLines w:val="0"/>
        <w:widowControl w:val="0"/>
        <w:shd w:val="clear" w:color="auto" w:fill="auto"/>
        <w:bidi w:val="0"/>
        <w:spacing w:before="0" w:after="0" w:line="346" w:lineRule="exact"/>
        <w:ind w:left="0" w:right="0" w:firstLine="0"/>
        <w:jc w:val="left"/>
      </w:pPr>
      <w:r>
        <w:rPr>
          <w:color w:val="000000"/>
          <w:spacing w:val="0"/>
          <w:w w:val="100"/>
          <w:position w:val="0"/>
        </w:rPr>
        <w:t>”是□否</w:t>
      </w:r>
    </w:p>
    <w:p>
      <w:pPr>
        <w:pStyle w:val="Style1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董事对公司有关建议被采纳或未被采纳的说明 无。</w:t>
      </w:r>
    </w:p>
    <w:p>
      <w:pPr>
        <w:pStyle w:val="Style19"/>
        <w:keepNext/>
        <w:keepLines/>
        <w:widowControl w:val="0"/>
        <w:shd w:val="clear" w:color="auto" w:fill="auto"/>
        <w:bidi w:val="0"/>
        <w:spacing w:before="0" w:after="30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sz w:val="24"/>
          <w:szCs w:val="24"/>
        </w:rPr>
        <w:t>九</w:t>
      </w:r>
      <w:bookmarkEnd w:id="382"/>
      <w:r>
        <w:rPr>
          <w:color w:val="000000"/>
          <w:spacing w:val="0"/>
          <w:w w:val="100"/>
          <w:position w:val="0"/>
          <w:sz w:val="24"/>
          <w:szCs w:val="24"/>
        </w:rPr>
        <w:t>、董事会下设专门委员会在报告期内的情况</w:t>
      </w:r>
      <w:bookmarkEnd w:id="380"/>
      <w:bookmarkEnd w:id="381"/>
      <w:bookmarkEnd w:id="383"/>
    </w:p>
    <w:tbl>
      <w:tblPr>
        <w:tblOverlap w:val="never"/>
        <w:jc w:val="center"/>
        <w:tblLayout w:type="fixed"/>
      </w:tblPr>
      <w:tblGrid>
        <w:gridCol w:w="830"/>
        <w:gridCol w:w="970"/>
        <w:gridCol w:w="888"/>
        <w:gridCol w:w="710"/>
        <w:gridCol w:w="2194"/>
        <w:gridCol w:w="2107"/>
        <w:gridCol w:w="883"/>
        <w:gridCol w:w="99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召开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其他履</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行职责</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566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 谭青女 士、独立 董事蔡家 楣先生、 董事应晶 先生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年年度报 告及摘要〉的议案》；</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年度财务决 算报告</w:t>
            </w:r>
            <w:r>
              <w:rPr>
                <w:rFonts w:ascii="Times New Roman" w:eastAsia="Times New Roman" w:hAnsi="Times New Roman" w:cs="Times New Roman"/>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3</w:t>
            </w:r>
            <w:r>
              <w:rPr>
                <w:color w:val="000000"/>
                <w:spacing w:val="0"/>
                <w:w w:val="100"/>
                <w:position w:val="0"/>
              </w:rPr>
              <w:t>、《关 于续聘会计师事务所的 议案》；</w:t>
            </w:r>
            <w:r>
              <w:rPr>
                <w:rFonts w:ascii="Times New Roman" w:eastAsia="Times New Roman" w:hAnsi="Times New Roman" w:cs="Times New Roman"/>
                <w:color w:val="000000"/>
                <w:spacing w:val="0"/>
                <w:w w:val="100"/>
                <w:position w:val="0"/>
              </w:rPr>
              <w:t>4</w:t>
            </w:r>
            <w:r>
              <w:rPr>
                <w:color w:val="000000"/>
                <w:spacing w:val="0"/>
                <w:w w:val="100"/>
                <w:position w:val="0"/>
              </w:rPr>
              <w:t xml:space="preserve">、《关于公司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年度财务审计报 告</w:t>
            </w:r>
            <w:r>
              <w:rPr>
                <w:rFonts w:ascii="Times New Roman" w:eastAsia="Times New Roman" w:hAnsi="Times New Roman" w:cs="Times New Roman"/>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5</w:t>
            </w:r>
            <w:r>
              <w:rPr>
                <w:color w:val="000000"/>
                <w:spacing w:val="0"/>
                <w:w w:val="100"/>
                <w:position w:val="0"/>
              </w:rPr>
              <w:t>、《关于 公司</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 交易暨</w:t>
            </w:r>
            <w:r>
              <w:rPr>
                <w:rFonts w:ascii="Times New Roman" w:eastAsia="Times New Roman" w:hAnsi="Times New Roman" w:cs="Times New Roman"/>
                <w:color w:val="000000"/>
                <w:spacing w:val="0"/>
                <w:w w:val="100"/>
                <w:position w:val="0"/>
              </w:rPr>
              <w:t>2021</w:t>
            </w:r>
            <w:r>
              <w:rPr>
                <w:color w:val="000000"/>
                <w:spacing w:val="0"/>
                <w:w w:val="100"/>
                <w:position w:val="0"/>
              </w:rPr>
              <w:t>年度日常关 联交易预计的议案》；</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年度内部控 制自我评价报告〉的议 案》；</w:t>
            </w:r>
            <w:r>
              <w:rPr>
                <w:rFonts w:ascii="Times New Roman" w:eastAsia="Times New Roman" w:hAnsi="Times New Roman" w:cs="Times New Roman"/>
                <w:color w:val="000000"/>
                <w:spacing w:val="0"/>
                <w:w w:val="100"/>
                <w:position w:val="0"/>
              </w:rPr>
              <w:t>7</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 度公司控股股东及其他 关联方占用公司资金情 况的专项审核报告〉的议 案》；</w:t>
            </w:r>
            <w:r>
              <w:rPr>
                <w:rFonts w:ascii="Times New Roman" w:eastAsia="Times New Roman" w:hAnsi="Times New Roman" w:cs="Times New Roman"/>
                <w:color w:val="000000"/>
                <w:spacing w:val="0"/>
                <w:w w:val="100"/>
                <w:position w:val="0"/>
              </w:rPr>
              <w:t>8</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 司法》《公司章程》《审 计委员会工作细则》等规 章制度开展工作，勤勉尽 责，认真审议了议案相关 事项并一致同意。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30"/>
        <w:gridCol w:w="970"/>
        <w:gridCol w:w="888"/>
        <w:gridCol w:w="710"/>
        <w:gridCol w:w="2194"/>
        <w:gridCol w:w="2107"/>
        <w:gridCol w:w="883"/>
        <w:gridCol w:w="998"/>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度募集资金存放与使用 情况专项报告</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 一季度报告〉的议案》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年半 年度报告全文及摘要 </w:t>
            </w:r>
            <w:r>
              <w:rPr>
                <w:rFonts w:ascii="Times New Roman" w:eastAsia="Times New Roman" w:hAnsi="Times New Roman" w:cs="Times New Roman"/>
                <w:color w:val="000000"/>
                <w:spacing w:val="0"/>
                <w:w w:val="100"/>
                <w:position w:val="0"/>
              </w:rPr>
              <w:t>＞</w:t>
            </w:r>
            <w:r>
              <w:rPr>
                <w:color w:val="000000"/>
                <w:spacing w:val="0"/>
                <w:w w:val="100"/>
                <w:position w:val="0"/>
              </w:rPr>
              <w:t>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审计委员会严格按照《公 司法》《公司章程》《审 计委员会工作细则》等规 章制度开展工作，勤勉尽 责，对公司</w:t>
            </w:r>
            <w:r>
              <w:rPr>
                <w:rFonts w:ascii="Times New Roman" w:eastAsia="Times New Roman" w:hAnsi="Times New Roman" w:cs="Times New Roman"/>
                <w:color w:val="000000"/>
                <w:spacing w:val="0"/>
                <w:w w:val="100"/>
                <w:position w:val="0"/>
              </w:rPr>
              <w:t>2021</w:t>
            </w:r>
            <w:r>
              <w:rPr>
                <w:color w:val="000000"/>
                <w:spacing w:val="0"/>
                <w:w w:val="100"/>
                <w:position w:val="0"/>
              </w:rPr>
              <w:t>年半年 度度会计报表进行了认 真审核，认为公司会计报 表编制符合《企业会计准 贝</w:t>
            </w:r>
            <w:r>
              <w:rPr>
                <w:rFonts w:ascii="Times New Roman" w:eastAsia="Times New Roman" w:hAnsi="Times New Roman" w:cs="Times New Roman"/>
                <w:color w:val="000000"/>
                <w:spacing w:val="0"/>
                <w:w w:val="100"/>
                <w:position w:val="0"/>
              </w:rPr>
              <w:t>D</w:t>
            </w:r>
            <w:r>
              <w:rPr>
                <w:color w:val="000000"/>
                <w:spacing w:val="0"/>
                <w:w w:val="100"/>
                <w:position w:val="0"/>
              </w:rPr>
              <w:t>及其相关规定，会计 报表的数据基本反映了 公司财务状况。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2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 三季度报告 </w:t>
            </w:r>
            <w:r>
              <w:rPr>
                <w:rFonts w:ascii="Times New Roman" w:eastAsia="Times New Roman" w:hAnsi="Times New Roman" w:cs="Times New Roman"/>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审计委员会严格按照《公 司法》《公司章程》《审 计委员会工作细则》等规 章制度开展工作，勤勉尽 责，对公司</w:t>
            </w:r>
            <w:r>
              <w:rPr>
                <w:rFonts w:ascii="Times New Roman" w:eastAsia="Times New Roman" w:hAnsi="Times New Roman" w:cs="Times New Roman"/>
                <w:color w:val="000000"/>
                <w:spacing w:val="0"/>
                <w:w w:val="100"/>
                <w:position w:val="0"/>
              </w:rPr>
              <w:t>2021</w:t>
            </w:r>
            <w:r>
              <w:rPr>
                <w:color w:val="000000"/>
                <w:spacing w:val="0"/>
                <w:w w:val="100"/>
                <w:position w:val="0"/>
              </w:rPr>
              <w:t>年三季 度会计报表进行了认真 审核，认为公司会计报表 编制符合《企业会计准 则》及其相关规定，会计 报表的数据基本反映了 公司财务状况。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、《关于与参股公司签 订股份回购协议暨关联 交易的议案》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审计委员会严格按照《公 司法》《公司章程》《审 计委员会工作细则》等规 章制度开展工作，勤勉尽 责，经审议认为对交易标 的的价格公允并一致同 音 </w:t>
            </w:r>
            <w:r>
              <w:rPr>
                <w:i/>
                <w:iCs/>
                <w:color w:val="000000"/>
                <w:spacing w:val="0"/>
                <w:w w:val="100"/>
                <w:position w:val="0"/>
              </w:rPr>
              <w:t>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薪酬与 考核委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独立董事 杨建刚先 生、独立 董事谭青 女士、董</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事葛航先 生</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、《关于董事、监事及 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年度 薪酬的议案》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薪酬与考核委员会严格 按照《公司法》《公司章 程》《薪酬与考核委员会 工作细则》开展工作，勤 勉尽责，经过充分沟通讨 论，一致同意。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 股票激励计划预留授予 部分第一个解锁期解锁 条件成就的议案》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薪酬与考核委员会严格</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按照《公司法》《公司章</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程》《薪酬与考核委员会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工作细则》等规章制度开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30"/>
        <w:gridCol w:w="970"/>
        <w:gridCol w:w="888"/>
        <w:gridCol w:w="710"/>
        <w:gridCol w:w="2194"/>
        <w:gridCol w:w="2107"/>
        <w:gridCol w:w="883"/>
        <w:gridCol w:w="998"/>
      </w:tblGrid>
      <w:tr>
        <w:trPr>
          <w:trHeight w:val="989" w:hRule="exact"/>
        </w:trPr>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展工作，勤勉尽责，经过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充分沟通讨论，一致同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音</w:t>
            </w:r>
          </w:p>
          <w:p>
            <w:pPr>
              <w:pStyle w:val="Style2"/>
              <w:keepNext w:val="0"/>
              <w:keepLines w:val="0"/>
              <w:widowControl w:val="0"/>
              <w:shd w:val="clear" w:color="auto" w:fill="auto"/>
              <w:bidi w:val="0"/>
              <w:spacing w:before="0" w:after="60" w:line="240" w:lineRule="auto"/>
              <w:ind w:left="0" w:right="0" w:firstLine="0"/>
              <w:jc w:val="left"/>
            </w:pPr>
            <w:r>
              <w:rPr>
                <w:i/>
                <w:iCs/>
                <w:color w:val="000000"/>
                <w:spacing w:val="0"/>
                <w:w w:val="100"/>
                <w:position w:val="0"/>
              </w:rPr>
              <w:t>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 股票激励计划首次授予 部分第二个解锁期解锁 条件成就的议案》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67" w:lineRule="exact"/>
              <w:ind w:left="0" w:right="0" w:firstLine="0"/>
              <w:jc w:val="left"/>
            </w:pPr>
            <w:r>
              <w:rPr>
                <w:color w:val="000000"/>
                <w:spacing w:val="0"/>
                <w:w w:val="100"/>
                <w:position w:val="0"/>
              </w:rPr>
              <w:t xml:space="preserve">薪酬与考核委员会严格 按照《公司法》《公司章 程》《薪酬与考核委员会 工作细则》等规章制度开 展工作，勤勉尽责，经过 充分沟通讨论，一致同 音 </w:t>
            </w:r>
            <w:r>
              <w:rPr>
                <w:i/>
                <w:iCs/>
                <w:color w:val="000000"/>
                <w:spacing w:val="0"/>
                <w:w w:val="100"/>
                <w:position w:val="0"/>
              </w:rPr>
              <w:t>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提名委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 蔡家楣先 生、独立 董事杨建 刚先生、 董事葛航 先生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年度公司 董事、监事、高级管理人 员任职情况的议案》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提名委员会严格按照《公 司法》《公司章程》《提 名委员会工作细则》等规 章制度开展工作，勤勉尽 责，经过充分沟通讨论， 一致同意。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董事葛航 先生、董 事张吕峥 先生、董 事应晶先 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审议通过下列议案：</w:t>
            </w:r>
            <w:r>
              <w:rPr>
                <w:rFonts w:ascii="Times New Roman" w:eastAsia="Times New Roman" w:hAnsi="Times New Roman" w:cs="Times New Roman"/>
                <w:color w:val="000000"/>
                <w:spacing w:val="0"/>
                <w:w w:val="100"/>
                <w:position w:val="0"/>
              </w:rPr>
              <w:t>1</w:t>
            </w:r>
            <w:r>
              <w:rPr>
                <w:color w:val="000000"/>
                <w:spacing w:val="0"/>
                <w:w w:val="100"/>
                <w:position w:val="0"/>
              </w:rPr>
              <w:t>、 《关于与参股公司签订 股份回购协议暨关联交 易的议案》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战略委员会严格按照《公 司法》《公司章程》《战 略委员会工作细则》等规 章制度开展工作，勤勉尽 责，经过充分沟通讨论， 一致同意。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十、监事会工作情况</w:t>
      </w:r>
      <w:bookmarkEnd w:id="384"/>
      <w:bookmarkEnd w:id="385"/>
      <w:bookmarkEnd w:id="38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19"/>
        <w:keepNext/>
        <w:keepLines/>
        <w:widowControl w:val="0"/>
        <w:shd w:val="clear" w:color="auto" w:fill="auto"/>
        <w:bidi w:val="0"/>
        <w:spacing w:before="0" w:after="340" w:line="240" w:lineRule="auto"/>
        <w:ind w:left="0" w:right="0" w:firstLine="0"/>
        <w:jc w:val="left"/>
      </w:pPr>
      <w:bookmarkStart w:id="387" w:name="bookmark387"/>
      <w:bookmarkStart w:id="388" w:name="bookmark388"/>
      <w:bookmarkStart w:id="389" w:name="bookmark389"/>
      <w:r>
        <w:rPr>
          <w:color w:val="000000"/>
          <w:spacing w:val="0"/>
          <w:w w:val="100"/>
          <w:position w:val="0"/>
          <w:sz w:val="24"/>
          <w:szCs w:val="24"/>
        </w:rPr>
        <w:t>十一、公司员工情况</w:t>
      </w:r>
      <w:bookmarkEnd w:id="387"/>
      <w:bookmarkEnd w:id="388"/>
      <w:bookmarkEnd w:id="389"/>
    </w:p>
    <w:p>
      <w:pPr>
        <w:pStyle w:val="Style24"/>
        <w:keepNext/>
        <w:keepLines/>
        <w:widowControl w:val="0"/>
        <w:shd w:val="clear" w:color="auto" w:fill="auto"/>
        <w:bidi w:val="0"/>
        <w:spacing w:before="0" w:after="34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、员工数量、专业构成及教育程度</w:t>
      </w:r>
      <w:bookmarkEnd w:id="390"/>
      <w:bookmarkEnd w:id="391"/>
      <w:bookmarkEnd w:id="39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2,243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1,712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282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3,444</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2,094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1,238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pPr>
            <w:r>
              <w:rPr>
                <w:rFonts w:ascii="Times New Roman" w:eastAsia="Times New Roman" w:hAnsi="Times New Roman" w:cs="Times New Roman"/>
                <w:color w:val="000000"/>
                <w:spacing w:val="0"/>
                <w:w w:val="100"/>
                <w:position w:val="0"/>
              </w:rPr>
              <w:t>3,444</w:t>
            </w:r>
          </w:p>
        </w:tc>
      </w:tr>
    </w:tbl>
    <w:p>
      <w:pPr>
        <w:widowControl w:val="0"/>
        <w:spacing w:after="279" w:line="1" w:lineRule="exact"/>
      </w:pPr>
    </w:p>
    <w:p>
      <w:pPr>
        <w:pStyle w:val="Style24"/>
        <w:keepNext/>
        <w:keepLines/>
        <w:widowControl w:val="0"/>
        <w:shd w:val="clear" w:color="auto" w:fill="auto"/>
        <w:tabs>
          <w:tab w:pos="378" w:val="left"/>
        </w:tabs>
        <w:bidi w:val="0"/>
        <w:spacing w:before="0" w:after="280" w:line="240" w:lineRule="auto"/>
        <w:ind w:left="0" w:right="0" w:firstLine="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w:t>
        <w:tab/>
        <w:t>薪酬政策</w:t>
      </w:r>
      <w:bookmarkEnd w:id="394"/>
      <w:bookmarkEnd w:id="395"/>
      <w:bookmarkEnd w:id="397"/>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公司薪酬政策坚持与岗位价值相匹配的基本原则，同时兼顾技术与专业化能力的差别化对待，根据不同类别岗位职级制 定相应的薪酬等级体系，在每个岗位职级内根据其技术能力、专业化能力水平确定对应的薪酬。</w:t>
      </w:r>
    </w:p>
    <w:p>
      <w:pPr>
        <w:pStyle w:val="Style1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5"/>
        <w:keepNext w:val="0"/>
        <w:keepLines w:val="0"/>
        <w:widowControl w:val="0"/>
        <w:shd w:val="clear" w:color="auto" w:fill="auto"/>
        <w:bidi w:val="0"/>
        <w:spacing w:before="0" w:after="36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年度公司计入成本部分的职工薪酬总额</w:t>
      </w:r>
      <w:r>
        <w:rPr>
          <w:rFonts w:ascii="Times New Roman" w:eastAsia="Times New Roman" w:hAnsi="Times New Roman" w:cs="Times New Roman"/>
          <w:color w:val="000000"/>
          <w:spacing w:val="0"/>
          <w:w w:val="100"/>
          <w:position w:val="0"/>
        </w:rPr>
        <w:t>21</w:t>
      </w:r>
      <w:r>
        <w:rPr>
          <w:rFonts w:ascii="Times New Roman" w:eastAsia="Times New Roman" w:hAnsi="Times New Roman" w:cs="Times New Roman"/>
          <w:color w:val="000000"/>
          <w:spacing w:val="0"/>
          <w:w w:val="100"/>
          <w:position w:val="0"/>
        </w:rPr>
        <w:t>,277.89</w:t>
      </w:r>
      <w:r>
        <w:rPr>
          <w:color w:val="000000"/>
          <w:spacing w:val="0"/>
          <w:w w:val="100"/>
          <w:position w:val="0"/>
        </w:rPr>
        <w:t>万元，占公司本期营业成本的</w:t>
      </w:r>
      <w:r>
        <w:rPr>
          <w:rFonts w:ascii="Times New Roman" w:eastAsia="Times New Roman" w:hAnsi="Times New Roman" w:cs="Times New Roman"/>
          <w:color w:val="000000"/>
          <w:spacing w:val="0"/>
          <w:w w:val="100"/>
          <w:position w:val="0"/>
        </w:rPr>
        <w:t>24.48%</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年末公司技术人员数 量</w:t>
      </w:r>
      <w:r>
        <w:rPr>
          <w:rFonts w:ascii="Times New Roman" w:eastAsia="Times New Roman" w:hAnsi="Times New Roman" w:cs="Times New Roman"/>
          <w:color w:val="000000"/>
          <w:spacing w:val="0"/>
          <w:w w:val="100"/>
          <w:position w:val="0"/>
        </w:rPr>
        <w:t>1273</w:t>
      </w:r>
      <w:r>
        <w:rPr>
          <w:color w:val="000000"/>
          <w:spacing w:val="0"/>
          <w:w w:val="100"/>
          <w:position w:val="0"/>
        </w:rPr>
        <w:t>人，与上年同期相比无重大变动。</w:t>
      </w:r>
    </w:p>
    <w:p>
      <w:pPr>
        <w:pStyle w:val="Style24"/>
        <w:keepNext/>
        <w:keepLines/>
        <w:widowControl w:val="0"/>
        <w:shd w:val="clear" w:color="auto" w:fill="auto"/>
        <w:tabs>
          <w:tab w:pos="378" w:val="left"/>
        </w:tabs>
        <w:bidi w:val="0"/>
        <w:spacing w:before="0" w:after="28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w:t>
        <w:tab/>
        <w:t>培训计划</w:t>
      </w:r>
      <w:bookmarkEnd w:id="398"/>
      <w:bookmarkEnd w:id="399"/>
      <w:bookmarkEnd w:id="401"/>
    </w:p>
    <w:p>
      <w:pPr>
        <w:pStyle w:val="Style15"/>
        <w:keepNext w:val="0"/>
        <w:keepLines w:val="0"/>
        <w:widowControl w:val="0"/>
        <w:shd w:val="clear" w:color="auto" w:fill="auto"/>
        <w:bidi w:val="0"/>
        <w:spacing w:before="0" w:after="360" w:line="314" w:lineRule="exact"/>
        <w:ind w:left="0" w:right="0"/>
        <w:jc w:val="both"/>
      </w:pPr>
      <w:r>
        <w:rPr>
          <w:color w:val="000000"/>
          <w:spacing w:val="0"/>
          <w:w w:val="100"/>
          <w:position w:val="0"/>
        </w:rPr>
        <w:t>人力资源一直是公司的核心战略资源，公司坚持''以人为本”的人才方针，不断完善人力资源管理体系建设。公司始终 非常重视企业员工的发展，每年根据各部门自身情况，经过需求调查以及往年的培训结果反馈，编制各部门年度培训计划， 并报人力资源部备案。公司人力资源部每年根据需求制定对相关岗位人员的年度培训计划，报公司批准后执行。</w:t>
      </w:r>
    </w:p>
    <w:p>
      <w:pPr>
        <w:pStyle w:val="Style24"/>
        <w:keepNext/>
        <w:keepLines/>
        <w:widowControl w:val="0"/>
        <w:shd w:val="clear" w:color="auto" w:fill="auto"/>
        <w:tabs>
          <w:tab w:pos="378" w:val="left"/>
        </w:tabs>
        <w:bidi w:val="0"/>
        <w:spacing w:before="0" w:after="2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w:t>
        <w:tab/>
        <w:t>劳务外包情况</w:t>
      </w:r>
      <w:bookmarkEnd w:id="402"/>
      <w:bookmarkEnd w:id="403"/>
      <w:bookmarkEnd w:id="405"/>
    </w:p>
    <w:p>
      <w:pPr>
        <w:pStyle w:val="Style1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28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十二、公司利润分配及资本公积金转增股本情况</w:t>
      </w:r>
      <w:bookmarkEnd w:id="406"/>
      <w:bookmarkEnd w:id="407"/>
      <w:bookmarkEnd w:id="408"/>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报告期内利润分配政策，特别是现金分红政策的制定、执行或调整情况</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”是□否口不适用</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15"/>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本年度利润分配及资本公积金转增股本情况</w:t>
      </w:r>
      <w:r>
        <w:br w:type="page"/>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00" w:right="0" w:firstLine="0"/>
              <w:jc w:val="left"/>
            </w:pPr>
            <w:r>
              <w:rPr>
                <w:rFonts w:ascii="Times New Roman" w:eastAsia="Times New Roman" w:hAnsi="Times New Roman" w:cs="Times New Roman"/>
                <w:color w:val="000000"/>
                <w:spacing w:val="0"/>
                <w:w w:val="100"/>
                <w:position w:val="0"/>
              </w:rPr>
              <w:t>1,549,787,692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700" w:right="0" w:firstLine="0"/>
              <w:jc w:val="left"/>
            </w:pPr>
            <w:r>
              <w:rPr>
                <w:rFonts w:ascii="Times New Roman" w:eastAsia="Times New Roman" w:hAnsi="Times New Roman" w:cs="Times New Roman"/>
                <w:color w:val="000000"/>
                <w:spacing w:val="0"/>
                <w:w w:val="100"/>
                <w:position w:val="0"/>
              </w:rPr>
              <w:t>46,493,630.76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46,493,630.76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1,081,938,294.94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公司发展阶段不易区分但有重大资金支出安排的，进行利润分配时，现金分红在本次利润分配中所占比例最低应达到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98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460"/>
              <w:jc w:val="both"/>
            </w:pPr>
            <w:r>
              <w:rPr>
                <w:color w:val="000000"/>
                <w:spacing w:val="0"/>
                <w:w w:val="100"/>
                <w:position w:val="0"/>
              </w:rPr>
              <w:t>经天健会计师事务所（特殊普通合伙）审计，公司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rPr>
              <w:t>414,149,449.62</w:t>
            </w:r>
            <w:r>
              <w:rPr>
                <w:color w:val="000000"/>
                <w:spacing w:val="0"/>
                <w:w w:val="100"/>
                <w:position w:val="0"/>
              </w:rPr>
              <w:t xml:space="preserve">元，其中母公司实现净利润 </w:t>
            </w:r>
            <w:r>
              <w:rPr>
                <w:rFonts w:ascii="Times New Roman" w:eastAsia="Times New Roman" w:hAnsi="Times New Roman" w:cs="Times New Roman"/>
                <w:color w:val="000000"/>
                <w:spacing w:val="0"/>
                <w:w w:val="100"/>
                <w:position w:val="0"/>
              </w:rPr>
              <w:t>327,406,587.67</w:t>
            </w:r>
            <w:r>
              <w:rPr>
                <w:color w:val="000000"/>
                <w:spacing w:val="0"/>
                <w:w w:val="100"/>
                <w:position w:val="0"/>
              </w:rPr>
              <w:t>元，根据《公司章程》规定，按</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rPr>
              <w:t>32,740,658.77</w:t>
            </w:r>
            <w:r>
              <w:rPr>
                <w:color w:val="000000"/>
                <w:spacing w:val="0"/>
                <w:w w:val="100"/>
                <w:position w:val="0"/>
              </w:rPr>
              <w:t xml:space="preserve">元后，当年实现未分配利润为 </w:t>
            </w:r>
            <w:r>
              <w:rPr>
                <w:rFonts w:ascii="Times New Roman" w:eastAsia="Times New Roman" w:hAnsi="Times New Roman" w:cs="Times New Roman"/>
                <w:color w:val="000000"/>
                <w:spacing w:val="0"/>
                <w:w w:val="100"/>
                <w:position w:val="0"/>
              </w:rPr>
              <w:t>294,665,928.90</w:t>
            </w:r>
            <w:r>
              <w:rPr>
                <w:color w:val="000000"/>
                <w:spacing w:val="0"/>
                <w:w w:val="100"/>
                <w:position w:val="0"/>
              </w:rPr>
              <w:t>元，加上年初可供未分配利润</w:t>
            </w:r>
            <w:r>
              <w:rPr>
                <w:rFonts w:ascii="Times New Roman" w:eastAsia="Times New Roman" w:hAnsi="Times New Roman" w:cs="Times New Roman"/>
                <w:color w:val="000000"/>
                <w:spacing w:val="0"/>
                <w:w w:val="100"/>
                <w:position w:val="0"/>
              </w:rPr>
              <w:t>823,026,887.41</w:t>
            </w:r>
            <w:r>
              <w:rPr>
                <w:color w:val="000000"/>
                <w:spacing w:val="0"/>
                <w:w w:val="100"/>
                <w:position w:val="0"/>
              </w:rPr>
              <w:t>元，扣除</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月已实施的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 </w:t>
            </w:r>
            <w:r>
              <w:rPr>
                <w:rFonts w:ascii="Times New Roman" w:eastAsia="Times New Roman" w:hAnsi="Times New Roman" w:cs="Times New Roman"/>
                <w:color w:val="000000"/>
                <w:spacing w:val="0"/>
                <w:w w:val="100"/>
                <w:position w:val="0"/>
              </w:rPr>
              <w:t>35,754,521.37</w:t>
            </w:r>
            <w:r>
              <w:rPr>
                <w:color w:val="000000"/>
                <w:spacing w:val="0"/>
                <w:w w:val="100"/>
                <w:position w:val="0"/>
              </w:rPr>
              <w:t>元，公司截至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日可供分配利润为人民币</w:t>
            </w:r>
            <w:r>
              <w:rPr>
                <w:rFonts w:ascii="Times New Roman" w:eastAsia="Times New Roman" w:hAnsi="Times New Roman" w:cs="Times New Roman"/>
                <w:color w:val="000000"/>
                <w:spacing w:val="0"/>
                <w:w w:val="100"/>
                <w:position w:val="0"/>
              </w:rPr>
              <w:t>1,081,938,294.94</w:t>
            </w:r>
            <w:r>
              <w:rPr>
                <w:color w:val="000000"/>
                <w:spacing w:val="0"/>
                <w:w w:val="100"/>
                <w:position w:val="0"/>
              </w:rPr>
              <w:t xml:space="preserve">元，资本公积金人民币 </w:t>
            </w:r>
            <w:r>
              <w:rPr>
                <w:rFonts w:ascii="Times New Roman" w:eastAsia="Times New Roman" w:hAnsi="Times New Roman" w:cs="Times New Roman"/>
                <w:color w:val="000000"/>
                <w:spacing w:val="0"/>
                <w:w w:val="100"/>
                <w:position w:val="0"/>
              </w:rPr>
              <w:t xml:space="preserve">1,632,398,401.41 </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经统筹考虑公司资金使用情况，</w:t>
            </w:r>
            <w:r>
              <w:rPr>
                <w:rFonts w:ascii="Times New Roman" w:eastAsia="Times New Roman" w:hAnsi="Times New Roman" w:cs="Times New Roman"/>
                <w:color w:val="000000"/>
                <w:spacing w:val="0"/>
                <w:w w:val="100"/>
                <w:position w:val="0"/>
              </w:rPr>
              <w:t>2021</w:t>
            </w:r>
            <w:r>
              <w:rPr>
                <w:color w:val="000000"/>
                <w:spacing w:val="0"/>
                <w:w w:val="100"/>
                <w:position w:val="0"/>
              </w:rPr>
              <w:t>年利润分配预案为：以利润分配方案未来实施时股权登记日的股本总额为基数，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0.3</w:t>
            </w:r>
            <w:r>
              <w:rPr>
                <w:color w:val="000000"/>
                <w:spacing w:val="0"/>
                <w:w w:val="100"/>
                <w:position w:val="0"/>
              </w:rPr>
              <w:t>元（含税），不送红股，不以公积金转增股本，剩余未分配利润结转以后年度分配。</w:t>
            </w:r>
          </w:p>
          <w:p>
            <w:pPr>
              <w:pStyle w:val="Style2"/>
              <w:keepNext w:val="0"/>
              <w:keepLines w:val="0"/>
              <w:widowControl w:val="0"/>
              <w:shd w:val="clear" w:color="auto" w:fill="auto"/>
              <w:bidi w:val="0"/>
              <w:spacing w:before="0" w:after="0" w:line="326" w:lineRule="exact"/>
              <w:ind w:left="0" w:right="0" w:firstLine="460"/>
              <w:jc w:val="both"/>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年年度利润分配方案披露之日起至实施权益分派股权登记日期间，若公司股本因股权激励行权、可转债转 股、股份回购等情形导致股本变化的，公司将维持每股分配比例不变，相应调整分配总额。</w:t>
            </w:r>
          </w:p>
        </w:tc>
      </w:tr>
    </w:tbl>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公司报告期内盈利且母公司可供股东分配利润为正但未提出现金红利分配预案</w:t>
      </w:r>
    </w:p>
    <w:p>
      <w:pPr>
        <w:pStyle w:val="Style1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260" w:line="240" w:lineRule="auto"/>
        <w:ind w:left="0" w:right="0" w:firstLine="0"/>
        <w:jc w:val="left"/>
      </w:pPr>
      <w:bookmarkStart w:id="409" w:name="bookmark409"/>
      <w:bookmarkStart w:id="410" w:name="bookmark410"/>
      <w:bookmarkStart w:id="411" w:name="bookmark411"/>
      <w:r>
        <w:rPr>
          <w:color w:val="000000"/>
          <w:spacing w:val="0"/>
          <w:w w:val="100"/>
          <w:position w:val="0"/>
          <w:sz w:val="24"/>
          <w:szCs w:val="24"/>
        </w:rPr>
        <w:t>十三、公司股权激励计划、员工持股计划或其他员工激励措施的实施情况</w:t>
      </w:r>
      <w:bookmarkEnd w:id="409"/>
      <w:bookmarkEnd w:id="410"/>
      <w:bookmarkEnd w:id="411"/>
    </w:p>
    <w:p>
      <w:pPr>
        <w:pStyle w:val="Style1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”适用口不适用</w:t>
      </w:r>
    </w:p>
    <w:p>
      <w:pPr>
        <w:pStyle w:val="Style24"/>
        <w:keepNext/>
        <w:keepLines/>
        <w:widowControl w:val="0"/>
        <w:shd w:val="clear" w:color="auto" w:fill="auto"/>
        <w:bidi w:val="0"/>
        <w:spacing w:before="0" w:after="2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、股权激励</w:t>
      </w:r>
      <w:bookmarkEnd w:id="412"/>
      <w:bookmarkEnd w:id="413"/>
      <w:bookmarkEnd w:id="415"/>
    </w:p>
    <w:p>
      <w:pPr>
        <w:pStyle w:val="Style15"/>
        <w:keepNext w:val="0"/>
        <w:keepLines w:val="0"/>
        <w:widowControl w:val="0"/>
        <w:shd w:val="clear" w:color="auto" w:fill="auto"/>
        <w:bidi w:val="0"/>
        <w:spacing w:before="0" w:after="0" w:line="311" w:lineRule="exact"/>
        <w:ind w:left="0" w:right="0"/>
        <w:jc w:val="left"/>
      </w:pPr>
      <w:r>
        <w:rPr>
          <w:color w:val="000000"/>
          <w:spacing w:val="0"/>
          <w:w w:val="100"/>
          <w:position w:val="0"/>
        </w:rPr>
        <w:t>（一）</w:t>
      </w:r>
      <w:r>
        <w:rPr>
          <w:rFonts w:ascii="Times New Roman" w:eastAsia="Times New Roman" w:hAnsi="Times New Roman" w:cs="Times New Roman"/>
          <w:color w:val="000000"/>
          <w:spacing w:val="0"/>
          <w:w w:val="100"/>
          <w:position w:val="0"/>
        </w:rPr>
        <w:t>2019</w:t>
      </w:r>
      <w:r>
        <w:rPr>
          <w:color w:val="000000"/>
          <w:spacing w:val="0"/>
          <w:w w:val="100"/>
          <w:position w:val="0"/>
        </w:rPr>
        <w:t>年度限制性股票激励计划</w:t>
      </w:r>
    </w:p>
    <w:p>
      <w:pPr>
        <w:pStyle w:val="Style15"/>
        <w:keepNext w:val="0"/>
        <w:keepLines w:val="0"/>
        <w:widowControl w:val="0"/>
        <w:shd w:val="clear" w:color="auto" w:fill="auto"/>
        <w:bidi w:val="0"/>
        <w:spacing w:before="0" w:after="0" w:line="311" w:lineRule="exact"/>
        <w:ind w:left="0" w:right="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2019</w:t>
      </w:r>
      <w:r>
        <w:rPr>
          <w:color w:val="000000"/>
          <w:spacing w:val="0"/>
          <w:w w:val="100"/>
          <w:position w:val="0"/>
        </w:rPr>
        <w:t>年第三次临时股东大会审议并通过的《关于公司</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年限制性股票激励计划（草案）〉及其摘要的议案》， 公司向包括公司及其下属分、子公司的董事、高级管理人员、中层管理人员、核心技术（业务）人员授予限制性股票。首次 限制性股票授予日为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日，授予数量为</w:t>
      </w:r>
      <w:r>
        <w:rPr>
          <w:rFonts w:ascii="Times New Roman" w:eastAsia="Times New Roman" w:hAnsi="Times New Roman" w:cs="Times New Roman"/>
          <w:color w:val="000000"/>
          <w:spacing w:val="0"/>
          <w:w w:val="100"/>
          <w:position w:val="0"/>
        </w:rPr>
        <w:t>1,123.75</w:t>
      </w:r>
      <w:r>
        <w:rPr>
          <w:color w:val="000000"/>
          <w:spacing w:val="0"/>
          <w:w w:val="100"/>
          <w:position w:val="0"/>
        </w:rPr>
        <w:t>万股，上市日期为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日；预留部分限制性股票授予日为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日，授予数量为</w:t>
      </w:r>
      <w:r>
        <w:rPr>
          <w:rFonts w:ascii="Times New Roman" w:eastAsia="Times New Roman" w:hAnsi="Times New Roman" w:cs="Times New Roman"/>
          <w:color w:val="000000"/>
          <w:spacing w:val="0"/>
          <w:w w:val="100"/>
          <w:position w:val="0"/>
        </w:rPr>
        <w:t>239.82</w:t>
      </w:r>
      <w:r>
        <w:rPr>
          <w:color w:val="000000"/>
          <w:spacing w:val="0"/>
          <w:w w:val="100"/>
          <w:position w:val="0"/>
        </w:rPr>
        <w:t>万股，上市日期为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15"/>
        <w:keepNext w:val="0"/>
        <w:keepLines w:val="0"/>
        <w:widowControl w:val="0"/>
        <w:shd w:val="clear" w:color="auto" w:fill="auto"/>
        <w:bidi w:val="0"/>
        <w:spacing w:before="0" w:after="0" w:line="311" w:lineRule="exact"/>
        <w:ind w:left="0" w:right="0"/>
        <w:jc w:val="left"/>
      </w:pPr>
      <w:bookmarkStart w:id="416" w:name="bookmark416"/>
      <w:r>
        <w:rPr>
          <w:rFonts w:ascii="Times New Roman" w:eastAsia="Times New Roman" w:hAnsi="Times New Roman" w:cs="Times New Roman"/>
          <w:color w:val="000000"/>
          <w:spacing w:val="0"/>
          <w:w w:val="100"/>
          <w:position w:val="0"/>
        </w:rPr>
        <w:t>1</w:t>
      </w:r>
      <w:bookmarkEnd w:id="416"/>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年度限制性股票激励计划划首次授予部分第一个解锁期解锁的限制性股票上市流通，本次 解除限售的限制性股票数量为</w:t>
      </w:r>
      <w:r>
        <w:rPr>
          <w:rFonts w:ascii="Times New Roman" w:eastAsia="Times New Roman" w:hAnsi="Times New Roman" w:cs="Times New Roman"/>
          <w:color w:val="000000"/>
          <w:spacing w:val="0"/>
          <w:w w:val="100"/>
          <w:position w:val="0"/>
        </w:rPr>
        <w:t>666.45</w:t>
      </w:r>
      <w:r>
        <w:rPr>
          <w:color w:val="000000"/>
          <w:spacing w:val="0"/>
          <w:w w:val="100"/>
          <w:position w:val="0"/>
        </w:rPr>
        <w:t>万股，占公司当时总股本的比例为</w:t>
      </w:r>
      <w:r>
        <w:rPr>
          <w:rFonts w:ascii="Times New Roman" w:eastAsia="Times New Roman" w:hAnsi="Times New Roman" w:cs="Times New Roman"/>
          <w:color w:val="000000"/>
          <w:spacing w:val="0"/>
          <w:w w:val="100"/>
          <w:position w:val="0"/>
        </w:rPr>
        <w:t>0.56%</w:t>
      </w:r>
      <w:r>
        <w:rPr>
          <w:color w:val="000000"/>
          <w:spacing w:val="0"/>
          <w:w w:val="100"/>
          <w:position w:val="0"/>
        </w:rPr>
        <w:t>。具体内容详见公司在巨潮资讯网站</w:t>
      </w:r>
    </w:p>
    <w:p>
      <w:pPr>
        <w:pStyle w:val="Style107"/>
        <w:keepNext w:val="0"/>
        <w:keepLines w:val="0"/>
        <w:widowControl w:val="0"/>
        <w:shd w:val="clear" w:color="auto" w:fill="auto"/>
        <w:bidi w:val="0"/>
        <w:spacing w:before="0" w:after="260" w:line="31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披露的公告（公告编号：</w:t>
      </w:r>
      <w:r>
        <w:rPr>
          <w:color w:val="000000"/>
          <w:spacing w:val="0"/>
          <w:w w:val="100"/>
          <w:position w:val="0"/>
        </w:rPr>
        <w:t>2021-002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p>
      <w:pPr>
        <w:pStyle w:val="Style15"/>
        <w:keepNext w:val="0"/>
        <w:keepLines w:val="0"/>
        <w:widowControl w:val="0"/>
        <w:shd w:val="clear" w:color="auto" w:fill="auto"/>
        <w:tabs>
          <w:tab w:pos="649" w:val="left"/>
        </w:tabs>
        <w:bidi w:val="0"/>
        <w:spacing w:before="0" w:after="0" w:line="313" w:lineRule="exact"/>
        <w:ind w:left="0" w:right="0"/>
        <w:jc w:val="both"/>
      </w:pPr>
      <w:bookmarkStart w:id="417" w:name="bookmark417"/>
      <w:r>
        <w:rPr>
          <w:rFonts w:ascii="Times New Roman" w:eastAsia="Times New Roman" w:hAnsi="Times New Roman" w:cs="Times New Roman"/>
          <w:color w:val="000000"/>
          <w:spacing w:val="0"/>
          <w:w w:val="100"/>
          <w:position w:val="0"/>
        </w:rPr>
        <w:t>2</w:t>
      </w:r>
      <w:bookmarkEnd w:id="41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日，公司第七届董事会第四次会议和第七届监事会第四次会议审议通过了《关于调整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 激励计划相关事项的议案》《关于对</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年限制性股票激励计划部分限制性股票回购注销的议案》。鉴于公司原激励对象 秦俭文等</w:t>
      </w:r>
      <w:r>
        <w:rPr>
          <w:rFonts w:ascii="Times New Roman" w:eastAsia="Times New Roman" w:hAnsi="Times New Roman" w:cs="Times New Roman"/>
          <w:color w:val="000000"/>
          <w:spacing w:val="0"/>
          <w:w w:val="100"/>
          <w:position w:val="0"/>
        </w:rPr>
        <w:t>12</w:t>
      </w:r>
      <w:r>
        <w:rPr>
          <w:color w:val="000000"/>
          <w:spacing w:val="0"/>
          <w:w w:val="100"/>
          <w:position w:val="0"/>
        </w:rPr>
        <w:t>人因已离职不符合激励条件，根据激励计划，公司拟对相关激励对象已获授但尚未解锁的</w:t>
      </w:r>
      <w:r>
        <w:rPr>
          <w:rFonts w:ascii="Times New Roman" w:eastAsia="Times New Roman" w:hAnsi="Times New Roman" w:cs="Times New Roman"/>
          <w:color w:val="000000"/>
          <w:spacing w:val="0"/>
          <w:w w:val="100"/>
          <w:position w:val="0"/>
        </w:rPr>
        <w:t>25.86</w:t>
      </w:r>
      <w:r>
        <w:rPr>
          <w:color w:val="000000"/>
          <w:spacing w:val="0"/>
          <w:w w:val="100"/>
          <w:position w:val="0"/>
        </w:rPr>
        <w:t>万股限制性股票 回购注销，其中首次授予部分</w:t>
      </w:r>
      <w:r>
        <w:rPr>
          <w:rFonts w:ascii="Times New Roman" w:eastAsia="Times New Roman" w:hAnsi="Times New Roman" w:cs="Times New Roman"/>
          <w:color w:val="000000"/>
          <w:spacing w:val="0"/>
          <w:w w:val="100"/>
          <w:position w:val="0"/>
        </w:rPr>
        <w:t>20.70</w:t>
      </w:r>
      <w:r>
        <w:rPr>
          <w:color w:val="000000"/>
          <w:spacing w:val="0"/>
          <w:w w:val="100"/>
          <w:position w:val="0"/>
        </w:rPr>
        <w:t>万股，预留授予部分</w:t>
      </w:r>
      <w:r>
        <w:rPr>
          <w:rFonts w:ascii="Times New Roman" w:eastAsia="Times New Roman" w:hAnsi="Times New Roman" w:cs="Times New Roman"/>
          <w:color w:val="000000"/>
          <w:spacing w:val="0"/>
          <w:w w:val="100"/>
          <w:position w:val="0"/>
        </w:rPr>
        <w:t>5.16</w:t>
      </w:r>
      <w:r>
        <w:rPr>
          <w:color w:val="000000"/>
          <w:spacing w:val="0"/>
          <w:w w:val="100"/>
          <w:position w:val="0"/>
        </w:rPr>
        <w:t>万股。具体内容详见公司在巨潮资讯网站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披露的公告（公告编号：</w:t>
      </w:r>
      <w:r>
        <w:rPr>
          <w:rFonts w:ascii="Times New Roman" w:eastAsia="Times New Roman" w:hAnsi="Times New Roman" w:cs="Times New Roman"/>
          <w:color w:val="000000"/>
          <w:spacing w:val="0"/>
          <w:w w:val="100"/>
          <w:position w:val="0"/>
        </w:rPr>
        <w:t>2021-018</w:t>
      </w:r>
      <w:r>
        <w:rPr>
          <w:color w:val="000000"/>
          <w:spacing w:val="0"/>
          <w:w w:val="100"/>
          <w:position w:val="0"/>
        </w:rPr>
        <w:t>）。</w:t>
      </w:r>
    </w:p>
    <w:p>
      <w:pPr>
        <w:pStyle w:val="Style15"/>
        <w:keepNext w:val="0"/>
        <w:keepLines w:val="0"/>
        <w:widowControl w:val="0"/>
        <w:shd w:val="clear" w:color="auto" w:fill="auto"/>
        <w:bidi w:val="0"/>
        <w:spacing w:before="0" w:after="0" w:line="312" w:lineRule="exact"/>
        <w:ind w:left="0" w:right="0"/>
        <w:jc w:val="both"/>
      </w:pPr>
      <w:bookmarkStart w:id="418" w:name="bookmark418"/>
      <w:r>
        <w:rPr>
          <w:rFonts w:ascii="Times New Roman" w:eastAsia="Times New Roman" w:hAnsi="Times New Roman" w:cs="Times New Roman"/>
          <w:color w:val="000000"/>
          <w:spacing w:val="0"/>
          <w:w w:val="100"/>
          <w:position w:val="0"/>
        </w:rPr>
        <w:t>3</w:t>
      </w:r>
      <w:bookmarkEnd w:id="418"/>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日，经中国证券登记结算有限责任公司深圳分公司审核确认，公司</w:t>
      </w:r>
      <w:r>
        <w:rPr>
          <w:rFonts w:ascii="Times New Roman" w:eastAsia="Times New Roman" w:hAnsi="Times New Roman" w:cs="Times New Roman"/>
          <w:color w:val="000000"/>
          <w:spacing w:val="0"/>
          <w:w w:val="100"/>
          <w:position w:val="0"/>
        </w:rPr>
        <w:t>46.3725</w:t>
      </w:r>
      <w:r>
        <w:rPr>
          <w:color w:val="000000"/>
          <w:spacing w:val="0"/>
          <w:w w:val="100"/>
          <w:position w:val="0"/>
        </w:rPr>
        <w:t>万股限制性股票回购注销手 续已办理完毕。具体内容详见公司在巨潮资讯网站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披露的公告（公告编号：</w:t>
      </w:r>
      <w:r>
        <w:rPr>
          <w:rFonts w:ascii="Times New Roman" w:eastAsia="Times New Roman" w:hAnsi="Times New Roman" w:cs="Times New Roman"/>
          <w:color w:val="000000"/>
          <w:spacing w:val="0"/>
          <w:w w:val="100"/>
          <w:position w:val="0"/>
        </w:rPr>
        <w:t>2021-032</w:t>
      </w:r>
      <w:r>
        <w:rPr>
          <w:color w:val="000000"/>
          <w:spacing w:val="0"/>
          <w:w w:val="100"/>
          <w:position w:val="0"/>
        </w:rPr>
        <w:t>）。</w:t>
      </w:r>
    </w:p>
    <w:p>
      <w:pPr>
        <w:pStyle w:val="Style15"/>
        <w:keepNext w:val="0"/>
        <w:keepLines w:val="0"/>
        <w:widowControl w:val="0"/>
        <w:shd w:val="clear" w:color="auto" w:fill="auto"/>
        <w:bidi w:val="0"/>
        <w:spacing w:before="0" w:after="0" w:line="312" w:lineRule="exact"/>
        <w:ind w:left="0" w:right="0" w:firstLine="460"/>
        <w:jc w:val="both"/>
      </w:pPr>
      <w:bookmarkStart w:id="419" w:name="bookmark419"/>
      <w:r>
        <w:rPr>
          <w:rFonts w:ascii="Times New Roman" w:eastAsia="Times New Roman" w:hAnsi="Times New Roman" w:cs="Times New Roman"/>
          <w:color w:val="000000"/>
          <w:spacing w:val="0"/>
          <w:w w:val="100"/>
          <w:position w:val="0"/>
        </w:rPr>
        <w:t>4</w:t>
      </w:r>
      <w:bookmarkEnd w:id="419"/>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日，公司第七届董事会第五次会议和第七届监事会第五次会议审议通过了《关于调整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票激励计划相关事项的议案》和《关于对</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年限制性股票激励计划部分限制性股票回购注销的议案》。因公司已于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w:t>
      </w:r>
      <w:r>
        <w:rPr>
          <w:rFonts w:ascii="Times New Roman" w:eastAsia="Times New Roman" w:hAnsi="Times New Roman" w:cs="Times New Roman"/>
          <w:color w:val="000000"/>
          <w:spacing w:val="0"/>
          <w:w w:val="100"/>
          <w:position w:val="0"/>
        </w:rPr>
        <w:t>2020</w:t>
      </w:r>
      <w:r>
        <w:rPr>
          <w:color w:val="000000"/>
          <w:spacing w:val="0"/>
          <w:w w:val="100"/>
          <w:position w:val="0"/>
        </w:rPr>
        <w:t>年权益分派事宜，对限制性股票的数量和价格进行调整。同时，鉴于公司原激励对象胡元杰等</w:t>
      </w:r>
      <w:r>
        <w:rPr>
          <w:rFonts w:ascii="Times New Roman" w:eastAsia="Times New Roman" w:hAnsi="Times New Roman" w:cs="Times New Roman"/>
          <w:color w:val="000000"/>
          <w:spacing w:val="0"/>
          <w:w w:val="100"/>
          <w:position w:val="0"/>
        </w:rPr>
        <w:t>6</w:t>
      </w:r>
      <w:r>
        <w:rPr>
          <w:color w:val="000000"/>
          <w:spacing w:val="0"/>
          <w:w w:val="100"/>
          <w:position w:val="0"/>
        </w:rPr>
        <w:t>人因已离 职不符合激励条件，根据激励计划，公司拟对相关激励对象已获授但尚未解锁的</w:t>
      </w:r>
      <w:r>
        <w:rPr>
          <w:rFonts w:ascii="Times New Roman" w:eastAsia="Times New Roman" w:hAnsi="Times New Roman" w:cs="Times New Roman"/>
          <w:color w:val="000000"/>
          <w:spacing w:val="0"/>
          <w:w w:val="100"/>
          <w:position w:val="0"/>
        </w:rPr>
        <w:t>22.23</w:t>
      </w:r>
      <w:r>
        <w:rPr>
          <w:color w:val="000000"/>
          <w:spacing w:val="0"/>
          <w:w w:val="100"/>
          <w:position w:val="0"/>
        </w:rPr>
        <w:t>万股限制性股票回购注销，其中首次 授予部分</w:t>
      </w:r>
      <w:r>
        <w:rPr>
          <w:rFonts w:ascii="Times New Roman" w:eastAsia="Times New Roman" w:hAnsi="Times New Roman" w:cs="Times New Roman"/>
          <w:color w:val="000000"/>
          <w:spacing w:val="0"/>
          <w:w w:val="100"/>
          <w:position w:val="0"/>
        </w:rPr>
        <w:t>19.89</w:t>
      </w:r>
      <w:r>
        <w:rPr>
          <w:color w:val="000000"/>
          <w:spacing w:val="0"/>
          <w:w w:val="100"/>
          <w:position w:val="0"/>
        </w:rPr>
        <w:t>万股，预留授予部分</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.34</w:t>
      </w:r>
      <w:r>
        <w:rPr>
          <w:color w:val="000000"/>
          <w:spacing w:val="0"/>
          <w:w w:val="100"/>
          <w:position w:val="0"/>
        </w:rPr>
        <w:t>万股。具体内容详见公司在巨潮资讯网站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披露的公告（公告 编号：</w:t>
      </w:r>
      <w:r>
        <w:rPr>
          <w:rFonts w:ascii="Times New Roman" w:eastAsia="Times New Roman" w:hAnsi="Times New Roman" w:cs="Times New Roman"/>
          <w:color w:val="000000"/>
          <w:spacing w:val="0"/>
          <w:w w:val="100"/>
          <w:position w:val="0"/>
        </w:rPr>
        <w:t>2021-042</w:t>
      </w:r>
      <w:r>
        <w:rPr>
          <w:color w:val="000000"/>
          <w:spacing w:val="0"/>
          <w:w w:val="100"/>
          <w:position w:val="0"/>
        </w:rPr>
        <w:t>）</w:t>
      </w:r>
      <w:r>
        <w:rPr>
          <w:color w:val="000000"/>
          <w:spacing w:val="0"/>
          <w:w w:val="100"/>
          <w:position w:val="0"/>
        </w:rPr>
        <w:t>。</w:t>
      </w:r>
    </w:p>
    <w:p>
      <w:pPr>
        <w:pStyle w:val="Style15"/>
        <w:keepNext w:val="0"/>
        <w:keepLines w:val="0"/>
        <w:widowControl w:val="0"/>
        <w:shd w:val="clear" w:color="auto" w:fill="auto"/>
        <w:tabs>
          <w:tab w:pos="644" w:val="left"/>
        </w:tabs>
        <w:bidi w:val="0"/>
        <w:spacing w:before="0" w:after="0" w:line="312" w:lineRule="exact"/>
        <w:ind w:left="0" w:right="0"/>
        <w:jc w:val="both"/>
      </w:pPr>
      <w:bookmarkStart w:id="420" w:name="bookmark420"/>
      <w:r>
        <w:rPr>
          <w:rFonts w:ascii="Times New Roman" w:eastAsia="Times New Roman" w:hAnsi="Times New Roman" w:cs="Times New Roman"/>
          <w:color w:val="000000"/>
          <w:spacing w:val="0"/>
          <w:w w:val="100"/>
          <w:position w:val="0"/>
        </w:rPr>
        <w:t>5</w:t>
      </w:r>
      <w:bookmarkEnd w:id="42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日，公司第七届董事会第七次会议和第七届监事会第七次会议审议通过了《关于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 计划预留授予部分第一个解锁期解锁条件成就的议案》。董事会认为，公司本次激励计划预留授予部分限制性股票第一个解 锁期解锁条件已满足，同意解锁</w:t>
      </w:r>
      <w:r>
        <w:rPr>
          <w:rFonts w:ascii="Times New Roman" w:eastAsia="Times New Roman" w:hAnsi="Times New Roman" w:cs="Times New Roman"/>
          <w:color w:val="000000"/>
          <w:spacing w:val="0"/>
          <w:w w:val="100"/>
          <w:position w:val="0"/>
        </w:rPr>
        <w:t>130</w:t>
      </w:r>
      <w:r>
        <w:rPr>
          <w:color w:val="000000"/>
          <w:spacing w:val="0"/>
          <w:w w:val="100"/>
          <w:position w:val="0"/>
        </w:rPr>
        <w:t>名激励对象第一个解锁期涉及的</w:t>
      </w:r>
      <w:r>
        <w:rPr>
          <w:rFonts w:ascii="Times New Roman" w:eastAsia="Times New Roman" w:hAnsi="Times New Roman" w:cs="Times New Roman"/>
          <w:color w:val="000000"/>
          <w:spacing w:val="0"/>
          <w:w w:val="100"/>
          <w:position w:val="0"/>
        </w:rPr>
        <w:t>151.359</w:t>
      </w:r>
      <w:r>
        <w:rPr>
          <w:color w:val="000000"/>
          <w:spacing w:val="0"/>
          <w:w w:val="100"/>
          <w:position w:val="0"/>
        </w:rPr>
        <w:t>万股限制性股票，并授权公司证券部办理相关解 锁登记手续。具体内容详见公司在巨潮资讯网站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披露的公告（公告编号：</w:t>
      </w:r>
      <w:r>
        <w:rPr>
          <w:rFonts w:ascii="Times New Roman" w:eastAsia="Times New Roman" w:hAnsi="Times New Roman" w:cs="Times New Roman"/>
          <w:color w:val="000000"/>
          <w:spacing w:val="0"/>
          <w:w w:val="100"/>
          <w:position w:val="0"/>
        </w:rPr>
        <w:t>2021-055</w:t>
      </w:r>
      <w:r>
        <w:rPr>
          <w:color w:val="000000"/>
          <w:spacing w:val="0"/>
          <w:w w:val="100"/>
          <w:position w:val="0"/>
        </w:rPr>
        <w:t>）。</w:t>
      </w:r>
    </w:p>
    <w:p>
      <w:pPr>
        <w:pStyle w:val="Style15"/>
        <w:keepNext w:val="0"/>
        <w:keepLines w:val="0"/>
        <w:widowControl w:val="0"/>
        <w:shd w:val="clear" w:color="auto" w:fill="auto"/>
        <w:tabs>
          <w:tab w:pos="644" w:val="left"/>
        </w:tabs>
        <w:bidi w:val="0"/>
        <w:spacing w:before="0" w:after="0" w:line="312" w:lineRule="exact"/>
        <w:ind w:left="0" w:right="0"/>
        <w:jc w:val="both"/>
      </w:pPr>
      <w:bookmarkStart w:id="421" w:name="bookmark421"/>
      <w:r>
        <w:rPr>
          <w:rFonts w:ascii="Times New Roman" w:eastAsia="Times New Roman" w:hAnsi="Times New Roman" w:cs="Times New Roman"/>
          <w:color w:val="000000"/>
          <w:spacing w:val="0"/>
          <w:w w:val="100"/>
          <w:position w:val="0"/>
        </w:rPr>
        <w:t>6</w:t>
      </w:r>
      <w:bookmarkEnd w:id="421"/>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年度限制性股票激励计划划预留授予部分第一个解锁期解锁的限制性股票上市流通，本次 解除限售的限制性股票数量为</w:t>
      </w:r>
      <w:r>
        <w:rPr>
          <w:rFonts w:ascii="Times New Roman" w:eastAsia="Times New Roman" w:hAnsi="Times New Roman" w:cs="Times New Roman"/>
          <w:color w:val="000000"/>
          <w:spacing w:val="0"/>
          <w:w w:val="100"/>
          <w:position w:val="0"/>
        </w:rPr>
        <w:t>151.359</w:t>
      </w:r>
      <w:r>
        <w:rPr>
          <w:color w:val="000000"/>
          <w:spacing w:val="0"/>
          <w:w w:val="100"/>
          <w:position w:val="0"/>
        </w:rPr>
        <w:t>万股，占公司当时总股本的比例为</w:t>
      </w:r>
      <w:r>
        <w:rPr>
          <w:rFonts w:ascii="Times New Roman" w:eastAsia="Times New Roman" w:hAnsi="Times New Roman" w:cs="Times New Roman"/>
          <w:color w:val="000000"/>
          <w:spacing w:val="0"/>
          <w:w w:val="100"/>
          <w:position w:val="0"/>
        </w:rPr>
        <w:t>0.0977%</w:t>
      </w:r>
      <w:r>
        <w:rPr>
          <w:color w:val="000000"/>
          <w:spacing w:val="0"/>
          <w:w w:val="100"/>
          <w:position w:val="0"/>
        </w:rPr>
        <w:t>。具体内容详见公司在巨潮资讯网站</w:t>
      </w:r>
    </w:p>
    <w:p>
      <w:pPr>
        <w:pStyle w:val="Style10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披露的公告（公告编号：</w:t>
      </w:r>
      <w:r>
        <w:rPr>
          <w:color w:val="000000"/>
          <w:spacing w:val="0"/>
          <w:w w:val="100"/>
          <w:position w:val="0"/>
        </w:rPr>
        <w:t>2021-057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p>
      <w:pPr>
        <w:pStyle w:val="Style15"/>
        <w:keepNext w:val="0"/>
        <w:keepLines w:val="0"/>
        <w:widowControl w:val="0"/>
        <w:shd w:val="clear" w:color="auto" w:fill="auto"/>
        <w:tabs>
          <w:tab w:pos="649" w:val="left"/>
        </w:tabs>
        <w:bidi w:val="0"/>
        <w:spacing w:before="0" w:after="0" w:line="312" w:lineRule="exact"/>
        <w:ind w:left="0" w:right="0"/>
        <w:jc w:val="both"/>
      </w:pPr>
      <w:bookmarkStart w:id="422" w:name="bookmark422"/>
      <w:r>
        <w:rPr>
          <w:rFonts w:ascii="Times New Roman" w:eastAsia="Times New Roman" w:hAnsi="Times New Roman" w:cs="Times New Roman"/>
          <w:color w:val="000000"/>
          <w:spacing w:val="0"/>
          <w:w w:val="100"/>
          <w:position w:val="0"/>
        </w:rPr>
        <w:t>7</w:t>
      </w:r>
      <w:bookmarkEnd w:id="422"/>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日，公司第七届董事会第九次会议和第七届监事会第九次会议审议通过了《关于调整</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 激励计划相关事项的议案》、《关于对</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年限制性股票激励计划部分限制性股票回购注销的议案》和《关于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 股票激励计划首次授予部分第二个解锁期解锁条件成就的议案》。鉴于公司原激励对象邓海燕等</w:t>
      </w:r>
      <w:r>
        <w:rPr>
          <w:rFonts w:ascii="Times New Roman" w:eastAsia="Times New Roman" w:hAnsi="Times New Roman" w:cs="Times New Roman"/>
          <w:color w:val="000000"/>
          <w:spacing w:val="0"/>
          <w:w w:val="100"/>
          <w:position w:val="0"/>
        </w:rPr>
        <w:t>2</w:t>
      </w:r>
      <w:r>
        <w:rPr>
          <w:color w:val="000000"/>
          <w:spacing w:val="0"/>
          <w:w w:val="100"/>
          <w:position w:val="0"/>
        </w:rPr>
        <w:t>人因已离职不符合激励条 件，根据激励计划，公司拟对相关激励对象已获授但尚未解锁的</w:t>
      </w:r>
      <w:r>
        <w:rPr>
          <w:rFonts w:ascii="Times New Roman" w:eastAsia="Times New Roman" w:hAnsi="Times New Roman" w:cs="Times New Roman"/>
          <w:color w:val="000000"/>
          <w:spacing w:val="0"/>
          <w:w w:val="100"/>
          <w:position w:val="0"/>
        </w:rPr>
        <w:t>6.9225</w:t>
      </w:r>
      <w:r>
        <w:rPr>
          <w:color w:val="000000"/>
          <w:spacing w:val="0"/>
          <w:w w:val="100"/>
          <w:position w:val="0"/>
        </w:rPr>
        <w:t>万股限制性股票回购注销，其中首次授予部分</w:t>
      </w:r>
      <w:r>
        <w:rPr>
          <w:rFonts w:ascii="Times New Roman" w:eastAsia="Times New Roman" w:hAnsi="Times New Roman" w:cs="Times New Roman"/>
          <w:color w:val="000000"/>
          <w:spacing w:val="0"/>
          <w:w w:val="100"/>
          <w:position w:val="0"/>
        </w:rPr>
        <w:t xml:space="preserve">6.435 </w:t>
      </w:r>
      <w:r>
        <w:rPr>
          <w:color w:val="000000"/>
          <w:spacing w:val="0"/>
          <w:w w:val="100"/>
          <w:position w:val="0"/>
        </w:rPr>
        <w:t>万股，预留授予部分</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.4875</w:t>
      </w:r>
      <w:r>
        <w:rPr>
          <w:color w:val="000000"/>
          <w:spacing w:val="0"/>
          <w:w w:val="100"/>
          <w:position w:val="0"/>
        </w:rPr>
        <w:t>万股。同时，董事会认为，公司本次激励计划首次授予部分限制性股票第二个解锁期解锁条件已 满足，同意解锁</w:t>
      </w:r>
      <w:r>
        <w:rPr>
          <w:rFonts w:ascii="Times New Roman" w:eastAsia="Times New Roman" w:hAnsi="Times New Roman" w:cs="Times New Roman"/>
          <w:color w:val="000000"/>
          <w:spacing w:val="0"/>
          <w:w w:val="100"/>
          <w:position w:val="0"/>
        </w:rPr>
        <w:t>288</w:t>
      </w:r>
      <w:r>
        <w:rPr>
          <w:color w:val="000000"/>
          <w:spacing w:val="0"/>
          <w:w w:val="100"/>
          <w:position w:val="0"/>
        </w:rPr>
        <w:t>名激励对象第二个解锁期涉及的</w:t>
      </w:r>
      <w:r>
        <w:rPr>
          <w:rFonts w:ascii="Times New Roman" w:eastAsia="Times New Roman" w:hAnsi="Times New Roman" w:cs="Times New Roman"/>
          <w:color w:val="000000"/>
          <w:spacing w:val="0"/>
          <w:w w:val="100"/>
          <w:position w:val="0"/>
        </w:rPr>
        <w:t>623.1712</w:t>
      </w:r>
      <w:r>
        <w:rPr>
          <w:color w:val="000000"/>
          <w:spacing w:val="0"/>
          <w:w w:val="100"/>
          <w:position w:val="0"/>
        </w:rPr>
        <w:t>万股限制性股票，并授权公司证券部办理相关解锁登记手续。 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披露的公告（公告编号：</w:t>
      </w:r>
      <w:r>
        <w:rPr>
          <w:rFonts w:ascii="Times New Roman" w:eastAsia="Times New Roman" w:hAnsi="Times New Roman" w:cs="Times New Roman"/>
          <w:color w:val="000000"/>
          <w:spacing w:val="0"/>
          <w:w w:val="100"/>
          <w:position w:val="0"/>
        </w:rPr>
        <w:t>2021-063</w:t>
      </w:r>
      <w:r>
        <w:rPr>
          <w:color w:val="000000"/>
          <w:spacing w:val="0"/>
          <w:w w:val="100"/>
          <w:position w:val="0"/>
        </w:rPr>
        <w:t>、</w:t>
      </w:r>
      <w:r>
        <w:rPr>
          <w:rFonts w:ascii="Times New Roman" w:eastAsia="Times New Roman" w:hAnsi="Times New Roman" w:cs="Times New Roman"/>
          <w:color w:val="000000"/>
          <w:spacing w:val="0"/>
          <w:w w:val="100"/>
          <w:position w:val="0"/>
        </w:rPr>
        <w:t>065</w:t>
      </w:r>
      <w:r>
        <w:rPr>
          <w:color w:val="000000"/>
          <w:spacing w:val="0"/>
          <w:w w:val="100"/>
          <w:position w:val="0"/>
        </w:rPr>
        <w:t>）。</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董事、高级管理人员获得的股权激励情况</w:t>
      </w:r>
    </w:p>
    <w:p>
      <w:pPr>
        <w:pStyle w:val="Style1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2"/>
        <w:gridCol w:w="686"/>
        <w:gridCol w:w="682"/>
        <w:gridCol w:w="682"/>
        <w:gridCol w:w="682"/>
        <w:gridCol w:w="682"/>
        <w:gridCol w:w="686"/>
        <w:gridCol w:w="682"/>
        <w:gridCol w:w="682"/>
        <w:gridCol w:w="682"/>
        <w:gridCol w:w="691"/>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年初</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持有</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股票</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期权</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both"/>
            </w:pPr>
            <w:r>
              <w:rPr>
                <w:color w:val="000000"/>
                <w:spacing w:val="0"/>
                <w:w w:val="100"/>
                <w:position w:val="0"/>
              </w:rPr>
              <w:t xml:space="preserve">报告 期内 已行 权股 数行 权价 格（元 </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持有</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股票</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期权</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140"/>
              <w:jc w:val="left"/>
            </w:pPr>
            <w:r>
              <w:rPr>
                <w:color w:val="000000"/>
                <w:spacing w:val="0"/>
                <w:w w:val="100"/>
                <w:position w:val="0"/>
              </w:rPr>
              <w:t>限制 性股 票的 授予 价格</w:t>
            </w:r>
          </w:p>
          <w:p>
            <w:pPr>
              <w:pStyle w:val="Style2"/>
              <w:keepNext w:val="0"/>
              <w:keepLines w:val="0"/>
              <w:widowControl w:val="0"/>
              <w:shd w:val="clear" w:color="auto" w:fill="auto"/>
              <w:bidi w:val="0"/>
              <w:spacing w:before="0" w:after="0" w:line="313" w:lineRule="exact"/>
              <w:ind w:left="0" w:right="0" w:firstLine="140"/>
              <w:jc w:val="left"/>
            </w:pP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 已解 锁股 份数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 持有 限制 性股 票数 量</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董事、 董事 会秘 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691"/>
        <w:gridCol w:w="686"/>
        <w:gridCol w:w="682"/>
        <w:gridCol w:w="682"/>
        <w:gridCol w:w="686"/>
        <w:gridCol w:w="682"/>
        <w:gridCol w:w="682"/>
        <w:gridCol w:w="682"/>
        <w:gridCol w:w="682"/>
        <w:gridCol w:w="686"/>
        <w:gridCol w:w="682"/>
        <w:gridCol w:w="682"/>
        <w:gridCol w:w="682"/>
        <w:gridCol w:w="691"/>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郁燕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财务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高春 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副总 经理、 总工 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67,50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rFonts w:ascii="Times New Roman" w:eastAsia="Times New Roman" w:hAnsi="Times New Roman" w:cs="Times New Roman"/>
                <w:color w:val="000000"/>
                <w:spacing w:val="0"/>
                <w:w w:val="100"/>
                <w:position w:val="0"/>
              </w:rPr>
              <w:t>113,1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150,0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67,50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rFonts w:ascii="Times New Roman" w:eastAsia="Times New Roman" w:hAnsi="Times New Roman" w:cs="Times New Roman"/>
                <w:color w:val="000000"/>
                <w:spacing w:val="0"/>
                <w:w w:val="100"/>
                <w:position w:val="0"/>
              </w:rPr>
              <w:t>113,1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孙烈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91,65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方宝 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51,75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91,65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900,0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382,5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690,3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高级管理人员的考评机制及激励情况</w:t>
      </w:r>
    </w:p>
    <w:p>
      <w:pPr>
        <w:pStyle w:val="Style15"/>
        <w:keepNext w:val="0"/>
        <w:keepLines w:val="0"/>
        <w:widowControl w:val="0"/>
        <w:shd w:val="clear" w:color="auto" w:fill="auto"/>
        <w:bidi w:val="0"/>
        <w:spacing w:before="0" w:after="360" w:line="314" w:lineRule="exact"/>
        <w:ind w:left="0" w:right="0"/>
        <w:jc w:val="both"/>
      </w:pPr>
      <w:r>
        <w:rPr>
          <w:color w:val="000000"/>
          <w:spacing w:val="0"/>
          <w:w w:val="100"/>
          <w:position w:val="0"/>
        </w:rPr>
        <w:t>公司建立了完善的高级管理人员绩效考评体系和薪酬制度，高级管理人员的工作绩效与其收入直接挂钩。高级管理人员 的聘任公开、透明，符合法律、法规的规定。公司董事会下设薪酬和考核委员会协同公司人力资源部负责对公司董事、监事 及高级管理人员进行绩效考核的实施。</w:t>
      </w:r>
    </w:p>
    <w:p>
      <w:pPr>
        <w:pStyle w:val="Style24"/>
        <w:keepNext/>
        <w:keepLines/>
        <w:widowControl w:val="0"/>
        <w:shd w:val="clear" w:color="auto" w:fill="auto"/>
        <w:tabs>
          <w:tab w:pos="378" w:val="left"/>
        </w:tabs>
        <w:bidi w:val="0"/>
        <w:spacing w:before="0" w:after="26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t>员工持股计划的实施情况</w:t>
      </w:r>
      <w:bookmarkEnd w:id="423"/>
      <w:bookmarkEnd w:id="424"/>
      <w:bookmarkEnd w:id="426"/>
    </w:p>
    <w:p>
      <w:pPr>
        <w:pStyle w:val="Style1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口适用”不适用</w:t>
      </w:r>
    </w:p>
    <w:p>
      <w:pPr>
        <w:pStyle w:val="Style24"/>
        <w:keepNext/>
        <w:keepLines/>
        <w:widowControl w:val="0"/>
        <w:shd w:val="clear" w:color="auto" w:fill="auto"/>
        <w:tabs>
          <w:tab w:pos="378" w:val="left"/>
        </w:tabs>
        <w:bidi w:val="0"/>
        <w:spacing w:before="0" w:after="26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t>其他员工激励措施</w:t>
      </w:r>
      <w:bookmarkEnd w:id="427"/>
      <w:bookmarkEnd w:id="428"/>
      <w:bookmarkEnd w:id="430"/>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9"/>
        <w:keepNext/>
        <w:keepLines/>
        <w:widowControl w:val="0"/>
        <w:shd w:val="clear" w:color="auto" w:fill="auto"/>
        <w:bidi w:val="0"/>
        <w:spacing w:before="0" w:after="36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十四、报告期内的内部控制制度建设及实施情况</w:t>
      </w:r>
      <w:bookmarkEnd w:id="431"/>
      <w:bookmarkEnd w:id="432"/>
      <w:bookmarkEnd w:id="433"/>
    </w:p>
    <w:p>
      <w:pPr>
        <w:pStyle w:val="Style24"/>
        <w:keepNext/>
        <w:keepLines/>
        <w:widowControl w:val="0"/>
        <w:shd w:val="clear" w:color="auto" w:fill="auto"/>
        <w:bidi w:val="0"/>
        <w:spacing w:before="0" w:after="26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、内部控制建设及实施情况</w:t>
      </w:r>
      <w:bookmarkEnd w:id="434"/>
      <w:bookmarkEnd w:id="435"/>
      <w:bookmarkEnd w:id="437"/>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报告期内，公司进一步完善内控制度建设，梳理完善董事会审计委员会及内部审计部门的职能职责，强化在董事会领导 下行使监督权，加强内审部门对公司内部控制制度执行情况的监督力度，提高内部控制管理工作的深度和广度。</w:t>
      </w:r>
    </w:p>
    <w:p>
      <w:pPr>
        <w:pStyle w:val="Style15"/>
        <w:keepNext w:val="0"/>
        <w:keepLines w:val="0"/>
        <w:widowControl w:val="0"/>
        <w:shd w:val="clear" w:color="auto" w:fill="auto"/>
        <w:bidi w:val="0"/>
        <w:spacing w:before="0" w:after="300" w:line="313" w:lineRule="exact"/>
        <w:ind w:left="0" w:right="0" w:firstLine="0"/>
        <w:jc w:val="both"/>
      </w:pPr>
      <w:r>
        <w:rPr>
          <w:color w:val="000000"/>
          <w:spacing w:val="0"/>
          <w:w w:val="100"/>
          <w:position w:val="0"/>
        </w:rPr>
        <w:t>目前，公司已按照上市公司规范要求建立了权责明确、相互制衡的公司治理结构和监督有效的内控制度，并严格依法规范运 作。报告期内，公司不断健全内控体系，修订了《股东大会议事规则》、《董事会议事规则》、《监事会议事规则》、《募 集资金管理制度》、《关联交易管理制度》、《信息披露管理制度》等</w:t>
      </w:r>
      <w:r>
        <w:rPr>
          <w:rFonts w:ascii="Times New Roman" w:eastAsia="Times New Roman" w:hAnsi="Times New Roman" w:cs="Times New Roman"/>
          <w:color w:val="000000"/>
          <w:spacing w:val="0"/>
          <w:w w:val="100"/>
          <w:position w:val="0"/>
        </w:rPr>
        <w:t>22</w:t>
      </w:r>
      <w:r>
        <w:rPr>
          <w:color w:val="000000"/>
          <w:spacing w:val="0"/>
          <w:w w:val="100"/>
          <w:position w:val="0"/>
        </w:rPr>
        <w:t>项制度，并制定了《防范控股股东、实际控制人及 其关联方资金占用管理制度》，目前公司内控运行机制有效，达到了内部控制预期目标，保障了公司及全体股东的利益。</w:t>
      </w:r>
      <w:r>
        <w:br w:type="page"/>
      </w:r>
    </w:p>
    <w:p>
      <w:pPr>
        <w:pStyle w:val="Style24"/>
        <w:keepNext/>
        <w:keepLines/>
        <w:widowControl w:val="0"/>
        <w:shd w:val="clear" w:color="auto" w:fill="auto"/>
        <w:bidi w:val="0"/>
        <w:spacing w:before="0" w:after="38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、报告期内发现的内部控制重大缺陷的具体情况</w:t>
      </w:r>
      <w:bookmarkEnd w:id="438"/>
      <w:bookmarkEnd w:id="439"/>
      <w:bookmarkEnd w:id="441"/>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19"/>
        <w:keepNext/>
        <w:keepLines/>
        <w:widowControl w:val="0"/>
        <w:shd w:val="clear" w:color="auto" w:fill="auto"/>
        <w:bidi w:val="0"/>
        <w:spacing w:before="0" w:after="32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十五、公司报告期内对子公司的管理控制情况</w:t>
      </w:r>
      <w:bookmarkEnd w:id="442"/>
      <w:bookmarkEnd w:id="443"/>
      <w:bookmarkEnd w:id="444"/>
    </w:p>
    <w:tbl>
      <w:tblPr>
        <w:tblOverlap w:val="never"/>
        <w:jc w:val="center"/>
        <w:tblLayout w:type="fixed"/>
      </w:tblPr>
      <w:tblGrid>
        <w:gridCol w:w="1070"/>
        <w:gridCol w:w="2650"/>
        <w:gridCol w:w="1171"/>
        <w:gridCol w:w="1171"/>
        <w:gridCol w:w="1171"/>
        <w:gridCol w:w="1258"/>
        <w:gridCol w:w="10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 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已采取的解 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后续解决 计划</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160" w:right="0" w:firstLine="0"/>
              <w:jc w:val="left"/>
            </w:pPr>
            <w:r>
              <w:rPr>
                <w:color w:val="000000"/>
                <w:spacing w:val="0"/>
                <w:w w:val="100"/>
                <w:position w:val="0"/>
              </w:rPr>
              <w:t>嘉兴市博</w:t>
            </w:r>
          </w:p>
          <w:p>
            <w:pPr>
              <w:pStyle w:val="Style2"/>
              <w:keepNext w:val="0"/>
              <w:keepLines w:val="0"/>
              <w:widowControl w:val="0"/>
              <w:shd w:val="clear" w:color="auto" w:fill="auto"/>
              <w:bidi w:val="0"/>
              <w:spacing w:before="0" w:after="0" w:line="298" w:lineRule="exact"/>
              <w:ind w:left="160" w:right="0" w:firstLine="0"/>
              <w:jc w:val="left"/>
            </w:pPr>
            <w:r>
              <w:rPr>
                <w:color w:val="000000"/>
                <w:spacing w:val="0"/>
                <w:w w:val="100"/>
                <w:position w:val="0"/>
              </w:rPr>
              <w:t>雅达医药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通过控股子公司杭州慧康互联 科技有限公司收购嘉兴市博雅 达医药有限公司</w:t>
            </w:r>
            <w:r>
              <w:rPr>
                <w:rFonts w:ascii="Times New Roman" w:eastAsia="Times New Roman" w:hAnsi="Times New Roman" w:cs="Times New Roman"/>
                <w:color w:val="000000"/>
                <w:spacing w:val="0"/>
                <w:w w:val="100"/>
                <w:position w:val="0"/>
              </w:rPr>
              <w:t>51%</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已完成收购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十六、内部控制自我评价报告或内部控制审计报告</w:t>
      </w:r>
      <w:bookmarkEnd w:id="445"/>
      <w:bookmarkEnd w:id="446"/>
      <w:bookmarkEnd w:id="447"/>
    </w:p>
    <w:p>
      <w:pPr>
        <w:pStyle w:val="Style24"/>
        <w:keepNext/>
        <w:keepLines/>
        <w:widowControl w:val="0"/>
        <w:shd w:val="clear" w:color="auto" w:fill="auto"/>
        <w:bidi w:val="0"/>
        <w:spacing w:before="0" w:after="32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、内控自我评价报告</w:t>
      </w:r>
      <w:bookmarkEnd w:id="448"/>
      <w:bookmarkEnd w:id="449"/>
      <w:bookmarkEnd w:id="451"/>
    </w:p>
    <w:tbl>
      <w:tblPr>
        <w:tblOverlap w:val="never"/>
        <w:jc w:val="center"/>
        <w:tblLayout w:type="fixed"/>
      </w:tblPr>
      <w:tblGrid>
        <w:gridCol w:w="3202"/>
        <w:gridCol w:w="3322"/>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年度内部控制自我评价报告》详见刊登于中国证监会指定的创业板信息 披露网站（巨潮网）</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numPr>
                <w:ilvl w:val="0"/>
                <w:numId w:val="15"/>
              </w:numPr>
              <w:shd w:val="clear" w:color="auto" w:fill="auto"/>
              <w:tabs>
                <w:tab w:pos="187" w:val="left"/>
              </w:tabs>
              <w:bidi w:val="0"/>
              <w:spacing w:before="0" w:after="0" w:line="312" w:lineRule="exact"/>
              <w:ind w:left="0" w:right="0" w:firstLine="0"/>
              <w:jc w:val="left"/>
            </w:pPr>
            <w:r>
              <w:rPr>
                <w:color w:val="000000"/>
                <w:spacing w:val="0"/>
                <w:w w:val="100"/>
                <w:position w:val="0"/>
              </w:rPr>
              <w:t>公司董事、监事和高级管理人员舞弊；</w:t>
            </w:r>
          </w:p>
          <w:p>
            <w:pPr>
              <w:pStyle w:val="Style2"/>
              <w:keepNext w:val="0"/>
              <w:keepLines w:val="0"/>
              <w:widowControl w:val="0"/>
              <w:numPr>
                <w:ilvl w:val="0"/>
                <w:numId w:val="15"/>
              </w:numPr>
              <w:shd w:val="clear" w:color="auto" w:fill="auto"/>
              <w:tabs>
                <w:tab w:pos="187" w:val="left"/>
              </w:tabs>
              <w:bidi w:val="0"/>
              <w:spacing w:before="0" w:after="0" w:line="312" w:lineRule="exact"/>
              <w:ind w:left="0" w:right="0" w:firstLine="0"/>
              <w:jc w:val="left"/>
            </w:pPr>
            <w:r>
              <w:rPr>
                <w:color w:val="000000"/>
                <w:spacing w:val="0"/>
                <w:w w:val="100"/>
                <w:position w:val="0"/>
              </w:rPr>
              <w:t>公司更正已公布的财务报告；③注册 会计师发现当期财务报告存在重大错 报，而内部控制在运行过程中未能发现 该错报；④董事会及相关机构对内部控 制的监督无效。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定性标准即涉及业务性质的严重程 度，公司根据其直接或潜在负面影响 的性质、影响的范围等因素确定的非 财务报告内部控制缺陷评价的定性 标准如下：下列迹象表明非财务报告 内部控制可能存在重大缺陷：①公司 重大决策缺乏决策程序或程序严重 不合理且造成重大损失；②公司人员 因内部控制原因违犯国家法律、法 规，并给公司造成重大损失和严重不 利影响；③公司经营活动严重违反国 家法律法规</w:t>
            </w:r>
            <w:r>
              <w:rPr>
                <w:rFonts w:ascii="Times New Roman" w:eastAsia="Times New Roman" w:hAnsi="Times New Roman" w:cs="Times New Roman"/>
                <w:color w:val="000000"/>
                <w:spacing w:val="0"/>
                <w:w w:val="100"/>
                <w:position w:val="0"/>
              </w:rPr>
              <w:t>;</w:t>
            </w:r>
            <w:r>
              <w:rPr>
                <w:color w:val="000000"/>
                <w:spacing w:val="0"/>
                <w:w w:val="100"/>
                <w:position w:val="0"/>
              </w:rPr>
              <w:t>④重要业务长期缺乏制 度控制或制度系统性失效；⑤内部控 制评价的结果是重大缺陷但未得到 整改。</w:t>
            </w: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重大缺陷：错报金额</w:t>
            </w:r>
            <w:r>
              <w:rPr>
                <w:color w:val="000000"/>
                <w:spacing w:val="0"/>
                <w:w w:val="100"/>
                <w:position w:val="0"/>
                <w:sz w:val="18"/>
                <w:szCs w:val="18"/>
              </w:rPr>
              <w:t>N</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重要缺陷：资产总额的</w:t>
            </w:r>
            <w:r>
              <w:rPr>
                <w:rFonts w:ascii="Times New Roman" w:eastAsia="Times New Roman" w:hAnsi="Times New Roman" w:cs="Times New Roman"/>
                <w:color w:val="000000"/>
                <w:spacing w:val="0"/>
                <w:w w:val="100"/>
                <w:position w:val="0"/>
              </w:rPr>
              <w:t>0.5%</w:t>
            </w:r>
            <w:r>
              <w:rPr>
                <w:color w:val="000000"/>
                <w:spacing w:val="0"/>
                <w:w w:val="100"/>
                <w:position w:val="0"/>
                <w:sz w:val="18"/>
                <w:szCs w:val="18"/>
              </w:rPr>
              <w:t>W</w:t>
            </w:r>
            <w:r>
              <w:rPr>
                <w:color w:val="000000"/>
                <w:spacing w:val="0"/>
                <w:w w:val="100"/>
                <w:position w:val="0"/>
              </w:rPr>
              <w:t>错报金额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公司根据缺陷造成直接财产损失占 公司资产总额的比率确定非财务报</w:t>
            </w:r>
          </w:p>
        </w:tc>
      </w:tr>
    </w:tbl>
    <w:tbl>
      <w:tblPr>
        <w:tblOverlap w:val="never"/>
        <w:jc w:val="center"/>
        <w:tblLayout w:type="fixed"/>
      </w:tblPr>
      <w:tblGrid>
        <w:gridCol w:w="3202"/>
        <w:gridCol w:w="3322"/>
        <w:gridCol w:w="30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 一般缺陷：错报金额</w:t>
            </w:r>
            <w:r>
              <w:rPr>
                <w:rFonts w:ascii="Times New Roman" w:eastAsia="Times New Roman" w:hAnsi="Times New Roman" w:cs="Times New Roman"/>
                <w:color w:val="000000"/>
                <w:spacing w:val="0"/>
                <w:w w:val="100"/>
                <w:position w:val="0"/>
              </w:rPr>
              <w:t xml:space="preserve">＜ </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告内部控制缺陷评价的定量标准，标 准参照财务报告内控缺陷定量标准。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、内部控制审计报告或鉴证报告</w:t>
      </w:r>
      <w:bookmarkEnd w:id="452"/>
      <w:bookmarkEnd w:id="453"/>
      <w:bookmarkEnd w:id="455"/>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left"/>
      </w:pPr>
      <w:bookmarkStart w:id="456" w:name="bookmark456"/>
      <w:bookmarkStart w:id="457" w:name="bookmark457"/>
      <w:bookmarkStart w:id="458" w:name="bookmark458"/>
      <w:r>
        <w:rPr>
          <w:color w:val="000000"/>
          <w:spacing w:val="0"/>
          <w:w w:val="100"/>
          <w:position w:val="0"/>
          <w:sz w:val="24"/>
          <w:szCs w:val="24"/>
        </w:rPr>
        <w:t>十七、上市公司治理专项行动自查问题整改情况</w:t>
      </w:r>
      <w:bookmarkEnd w:id="456"/>
      <w:bookmarkEnd w:id="457"/>
      <w:bookmarkEnd w:id="458"/>
    </w:p>
    <w:p>
      <w:pPr>
        <w:pStyle w:val="Style15"/>
        <w:keepNext w:val="0"/>
        <w:keepLines w:val="0"/>
        <w:widowControl w:val="0"/>
        <w:shd w:val="clear" w:color="auto" w:fill="auto"/>
        <w:bidi w:val="0"/>
        <w:spacing w:before="0" w:after="340" w:line="314" w:lineRule="exact"/>
        <w:ind w:left="0" w:right="0"/>
        <w:jc w:val="left"/>
        <w:sectPr>
          <w:footnotePr>
            <w:pos w:val="pageBottom"/>
            <w:numFmt w:val="decimal"/>
            <w:numRestart w:val="continuous"/>
          </w:footnotePr>
          <w:pgSz w:w="11900" w:h="16840"/>
          <w:pgMar w:top="1383" w:right="1055" w:bottom="1474" w:left="1067" w:header="0" w:footer="3" w:gutter="0"/>
          <w:cols w:space="720"/>
          <w:noEndnote/>
          <w:rtlGutter w:val="0"/>
          <w:docGrid w:linePitch="360"/>
        </w:sectPr>
      </w:pPr>
      <w:r>
        <w:rPr>
          <w:color w:val="000000"/>
          <w:spacing w:val="0"/>
          <w:w w:val="100"/>
          <w:position w:val="0"/>
        </w:rPr>
        <w:t>公司本着实事求是的原则，根据中国证券监督管理委员会上市公司治理专项自查清单填报要求，严格对照《公司法》、 《证券法》等有关法律、法规以及《公司章程等内部规章制度，对照专项活动的自查事项进行了自查，共涉及七方面共计</w:t>
      </w:r>
      <w:r>
        <w:rPr>
          <w:color w:val="000000"/>
          <w:spacing w:val="0"/>
          <w:w w:val="100"/>
          <w:position w:val="0"/>
          <w:sz w:val="18"/>
          <w:szCs w:val="18"/>
        </w:rPr>
        <w:t xml:space="preserve">119 </w:t>
      </w:r>
      <w:r>
        <w:rPr>
          <w:color w:val="000000"/>
          <w:spacing w:val="0"/>
          <w:w w:val="100"/>
          <w:position w:val="0"/>
        </w:rPr>
        <w:t>个问答，公司认真梳理填报，完成了专项自查工作。通过本次自查，公司认为公司治理符合《公司法》、《证券法》等法律 法规的要求，公司治理结构完善，运作规范，不存在重大问题的失误和需要整改的情况。</w:t>
      </w:r>
    </w:p>
    <w:p>
      <w:pPr>
        <w:pStyle w:val="Style8"/>
        <w:keepNext/>
        <w:keepLines/>
        <w:widowControl w:val="0"/>
        <w:shd w:val="clear" w:color="auto" w:fill="auto"/>
        <w:bidi w:val="0"/>
        <w:spacing w:before="620" w:line="240" w:lineRule="auto"/>
        <w:ind w:left="0" w:right="0" w:firstLine="0"/>
        <w:jc w:val="center"/>
      </w:pPr>
      <w:bookmarkStart w:id="459" w:name="bookmark459"/>
      <w:bookmarkStart w:id="460" w:name="bookmark460"/>
      <w:bookmarkStart w:id="461" w:name="bookmark461"/>
      <w:r>
        <w:rPr>
          <w:color w:val="000000"/>
          <w:spacing w:val="0"/>
          <w:w w:val="100"/>
          <w:position w:val="0"/>
        </w:rPr>
        <w:t>第五节环境和社会责任</w:t>
      </w:r>
      <w:bookmarkEnd w:id="459"/>
      <w:bookmarkEnd w:id="460"/>
      <w:bookmarkEnd w:id="461"/>
    </w:p>
    <w:p>
      <w:pPr>
        <w:pStyle w:val="Style19"/>
        <w:keepNext/>
        <w:keepLines/>
        <w:widowControl w:val="0"/>
        <w:shd w:val="clear" w:color="auto" w:fill="auto"/>
        <w:bidi w:val="0"/>
        <w:spacing w:before="0" w:after="360" w:line="240" w:lineRule="auto"/>
        <w:ind w:left="0" w:right="0" w:firstLine="240"/>
        <w:jc w:val="left"/>
      </w:pPr>
      <w:bookmarkStart w:id="462" w:name="bookmark462"/>
      <w:bookmarkStart w:id="463" w:name="bookmark463"/>
      <w:bookmarkStart w:id="464" w:name="bookmark464"/>
      <w:r>
        <w:rPr>
          <w:color w:val="000000"/>
          <w:spacing w:val="0"/>
          <w:w w:val="100"/>
          <w:position w:val="0"/>
          <w:sz w:val="24"/>
          <w:szCs w:val="24"/>
        </w:rPr>
        <w:t>、重大环保问题</w:t>
      </w:r>
      <w:bookmarkEnd w:id="462"/>
      <w:bookmarkEnd w:id="463"/>
      <w:bookmarkEnd w:id="46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参照重点排污单位披露的其他环境信息</w:t>
      </w:r>
    </w:p>
    <w:p>
      <w:pPr>
        <w:pStyle w:val="Style15"/>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公司一直专注于医疗卫生行业的信息化建设业务，目前主要产品分为医疗卫生信息化应用软件产品服务、医疗卫生互联 网应用产品及服务、医疗卫生智慧物联网应用产品及服务，不存在污染环境的情形。</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在报告期内为减少其碳排放所采取的措施及效果</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不适用。</w:t>
      </w:r>
    </w:p>
    <w:p>
      <w:pPr>
        <w:pStyle w:val="Style19"/>
        <w:keepNext/>
        <w:keepLines/>
        <w:widowControl w:val="0"/>
        <w:shd w:val="clear" w:color="auto" w:fill="auto"/>
        <w:tabs>
          <w:tab w:pos="512" w:val="left"/>
        </w:tabs>
        <w:bidi w:val="0"/>
        <w:spacing w:before="0" w:after="26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二</w:t>
      </w:r>
      <w:bookmarkEnd w:id="467"/>
      <w:r>
        <w:rPr>
          <w:color w:val="000000"/>
          <w:spacing w:val="0"/>
          <w:w w:val="100"/>
          <w:position w:val="0"/>
          <w:sz w:val="24"/>
          <w:szCs w:val="24"/>
        </w:rPr>
        <w:t>、</w:t>
        <w:tab/>
        <w:t>社会责任情况</w:t>
      </w:r>
      <w:bookmarkEnd w:id="465"/>
      <w:bookmarkEnd w:id="466"/>
      <w:bookmarkEnd w:id="468"/>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（一）股东及债权人权益保护</w:t>
      </w:r>
    </w:p>
    <w:p>
      <w:pPr>
        <w:pStyle w:val="Style15"/>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公司严格按照《公司法》《证券法》《股票上市规则》等法律法规、部门规章、规范性文件和公司章程的规定，依法召 开股东大会，积极主动采用网络投票等方式扩大股东参与股东大会的比例。报告期内，公司不断完善法人治理结构，保障股 东知情权、参与权及分红权；积极实施现金分红政策，确保股东投资回报；不断完善内控体系及治理结构，严格履行信息披 露义务，真实、准确、完整、及时、公平地向所有股东披露信息；通过网上业绩说明会、投资者电话、传真、电子邮箱和投 资者关系互动平台、接待投资者现场调研等多种方式与投资者进行沟通交流，建立良好的互动平台，提高公司的透明度和诚 信度。同时，公司的财务政策稳健，资产、资金安全，在维护股东利益的同时兼顾债权人的利益。报告期内，公司无大股东 及关联方占用公司资金情形，亦不存在将资金直接或间接地提供给大股东及关联方使用的各种情形，公司无任何形式的对外 担保事项。</w:t>
      </w:r>
    </w:p>
    <w:p>
      <w:pPr>
        <w:pStyle w:val="Style1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（二）职工权益保护</w:t>
      </w:r>
    </w:p>
    <w:p>
      <w:pPr>
        <w:pStyle w:val="Style15"/>
        <w:keepNext w:val="0"/>
        <w:keepLines w:val="0"/>
        <w:widowControl w:val="0"/>
        <w:shd w:val="clear" w:color="auto" w:fill="auto"/>
        <w:bidi w:val="0"/>
        <w:spacing w:before="0" w:after="360" w:line="313" w:lineRule="exact"/>
        <w:ind w:left="0" w:right="0" w:firstLine="460"/>
        <w:jc w:val="both"/>
      </w:pPr>
      <w:r>
        <w:rPr>
          <w:color w:val="000000"/>
          <w:spacing w:val="0"/>
          <w:w w:val="100"/>
          <w:position w:val="0"/>
        </w:rPr>
        <w:t>公司始终坚持“以人为本”的核心价值观，尊重员工人格，关注员工健康、安全和满意度，保障员工合法权益，致力 于培育员工的认同感和归属感，实现员工与企业共同成长。为员工提供健康、安全的工作环境；尊重和保护员工权益，严格 贯彻执行《劳动合同法》《社会保险法》等各项法律法规；不断完善具有吸引力和竞争性的福利体系；改善员工生产环境， 定期发放劳保用品和节日礼品；持续优化员工关怀体系，努力为员工提供更好的工作环境及更多的人文关怀。</w:t>
      </w:r>
    </w:p>
    <w:p>
      <w:pPr>
        <w:pStyle w:val="Style19"/>
        <w:keepNext/>
        <w:keepLines/>
        <w:widowControl w:val="0"/>
        <w:shd w:val="clear" w:color="auto" w:fill="auto"/>
        <w:tabs>
          <w:tab w:pos="517" w:val="left"/>
        </w:tabs>
        <w:bidi w:val="0"/>
        <w:spacing w:before="0" w:after="2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w:t>
        <w:tab/>
        <w:t>巩固拓展脱贫攻坚成果、乡村振兴的情况</w:t>
      </w:r>
      <w:bookmarkEnd w:id="469"/>
      <w:bookmarkEnd w:id="470"/>
      <w:bookmarkEnd w:id="472"/>
    </w:p>
    <w:p>
      <w:pPr>
        <w:pStyle w:val="Style15"/>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报告期内，公司积极发挥公司社会价值，响应滨江区工商联发起的村企结对帮扶活动，与四川省广元市朝天区两河镇农 华村签订村企结对帮扶框架协议，并向帮扶村捐款五万元用于乡村振兴建设；此外，公司向杭州高新开发区（滨江）慈善总 会捐款五万元作为</w:t>
      </w:r>
      <w:r>
        <w:rPr>
          <w:rFonts w:ascii="Times New Roman" w:eastAsia="Times New Roman" w:hAnsi="Times New Roman" w:cs="Times New Roman"/>
          <w:color w:val="000000"/>
          <w:spacing w:val="0"/>
          <w:w w:val="100"/>
          <w:position w:val="0"/>
        </w:rPr>
        <w:t>2021</w:t>
      </w:r>
      <w:r>
        <w:rPr>
          <w:color w:val="000000"/>
          <w:spacing w:val="0"/>
          <w:w w:val="100"/>
          <w:position w:val="0"/>
        </w:rPr>
        <w:t>年春风行动帮扶资金。</w:t>
      </w:r>
      <w:r>
        <w:br w:type="page"/>
      </w:r>
    </w:p>
    <w:p>
      <w:pPr>
        <w:pStyle w:val="Style8"/>
        <w:keepNext/>
        <w:keepLines/>
        <w:widowControl w:val="0"/>
        <w:shd w:val="clear" w:color="auto" w:fill="auto"/>
        <w:bidi w:val="0"/>
        <w:spacing w:before="0" w:after="540" w:line="240" w:lineRule="auto"/>
        <w:ind w:left="0" w:right="0" w:firstLine="0"/>
        <w:jc w:val="center"/>
      </w:pPr>
      <w:bookmarkStart w:id="473" w:name="bookmark473"/>
      <w:bookmarkStart w:id="474" w:name="bookmark474"/>
      <w:bookmarkStart w:id="475" w:name="bookmark475"/>
      <w:r>
        <w:rPr>
          <w:color w:val="000000"/>
          <w:spacing w:val="0"/>
          <w:w w:val="100"/>
          <w:position w:val="0"/>
        </w:rPr>
        <w:t>第六节重要事项</w:t>
      </w:r>
      <w:bookmarkEnd w:id="473"/>
      <w:bookmarkEnd w:id="474"/>
      <w:bookmarkEnd w:id="475"/>
    </w:p>
    <w:p>
      <w:pPr>
        <w:pStyle w:val="Style19"/>
        <w:keepNext/>
        <w:keepLines/>
        <w:widowControl w:val="0"/>
        <w:shd w:val="clear" w:color="auto" w:fill="auto"/>
        <w:bidi w:val="0"/>
        <w:spacing w:before="0" w:after="28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一</w:t>
      </w:r>
      <w:bookmarkEnd w:id="478"/>
      <w:r>
        <w:rPr>
          <w:color w:val="000000"/>
          <w:spacing w:val="0"/>
          <w:w w:val="100"/>
          <w:position w:val="0"/>
          <w:sz w:val="24"/>
          <w:szCs w:val="24"/>
        </w:rPr>
        <w:t>、承诺事项履行情况</w:t>
      </w:r>
      <w:bookmarkEnd w:id="476"/>
      <w:bookmarkEnd w:id="477"/>
      <w:bookmarkEnd w:id="479"/>
    </w:p>
    <w:p>
      <w:pPr>
        <w:pStyle w:val="Style24"/>
        <w:keepNext/>
        <w:keepLines/>
        <w:widowControl w:val="0"/>
        <w:shd w:val="clear" w:color="auto" w:fill="auto"/>
        <w:bidi w:val="0"/>
        <w:spacing w:before="0" w:after="380" w:line="317" w:lineRule="exact"/>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、公司实际控制人、股东、关联方、收购人以及公司等承诺相关方在报告期内履行完毕及截至报告期末 尚未履行完毕的承诺事项</w:t>
      </w:r>
      <w:bookmarkEnd w:id="480"/>
      <w:bookmarkEnd w:id="481"/>
      <w:bookmarkEnd w:id="483"/>
    </w:p>
    <w:p>
      <w:pPr>
        <w:pStyle w:val="Style21"/>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sz w:val="18"/>
          <w:szCs w:val="18"/>
        </w:rPr>
        <w:t>J</w:t>
      </w:r>
      <w:r>
        <w:rPr>
          <w:b w:val="0"/>
          <w:bCs w:val="0"/>
          <w:color w:val="000000"/>
          <w:spacing w:val="0"/>
          <w:w w:val="100"/>
          <w:position w:val="0"/>
        </w:rPr>
        <w:t>适用口不适用</w:t>
      </w:r>
    </w:p>
    <w:tbl>
      <w:tblPr>
        <w:tblOverlap w:val="never"/>
        <w:jc w:val="center"/>
        <w:tblLayout w:type="fixed"/>
      </w:tblPr>
      <w:tblGrid>
        <w:gridCol w:w="629"/>
        <w:gridCol w:w="931"/>
        <w:gridCol w:w="730"/>
        <w:gridCol w:w="5309"/>
        <w:gridCol w:w="744"/>
        <w:gridCol w:w="600"/>
        <w:gridCol w:w="63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9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重组</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时所</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 同业 竞争、 关联 交易、 资金 占用 方面 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一、关于避免同业竞争的承诺</w:t>
            </w:r>
            <w:r>
              <w:rPr>
                <w:rFonts w:ascii="Times New Roman" w:eastAsia="Times New Roman" w:hAnsi="Times New Roman" w:cs="Times New Roman"/>
                <w:color w:val="000000"/>
                <w:spacing w:val="0"/>
                <w:w w:val="100"/>
                <w:position w:val="0"/>
              </w:rPr>
              <w:t>1</w:t>
            </w:r>
            <w:r>
              <w:rPr>
                <w:color w:val="000000"/>
                <w:spacing w:val="0"/>
                <w:w w:val="100"/>
                <w:position w:val="0"/>
              </w:rPr>
              <w:t>、在本承诺签署之日，本人及所控 制的公司和拥有权益的公司均未生产、开发任何与创业软件产品 构成竞争或可能竞争的产品，未直接或间接经营任何与创业软件 经营的业务构成竞争或可能竞争的业务，也未参与投资任何与创 业软件生产的产品或经营的业务构成竞争或可能竞争的其他企 业。</w:t>
            </w:r>
            <w:r>
              <w:rPr>
                <w:rFonts w:ascii="Times New Roman" w:eastAsia="Times New Roman" w:hAnsi="Times New Roman" w:cs="Times New Roman"/>
                <w:color w:val="000000"/>
                <w:spacing w:val="0"/>
                <w:w w:val="100"/>
                <w:position w:val="0"/>
              </w:rPr>
              <w:t>2</w:t>
            </w:r>
            <w:r>
              <w:rPr>
                <w:color w:val="000000"/>
                <w:spacing w:val="0"/>
                <w:w w:val="100"/>
                <w:position w:val="0"/>
              </w:rPr>
              <w:t>、自本承诺签署之日起，本人及所控制的公司和拥有权益的 公司将不生产、开发任何与创业软件产品构成竞争或可能竞争的 产品，不直接或间接经营任何与创业软件经营的业务构成竞争或 可能竞争的业务，不参与投资任何与创业软件生产的产品或经营 的业务构成竞争或可能竞争的其他企业。</w:t>
            </w:r>
            <w:r>
              <w:rPr>
                <w:rFonts w:ascii="Times New Roman" w:eastAsia="Times New Roman" w:hAnsi="Times New Roman" w:cs="Times New Roman"/>
                <w:color w:val="000000"/>
                <w:spacing w:val="0"/>
                <w:w w:val="100"/>
                <w:position w:val="0"/>
              </w:rPr>
              <w:t>3</w:t>
            </w:r>
            <w:r>
              <w:rPr>
                <w:color w:val="000000"/>
                <w:spacing w:val="0"/>
                <w:w w:val="100"/>
                <w:position w:val="0"/>
              </w:rPr>
              <w:t>、自本承诺签署之日起， 如创业软件进一步拓展其产品和业务范围，本人及所控制的公司 和拥有权益的公司将不与创业软件拓展后的产品和业务相竞争； 若与创业软件拓展后的产品和业务相竞争，本人及所控制的公司 和拥有权益的公司将采取以下方式避免同业竞争：①停止生产或 经营相竞争的产品和业务；②将相竞争的业务纳入创业软件经营； ③向无关联关系的第三方转让该业务。</w:t>
            </w:r>
            <w:r>
              <w:rPr>
                <w:rFonts w:ascii="Times New Roman" w:eastAsia="Times New Roman" w:hAnsi="Times New Roman" w:cs="Times New Roman"/>
                <w:color w:val="000000"/>
                <w:spacing w:val="0"/>
                <w:w w:val="100"/>
                <w:position w:val="0"/>
              </w:rPr>
              <w:t>4</w:t>
            </w:r>
            <w:r>
              <w:rPr>
                <w:color w:val="000000"/>
                <w:spacing w:val="0"/>
                <w:w w:val="100"/>
                <w:position w:val="0"/>
              </w:rPr>
              <w:t>、如本承诺未被遵守，本 人将向创业软件赔偿一切直接或间接损失。二、关于减少和规范 关联交易的承诺</w:t>
            </w:r>
            <w:r>
              <w:rPr>
                <w:rFonts w:ascii="Times New Roman" w:eastAsia="Times New Roman" w:hAnsi="Times New Roman" w:cs="Times New Roman"/>
                <w:color w:val="000000"/>
                <w:spacing w:val="0"/>
                <w:w w:val="100"/>
                <w:position w:val="0"/>
              </w:rPr>
              <w:t>1</w:t>
            </w:r>
            <w:r>
              <w:rPr>
                <w:color w:val="000000"/>
                <w:spacing w:val="0"/>
                <w:w w:val="100"/>
                <w:position w:val="0"/>
              </w:rPr>
              <w:t>、本人及本人控制的其他企业（如有）与上市公 司及其控股子公司之间已存在及将来不可避免发生的关联交易事 项，保证遵循市场交易的公平原则即正常的商业条款与上市公司 及其控股子公司发生交易。如未按市场交易的公平原则与上市公 司及其控股子公司发生交易，而给上市公司及其控股子公司造成 损失或已经造成损失，由本人承担赔偿责任。</w:t>
            </w:r>
            <w:r>
              <w:rPr>
                <w:rFonts w:ascii="Times New Roman" w:eastAsia="Times New Roman" w:hAnsi="Times New Roman" w:cs="Times New Roman"/>
                <w:color w:val="000000"/>
                <w:spacing w:val="0"/>
                <w:w w:val="100"/>
                <w:position w:val="0"/>
              </w:rPr>
              <w:t>2</w:t>
            </w:r>
            <w:r>
              <w:rPr>
                <w:color w:val="000000"/>
                <w:spacing w:val="0"/>
                <w:w w:val="100"/>
                <w:position w:val="0"/>
              </w:rPr>
              <w:t>、本人将善意履行 作为上市公司股东的义务，充分尊重上市公司的独立法人地位， 保障上市公司独立经营、自主决策。本人将严格按照中国《公司 法》以及上市公司的公司章程的规定，促使经本人提名的上市公 司董事（如有）依法履行其应尽的诚信和勤勉责任。</w:t>
            </w:r>
            <w:r>
              <w:rPr>
                <w:rFonts w:ascii="Times New Roman" w:eastAsia="Times New Roman" w:hAnsi="Times New Roman" w:cs="Times New Roman"/>
                <w:color w:val="000000"/>
                <w:spacing w:val="0"/>
                <w:w w:val="100"/>
                <w:position w:val="0"/>
              </w:rPr>
              <w:t>3</w:t>
            </w:r>
            <w:r>
              <w:rPr>
                <w:color w:val="000000"/>
                <w:spacing w:val="0"/>
                <w:w w:val="100"/>
                <w:position w:val="0"/>
              </w:rPr>
              <w:t>、本人以及 本人控股或实际控制的其他公司或者其他企业或经济组织（以下 统称“本人的关联企业”，如有），将来尽可能避免与上市公司 发生关联交易。</w:t>
            </w:r>
            <w:r>
              <w:rPr>
                <w:rFonts w:ascii="Times New Roman" w:eastAsia="Times New Roman" w:hAnsi="Times New Roman" w:cs="Times New Roman"/>
                <w:color w:val="000000"/>
                <w:spacing w:val="0"/>
                <w:w w:val="100"/>
                <w:position w:val="0"/>
              </w:rPr>
              <w:t>4</w:t>
            </w:r>
            <w:r>
              <w:rPr>
                <w:color w:val="000000"/>
                <w:spacing w:val="0"/>
                <w:w w:val="100"/>
                <w:position w:val="0"/>
              </w:rPr>
              <w:t>、本人及本人的关联企业承诺不以借款、代偿债 务、代垫款项或者其他方式占用上市公司资金，也不要求上市公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936"/>
        <w:gridCol w:w="730"/>
        <w:gridCol w:w="5309"/>
        <w:gridCol w:w="744"/>
        <w:gridCol w:w="600"/>
        <w:gridCol w:w="634"/>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司为本人及本人的关联企业违规担保。</w:t>
            </w:r>
            <w:r>
              <w:rPr>
                <w:rFonts w:ascii="Times New Roman" w:eastAsia="Times New Roman" w:hAnsi="Times New Roman" w:cs="Times New Roman"/>
                <w:color w:val="000000"/>
                <w:spacing w:val="0"/>
                <w:w w:val="100"/>
                <w:position w:val="0"/>
              </w:rPr>
              <w:t>5</w:t>
            </w:r>
            <w:r>
              <w:rPr>
                <w:color w:val="000000"/>
                <w:spacing w:val="0"/>
                <w:w w:val="100"/>
                <w:position w:val="0"/>
              </w:rPr>
              <w:t>、如果上市公司在今后的 经营活动中必须与本人或本人的关联企业发生不可避免的关联交 易，本人将促使此等交易严格按照国家有关法律法规、上市公司 章程和上市公司的有关规定履行有关程序，在上市公司股东大会 对关联交易进行表决时，本人严格履行回避表决的义务；与上市 公司依法签订协议，及时进行信息披露；保证按照正常的商业条 件进行，且本人及本人的关联企业将不会要求或接受上市公司给 予比在任何一项市场公平交易中第三者更优惠的条件，保证不通 过关联交易损害上市公司及其他股东的合法权益。</w:t>
            </w:r>
            <w:r>
              <w:rPr>
                <w:rFonts w:ascii="Times New Roman" w:eastAsia="Times New Roman" w:hAnsi="Times New Roman" w:cs="Times New Roman"/>
                <w:color w:val="000000"/>
                <w:spacing w:val="0"/>
                <w:w w:val="100"/>
                <w:position w:val="0"/>
              </w:rPr>
              <w:t>6</w:t>
            </w:r>
            <w:r>
              <w:rPr>
                <w:color w:val="000000"/>
                <w:spacing w:val="0"/>
                <w:w w:val="100"/>
                <w:position w:val="0"/>
              </w:rPr>
              <w:t>、本人及本人 的关联企业将严格和善意地履行其与上市公司签订的各种关联交 易协议。本人及本人的关联企业将不会向上市公司谋求任何超出 上述协议规定以外的利益或收益。</w:t>
            </w:r>
            <w:r>
              <w:rPr>
                <w:rFonts w:ascii="Times New Roman" w:eastAsia="Times New Roman" w:hAnsi="Times New Roman" w:cs="Times New Roman"/>
                <w:color w:val="000000"/>
                <w:spacing w:val="0"/>
                <w:w w:val="100"/>
                <w:position w:val="0"/>
              </w:rPr>
              <w:t>7</w:t>
            </w:r>
            <w:r>
              <w:rPr>
                <w:color w:val="000000"/>
                <w:spacing w:val="0"/>
                <w:w w:val="100"/>
                <w:position w:val="0"/>
              </w:rPr>
              <w:t>、如违反上述承诺给上市公司 造成损失，本人将向上市公司作出赔偿。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粟投资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粟科技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司；周建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 同业 竞争、 关联 交易、 资金 占用 方面 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一、关于避免同业竞争的承诺本承诺人现就有关避免同业竞争事 宜作出确认、承诺和保证如下：</w:t>
            </w:r>
            <w:r>
              <w:rPr>
                <w:rFonts w:ascii="Times New Roman" w:eastAsia="Times New Roman" w:hAnsi="Times New Roman" w:cs="Times New Roman"/>
                <w:color w:val="000000"/>
                <w:spacing w:val="0"/>
                <w:w w:val="100"/>
                <w:position w:val="0"/>
              </w:rPr>
              <w:t>1</w:t>
            </w:r>
            <w:r>
              <w:rPr>
                <w:color w:val="000000"/>
                <w:spacing w:val="0"/>
                <w:w w:val="100"/>
                <w:position w:val="0"/>
              </w:rPr>
              <w:t>、慧康物联与上市公司重组后， 非经上市公司董事会和</w:t>
            </w:r>
            <w:r>
              <w:rPr>
                <w:rFonts w:ascii="Times New Roman" w:eastAsia="Times New Roman" w:hAnsi="Times New Roman" w:cs="Times New Roman"/>
                <w:color w:val="000000"/>
                <w:spacing w:val="0"/>
                <w:w w:val="100"/>
                <w:position w:val="0"/>
              </w:rPr>
              <w:t>/</w:t>
            </w:r>
            <w:r>
              <w:rPr>
                <w:color w:val="000000"/>
                <w:spacing w:val="0"/>
                <w:w w:val="100"/>
                <w:position w:val="0"/>
              </w:rPr>
              <w:t>或股东大会书面同意，本公司</w:t>
            </w:r>
            <w:r>
              <w:rPr>
                <w:rFonts w:ascii="Times New Roman" w:eastAsia="Times New Roman" w:hAnsi="Times New Roman" w:cs="Times New Roman"/>
                <w:color w:val="000000"/>
                <w:spacing w:val="0"/>
                <w:w w:val="100"/>
                <w:position w:val="0"/>
              </w:rPr>
              <w:t>/</w:t>
            </w:r>
            <w:r>
              <w:rPr>
                <w:color w:val="000000"/>
                <w:spacing w:val="0"/>
                <w:w w:val="100"/>
                <w:position w:val="0"/>
              </w:rPr>
              <w:t>本人不单独 或与他人，以任何形式（包括但不限于投资、并购、联营、合资、 合作、合伙、承包或租赁经营、参股）直接或间接从事或参与或 协助从事或参与任何与慧康物联及其控制的企业目前及今后进行 的金融自助设备维保业务构成或可能构成竞争的业务或活动；</w:t>
            </w:r>
            <w:r>
              <w:rPr>
                <w:rFonts w:ascii="Times New Roman" w:eastAsia="Times New Roman" w:hAnsi="Times New Roman" w:cs="Times New Roman"/>
                <w:color w:val="000000"/>
                <w:spacing w:val="0"/>
                <w:w w:val="100"/>
                <w:position w:val="0"/>
              </w:rPr>
              <w:t>2</w:t>
            </w:r>
            <w:r>
              <w:rPr>
                <w:color w:val="000000"/>
                <w:spacing w:val="0"/>
                <w:w w:val="100"/>
                <w:position w:val="0"/>
              </w:rPr>
              <w:t>、 慧康物联与上市公司重组后，本公司</w:t>
            </w:r>
            <w:r>
              <w:rPr>
                <w:rFonts w:ascii="Times New Roman" w:eastAsia="Times New Roman" w:hAnsi="Times New Roman" w:cs="Times New Roman"/>
                <w:color w:val="000000"/>
                <w:spacing w:val="0"/>
                <w:w w:val="100"/>
                <w:position w:val="0"/>
              </w:rPr>
              <w:t>/</w:t>
            </w:r>
            <w:r>
              <w:rPr>
                <w:color w:val="000000"/>
                <w:spacing w:val="0"/>
                <w:w w:val="100"/>
                <w:position w:val="0"/>
              </w:rPr>
              <w:t>本人承诺将不会以任何形式 支持上市公司、慧康物联及其控制的企业以外的他人从事与上市 公司、慧康物联及其控制的企业目前及今后进行的金融自助设备 维保业务构成或可能构成竞争的业务及以其他方式参与（不论直 接或间接）任何与上市公司、慧康物联及其控制的企业目前及今 后进行的金融自助设备维保业务构成竞争或可能构成竞争的业务 或活动；</w:t>
            </w:r>
            <w:r>
              <w:rPr>
                <w:rFonts w:ascii="Times New Roman" w:eastAsia="Times New Roman" w:hAnsi="Times New Roman" w:cs="Times New Roman"/>
                <w:color w:val="000000"/>
                <w:spacing w:val="0"/>
                <w:w w:val="100"/>
                <w:position w:val="0"/>
              </w:rPr>
              <w:t>3</w:t>
            </w:r>
            <w:r>
              <w:rPr>
                <w:color w:val="000000"/>
                <w:spacing w:val="0"/>
                <w:w w:val="100"/>
                <w:position w:val="0"/>
              </w:rPr>
              <w:t>、慧康物联与上市公司重组后，本公司</w:t>
            </w:r>
            <w:r>
              <w:rPr>
                <w:rFonts w:ascii="Times New Roman" w:eastAsia="Times New Roman" w:hAnsi="Times New Roman" w:cs="Times New Roman"/>
                <w:color w:val="000000"/>
                <w:spacing w:val="0"/>
                <w:w w:val="100"/>
                <w:position w:val="0"/>
              </w:rPr>
              <w:t>/</w:t>
            </w:r>
            <w:r>
              <w:rPr>
                <w:color w:val="000000"/>
                <w:spacing w:val="0"/>
                <w:w w:val="100"/>
                <w:position w:val="0"/>
              </w:rPr>
              <w:t>本人如有任何与 慧康物联金融自助设备维保的竞争性业务机会，应立即通知上市 公司，并将在本公司</w:t>
            </w:r>
            <w:r>
              <w:rPr>
                <w:rFonts w:ascii="Times New Roman" w:eastAsia="Times New Roman" w:hAnsi="Times New Roman" w:cs="Times New Roman"/>
                <w:color w:val="000000"/>
                <w:spacing w:val="0"/>
                <w:w w:val="100"/>
                <w:position w:val="0"/>
              </w:rPr>
              <w:t>/</w:t>
            </w:r>
            <w:r>
              <w:rPr>
                <w:color w:val="000000"/>
                <w:spacing w:val="0"/>
                <w:w w:val="100"/>
                <w:position w:val="0"/>
              </w:rPr>
              <w:t>本人合法权利范围内竭尽全力地首先促使该 业务机会以不亚于提供给本公司</w:t>
            </w:r>
            <w:r>
              <w:rPr>
                <w:rFonts w:ascii="Times New Roman" w:eastAsia="Times New Roman" w:hAnsi="Times New Roman" w:cs="Times New Roman"/>
                <w:color w:val="000000"/>
                <w:spacing w:val="0"/>
                <w:w w:val="100"/>
                <w:position w:val="0"/>
              </w:rPr>
              <w:t>/</w:t>
            </w:r>
            <w:r>
              <w:rPr>
                <w:color w:val="000000"/>
                <w:spacing w:val="0"/>
                <w:w w:val="100"/>
                <w:position w:val="0"/>
              </w:rPr>
              <w:t>本人的条件提供给上市公司；</w:t>
            </w:r>
            <w:r>
              <w:rPr>
                <w:rFonts w:ascii="Times New Roman" w:eastAsia="Times New Roman" w:hAnsi="Times New Roman" w:cs="Times New Roman"/>
                <w:color w:val="000000"/>
                <w:spacing w:val="0"/>
                <w:w w:val="100"/>
                <w:position w:val="0"/>
              </w:rPr>
              <w:t>4</w:t>
            </w:r>
            <w:r>
              <w:rPr>
                <w:color w:val="000000"/>
                <w:spacing w:val="0"/>
                <w:w w:val="100"/>
                <w:position w:val="0"/>
              </w:rPr>
              <w:t>、 本公司</w:t>
            </w:r>
            <w:r>
              <w:rPr>
                <w:rFonts w:ascii="Times New Roman" w:eastAsia="Times New Roman" w:hAnsi="Times New Roman" w:cs="Times New Roman"/>
                <w:color w:val="000000"/>
                <w:spacing w:val="0"/>
                <w:w w:val="100"/>
                <w:position w:val="0"/>
              </w:rPr>
              <w:t>/</w:t>
            </w:r>
            <w:r>
              <w:rPr>
                <w:color w:val="000000"/>
                <w:spacing w:val="0"/>
                <w:w w:val="100"/>
                <w:position w:val="0"/>
              </w:rPr>
              <w:t>本人将充分尊重上市公司及慧康物联的独立法人地位，保 障上市公司、慧康物联及其控制的企业的独立经营、自主决策；</w:t>
            </w:r>
            <w:r>
              <w:rPr>
                <w:rFonts w:ascii="Times New Roman" w:eastAsia="Times New Roman" w:hAnsi="Times New Roman" w:cs="Times New Roman"/>
                <w:color w:val="000000"/>
                <w:spacing w:val="0"/>
                <w:w w:val="100"/>
                <w:position w:val="0"/>
              </w:rPr>
              <w:t>5</w:t>
            </w:r>
            <w:r>
              <w:rPr>
                <w:color w:val="000000"/>
                <w:spacing w:val="0"/>
                <w:w w:val="100"/>
                <w:position w:val="0"/>
              </w:rPr>
              <w:t>、 本公司</w:t>
            </w:r>
            <w:r>
              <w:rPr>
                <w:rFonts w:ascii="Times New Roman" w:eastAsia="Times New Roman" w:hAnsi="Times New Roman" w:cs="Times New Roman"/>
                <w:color w:val="000000"/>
                <w:spacing w:val="0"/>
                <w:w w:val="100"/>
                <w:position w:val="0"/>
              </w:rPr>
              <w:t>/</w:t>
            </w:r>
            <w:r>
              <w:rPr>
                <w:color w:val="000000"/>
                <w:spacing w:val="0"/>
                <w:w w:val="100"/>
                <w:position w:val="0"/>
              </w:rPr>
              <w:t>本人承诺不以现在于慧康物联任职职位或未来可能于上市 公司所任职位便利谋求不正当利益，进而损害上市公司、慧康物 联其他股东的权益。如因本公司或本公司控制</w:t>
            </w:r>
            <w:r>
              <w:rPr>
                <w:rFonts w:ascii="Times New Roman" w:eastAsia="Times New Roman" w:hAnsi="Times New Roman" w:cs="Times New Roman"/>
                <w:color w:val="000000"/>
                <w:spacing w:val="0"/>
                <w:w w:val="100"/>
                <w:position w:val="0"/>
              </w:rPr>
              <w:t>/</w:t>
            </w:r>
            <w:r>
              <w:rPr>
                <w:color w:val="000000"/>
                <w:spacing w:val="0"/>
                <w:w w:val="100"/>
                <w:position w:val="0"/>
              </w:rPr>
              <w:t>本人或本人控制的 其他企业违反上述声明与承诺而导致上市公司、慧康物联及其控 制的企业的权益受到损害的，本公司</w:t>
            </w:r>
            <w:r>
              <w:rPr>
                <w:rFonts w:ascii="Times New Roman" w:eastAsia="Times New Roman" w:hAnsi="Times New Roman" w:cs="Times New Roman"/>
                <w:color w:val="000000"/>
                <w:spacing w:val="0"/>
                <w:w w:val="100"/>
                <w:position w:val="0"/>
              </w:rPr>
              <w:t>/</w:t>
            </w:r>
            <w:r>
              <w:rPr>
                <w:color w:val="000000"/>
                <w:spacing w:val="0"/>
                <w:w w:val="100"/>
                <w:position w:val="0"/>
              </w:rPr>
              <w:t>本人将对因违反承诺给上市 公司、慧康物联造成的损失，以现金形式进行充分赔偿；</w:t>
            </w:r>
            <w:r>
              <w:rPr>
                <w:rFonts w:ascii="Times New Roman" w:eastAsia="Times New Roman" w:hAnsi="Times New Roman" w:cs="Times New Roman"/>
                <w:color w:val="000000"/>
                <w:spacing w:val="0"/>
                <w:w w:val="100"/>
                <w:position w:val="0"/>
              </w:rPr>
              <w:t>6</w:t>
            </w:r>
            <w:r>
              <w:rPr>
                <w:color w:val="000000"/>
                <w:spacing w:val="0"/>
                <w:w w:val="100"/>
                <w:position w:val="0"/>
              </w:rPr>
              <w:t>、本承 诺自签署之日起生效，生效后即构成对本公司</w:t>
            </w:r>
            <w:r>
              <w:rPr>
                <w:rFonts w:ascii="Times New Roman" w:eastAsia="Times New Roman" w:hAnsi="Times New Roman" w:cs="Times New Roman"/>
                <w:color w:val="000000"/>
                <w:spacing w:val="0"/>
                <w:w w:val="100"/>
                <w:position w:val="0"/>
              </w:rPr>
              <w:t>/</w:t>
            </w:r>
            <w:r>
              <w:rPr>
                <w:color w:val="000000"/>
                <w:spacing w:val="0"/>
                <w:w w:val="100"/>
                <w:position w:val="0"/>
              </w:rPr>
              <w:t>本人有约束力的法 律文件。如违反本承诺，本公司</w:t>
            </w:r>
            <w:r>
              <w:rPr>
                <w:rFonts w:ascii="Times New Roman" w:eastAsia="Times New Roman" w:hAnsi="Times New Roman" w:cs="Times New Roman"/>
                <w:color w:val="000000"/>
                <w:spacing w:val="0"/>
                <w:w w:val="100"/>
                <w:position w:val="0"/>
              </w:rPr>
              <w:t>/</w:t>
            </w:r>
            <w:r>
              <w:rPr>
                <w:color w:val="000000"/>
                <w:spacing w:val="0"/>
                <w:w w:val="100"/>
                <w:position w:val="0"/>
              </w:rPr>
              <w:t>本人愿意承担法律责任；</w:t>
            </w:r>
            <w:r>
              <w:rPr>
                <w:rFonts w:ascii="Times New Roman" w:eastAsia="Times New Roman" w:hAnsi="Times New Roman" w:cs="Times New Roman"/>
                <w:color w:val="000000"/>
                <w:spacing w:val="0"/>
                <w:w w:val="100"/>
                <w:position w:val="0"/>
              </w:rPr>
              <w:t>7</w:t>
            </w:r>
            <w:r>
              <w:rPr>
                <w:color w:val="000000"/>
                <w:spacing w:val="0"/>
                <w:w w:val="100"/>
                <w:position w:val="0"/>
              </w:rPr>
              <w:t>、本承 诺在本公司</w:t>
            </w:r>
            <w:r>
              <w:rPr>
                <w:rFonts w:ascii="Times New Roman" w:eastAsia="Times New Roman" w:hAnsi="Times New Roman" w:cs="Times New Roman"/>
                <w:color w:val="000000"/>
                <w:spacing w:val="0"/>
                <w:w w:val="100"/>
                <w:position w:val="0"/>
              </w:rPr>
              <w:t>/</w:t>
            </w:r>
            <w:r>
              <w:rPr>
                <w:color w:val="000000"/>
                <w:spacing w:val="0"/>
                <w:w w:val="100"/>
                <w:position w:val="0"/>
              </w:rPr>
              <w:t>本人直接或间接持有上市公司股份期间内持续有效且 不可变更或撤销。二、关于减少和规范关联交易的承诺为减少并 规范本承诺人及所控制的企业与创业慧康之间的关联交易，本承 诺人现作出确认、承诺和保证如下：</w:t>
            </w:r>
            <w:r>
              <w:rPr>
                <w:rFonts w:ascii="Times New Roman" w:eastAsia="Times New Roman" w:hAnsi="Times New Roman" w:cs="Times New Roman"/>
                <w:color w:val="000000"/>
                <w:spacing w:val="0"/>
                <w:w w:val="100"/>
                <w:position w:val="0"/>
              </w:rPr>
              <w:t>1</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629"/>
        <w:gridCol w:w="931"/>
        <w:gridCol w:w="730"/>
        <w:gridCol w:w="5309"/>
        <w:gridCol w:w="744"/>
        <w:gridCol w:w="600"/>
        <w:gridCol w:w="634"/>
      </w:tblGrid>
      <w:tr>
        <w:trPr>
          <w:trHeight w:val="100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司控制的企业（如有）与上市公司及其控股子公司之间已存在及 将来不可避免发生的关联交易事项，保证遵循市场交易的公平原 则即正常的商业条款与上市公司及其控股子公司发生交易。如未 按市场交易的公平原则与上市公司及其控股子公司发生交易，而 给上市公司及其控股子公司造成损失或已经造成损失，由本人</w:t>
            </w:r>
            <w:r>
              <w:rPr>
                <w:rFonts w:ascii="Times New Roman" w:eastAsia="Times New Roman" w:hAnsi="Times New Roman" w:cs="Times New Roman"/>
                <w:color w:val="000000"/>
                <w:spacing w:val="0"/>
                <w:w w:val="100"/>
                <w:position w:val="0"/>
              </w:rPr>
              <w:t>/</w:t>
            </w:r>
            <w:r>
              <w:rPr>
                <w:color w:val="000000"/>
                <w:spacing w:val="0"/>
                <w:w w:val="100"/>
                <w:position w:val="0"/>
              </w:rPr>
              <w:t>本 公司承担赔偿责任；</w:t>
            </w:r>
            <w:r>
              <w:rPr>
                <w:rFonts w:ascii="Times New Roman" w:eastAsia="Times New Roman" w:hAnsi="Times New Roman" w:cs="Times New Roman"/>
                <w:color w:val="000000"/>
                <w:spacing w:val="0"/>
                <w:w w:val="100"/>
                <w:position w:val="0"/>
              </w:rPr>
              <w:t>2</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本公司将善意履行作为上市公司股东 的义务，充分尊重上市公司的独立法人地位，保障上市公司独立 经营、自主决策。本人</w:t>
            </w:r>
            <w:r>
              <w:rPr>
                <w:rFonts w:ascii="Times New Roman" w:eastAsia="Times New Roman" w:hAnsi="Times New Roman" w:cs="Times New Roman"/>
                <w:color w:val="000000"/>
                <w:spacing w:val="0"/>
                <w:w w:val="100"/>
                <w:position w:val="0"/>
              </w:rPr>
              <w:t>/</w:t>
            </w:r>
            <w:r>
              <w:rPr>
                <w:color w:val="000000"/>
                <w:spacing w:val="0"/>
                <w:w w:val="100"/>
                <w:position w:val="0"/>
              </w:rPr>
              <w:t>本公司将严格按照中国《公司法》以及上 市公司的公司章程的规定，促使经本人</w:t>
            </w:r>
            <w:r>
              <w:rPr>
                <w:rFonts w:ascii="Times New Roman" w:eastAsia="Times New Roman" w:hAnsi="Times New Roman" w:cs="Times New Roman"/>
                <w:color w:val="000000"/>
                <w:spacing w:val="0"/>
                <w:w w:val="100"/>
                <w:position w:val="0"/>
              </w:rPr>
              <w:t>/</w:t>
            </w:r>
            <w:r>
              <w:rPr>
                <w:color w:val="000000"/>
                <w:spacing w:val="0"/>
                <w:w w:val="100"/>
                <w:position w:val="0"/>
              </w:rPr>
              <w:t>本公司提名的上市公司董 事（如有）依法履行其应尽的诚信和勤勉责任；</w:t>
            </w:r>
            <w:r>
              <w:rPr>
                <w:rFonts w:ascii="Times New Roman" w:eastAsia="Times New Roman" w:hAnsi="Times New Roman" w:cs="Times New Roman"/>
                <w:color w:val="000000"/>
                <w:spacing w:val="0"/>
                <w:w w:val="100"/>
                <w:position w:val="0"/>
              </w:rPr>
              <w:t>3</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本公司以 及本人</w:t>
            </w:r>
            <w:r>
              <w:rPr>
                <w:rFonts w:ascii="Times New Roman" w:eastAsia="Times New Roman" w:hAnsi="Times New Roman" w:cs="Times New Roman"/>
                <w:color w:val="000000"/>
                <w:spacing w:val="0"/>
                <w:w w:val="100"/>
                <w:position w:val="0"/>
              </w:rPr>
              <w:t>/</w:t>
            </w:r>
            <w:r>
              <w:rPr>
                <w:color w:val="000000"/>
                <w:spacing w:val="0"/>
                <w:w w:val="100"/>
                <w:position w:val="0"/>
              </w:rPr>
              <w:t>本公司控股或实际控制的其他公司或者其他企业或经济组 织（以下统称“本人</w:t>
            </w:r>
            <w:r>
              <w:rPr>
                <w:rFonts w:ascii="Times New Roman" w:eastAsia="Times New Roman" w:hAnsi="Times New Roman" w:cs="Times New Roman"/>
                <w:color w:val="000000"/>
                <w:spacing w:val="0"/>
                <w:w w:val="100"/>
                <w:position w:val="0"/>
              </w:rPr>
              <w:t>/</w:t>
            </w:r>
            <w:r>
              <w:rPr>
                <w:color w:val="000000"/>
                <w:spacing w:val="0"/>
                <w:w w:val="100"/>
                <w:position w:val="0"/>
              </w:rPr>
              <w:t>本公司的关联企业”，如有），将来尽可能 避免与上市公司发生关联交易；</w:t>
            </w:r>
            <w:r>
              <w:rPr>
                <w:rFonts w:ascii="Times New Roman" w:eastAsia="Times New Roman" w:hAnsi="Times New Roman" w:cs="Times New Roman"/>
                <w:color w:val="000000"/>
                <w:spacing w:val="0"/>
                <w:w w:val="100"/>
                <w:position w:val="0"/>
              </w:rPr>
              <w:t>4</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本公司的 关联企业承诺不以借款、代偿债务、代垫款项或者其他方式占用 上市公司资金，也不要求上市公司为本人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本公司的 关联企业进行违规担保；</w:t>
            </w:r>
            <w:r>
              <w:rPr>
                <w:rFonts w:ascii="Times New Roman" w:eastAsia="Times New Roman" w:hAnsi="Times New Roman" w:cs="Times New Roman"/>
                <w:color w:val="000000"/>
                <w:spacing w:val="0"/>
                <w:w w:val="100"/>
                <w:position w:val="0"/>
              </w:rPr>
              <w:t>5</w:t>
            </w:r>
            <w:r>
              <w:rPr>
                <w:color w:val="000000"/>
                <w:spacing w:val="0"/>
                <w:w w:val="100"/>
                <w:position w:val="0"/>
              </w:rPr>
              <w:t>、如果上市公司在今后的经营活动中必 须与本人</w:t>
            </w:r>
            <w:r>
              <w:rPr>
                <w:rFonts w:ascii="Times New Roman" w:eastAsia="Times New Roman" w:hAnsi="Times New Roman" w:cs="Times New Roman"/>
                <w:color w:val="000000"/>
                <w:spacing w:val="0"/>
                <w:w w:val="100"/>
                <w:position w:val="0"/>
              </w:rPr>
              <w:t>/</w:t>
            </w:r>
            <w:r>
              <w:rPr>
                <w:color w:val="000000"/>
                <w:spacing w:val="0"/>
                <w:w w:val="100"/>
                <w:position w:val="0"/>
              </w:rPr>
              <w:t>本公司或本人</w:t>
            </w:r>
            <w:r>
              <w:rPr>
                <w:rFonts w:ascii="Times New Roman" w:eastAsia="Times New Roman" w:hAnsi="Times New Roman" w:cs="Times New Roman"/>
                <w:color w:val="000000"/>
                <w:spacing w:val="0"/>
                <w:w w:val="100"/>
                <w:position w:val="0"/>
              </w:rPr>
              <w:t>/</w:t>
            </w:r>
            <w:r>
              <w:rPr>
                <w:color w:val="000000"/>
                <w:spacing w:val="0"/>
                <w:w w:val="100"/>
                <w:position w:val="0"/>
              </w:rPr>
              <w:t>本公司的关联企业发生不可避免的关联 交易，本人</w:t>
            </w:r>
            <w:r>
              <w:rPr>
                <w:rFonts w:ascii="Times New Roman" w:eastAsia="Times New Roman" w:hAnsi="Times New Roman" w:cs="Times New Roman"/>
                <w:color w:val="000000"/>
                <w:spacing w:val="0"/>
                <w:w w:val="100"/>
                <w:position w:val="0"/>
              </w:rPr>
              <w:t>/</w:t>
            </w:r>
            <w:r>
              <w:rPr>
                <w:color w:val="000000"/>
                <w:spacing w:val="0"/>
                <w:w w:val="100"/>
                <w:position w:val="0"/>
              </w:rPr>
              <w:t>本公司将促使此等交易严格按照国家有关法律法规、 上市公司章程和上市公司的有关规定履行有关程序，在上市公司 股东大会对关联交易进行表决时，本人</w:t>
            </w:r>
            <w:r>
              <w:rPr>
                <w:rFonts w:ascii="Times New Roman" w:eastAsia="Times New Roman" w:hAnsi="Times New Roman" w:cs="Times New Roman"/>
                <w:color w:val="000000"/>
                <w:spacing w:val="0"/>
                <w:w w:val="100"/>
                <w:position w:val="0"/>
              </w:rPr>
              <w:t>/</w:t>
            </w:r>
            <w:r>
              <w:rPr>
                <w:color w:val="000000"/>
                <w:spacing w:val="0"/>
                <w:w w:val="100"/>
                <w:position w:val="0"/>
              </w:rPr>
              <w:t>本公司严格履行回避表决 的义务；与上市公司依法签订协议，及时进行信息披露；保证按 照正常的商业条件进行，且本人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本公司的关联企业 将不会要求或接受上市公司给予比在任何一项市场公平交易中第 三者更优惠的条件，保证不通过关联交易损害上市公司及其他股 东的合法权益；</w:t>
            </w:r>
            <w:r>
              <w:rPr>
                <w:rFonts w:ascii="Times New Roman" w:eastAsia="Times New Roman" w:hAnsi="Times New Roman" w:cs="Times New Roman"/>
                <w:color w:val="000000"/>
                <w:spacing w:val="0"/>
                <w:w w:val="100"/>
                <w:position w:val="0"/>
              </w:rPr>
              <w:t>6</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本公司及本人</w:t>
            </w:r>
            <w:r>
              <w:rPr>
                <w:rFonts w:ascii="Times New Roman" w:eastAsia="Times New Roman" w:hAnsi="Times New Roman" w:cs="Times New Roman"/>
                <w:color w:val="000000"/>
                <w:spacing w:val="0"/>
                <w:w w:val="100"/>
                <w:position w:val="0"/>
              </w:rPr>
              <w:t>/</w:t>
            </w:r>
            <w:r>
              <w:rPr>
                <w:color w:val="000000"/>
                <w:spacing w:val="0"/>
                <w:w w:val="100"/>
                <w:position w:val="0"/>
              </w:rPr>
              <w:t>本公司的关联企业将严格 和善意地履行其与上市公司签订的各种关联交易协议。本人</w:t>
            </w:r>
            <w:r>
              <w:rPr>
                <w:rFonts w:ascii="Times New Roman" w:eastAsia="Times New Roman" w:hAnsi="Times New Roman" w:cs="Times New Roman"/>
                <w:color w:val="000000"/>
                <w:spacing w:val="0"/>
                <w:w w:val="100"/>
                <w:position w:val="0"/>
              </w:rPr>
              <w:t>/</w:t>
            </w:r>
            <w:r>
              <w:rPr>
                <w:color w:val="000000"/>
                <w:spacing w:val="0"/>
                <w:w w:val="100"/>
                <w:position w:val="0"/>
              </w:rPr>
              <w:t>本公 司及本人</w:t>
            </w:r>
            <w:r>
              <w:rPr>
                <w:rFonts w:ascii="Times New Roman" w:eastAsia="Times New Roman" w:hAnsi="Times New Roman" w:cs="Times New Roman"/>
                <w:color w:val="000000"/>
                <w:spacing w:val="0"/>
                <w:w w:val="100"/>
                <w:position w:val="0"/>
              </w:rPr>
              <w:t>/</w:t>
            </w:r>
            <w:r>
              <w:rPr>
                <w:color w:val="000000"/>
                <w:spacing w:val="0"/>
                <w:w w:val="100"/>
                <w:position w:val="0"/>
              </w:rPr>
              <w:t>本公司的关联企业将不会向上市公司谋求任何超出上述 协议规定以外的利益或收益；</w:t>
            </w:r>
            <w:r>
              <w:rPr>
                <w:rFonts w:ascii="Times New Roman" w:eastAsia="Times New Roman" w:hAnsi="Times New Roman" w:cs="Times New Roman"/>
                <w:color w:val="000000"/>
                <w:spacing w:val="0"/>
                <w:w w:val="100"/>
                <w:position w:val="0"/>
              </w:rPr>
              <w:t>7</w:t>
            </w:r>
            <w:r>
              <w:rPr>
                <w:color w:val="000000"/>
                <w:spacing w:val="0"/>
                <w:w w:val="100"/>
                <w:position w:val="0"/>
              </w:rPr>
              <w:t>、如违反上述承诺给上市公司造成 损失，本人</w:t>
            </w:r>
            <w:r>
              <w:rPr>
                <w:rFonts w:ascii="Times New Roman" w:eastAsia="Times New Roman" w:hAnsi="Times New Roman" w:cs="Times New Roman"/>
                <w:color w:val="000000"/>
                <w:spacing w:val="0"/>
                <w:w w:val="100"/>
                <w:position w:val="0"/>
              </w:rPr>
              <w:t>/</w:t>
            </w:r>
            <w:r>
              <w:rPr>
                <w:color w:val="000000"/>
                <w:spacing w:val="0"/>
                <w:w w:val="100"/>
                <w:position w:val="0"/>
              </w:rPr>
              <w:t>本公司将向上市公司作出赔偿。三、关于不存在资金 占用情形的承诺慧康物联实际控制人周建新承诺：截至本承诺出 具日，本人及本人控制的其他企业不存在对杭州慧康物联网科技 有限公司非经营性资金占用的情形。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、本公司将严格遵守公司本次发行上市前其做出的股份限售安排 和自愿锁定的承诺，在锁定期满后两年内进行减持的，合计减持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数量不超过公司本次发行上市时本公司所持公司股份的</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福鼎嘉 盈企业 管理咨 询有限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本公司在锁定期满后两年内进行减持时，减持价格不低于本次公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减持 承诺</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开发行股票的发行价格。</w:t>
            </w:r>
            <w:r>
              <w:rPr>
                <w:rFonts w:ascii="Times New Roman" w:eastAsia="Times New Roman" w:hAnsi="Times New Roman" w:cs="Times New Roman"/>
                <w:color w:val="000000"/>
                <w:spacing w:val="0"/>
                <w:w w:val="100"/>
                <w:position w:val="0"/>
              </w:rPr>
              <w:t>3</w:t>
            </w:r>
            <w:r>
              <w:rPr>
                <w:color w:val="000000"/>
                <w:spacing w:val="0"/>
                <w:w w:val="100"/>
                <w:position w:val="0"/>
              </w:rPr>
              <w:t>、本公司在减持创业慧康股份前，应提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3</w:t>
            </w:r>
            <w:r>
              <w:rPr>
                <w:color w:val="000000"/>
                <w:spacing w:val="0"/>
                <w:w w:val="100"/>
                <w:position w:val="0"/>
              </w:rPr>
              <w:t>个交易日公告，并按照深圳证券交易所的规则及时、准确、</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正常</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完整地履行信息披露义务。</w:t>
            </w:r>
            <w:r>
              <w:rPr>
                <w:rFonts w:ascii="Times New Roman" w:eastAsia="Times New Roman" w:hAnsi="Times New Roman" w:cs="Times New Roman"/>
                <w:color w:val="000000"/>
                <w:spacing w:val="0"/>
                <w:w w:val="100"/>
                <w:position w:val="0"/>
              </w:rPr>
              <w:t>4</w:t>
            </w:r>
            <w:r>
              <w:rPr>
                <w:color w:val="000000"/>
                <w:spacing w:val="0"/>
                <w:w w:val="100"/>
                <w:position w:val="0"/>
              </w:rPr>
              <w:t>、本公司将根据相关法律法规及深圳</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履行</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时所</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证券交易所规则，结合证券市场情况、公司股票走势及公开信息、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承诺人需要等情况，自主决策、择机进行减持。</w:t>
            </w:r>
            <w:r>
              <w:rPr>
                <w:rFonts w:ascii="Times New Roman" w:eastAsia="Times New Roman" w:hAnsi="Times New Roman" w:cs="Times New Roman"/>
                <w:color w:val="000000"/>
                <w:spacing w:val="0"/>
                <w:w w:val="100"/>
                <w:position w:val="0"/>
              </w:rPr>
              <w:t>5</w:t>
            </w:r>
            <w:r>
              <w:rPr>
                <w:color w:val="000000"/>
                <w:spacing w:val="0"/>
                <w:w w:val="100"/>
                <w:position w:val="0"/>
              </w:rPr>
              <w:t>、本公司在减持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创业慧康股份时应符合相关法律法规及深圳证券交易所的相关规 则要求，减持方式包括但不限于交易所集中竞价交易方式、大宗 交易方式、协议转让方式等。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36"/>
        <w:gridCol w:w="730"/>
        <w:gridCol w:w="5309"/>
        <w:gridCol w:w="744"/>
        <w:gridCol w:w="600"/>
        <w:gridCol w:w="634"/>
      </w:tblGrid>
      <w:tr>
        <w:trPr>
          <w:trHeight w:val="50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、本人将严格遵守公司本次发行上市前其做出的股份限售安排和 自愿锁定的承诺，在锁定期满后两年内进行减持的，合计减持数 量不超过公司本次发行上市时本人所持公司股份的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（如因送 股、资本公积金转增股本的，则须按照深圳证券交易所的有关规 定进行调整，下同）。</w:t>
            </w:r>
            <w:r>
              <w:rPr>
                <w:rFonts w:ascii="Times New Roman" w:eastAsia="Times New Roman" w:hAnsi="Times New Roman" w:cs="Times New Roman"/>
                <w:color w:val="000000"/>
                <w:spacing w:val="0"/>
                <w:w w:val="100"/>
                <w:position w:val="0"/>
              </w:rPr>
              <w:t>2</w:t>
            </w:r>
            <w:r>
              <w:rPr>
                <w:color w:val="000000"/>
                <w:spacing w:val="0"/>
                <w:w w:val="100"/>
                <w:position w:val="0"/>
              </w:rPr>
              <w:t>、本人在锁定期满后两年内进行减持时， 减持价格（如因派息、送股、资本公积金转增股本、增发新股等 原因除权、除息的，则须按照深圳证券交易所的有关规定进行调 整，下同）不低于本次公开发行股票的发行价格。</w:t>
            </w:r>
            <w:r>
              <w:rPr>
                <w:rFonts w:ascii="Times New Roman" w:eastAsia="Times New Roman" w:hAnsi="Times New Roman" w:cs="Times New Roman"/>
                <w:color w:val="000000"/>
                <w:spacing w:val="0"/>
                <w:w w:val="100"/>
                <w:position w:val="0"/>
              </w:rPr>
              <w:t>3</w:t>
            </w:r>
            <w:r>
              <w:rPr>
                <w:color w:val="000000"/>
                <w:spacing w:val="0"/>
                <w:w w:val="100"/>
                <w:position w:val="0"/>
              </w:rPr>
              <w:t>、本人在减持 公司股份前，应提前</w:t>
            </w:r>
            <w:r>
              <w:rPr>
                <w:rFonts w:ascii="Times New Roman" w:eastAsia="Times New Roman" w:hAnsi="Times New Roman" w:cs="Times New Roman"/>
                <w:color w:val="000000"/>
                <w:spacing w:val="0"/>
                <w:w w:val="100"/>
                <w:position w:val="0"/>
              </w:rPr>
              <w:t>3</w:t>
            </w:r>
            <w:r>
              <w:rPr>
                <w:color w:val="000000"/>
                <w:spacing w:val="0"/>
                <w:w w:val="100"/>
                <w:position w:val="0"/>
              </w:rPr>
              <w:t>个交易日公告，并按照深圳证券交易所的 规则及时、准确、完整地履行信息披露义务。</w:t>
            </w:r>
            <w:r>
              <w:rPr>
                <w:rFonts w:ascii="Times New Roman" w:eastAsia="Times New Roman" w:hAnsi="Times New Roman" w:cs="Times New Roman"/>
                <w:color w:val="000000"/>
                <w:spacing w:val="0"/>
                <w:w w:val="100"/>
                <w:position w:val="0"/>
              </w:rPr>
              <w:t>4</w:t>
            </w:r>
            <w:r>
              <w:rPr>
                <w:color w:val="000000"/>
                <w:spacing w:val="0"/>
                <w:w w:val="100"/>
                <w:position w:val="0"/>
              </w:rPr>
              <w:t xml:space="preserve">、本人将根据相关 法律法规及深圳证券交易所规则，结合证券市场情况、公司股票 走势及公开信息、承诺人需要等情况，自主决策、择机进行减持。 </w:t>
            </w:r>
            <w:r>
              <w:rPr>
                <w:rFonts w:ascii="Times New Roman" w:eastAsia="Times New Roman" w:hAnsi="Times New Roman" w:cs="Times New Roman"/>
                <w:color w:val="000000"/>
                <w:spacing w:val="0"/>
                <w:w w:val="100"/>
                <w:position w:val="0"/>
              </w:rPr>
              <w:t>5</w:t>
            </w:r>
            <w:r>
              <w:rPr>
                <w:color w:val="000000"/>
                <w:spacing w:val="0"/>
                <w:w w:val="100"/>
                <w:position w:val="0"/>
              </w:rPr>
              <w:t>、本人在减持公司股份时应符合相关法律法规及深圳证券交易所 的相关规则要求，减持方式包括但不限于交易所集中竞价交易方 式、大宗交易方式、协议转让方式等。</w:t>
            </w:r>
            <w:r>
              <w:rPr>
                <w:rFonts w:ascii="Times New Roman" w:eastAsia="Times New Roman" w:hAnsi="Times New Roman" w:cs="Times New Roman"/>
                <w:color w:val="000000"/>
                <w:spacing w:val="0"/>
                <w:w w:val="100"/>
                <w:position w:val="0"/>
              </w:rPr>
              <w:t>6</w:t>
            </w:r>
            <w:r>
              <w:rPr>
                <w:color w:val="000000"/>
                <w:spacing w:val="0"/>
                <w:w w:val="100"/>
                <w:position w:val="0"/>
              </w:rPr>
              <w:t>、在上述承诺履行期间， 本人职务变更、离职等原因不影响承诺的效力。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2014</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、截至本承诺函出具之日，除已经披露的情形外，本人（包括本 人所控制的公司）与发行人之间不存在其他关联交易。本人不利 用实际控制人的地位影响发行人的独立性、故意促使发行人对与 本人（包括本人所控制的公司）的任何关联交易采取任何行动、 故意促使发行人的股东大会或董事会作出侵犯其他股东合法权益 的决议。如果发行人必须与本人（包括本人所控制的公司）发生 任何关联交易，则本人承诺将促使上述交易按照公平合理和正常 商业交易的条件进行。本人（包括本人所控制的公司）将不会要 求或接受发行人给予比在任何一项市场公平交易中第三者更优惠 的条件。</w:t>
            </w:r>
            <w:r>
              <w:rPr>
                <w:rFonts w:ascii="Times New Roman" w:eastAsia="Times New Roman" w:hAnsi="Times New Roman" w:cs="Times New Roman"/>
                <w:color w:val="000000"/>
                <w:spacing w:val="0"/>
                <w:w w:val="100"/>
                <w:position w:val="0"/>
              </w:rPr>
              <w:t>2</w:t>
            </w:r>
            <w:r>
              <w:rPr>
                <w:color w:val="000000"/>
                <w:spacing w:val="0"/>
                <w:w w:val="100"/>
                <w:position w:val="0"/>
              </w:rPr>
              <w:t>、本人（包括本人所控制的公司）将严格和善意地履行 与发行人签订的各种关联交易协议。本人（包括本人所控制的公 司）承诺将不会向发行人谋求任何超出上述协议规定以外的利益 或收益。</w:t>
            </w:r>
            <w:r>
              <w:rPr>
                <w:rFonts w:ascii="Times New Roman" w:eastAsia="Times New Roman" w:hAnsi="Times New Roman" w:cs="Times New Roman"/>
                <w:color w:val="000000"/>
                <w:spacing w:val="0"/>
                <w:w w:val="100"/>
                <w:position w:val="0"/>
              </w:rPr>
              <w:t>3</w:t>
            </w:r>
            <w:r>
              <w:rPr>
                <w:color w:val="000000"/>
                <w:spacing w:val="0"/>
                <w:w w:val="100"/>
                <w:position w:val="0"/>
              </w:rPr>
              <w:t>、本人对上述承诺的真实性及合法性负全部法律责任， 如果本人（包括本人所控制的公司）违反上述声明、保证与承诺， 并造成发行人经济损失的，本人同意赔偿相应的损失。</w:t>
            </w:r>
            <w:r>
              <w:rPr>
                <w:rFonts w:ascii="Times New Roman" w:eastAsia="Times New Roman" w:hAnsi="Times New Roman" w:cs="Times New Roman"/>
                <w:color w:val="000000"/>
                <w:spacing w:val="0"/>
                <w:w w:val="100"/>
                <w:position w:val="0"/>
              </w:rPr>
              <w:t>4</w:t>
            </w:r>
            <w:r>
              <w:rPr>
                <w:color w:val="000000"/>
                <w:spacing w:val="0"/>
                <w:w w:val="100"/>
                <w:position w:val="0"/>
              </w:rPr>
              <w:t>、本承诺 将持续有效，直至本人不再作为发行人的实际控制人。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）在本承诺函签署之日，本人及所控制的公司和拥有权益的公 司均未生产、开发任何与创业慧康产品构成竞争或可能竞争的产 品，未直接或间接经营任何与创业慧康经营的业务构成竞争或可 能竞争的业务，也未参与投资任何与创业慧康生产的产品或经营 的业务构成竞争或可能竞争的其他企业。（</w:t>
            </w:r>
            <w:r>
              <w:rPr>
                <w:rFonts w:ascii="Times New Roman" w:eastAsia="Times New Roman" w:hAnsi="Times New Roman" w:cs="Times New Roman"/>
                <w:color w:val="000000"/>
                <w:spacing w:val="0"/>
                <w:w w:val="100"/>
                <w:position w:val="0"/>
              </w:rPr>
              <w:t>2</w:t>
            </w:r>
            <w:r>
              <w:rPr>
                <w:color w:val="000000"/>
                <w:spacing w:val="0"/>
                <w:w w:val="100"/>
                <w:position w:val="0"/>
              </w:rPr>
              <w:t>）自本承诺函签署之 日起，本人及所控制的公司和拥有权益的公司将不生产、开发任 何与创业慧康产品构成竞争或可能竞争的产品，不直接或间接经 营任何与创业慧康经营的业务构成竞争或可能竞争的业务，不参 与投资任何与创业慧康生产的产品或经营的业务构成竞争或可能 竞争的其他企业。（</w:t>
            </w:r>
            <w:r>
              <w:rPr>
                <w:rFonts w:ascii="Times New Roman" w:eastAsia="Times New Roman" w:hAnsi="Times New Roman" w:cs="Times New Roman"/>
                <w:color w:val="000000"/>
                <w:spacing w:val="0"/>
                <w:w w:val="100"/>
                <w:position w:val="0"/>
              </w:rPr>
              <w:t>3</w:t>
            </w:r>
            <w:r>
              <w:rPr>
                <w:color w:val="000000"/>
                <w:spacing w:val="0"/>
                <w:w w:val="100"/>
                <w:position w:val="0"/>
              </w:rPr>
              <w:t>）自本承诺函签署之日起，如创业慧康进一 步拓展其产品和业务范围，本人及所控制的公司和拥有权益的公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629"/>
        <w:gridCol w:w="931"/>
        <w:gridCol w:w="730"/>
        <w:gridCol w:w="5309"/>
        <w:gridCol w:w="744"/>
        <w:gridCol w:w="600"/>
        <w:gridCol w:w="634"/>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司将不与创业慧康拓展后的产品和业务相竞争；若与创业慧康拓 展后的产品和业务相竞争，本人及所控制的公司和拥有权益的公 司将采取以下方式避免同业竞争：①停止生产或经营相竞争的产 品和业务；②将相竞争的业务纳入创业慧康经营；③向无关联关 系的第三方转让该业务。（</w:t>
            </w:r>
            <w:r>
              <w:rPr>
                <w:rFonts w:ascii="Times New Roman" w:eastAsia="Times New Roman" w:hAnsi="Times New Roman" w:cs="Times New Roman"/>
                <w:color w:val="000000"/>
                <w:spacing w:val="0"/>
                <w:w w:val="100"/>
                <w:position w:val="0"/>
              </w:rPr>
              <w:t>4</w:t>
            </w:r>
            <w:r>
              <w:rPr>
                <w:color w:val="000000"/>
                <w:spacing w:val="0"/>
                <w:w w:val="100"/>
                <w:position w:val="0"/>
              </w:rPr>
              <w:t>）如本承诺函未被遵守，将向创业慧 康赔偿一切直接或间接损失。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创业慧 康科技 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关于首次公开发行股票填补被摊薄即期回报的措施及承诺：</w:t>
            </w:r>
            <w:r>
              <w:rPr>
                <w:rFonts w:ascii="Times New Roman" w:eastAsia="Times New Roman" w:hAnsi="Times New Roman" w:cs="Times New Roman"/>
                <w:color w:val="000000"/>
                <w:spacing w:val="0"/>
                <w:w w:val="100"/>
                <w:position w:val="0"/>
              </w:rPr>
              <w:t>1</w:t>
            </w:r>
            <w:r>
              <w:rPr>
                <w:color w:val="000000"/>
                <w:spacing w:val="0"/>
                <w:w w:val="100"/>
                <w:position w:val="0"/>
              </w:rPr>
              <w:t>、提 高募集资金使用效率，加强募集资金管理本次募集资金到位，有 助于进一步增强公司的资本实力，满足公司经营的资金需求，优 化公司财务结构，综合提升公司的盈利能力。同时，公司将根据 相关法规和公司《募集资金使用管理办法》的要求，严格管理募 集资金使用，保证募集资金按照原定用途得到充分有效利用。</w:t>
            </w:r>
            <w:r>
              <w:rPr>
                <w:rFonts w:ascii="Times New Roman" w:eastAsia="Times New Roman" w:hAnsi="Times New Roman" w:cs="Times New Roman"/>
                <w:color w:val="000000"/>
                <w:spacing w:val="0"/>
                <w:w w:val="100"/>
                <w:position w:val="0"/>
              </w:rPr>
              <w:t>2</w:t>
            </w:r>
            <w:r>
              <w:rPr>
                <w:color w:val="000000"/>
                <w:spacing w:val="0"/>
                <w:w w:val="100"/>
                <w:position w:val="0"/>
              </w:rPr>
              <w:t>、 推动主营业务的优化升级，提高公司市场竞争力和持续盈利能力 公司主营业务为面向医疗卫生行业提供医疗卫生信息化应用软件 和基于信息技术的系统集成服务。目前，公司在医疗卫生信息化 建设领域已形成较强的竞争力，依托业已形成的综合优势，通过 技术改造实现核心产品的升级换代和研发、服务体系的优化升级， 从而提升公司的技术开发能力、客户服务能力，提高核心产品的 市场竞争能力和持续盈利能力。</w:t>
            </w:r>
            <w:r>
              <w:rPr>
                <w:rFonts w:ascii="Times New Roman" w:eastAsia="Times New Roman" w:hAnsi="Times New Roman" w:cs="Times New Roman"/>
                <w:color w:val="000000"/>
                <w:spacing w:val="0"/>
                <w:w w:val="100"/>
                <w:position w:val="0"/>
              </w:rPr>
              <w:t>3</w:t>
            </w:r>
            <w:r>
              <w:rPr>
                <w:color w:val="000000"/>
                <w:spacing w:val="0"/>
                <w:w w:val="100"/>
                <w:position w:val="0"/>
              </w:rPr>
              <w:t>、严格执行公司既定的分红政策， 保证公司股东的利益回报公司上市后适用的《公司章程（草案）》 明确了利润分配尤其是现金分红的具体条件、比例、分配形式等， 完善了公司利润分配的决策程序和机制以及利润分配政策的调整 原则，加强了对中小投资者的利益保护，公司本次发行完成并上 市后将严格执行相关利润分配政策。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2014</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正常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如承诺超期未履行完毕的，应当详细说明未完成履行的具体原因及下一步的工作计划</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4"/>
        <w:keepNext/>
        <w:keepLines/>
        <w:widowControl w:val="0"/>
        <w:shd w:val="clear" w:color="auto" w:fill="auto"/>
        <w:bidi w:val="0"/>
        <w:spacing w:before="0" w:line="317" w:lineRule="exact"/>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、公司资产或项目存在盈利预测，且报告期仍处在盈利预测期间，公司就资产或项目达到原盈利预测及 其原因做出说明</w:t>
      </w:r>
      <w:bookmarkEnd w:id="484"/>
      <w:bookmarkEnd w:id="485"/>
      <w:bookmarkEnd w:id="487"/>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2" w:val="left"/>
        </w:tabs>
        <w:bidi w:val="0"/>
        <w:spacing w:before="0" w:after="36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二</w:t>
      </w:r>
      <w:bookmarkEnd w:id="490"/>
      <w:r>
        <w:rPr>
          <w:color w:val="000000"/>
          <w:spacing w:val="0"/>
          <w:w w:val="100"/>
          <w:position w:val="0"/>
          <w:sz w:val="24"/>
          <w:szCs w:val="24"/>
        </w:rPr>
        <w:t>、</w:t>
        <w:tab/>
        <w:t>控股股东及其他关联方对上市公司的非经营性占用资金情况</w:t>
      </w:r>
      <w:bookmarkEnd w:id="488"/>
      <w:bookmarkEnd w:id="489"/>
      <w:bookmarkEnd w:id="491"/>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19"/>
        <w:keepNext/>
        <w:keepLines/>
        <w:widowControl w:val="0"/>
        <w:shd w:val="clear" w:color="auto" w:fill="auto"/>
        <w:tabs>
          <w:tab w:pos="517" w:val="left"/>
        </w:tabs>
        <w:bidi w:val="0"/>
        <w:spacing w:before="0" w:after="36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三</w:t>
      </w:r>
      <w:bookmarkEnd w:id="494"/>
      <w:r>
        <w:rPr>
          <w:color w:val="000000"/>
          <w:spacing w:val="0"/>
          <w:w w:val="100"/>
          <w:position w:val="0"/>
          <w:sz w:val="24"/>
          <w:szCs w:val="24"/>
        </w:rPr>
        <w:t>、</w:t>
        <w:tab/>
        <w:t>违规对外担保情况</w:t>
      </w:r>
      <w:bookmarkEnd w:id="492"/>
      <w:bookmarkEnd w:id="493"/>
      <w:bookmarkEnd w:id="495"/>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19"/>
        <w:keepNext/>
        <w:keepLines/>
        <w:widowControl w:val="0"/>
        <w:shd w:val="clear" w:color="auto" w:fill="auto"/>
        <w:tabs>
          <w:tab w:pos="493" w:val="left"/>
        </w:tabs>
        <w:bidi w:val="0"/>
        <w:spacing w:before="0" w:after="240" w:line="326" w:lineRule="exact"/>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四</w:t>
      </w:r>
      <w:bookmarkEnd w:id="498"/>
      <w:r>
        <w:rPr>
          <w:color w:val="000000"/>
          <w:spacing w:val="0"/>
          <w:w w:val="100"/>
          <w:position w:val="0"/>
          <w:sz w:val="24"/>
          <w:szCs w:val="24"/>
        </w:rPr>
        <w:t>、</w:t>
        <w:tab/>
        <w:t>董事会对最近一期“非标准审计报告”相关情况的说明</w:t>
      </w:r>
      <w:bookmarkEnd w:id="496"/>
      <w:bookmarkEnd w:id="497"/>
      <w:bookmarkEnd w:id="499"/>
    </w:p>
    <w:p>
      <w:pPr>
        <w:pStyle w:val="Style15"/>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口适用”不适用</w:t>
      </w:r>
    </w:p>
    <w:p>
      <w:pPr>
        <w:pStyle w:val="Style19"/>
        <w:keepNext/>
        <w:keepLines/>
        <w:widowControl w:val="0"/>
        <w:shd w:val="clear" w:color="auto" w:fill="auto"/>
        <w:tabs>
          <w:tab w:pos="517" w:val="left"/>
        </w:tabs>
        <w:bidi w:val="0"/>
        <w:spacing w:before="0" w:after="240" w:line="326" w:lineRule="exact"/>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五</w:t>
      </w:r>
      <w:bookmarkEnd w:id="502"/>
      <w:r>
        <w:rPr>
          <w:color w:val="000000"/>
          <w:spacing w:val="0"/>
          <w:w w:val="100"/>
          <w:position w:val="0"/>
          <w:sz w:val="24"/>
          <w:szCs w:val="24"/>
        </w:rPr>
        <w:t>、</w:t>
        <w:tab/>
        <w:t>董事会、监事会、独立董事（如有）对会计师事务所本报告期“非标准审计报告”的说 明</w:t>
      </w:r>
      <w:bookmarkEnd w:id="500"/>
      <w:bookmarkEnd w:id="501"/>
      <w:bookmarkEnd w:id="503"/>
    </w:p>
    <w:p>
      <w:pPr>
        <w:pStyle w:val="Style15"/>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口适用”不适用</w:t>
      </w:r>
    </w:p>
    <w:p>
      <w:pPr>
        <w:pStyle w:val="Style19"/>
        <w:keepNext/>
        <w:keepLines/>
        <w:widowControl w:val="0"/>
        <w:shd w:val="clear" w:color="auto" w:fill="auto"/>
        <w:tabs>
          <w:tab w:pos="517" w:val="left"/>
        </w:tabs>
        <w:bidi w:val="0"/>
        <w:spacing w:before="0" w:after="240" w:line="326" w:lineRule="exact"/>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六</w:t>
      </w:r>
      <w:bookmarkEnd w:id="506"/>
      <w:r>
        <w:rPr>
          <w:color w:val="000000"/>
          <w:spacing w:val="0"/>
          <w:w w:val="100"/>
          <w:position w:val="0"/>
          <w:sz w:val="24"/>
          <w:szCs w:val="24"/>
        </w:rPr>
        <w:t>、</w:t>
        <w:tab/>
        <w:t>董事会关于报告期会计政策、会计估计变更或重大会计差错更正的说明</w:t>
      </w:r>
      <w:bookmarkEnd w:id="504"/>
      <w:bookmarkEnd w:id="505"/>
      <w:bookmarkEnd w:id="507"/>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企业会计准则变化引起的会计政策变更</w:t>
      </w:r>
    </w:p>
    <w:p>
      <w:pPr>
        <w:pStyle w:val="Style15"/>
        <w:keepNext w:val="0"/>
        <w:keepLines w:val="0"/>
        <w:widowControl w:val="0"/>
        <w:shd w:val="clear" w:color="auto" w:fill="auto"/>
        <w:bidi w:val="0"/>
        <w:spacing w:before="0" w:after="0" w:line="317" w:lineRule="exact"/>
        <w:ind w:left="0" w:right="0" w:firstLine="440"/>
        <w:jc w:val="both"/>
      </w:pPr>
      <w:bookmarkStart w:id="508" w:name="bookmark508"/>
      <w:r>
        <w:rPr>
          <w:rFonts w:ascii="Times New Roman" w:eastAsia="Times New Roman" w:hAnsi="Times New Roman" w:cs="Times New Roman"/>
          <w:color w:val="000000"/>
          <w:spacing w:val="0"/>
          <w:w w:val="100"/>
          <w:position w:val="0"/>
        </w:rPr>
        <w:t>1</w:t>
      </w:r>
      <w:bookmarkEnd w:id="508"/>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日（以下称首次执行日）起执行经修订的《企业会计准则第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 准则）。</w:t>
      </w:r>
    </w:p>
    <w:p>
      <w:pPr>
        <w:pStyle w:val="Style15"/>
        <w:keepNext w:val="0"/>
        <w:keepLines w:val="0"/>
        <w:widowControl w:val="0"/>
        <w:shd w:val="clear" w:color="auto" w:fill="auto"/>
        <w:tabs>
          <w:tab w:pos="885" w:val="left"/>
        </w:tabs>
        <w:bidi w:val="0"/>
        <w:spacing w:before="0" w:after="0" w:line="317" w:lineRule="exact"/>
        <w:ind w:left="0" w:right="0" w:firstLine="440"/>
        <w:jc w:val="both"/>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rPr>
        <w:t>1</w:t>
      </w:r>
      <w:r>
        <w:rPr>
          <w:color w:val="000000"/>
          <w:spacing w:val="0"/>
          <w:w w:val="100"/>
          <w:position w:val="0"/>
        </w:rPr>
        <w:t>）</w:t>
        <w:tab/>
        <w:t>对于首次执行日前已存在的合同，公司选择不重新评估其是否为租赁或者包含租赁。</w:t>
      </w:r>
    </w:p>
    <w:p>
      <w:pPr>
        <w:pStyle w:val="Style15"/>
        <w:keepNext w:val="0"/>
        <w:keepLines w:val="0"/>
        <w:widowControl w:val="0"/>
        <w:shd w:val="clear" w:color="auto" w:fill="auto"/>
        <w:tabs>
          <w:tab w:pos="885" w:val="left"/>
        </w:tabs>
        <w:bidi w:val="0"/>
        <w:spacing w:before="0" w:after="0" w:line="317" w:lineRule="exact"/>
        <w:ind w:left="0" w:right="0" w:firstLine="44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rPr>
        <w:t>2</w:t>
      </w:r>
      <w:r>
        <w:rPr>
          <w:color w:val="000000"/>
          <w:spacing w:val="0"/>
          <w:w w:val="100"/>
          <w:position w:val="0"/>
        </w:rPr>
        <w:t>）</w:t>
        <w:tab/>
        <w:t>对本公司作为承租人的租赁合同，公司根据首次执行日执行新租赁准则与原准则的累计影响数调整本报告期期</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初留存收益及财务报表其他相关项目金额，对可比期间信息不予调整。具体处理如下：</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对于首次执行日前的融资租赁，公司在首次执行日按照融资租入资产和应付融资租赁款的原账面价值，分别计量使用 权资产和租赁负债。</w:t>
      </w:r>
    </w:p>
    <w:p>
      <w:pPr>
        <w:pStyle w:val="Style1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对于首次执行日前的经营租赁，公司在首次执行日根据剩余租赁付款额按首次执行日公司增量借款利率折现的现值计 量租赁负债，按照与租赁负债相等的金额，并根据预付租金进行必要调整计量使用权资产。</w:t>
      </w:r>
    </w:p>
    <w:p>
      <w:pPr>
        <w:pStyle w:val="Style1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在首次执行日，公司按照长期资产减值的规定，对使用权资产进行减值测试并进行相应会计处理。</w:t>
      </w:r>
    </w:p>
    <w:p>
      <w:pPr>
        <w:pStyle w:val="Style15"/>
        <w:keepNext w:val="0"/>
        <w:keepLines w:val="0"/>
        <w:widowControl w:val="0"/>
        <w:shd w:val="clear" w:color="auto" w:fill="auto"/>
        <w:bidi w:val="0"/>
        <w:spacing w:before="0" w:after="0" w:line="317" w:lineRule="exact"/>
        <w:ind w:left="0" w:right="0" w:firstLine="440"/>
        <w:jc w:val="left"/>
      </w:pPr>
      <w:bookmarkStart w:id="511" w:name="bookmark511"/>
      <w:r>
        <w:rPr>
          <w:rFonts w:ascii="Times New Roman" w:eastAsia="Times New Roman" w:hAnsi="Times New Roman" w:cs="Times New Roman"/>
          <w:color w:val="000000"/>
          <w:spacing w:val="0"/>
          <w:w w:val="100"/>
          <w:position w:val="0"/>
        </w:rPr>
        <w:t>1</w:t>
      </w:r>
      <w:bookmarkEnd w:id="511"/>
      <w:r>
        <w:rPr>
          <w:color w:val="000000"/>
          <w:spacing w:val="0"/>
          <w:w w:val="100"/>
          <w:position w:val="0"/>
        </w:rPr>
        <w:t>）执行新租赁准则对公司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tbl>
      <w:tblPr>
        <w:tblOverlap w:val="never"/>
        <w:jc w:val="center"/>
        <w:tblLayout w:type="fixed"/>
      </w:tblPr>
      <w:tblGrid>
        <w:gridCol w:w="2664"/>
        <w:gridCol w:w="1987"/>
        <w:gridCol w:w="1742"/>
        <w:gridCol w:w="2141"/>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新租赁准则 调整影响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41,038,194.50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-787,262.62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40,250,931.88</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6,349,649.15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-593,532.11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5,756,117.04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13,805,871.10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13,805,871.10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6,022,737.86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6,022,737.86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6,402,338.51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6,402,338.51</w:t>
            </w:r>
          </w:p>
        </w:tc>
      </w:tr>
    </w:tbl>
    <w:p>
      <w:pPr>
        <w:pStyle w:val="Style15"/>
        <w:keepNext w:val="0"/>
        <w:keepLines w:val="0"/>
        <w:widowControl w:val="0"/>
        <w:shd w:val="clear" w:color="auto" w:fill="auto"/>
        <w:tabs>
          <w:tab w:pos="776" w:val="left"/>
        </w:tabs>
        <w:bidi w:val="0"/>
        <w:spacing w:before="0" w:after="0" w:line="317" w:lineRule="exact"/>
        <w:ind w:left="0" w:right="0" w:firstLine="440"/>
        <w:jc w:val="both"/>
      </w:pPr>
      <w:bookmarkStart w:id="512" w:name="bookmark512"/>
      <w:r>
        <w:rPr>
          <w:rFonts w:ascii="Times New Roman" w:eastAsia="Times New Roman" w:hAnsi="Times New Roman" w:cs="Times New Roman"/>
          <w:color w:val="000000"/>
          <w:spacing w:val="0"/>
          <w:w w:val="100"/>
          <w:position w:val="0"/>
        </w:rPr>
        <w:t>2</w:t>
      </w:r>
      <w:bookmarkEnd w:id="512"/>
      <w:r>
        <w:rPr>
          <w:color w:val="000000"/>
          <w:spacing w:val="0"/>
          <w:w w:val="100"/>
          <w:position w:val="0"/>
        </w:rPr>
        <w:t>）</w:t>
        <w:tab/>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年度财务报表中披露的重大经营租赁中尚未支付的最低租赁付款额为</w:t>
      </w:r>
      <w:r>
        <w:rPr>
          <w:rFonts w:ascii="Times New Roman" w:eastAsia="Times New Roman" w:hAnsi="Times New Roman" w:cs="Times New Roman"/>
          <w:color w:val="000000"/>
          <w:spacing w:val="0"/>
          <w:w w:val="100"/>
          <w:position w:val="0"/>
        </w:rPr>
        <w:t>0</w:t>
      </w:r>
      <w:r>
        <w:rPr>
          <w:color w:val="000000"/>
          <w:spacing w:val="0"/>
          <w:w w:val="100"/>
          <w:position w:val="0"/>
        </w:rPr>
        <w:t>元，将其按首次执行日增量借款 利率折现的现值为</w:t>
      </w:r>
      <w:r>
        <w:rPr>
          <w:rFonts w:ascii="Times New Roman" w:eastAsia="Times New Roman" w:hAnsi="Times New Roman" w:cs="Times New Roman"/>
          <w:color w:val="000000"/>
          <w:spacing w:val="0"/>
          <w:w w:val="100"/>
          <w:position w:val="0"/>
        </w:rPr>
        <w:t>0</w:t>
      </w:r>
      <w:r>
        <w:rPr>
          <w:color w:val="000000"/>
          <w:spacing w:val="0"/>
          <w:w w:val="100"/>
          <w:position w:val="0"/>
        </w:rPr>
        <w:t>元，折现后的金额与首次执行日计入资产负债表的与原经营租赁相关的租赁负债的差额为</w:t>
      </w:r>
      <w:r>
        <w:rPr>
          <w:rFonts w:ascii="Times New Roman" w:eastAsia="Times New Roman" w:hAnsi="Times New Roman" w:cs="Times New Roman"/>
          <w:color w:val="000000"/>
          <w:spacing w:val="0"/>
          <w:w w:val="100"/>
          <w:position w:val="0"/>
        </w:rPr>
        <w:t xml:space="preserve">13,805,871.10 </w:t>
      </w:r>
      <w:r>
        <w:rPr>
          <w:color w:val="000000"/>
          <w:spacing w:val="0"/>
          <w:w w:val="100"/>
          <w:position w:val="0"/>
        </w:rPr>
        <w:t>元。</w:t>
      </w:r>
    </w:p>
    <w:p>
      <w:pPr>
        <w:pStyle w:val="Style1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首次执行日计入资产负债表的租赁负债所采用的公司增量借款利率的加权平均值为</w:t>
      </w:r>
      <w:r>
        <w:rPr>
          <w:rFonts w:ascii="Times New Roman" w:eastAsia="Times New Roman" w:hAnsi="Times New Roman" w:cs="Times New Roman"/>
          <w:color w:val="000000"/>
          <w:spacing w:val="0"/>
          <w:w w:val="100"/>
          <w:position w:val="0"/>
        </w:rPr>
        <w:t>4.65%</w:t>
      </w:r>
      <w:r>
        <w:rPr>
          <w:color w:val="000000"/>
          <w:spacing w:val="0"/>
          <w:w w:val="100"/>
          <w:position w:val="0"/>
        </w:rPr>
        <w:t>。</w:t>
      </w:r>
    </w:p>
    <w:p>
      <w:pPr>
        <w:pStyle w:val="Style15"/>
        <w:keepNext w:val="0"/>
        <w:keepLines w:val="0"/>
        <w:widowControl w:val="0"/>
        <w:shd w:val="clear" w:color="auto" w:fill="auto"/>
        <w:tabs>
          <w:tab w:pos="808" w:val="left"/>
        </w:tabs>
        <w:bidi w:val="0"/>
        <w:spacing w:before="0" w:after="0" w:line="317" w:lineRule="exact"/>
        <w:ind w:left="0" w:right="0" w:firstLine="440"/>
        <w:jc w:val="left"/>
      </w:pPr>
      <w:bookmarkStart w:id="513" w:name="bookmark513"/>
      <w:r>
        <w:rPr>
          <w:rFonts w:ascii="Times New Roman" w:eastAsia="Times New Roman" w:hAnsi="Times New Roman" w:cs="Times New Roman"/>
          <w:color w:val="000000"/>
          <w:spacing w:val="0"/>
          <w:w w:val="100"/>
          <w:position w:val="0"/>
        </w:rPr>
        <w:t>3</w:t>
      </w:r>
      <w:bookmarkEnd w:id="513"/>
      <w:r>
        <w:rPr>
          <w:color w:val="000000"/>
          <w:spacing w:val="0"/>
          <w:w w:val="100"/>
          <w:position w:val="0"/>
        </w:rPr>
        <w:t>）</w:t>
        <w:tab/>
        <w:t>对首次执行日前的经营租赁采用的简化处理</w:t>
      </w:r>
    </w:p>
    <w:p>
      <w:pPr>
        <w:pStyle w:val="Style15"/>
        <w:keepNext w:val="0"/>
        <w:keepLines w:val="0"/>
        <w:widowControl w:val="0"/>
        <w:numPr>
          <w:ilvl w:val="0"/>
          <w:numId w:val="17"/>
        </w:numPr>
        <w:shd w:val="clear" w:color="auto" w:fill="auto"/>
        <w:tabs>
          <w:tab w:pos="813" w:val="left"/>
        </w:tabs>
        <w:bidi w:val="0"/>
        <w:spacing w:before="0" w:after="0" w:line="317" w:lineRule="exact"/>
        <w:ind w:left="0" w:right="0" w:firstLine="440"/>
        <w:jc w:val="left"/>
      </w:pPr>
      <w:bookmarkStart w:id="514" w:name="bookmark514"/>
      <w:bookmarkEnd w:id="514"/>
      <w:r>
        <w:rPr>
          <w:color w:val="000000"/>
          <w:spacing w:val="0"/>
          <w:w w:val="100"/>
          <w:position w:val="0"/>
        </w:rPr>
        <w:t>对于首次执行日后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个月内完成的租赁合同，公司采用简化方法，不确认使用权资产和租赁负债；</w:t>
      </w:r>
    </w:p>
    <w:p>
      <w:pPr>
        <w:pStyle w:val="Style15"/>
        <w:keepNext w:val="0"/>
        <w:keepLines w:val="0"/>
        <w:widowControl w:val="0"/>
        <w:numPr>
          <w:ilvl w:val="0"/>
          <w:numId w:val="17"/>
        </w:numPr>
        <w:shd w:val="clear" w:color="auto" w:fill="auto"/>
        <w:tabs>
          <w:tab w:pos="813" w:val="left"/>
        </w:tabs>
        <w:bidi w:val="0"/>
        <w:spacing w:before="0" w:after="0" w:line="317" w:lineRule="exact"/>
        <w:ind w:left="0" w:right="0" w:firstLine="440"/>
        <w:jc w:val="left"/>
      </w:pPr>
      <w:bookmarkStart w:id="515" w:name="bookmark515"/>
      <w:bookmarkEnd w:id="515"/>
      <w:r>
        <w:rPr>
          <w:color w:val="000000"/>
          <w:spacing w:val="0"/>
          <w:w w:val="100"/>
          <w:position w:val="0"/>
        </w:rPr>
        <w:t>公司在计量租赁负债时，对于租入固定资产等具有相似特征的租赁合同采用同一折现率；</w:t>
      </w:r>
    </w:p>
    <w:p>
      <w:pPr>
        <w:pStyle w:val="Style15"/>
        <w:keepNext w:val="0"/>
        <w:keepLines w:val="0"/>
        <w:widowControl w:val="0"/>
        <w:numPr>
          <w:ilvl w:val="0"/>
          <w:numId w:val="17"/>
        </w:numPr>
        <w:shd w:val="clear" w:color="auto" w:fill="auto"/>
        <w:tabs>
          <w:tab w:pos="813" w:val="left"/>
        </w:tabs>
        <w:bidi w:val="0"/>
        <w:spacing w:before="0" w:after="0" w:line="317" w:lineRule="exact"/>
        <w:ind w:left="0" w:right="0" w:firstLine="440"/>
        <w:jc w:val="left"/>
      </w:pPr>
      <w:bookmarkStart w:id="516" w:name="bookmark516"/>
      <w:bookmarkEnd w:id="516"/>
      <w:r>
        <w:rPr>
          <w:color w:val="000000"/>
          <w:spacing w:val="0"/>
          <w:w w:val="100"/>
          <w:position w:val="0"/>
        </w:rPr>
        <w:t>使用权资产的计量不包含初始直接费用；</w:t>
      </w:r>
    </w:p>
    <w:p>
      <w:pPr>
        <w:pStyle w:val="Style15"/>
        <w:keepNext w:val="0"/>
        <w:keepLines w:val="0"/>
        <w:widowControl w:val="0"/>
        <w:numPr>
          <w:ilvl w:val="0"/>
          <w:numId w:val="17"/>
        </w:numPr>
        <w:shd w:val="clear" w:color="auto" w:fill="auto"/>
        <w:tabs>
          <w:tab w:pos="813" w:val="left"/>
        </w:tabs>
        <w:bidi w:val="0"/>
        <w:spacing w:before="0" w:after="0" w:line="317" w:lineRule="exact"/>
        <w:ind w:left="0" w:right="0" w:firstLine="440"/>
        <w:jc w:val="left"/>
      </w:pPr>
      <w:bookmarkStart w:id="517" w:name="bookmark517"/>
      <w:bookmarkEnd w:id="517"/>
      <w:r>
        <w:rPr>
          <w:color w:val="000000"/>
          <w:spacing w:val="0"/>
          <w:w w:val="100"/>
          <w:position w:val="0"/>
        </w:rPr>
        <w:t>公司根据首次执行日前续租选择权或终止租赁选择权的实际行权及其他最新情况确定租赁期；</w:t>
      </w:r>
    </w:p>
    <w:p>
      <w:pPr>
        <w:pStyle w:val="Style15"/>
        <w:keepNext w:val="0"/>
        <w:keepLines w:val="0"/>
        <w:widowControl w:val="0"/>
        <w:numPr>
          <w:ilvl w:val="0"/>
          <w:numId w:val="17"/>
        </w:numPr>
        <w:shd w:val="clear" w:color="auto" w:fill="auto"/>
        <w:tabs>
          <w:tab w:pos="757" w:val="left"/>
        </w:tabs>
        <w:bidi w:val="0"/>
        <w:spacing w:before="0" w:after="0" w:line="317" w:lineRule="exact"/>
        <w:ind w:left="0" w:right="0" w:firstLine="440"/>
        <w:jc w:val="both"/>
      </w:pPr>
      <w:bookmarkStart w:id="518" w:name="bookmark518"/>
      <w:bookmarkEnd w:id="518"/>
      <w:r>
        <w:rPr>
          <w:color w:val="000000"/>
          <w:spacing w:val="0"/>
          <w:w w:val="100"/>
          <w:position w:val="0"/>
        </w:rPr>
        <w:t>作为使用权资产减值测试的替代，公司根据《企业会计准则第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 日前是否为亏损合同，并根据首次执行日前计入资产负债表日的亏损准备金额调整使用权资产；</w:t>
      </w:r>
    </w:p>
    <w:p>
      <w:pPr>
        <w:pStyle w:val="Style15"/>
        <w:keepNext w:val="0"/>
        <w:keepLines w:val="0"/>
        <w:widowControl w:val="0"/>
        <w:numPr>
          <w:ilvl w:val="0"/>
          <w:numId w:val="17"/>
        </w:numPr>
        <w:shd w:val="clear" w:color="auto" w:fill="auto"/>
        <w:tabs>
          <w:tab w:pos="813" w:val="left"/>
        </w:tabs>
        <w:bidi w:val="0"/>
        <w:spacing w:before="0" w:after="240" w:line="317" w:lineRule="exact"/>
        <w:ind w:left="0" w:right="0" w:firstLine="440"/>
        <w:jc w:val="left"/>
      </w:pPr>
      <w:bookmarkStart w:id="519" w:name="bookmark519"/>
      <w:bookmarkEnd w:id="519"/>
      <w:r>
        <w:rPr>
          <w:color w:val="000000"/>
          <w:spacing w:val="0"/>
          <w:w w:val="100"/>
          <w:position w:val="0"/>
        </w:rPr>
        <w:t>首次执行日前发生租赁变更的，公司根据租赁变更的最终安排进行会计处理。</w:t>
      </w:r>
    </w:p>
    <w:p>
      <w:pPr>
        <w:pStyle w:val="Style15"/>
        <w:keepNext w:val="0"/>
        <w:keepLines w:val="0"/>
        <w:widowControl w:val="0"/>
        <w:shd w:val="clear" w:color="auto" w:fill="auto"/>
        <w:bidi w:val="0"/>
        <w:spacing w:before="0" w:after="0" w:line="326" w:lineRule="exact"/>
        <w:ind w:left="0" w:right="0" w:firstLine="440"/>
        <w:jc w:val="left"/>
      </w:pPr>
      <w:r>
        <w:rPr>
          <w:color w:val="000000"/>
          <w:spacing w:val="0"/>
          <w:w w:val="100"/>
          <w:position w:val="0"/>
        </w:rPr>
        <w:t>上述简化处理对公司财务报表无显著影响。</w:t>
      </w:r>
    </w:p>
    <w:p>
      <w:pPr>
        <w:pStyle w:val="Style15"/>
        <w:keepNext w:val="0"/>
        <w:keepLines w:val="0"/>
        <w:widowControl w:val="0"/>
        <w:shd w:val="clear" w:color="auto" w:fill="auto"/>
        <w:tabs>
          <w:tab w:pos="954" w:val="left"/>
        </w:tabs>
        <w:bidi w:val="0"/>
        <w:spacing w:before="0" w:after="0" w:line="326" w:lineRule="exact"/>
        <w:ind w:left="0" w:right="0" w:firstLine="440"/>
        <w:jc w:val="left"/>
      </w:pPr>
      <w:bookmarkStart w:id="520" w:name="bookmark520"/>
      <w:r>
        <w:rPr>
          <w:color w:val="000000"/>
          <w:spacing w:val="0"/>
          <w:w w:val="100"/>
          <w:position w:val="0"/>
        </w:rPr>
        <w:t>（</w:t>
      </w:r>
      <w:bookmarkEnd w:id="520"/>
      <w:r>
        <w:rPr>
          <w:rFonts w:ascii="Times New Roman" w:eastAsia="Times New Roman" w:hAnsi="Times New Roman" w:cs="Times New Roman"/>
          <w:color w:val="000000"/>
          <w:spacing w:val="0"/>
          <w:w w:val="100"/>
          <w:position w:val="0"/>
        </w:rPr>
        <w:t>3</w:t>
      </w:r>
      <w:r>
        <w:rPr>
          <w:color w:val="000000"/>
          <w:spacing w:val="0"/>
          <w:w w:val="100"/>
          <w:position w:val="0"/>
        </w:rPr>
        <w:t>）</w:t>
        <w:tab/>
        <w:t>对首次执行日前已存在的低价值资产经营租赁合同，公司采用简化方法，不确认使用权资产和租赁负债，自首 次执行日起按照新租赁准则进行会计处理。</w:t>
      </w:r>
    </w:p>
    <w:p>
      <w:pPr>
        <w:pStyle w:val="Style15"/>
        <w:keepNext w:val="0"/>
        <w:keepLines w:val="0"/>
        <w:widowControl w:val="0"/>
        <w:shd w:val="clear" w:color="auto" w:fill="auto"/>
        <w:tabs>
          <w:tab w:pos="916" w:val="left"/>
        </w:tabs>
        <w:bidi w:val="0"/>
        <w:spacing w:before="0" w:after="0" w:line="326" w:lineRule="exact"/>
        <w:ind w:left="0" w:right="0" w:firstLine="440"/>
        <w:jc w:val="left"/>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rPr>
        <w:t>4</w:t>
      </w:r>
      <w:r>
        <w:rPr>
          <w:color w:val="000000"/>
          <w:spacing w:val="0"/>
          <w:w w:val="100"/>
          <w:position w:val="0"/>
        </w:rPr>
        <w:t>）</w:t>
        <w:tab/>
        <w:t>对公司作为出租人的租赁合同，自首次执行日起按照新租赁准则进行会计处理。</w:t>
      </w:r>
    </w:p>
    <w:p>
      <w:pPr>
        <w:pStyle w:val="Style15"/>
        <w:keepNext w:val="0"/>
        <w:keepLines w:val="0"/>
        <w:widowControl w:val="0"/>
        <w:shd w:val="clear" w:color="auto" w:fill="auto"/>
        <w:tabs>
          <w:tab w:pos="762" w:val="left"/>
        </w:tabs>
        <w:bidi w:val="0"/>
        <w:spacing w:before="0" w:after="0" w:line="326" w:lineRule="exact"/>
        <w:ind w:left="0" w:right="0" w:firstLine="440"/>
        <w:jc w:val="left"/>
      </w:pPr>
      <w:bookmarkStart w:id="522" w:name="bookmark522"/>
      <w:r>
        <w:rPr>
          <w:rFonts w:ascii="Times New Roman" w:eastAsia="Times New Roman" w:hAnsi="Times New Roman" w:cs="Times New Roman"/>
          <w:color w:val="000000"/>
          <w:spacing w:val="0"/>
          <w:w w:val="100"/>
          <w:position w:val="0"/>
        </w:rPr>
        <w:t>2</w:t>
      </w:r>
      <w:bookmarkEnd w:id="522"/>
      <w:r>
        <w:rPr>
          <w:color w:val="000000"/>
          <w:spacing w:val="0"/>
          <w:w w:val="100"/>
          <w:position w:val="0"/>
        </w:rPr>
        <w:t>、</w:t>
        <w:tab/>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2021</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号》，该项会计政策变更对公司财 务报表无影响。</w:t>
      </w:r>
    </w:p>
    <w:p>
      <w:pPr>
        <w:pStyle w:val="Style15"/>
        <w:keepNext w:val="0"/>
        <w:keepLines w:val="0"/>
        <w:widowControl w:val="0"/>
        <w:shd w:val="clear" w:color="auto" w:fill="auto"/>
        <w:tabs>
          <w:tab w:pos="771" w:val="left"/>
        </w:tabs>
        <w:bidi w:val="0"/>
        <w:spacing w:before="0" w:after="360" w:line="326" w:lineRule="exact"/>
        <w:ind w:left="0" w:right="0" w:firstLine="440"/>
        <w:jc w:val="left"/>
      </w:pPr>
      <w:bookmarkStart w:id="523" w:name="bookmark523"/>
      <w:r>
        <w:rPr>
          <w:rFonts w:ascii="Times New Roman" w:eastAsia="Times New Roman" w:hAnsi="Times New Roman" w:cs="Times New Roman"/>
          <w:color w:val="000000"/>
          <w:spacing w:val="0"/>
          <w:w w:val="100"/>
          <w:position w:val="0"/>
        </w:rPr>
        <w:t>3</w:t>
      </w:r>
      <w:bookmarkEnd w:id="523"/>
      <w:r>
        <w:rPr>
          <w:color w:val="000000"/>
          <w:spacing w:val="0"/>
          <w:w w:val="100"/>
          <w:position w:val="0"/>
        </w:rPr>
        <w:t>、</w:t>
        <w:tab/>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日起执行财政部颁布的《企业会计准则解释第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规定，该项 会计政策变更对公司财务报表无影响。</w:t>
      </w:r>
    </w:p>
    <w:p>
      <w:pPr>
        <w:pStyle w:val="Style19"/>
        <w:keepNext/>
        <w:keepLines/>
        <w:widowControl w:val="0"/>
        <w:shd w:val="clear" w:color="auto" w:fill="auto"/>
        <w:tabs>
          <w:tab w:pos="517" w:val="left"/>
        </w:tabs>
        <w:bidi w:val="0"/>
        <w:spacing w:before="0" w:after="24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七</w:t>
      </w:r>
      <w:bookmarkEnd w:id="526"/>
      <w:r>
        <w:rPr>
          <w:color w:val="000000"/>
          <w:spacing w:val="0"/>
          <w:w w:val="100"/>
          <w:position w:val="0"/>
          <w:sz w:val="24"/>
          <w:szCs w:val="24"/>
        </w:rPr>
        <w:t>、</w:t>
        <w:tab/>
        <w:t>与上年度财务报告相比，合并报表范围发生变化的情况说明</w:t>
      </w:r>
      <w:bookmarkEnd w:id="524"/>
      <w:bookmarkEnd w:id="525"/>
      <w:bookmarkEnd w:id="527"/>
    </w:p>
    <w:p>
      <w:pPr>
        <w:pStyle w:val="Style15"/>
        <w:keepNext w:val="0"/>
        <w:keepLines w:val="0"/>
        <w:widowControl w:val="0"/>
        <w:shd w:val="clear" w:color="auto" w:fill="auto"/>
        <w:bidi w:val="0"/>
        <w:spacing w:before="0" w:after="60" w:line="326" w:lineRule="exact"/>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360" w:line="307"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年公司新设立子公司天津青创慧康科技有限公司、收购嘉兴市博雅达医药有限公司，并于本年纳入合并报表范围。 原子公司杭州梅清数码科技有限公司自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日起不再纳入合并报表范围。</w:t>
      </w:r>
    </w:p>
    <w:p>
      <w:pPr>
        <w:pStyle w:val="Style19"/>
        <w:keepNext/>
        <w:keepLines/>
        <w:widowControl w:val="0"/>
        <w:shd w:val="clear" w:color="auto" w:fill="auto"/>
        <w:tabs>
          <w:tab w:pos="517" w:val="left"/>
        </w:tabs>
        <w:bidi w:val="0"/>
        <w:spacing w:before="0" w:after="36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八</w:t>
      </w:r>
      <w:bookmarkEnd w:id="530"/>
      <w:r>
        <w:rPr>
          <w:color w:val="000000"/>
          <w:spacing w:val="0"/>
          <w:w w:val="100"/>
          <w:position w:val="0"/>
          <w:sz w:val="24"/>
          <w:szCs w:val="24"/>
        </w:rPr>
        <w:t>、</w:t>
        <w:tab/>
        <w:t>聘任、解聘会计师事务所情况</w:t>
      </w:r>
      <w:bookmarkEnd w:id="528"/>
      <w:bookmarkEnd w:id="529"/>
      <w:bookmarkEnd w:id="531"/>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余建耀、李鸿霞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余建耀连续服务年限</w:t>
            </w:r>
            <w:r>
              <w:rPr>
                <w:rFonts w:ascii="Times New Roman" w:eastAsia="Times New Roman" w:hAnsi="Times New Roman" w:cs="Times New Roman"/>
                <w:color w:val="000000"/>
                <w:spacing w:val="0"/>
                <w:w w:val="100"/>
                <w:position w:val="0"/>
              </w:rPr>
              <w:t>3</w:t>
            </w:r>
            <w:r>
              <w:rPr>
                <w:color w:val="000000"/>
                <w:spacing w:val="0"/>
                <w:w w:val="100"/>
                <w:position w:val="0"/>
              </w:rPr>
              <w:t>年，李鸿霞连续服务年限</w:t>
            </w:r>
            <w:r>
              <w:rPr>
                <w:rFonts w:ascii="Times New Roman" w:eastAsia="Times New Roman" w:hAnsi="Times New Roman" w:cs="Times New Roman"/>
                <w:color w:val="000000"/>
                <w:spacing w:val="0"/>
                <w:w w:val="100"/>
                <w:position w:val="0"/>
              </w:rPr>
              <w:t>5</w:t>
            </w:r>
            <w:r>
              <w:rPr>
                <w:color w:val="000000"/>
                <w:spacing w:val="0"/>
                <w:w w:val="100"/>
                <w:position w:val="0"/>
              </w:rPr>
              <w:t>年</w:t>
            </w:r>
          </w:p>
        </w:tc>
      </w:tr>
    </w:tbl>
    <w:p>
      <w:pPr>
        <w:widowControl w:val="0"/>
        <w:spacing w:after="5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九</w:t>
      </w:r>
      <w:bookmarkEnd w:id="534"/>
      <w:r>
        <w:rPr>
          <w:color w:val="000000"/>
          <w:spacing w:val="0"/>
          <w:w w:val="100"/>
          <w:position w:val="0"/>
          <w:sz w:val="24"/>
          <w:szCs w:val="24"/>
        </w:rPr>
        <w:t>、年度报告披露后面临退市情况</w:t>
      </w:r>
      <w:bookmarkEnd w:id="532"/>
      <w:bookmarkEnd w:id="533"/>
      <w:bookmarkEnd w:id="535"/>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536" w:name="bookmark536"/>
      <w:bookmarkStart w:id="537" w:name="bookmark537"/>
      <w:bookmarkStart w:id="538" w:name="bookmark538"/>
      <w:r>
        <w:rPr>
          <w:color w:val="000000"/>
          <w:spacing w:val="0"/>
          <w:w w:val="100"/>
          <w:position w:val="0"/>
          <w:sz w:val="24"/>
          <w:szCs w:val="24"/>
        </w:rPr>
        <w:t>十、破产重整相关事项</w:t>
      </w:r>
      <w:bookmarkEnd w:id="536"/>
      <w:bookmarkEnd w:id="537"/>
      <w:bookmarkEnd w:id="53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6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十一、重大诉讼、仲裁事项</w:t>
      </w:r>
      <w:bookmarkEnd w:id="539"/>
      <w:bookmarkEnd w:id="540"/>
      <w:bookmarkEnd w:id="541"/>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19"/>
        <w:keepNext/>
        <w:keepLines/>
        <w:widowControl w:val="0"/>
        <w:shd w:val="clear" w:color="auto" w:fill="auto"/>
        <w:bidi w:val="0"/>
        <w:spacing w:before="0" w:after="360" w:line="240" w:lineRule="auto"/>
        <w:ind w:left="0" w:right="0" w:firstLine="0"/>
        <w:jc w:val="left"/>
      </w:pPr>
      <w:bookmarkStart w:id="542" w:name="bookmark542"/>
      <w:bookmarkStart w:id="543" w:name="bookmark543"/>
      <w:bookmarkStart w:id="544" w:name="bookmark544"/>
      <w:r>
        <w:rPr>
          <w:color w:val="000000"/>
          <w:spacing w:val="0"/>
          <w:w w:val="100"/>
          <w:position w:val="0"/>
          <w:sz w:val="24"/>
          <w:szCs w:val="24"/>
        </w:rPr>
        <w:t>十二、处罚及整改情况</w:t>
      </w:r>
      <w:bookmarkEnd w:id="542"/>
      <w:bookmarkEnd w:id="543"/>
      <w:bookmarkEnd w:id="54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after="360" w:line="240" w:lineRule="auto"/>
        <w:ind w:left="0" w:right="0" w:firstLine="0"/>
        <w:jc w:val="left"/>
      </w:pPr>
      <w:bookmarkStart w:id="545" w:name="bookmark545"/>
      <w:bookmarkStart w:id="546" w:name="bookmark546"/>
      <w:bookmarkStart w:id="547" w:name="bookmark547"/>
      <w:r>
        <w:rPr>
          <w:color w:val="000000"/>
          <w:spacing w:val="0"/>
          <w:w w:val="100"/>
          <w:position w:val="0"/>
          <w:sz w:val="24"/>
          <w:szCs w:val="24"/>
        </w:rPr>
        <w:t>十三、公司及其控股股东、实际控制人的诚信状况</w:t>
      </w:r>
      <w:bookmarkEnd w:id="545"/>
      <w:bookmarkEnd w:id="546"/>
      <w:bookmarkEnd w:id="547"/>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公司及其控股股东、实际控制人不存在未履行的法院生效判决、不存在所负数额较大的债务到期未清偿等情况。</w:t>
      </w:r>
    </w:p>
    <w:p>
      <w:pPr>
        <w:pStyle w:val="Style19"/>
        <w:keepNext/>
        <w:keepLines/>
        <w:widowControl w:val="0"/>
        <w:shd w:val="clear" w:color="auto" w:fill="auto"/>
        <w:bidi w:val="0"/>
        <w:spacing w:before="0" w:after="360" w:line="240" w:lineRule="auto"/>
        <w:ind w:left="0" w:right="0" w:firstLine="0"/>
        <w:jc w:val="left"/>
      </w:pPr>
      <w:bookmarkStart w:id="548" w:name="bookmark548"/>
      <w:bookmarkStart w:id="549" w:name="bookmark549"/>
      <w:bookmarkStart w:id="550" w:name="bookmark550"/>
      <w:r>
        <w:rPr>
          <w:color w:val="000000"/>
          <w:spacing w:val="0"/>
          <w:w w:val="100"/>
          <w:position w:val="0"/>
          <w:sz w:val="24"/>
          <w:szCs w:val="24"/>
        </w:rPr>
        <w:t>十四、重大关联交易</w:t>
      </w:r>
      <w:bookmarkEnd w:id="548"/>
      <w:bookmarkEnd w:id="549"/>
      <w:bookmarkEnd w:id="550"/>
    </w:p>
    <w:p>
      <w:pPr>
        <w:pStyle w:val="Style24"/>
        <w:keepNext/>
        <w:keepLines/>
        <w:widowControl w:val="0"/>
        <w:shd w:val="clear" w:color="auto" w:fill="auto"/>
        <w:tabs>
          <w:tab w:pos="368" w:val="left"/>
        </w:tabs>
        <w:bidi w:val="0"/>
        <w:spacing w:before="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w:t>
        <w:tab/>
        <w:t>与日常经营相关的关联交易</w:t>
      </w:r>
      <w:bookmarkEnd w:id="551"/>
      <w:bookmarkEnd w:id="552"/>
      <w:bookmarkEnd w:id="55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4"/>
        <w:keepNext/>
        <w:keepLines/>
        <w:widowControl w:val="0"/>
        <w:shd w:val="clear" w:color="auto" w:fill="auto"/>
        <w:tabs>
          <w:tab w:pos="378"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w:t>
        <w:tab/>
        <w:t>资产或股权收购、出售发生的关联交易</w:t>
      </w:r>
      <w:bookmarkEnd w:id="555"/>
      <w:bookmarkEnd w:id="556"/>
      <w:bookmarkEnd w:id="55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4"/>
        <w:keepNext/>
        <w:keepLines/>
        <w:widowControl w:val="0"/>
        <w:shd w:val="clear" w:color="auto" w:fill="auto"/>
        <w:tabs>
          <w:tab w:pos="378" w:val="left"/>
        </w:tabs>
        <w:bidi w:val="0"/>
        <w:spacing w:before="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3</w:t>
      </w:r>
      <w:bookmarkEnd w:id="561"/>
      <w:r>
        <w:rPr>
          <w:color w:val="000000"/>
          <w:spacing w:val="0"/>
          <w:w w:val="100"/>
          <w:position w:val="0"/>
        </w:rPr>
        <w:t>、</w:t>
        <w:tab/>
        <w:t>共同对外投资的关联交易</w:t>
      </w:r>
      <w:bookmarkEnd w:id="559"/>
      <w:bookmarkEnd w:id="560"/>
      <w:bookmarkEnd w:id="56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4"/>
        <w:keepNext/>
        <w:keepLines/>
        <w:widowControl w:val="0"/>
        <w:shd w:val="clear" w:color="auto" w:fill="auto"/>
        <w:tabs>
          <w:tab w:pos="378" w:val="left"/>
        </w:tabs>
        <w:bidi w:val="0"/>
        <w:spacing w:before="0" w:line="24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4</w:t>
      </w:r>
      <w:bookmarkEnd w:id="565"/>
      <w:r>
        <w:rPr>
          <w:color w:val="000000"/>
          <w:spacing w:val="0"/>
          <w:w w:val="100"/>
          <w:position w:val="0"/>
        </w:rPr>
        <w:t>、</w:t>
        <w:tab/>
        <w:t>关联债权债务往来</w:t>
      </w:r>
      <w:bookmarkEnd w:id="563"/>
      <w:bookmarkEnd w:id="564"/>
      <w:bookmarkEnd w:id="56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4"/>
        <w:keepNext/>
        <w:keepLines/>
        <w:widowControl w:val="0"/>
        <w:shd w:val="clear" w:color="auto" w:fill="auto"/>
        <w:tabs>
          <w:tab w:pos="378" w:val="left"/>
        </w:tabs>
        <w:bidi w:val="0"/>
        <w:spacing w:before="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5</w:t>
      </w:r>
      <w:bookmarkEnd w:id="569"/>
      <w:r>
        <w:rPr>
          <w:color w:val="000000"/>
          <w:spacing w:val="0"/>
          <w:w w:val="100"/>
          <w:position w:val="0"/>
        </w:rPr>
        <w:t>、</w:t>
        <w:tab/>
        <w:t>与存在关联关系的财务公司的往来情况</w:t>
      </w:r>
      <w:bookmarkEnd w:id="567"/>
      <w:bookmarkEnd w:id="568"/>
      <w:bookmarkEnd w:id="570"/>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4"/>
        <w:keepNext/>
        <w:keepLines/>
        <w:widowControl w:val="0"/>
        <w:shd w:val="clear" w:color="auto" w:fill="auto"/>
        <w:tabs>
          <w:tab w:pos="378"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6</w:t>
      </w:r>
      <w:bookmarkEnd w:id="573"/>
      <w:r>
        <w:rPr>
          <w:color w:val="000000"/>
          <w:spacing w:val="0"/>
          <w:w w:val="100"/>
          <w:position w:val="0"/>
        </w:rPr>
        <w:t>、</w:t>
        <w:tab/>
        <w:t>公司控股的财务公司与关联方的往来情况</w:t>
      </w:r>
      <w:bookmarkEnd w:id="571"/>
      <w:bookmarkEnd w:id="572"/>
      <w:bookmarkEnd w:id="57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24"/>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7</w:t>
      </w:r>
      <w:bookmarkEnd w:id="577"/>
      <w:r>
        <w:rPr>
          <w:color w:val="000000"/>
          <w:spacing w:val="0"/>
          <w:w w:val="100"/>
          <w:position w:val="0"/>
        </w:rPr>
        <w:t>、其他重大关联交易</w:t>
      </w:r>
      <w:bookmarkEnd w:id="575"/>
      <w:bookmarkEnd w:id="576"/>
      <w:bookmarkEnd w:id="57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19"/>
        <w:keepNext/>
        <w:keepLines/>
        <w:widowControl w:val="0"/>
        <w:shd w:val="clear" w:color="auto" w:fill="auto"/>
        <w:bidi w:val="0"/>
        <w:spacing w:before="0" w:after="360" w:line="240" w:lineRule="auto"/>
        <w:ind w:left="0" w:right="0" w:firstLine="0"/>
        <w:jc w:val="left"/>
      </w:pPr>
      <w:bookmarkStart w:id="579" w:name="bookmark579"/>
      <w:bookmarkStart w:id="580" w:name="bookmark580"/>
      <w:bookmarkStart w:id="581" w:name="bookmark581"/>
      <w:r>
        <w:rPr>
          <w:color w:val="000000"/>
          <w:spacing w:val="0"/>
          <w:w w:val="100"/>
          <w:position w:val="0"/>
          <w:sz w:val="24"/>
          <w:szCs w:val="24"/>
        </w:rPr>
        <w:t>十五、重大合同及其履行情况</w:t>
      </w:r>
      <w:bookmarkEnd w:id="579"/>
      <w:bookmarkEnd w:id="580"/>
      <w:bookmarkEnd w:id="581"/>
    </w:p>
    <w:p>
      <w:pPr>
        <w:pStyle w:val="Style24"/>
        <w:keepNext/>
        <w:keepLines/>
        <w:widowControl w:val="0"/>
        <w:shd w:val="clear" w:color="auto" w:fill="auto"/>
        <w:tabs>
          <w:tab w:pos="368"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w:t>
        <w:tab/>
        <w:t>托管、承包、租赁事项情况</w:t>
      </w:r>
      <w:bookmarkEnd w:id="582"/>
      <w:bookmarkEnd w:id="583"/>
      <w:bookmarkEnd w:id="585"/>
    </w:p>
    <w:p>
      <w:pPr>
        <w:pStyle w:val="Style24"/>
        <w:keepNext/>
        <w:keepLines/>
        <w:widowControl w:val="0"/>
        <w:numPr>
          <w:ilvl w:val="0"/>
          <w:numId w:val="19"/>
        </w:numPr>
        <w:shd w:val="clear" w:color="auto" w:fill="auto"/>
        <w:tabs>
          <w:tab w:pos="493" w:val="left"/>
        </w:tabs>
        <w:bidi w:val="0"/>
        <w:spacing w:before="0" w:line="240" w:lineRule="auto"/>
        <w:ind w:left="0" w:right="0" w:firstLine="0"/>
        <w:jc w:val="left"/>
      </w:pPr>
      <w:bookmarkStart w:id="582" w:name="bookmark582"/>
      <w:bookmarkStart w:id="583" w:name="bookmark583"/>
      <w:bookmarkStart w:id="586" w:name="bookmark586"/>
      <w:bookmarkStart w:id="587" w:name="bookmark587"/>
      <w:bookmarkEnd w:id="586"/>
      <w:r>
        <w:rPr>
          <w:color w:val="000000"/>
          <w:spacing w:val="0"/>
          <w:w w:val="100"/>
          <w:position w:val="0"/>
        </w:rPr>
        <w:t>托管情况</w:t>
      </w:r>
      <w:bookmarkEnd w:id="582"/>
      <w:bookmarkEnd w:id="583"/>
      <w:bookmarkEnd w:id="587"/>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110"/>
        <w:keepNext w:val="0"/>
        <w:keepLines w:val="0"/>
        <w:widowControl w:val="0"/>
        <w:numPr>
          <w:ilvl w:val="0"/>
          <w:numId w:val="19"/>
        </w:numPr>
        <w:shd w:val="clear" w:color="auto" w:fill="auto"/>
        <w:tabs>
          <w:tab w:pos="493" w:val="left"/>
        </w:tabs>
        <w:bidi w:val="0"/>
        <w:spacing w:before="0" w:line="240" w:lineRule="auto"/>
        <w:ind w:left="0" w:right="0" w:firstLine="0"/>
        <w:jc w:val="left"/>
      </w:pPr>
      <w:bookmarkStart w:id="588" w:name="bookmark588"/>
      <w:bookmarkStart w:id="589" w:name="bookmark589"/>
      <w:bookmarkEnd w:id="588"/>
      <w:r>
        <w:rPr>
          <w:color w:val="000000"/>
          <w:spacing w:val="0"/>
          <w:w w:val="100"/>
          <w:position w:val="0"/>
        </w:rPr>
        <w:t>承包情况</w:t>
      </w:r>
      <w:bookmarkEnd w:id="589"/>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110"/>
        <w:keepNext w:val="0"/>
        <w:keepLines w:val="0"/>
        <w:widowControl w:val="0"/>
        <w:numPr>
          <w:ilvl w:val="0"/>
          <w:numId w:val="19"/>
        </w:numPr>
        <w:shd w:val="clear" w:color="auto" w:fill="auto"/>
        <w:tabs>
          <w:tab w:pos="493" w:val="left"/>
        </w:tabs>
        <w:bidi w:val="0"/>
        <w:spacing w:before="0" w:line="240" w:lineRule="auto"/>
        <w:ind w:left="0" w:right="0" w:firstLine="0"/>
        <w:jc w:val="left"/>
      </w:pPr>
      <w:bookmarkStart w:id="590" w:name="bookmark590"/>
      <w:bookmarkStart w:id="591" w:name="bookmark591"/>
      <w:bookmarkEnd w:id="590"/>
      <w:r>
        <w:rPr>
          <w:color w:val="000000"/>
          <w:spacing w:val="0"/>
          <w:w w:val="100"/>
          <w:position w:val="0"/>
        </w:rPr>
        <w:t>租赁情况</w:t>
      </w:r>
      <w:bookmarkEnd w:id="591"/>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24"/>
        <w:keepNext/>
        <w:keepLines/>
        <w:widowControl w:val="0"/>
        <w:shd w:val="clear" w:color="auto" w:fill="auto"/>
        <w:tabs>
          <w:tab w:pos="378" w:val="left"/>
        </w:tabs>
        <w:bidi w:val="0"/>
        <w:spacing w:before="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w:t>
        <w:tab/>
        <w:t>重大担保</w:t>
      </w:r>
      <w:bookmarkEnd w:id="592"/>
      <w:bookmarkEnd w:id="593"/>
      <w:bookmarkEnd w:id="595"/>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公司报告期不存在重大担保情况。</w:t>
      </w:r>
    </w:p>
    <w:p>
      <w:pPr>
        <w:pStyle w:val="Style24"/>
        <w:keepNext/>
        <w:keepLines/>
        <w:widowControl w:val="0"/>
        <w:shd w:val="clear" w:color="auto" w:fill="auto"/>
        <w:tabs>
          <w:tab w:pos="378" w:val="left"/>
        </w:tabs>
        <w:bidi w:val="0"/>
        <w:spacing w:before="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3</w:t>
      </w:r>
      <w:bookmarkEnd w:id="598"/>
      <w:r>
        <w:rPr>
          <w:color w:val="000000"/>
          <w:spacing w:val="0"/>
          <w:w w:val="100"/>
          <w:position w:val="0"/>
        </w:rPr>
        <w:t>、</w:t>
        <w:tab/>
        <w:t>委托他人进行现金资产管理情况</w:t>
      </w:r>
      <w:bookmarkEnd w:id="596"/>
      <w:bookmarkEnd w:id="597"/>
      <w:bookmarkEnd w:id="599"/>
    </w:p>
    <w:p>
      <w:pPr>
        <w:pStyle w:val="Style92"/>
        <w:keepNext/>
        <w:keepLines/>
        <w:widowControl w:val="0"/>
        <w:numPr>
          <w:ilvl w:val="0"/>
          <w:numId w:val="21"/>
        </w:numPr>
        <w:shd w:val="clear" w:color="auto" w:fill="auto"/>
        <w:bidi w:val="0"/>
        <w:spacing w:before="0" w:after="360" w:line="240" w:lineRule="auto"/>
        <w:ind w:left="0" w:right="0" w:firstLine="0"/>
        <w:jc w:val="left"/>
      </w:pPr>
      <w:bookmarkStart w:id="600" w:name="bookmark600"/>
      <w:bookmarkStart w:id="601" w:name="bookmark601"/>
      <w:bookmarkStart w:id="602" w:name="bookmark602"/>
      <w:bookmarkStart w:id="603" w:name="bookmark603"/>
      <w:bookmarkEnd w:id="602"/>
      <w:r>
        <w:rPr>
          <w:color w:val="000000"/>
          <w:spacing w:val="0"/>
          <w:w w:val="100"/>
          <w:position w:val="0"/>
        </w:rPr>
        <w:t>委托理财情况</w:t>
      </w:r>
      <w:bookmarkEnd w:id="600"/>
      <w:bookmarkEnd w:id="601"/>
      <w:bookmarkEnd w:id="603"/>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574"/>
        <w:gridCol w:w="1646"/>
        <w:gridCol w:w="1661"/>
        <w:gridCol w:w="1598"/>
        <w:gridCol w:w="1546"/>
        <w:gridCol w:w="155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逾期未收回的金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逾期未收回理财</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单项金额重大或安全性较低、流动性较差的高风险委托理财具体情况</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委托理财出现预期无法收回本金或存在其他可能导致减值的情形</w:t>
      </w:r>
    </w:p>
    <w:p>
      <w:pPr>
        <w:pStyle w:val="Style1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口适用”不适用</w:t>
      </w:r>
    </w:p>
    <w:p>
      <w:pPr>
        <w:pStyle w:val="Style92"/>
        <w:keepNext/>
        <w:keepLines/>
        <w:widowControl w:val="0"/>
        <w:shd w:val="clear" w:color="auto" w:fill="auto"/>
        <w:bidi w:val="0"/>
        <w:spacing w:before="0" w:after="26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04"/>
      <w:bookmarkEnd w:id="605"/>
      <w:bookmarkEnd w:id="607"/>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公司报告期不存在委托贷款。</w:t>
      </w:r>
    </w:p>
    <w:p>
      <w:pPr>
        <w:pStyle w:val="Style24"/>
        <w:keepNext/>
        <w:keepLines/>
        <w:widowControl w:val="0"/>
        <w:shd w:val="clear" w:color="auto" w:fill="auto"/>
        <w:bidi w:val="0"/>
        <w:spacing w:before="0" w:after="26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4</w:t>
      </w:r>
      <w:bookmarkEnd w:id="610"/>
      <w:r>
        <w:rPr>
          <w:color w:val="000000"/>
          <w:spacing w:val="0"/>
          <w:w w:val="100"/>
          <w:position w:val="0"/>
        </w:rPr>
        <w:t>、其他重大合同</w:t>
      </w:r>
      <w:bookmarkEnd w:id="608"/>
      <w:bookmarkEnd w:id="609"/>
      <w:bookmarkEnd w:id="611"/>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公司报告期不存在其他重大合同。</w:t>
      </w:r>
    </w:p>
    <w:p>
      <w:pPr>
        <w:pStyle w:val="Style19"/>
        <w:keepNext/>
        <w:keepLines/>
        <w:widowControl w:val="0"/>
        <w:shd w:val="clear" w:color="auto" w:fill="auto"/>
        <w:bidi w:val="0"/>
        <w:spacing w:before="0" w:after="260" w:line="240" w:lineRule="auto"/>
        <w:ind w:left="0" w:right="0" w:firstLine="0"/>
        <w:jc w:val="left"/>
      </w:pPr>
      <w:bookmarkStart w:id="612" w:name="bookmark612"/>
      <w:bookmarkStart w:id="613" w:name="bookmark613"/>
      <w:bookmarkStart w:id="614" w:name="bookmark614"/>
      <w:r>
        <w:rPr>
          <w:color w:val="000000"/>
          <w:spacing w:val="0"/>
          <w:w w:val="100"/>
          <w:position w:val="0"/>
          <w:sz w:val="24"/>
          <w:szCs w:val="24"/>
        </w:rPr>
        <w:t>十六、其他重大事项的说明</w:t>
      </w:r>
      <w:bookmarkEnd w:id="612"/>
      <w:bookmarkEnd w:id="613"/>
      <w:bookmarkEnd w:id="614"/>
    </w:p>
    <w:p>
      <w:pPr>
        <w:pStyle w:val="Style15"/>
        <w:keepNext w:val="0"/>
        <w:keepLines w:val="0"/>
        <w:widowControl w:val="0"/>
        <w:shd w:val="clear" w:color="auto" w:fill="auto"/>
        <w:bidi w:val="0"/>
        <w:spacing w:before="0" w:after="0" w:line="311" w:lineRule="exact"/>
        <w:ind w:left="0" w:right="0" w:firstLine="0"/>
        <w:jc w:val="left"/>
      </w:pPr>
      <w:r>
        <w:rPr>
          <w:color w:val="000000"/>
          <w:spacing w:val="0"/>
          <w:w w:val="100"/>
          <w:position w:val="0"/>
        </w:rPr>
        <w:t>”适用口不适用</w:t>
      </w:r>
    </w:p>
    <w:p>
      <w:pPr>
        <w:pStyle w:val="Style15"/>
        <w:keepNext w:val="0"/>
        <w:keepLines w:val="0"/>
        <w:widowControl w:val="0"/>
        <w:shd w:val="clear" w:color="auto" w:fill="auto"/>
        <w:tabs>
          <w:tab w:pos="704" w:val="left"/>
        </w:tabs>
        <w:bidi w:val="0"/>
        <w:spacing w:before="0" w:after="0" w:line="311" w:lineRule="exact"/>
        <w:ind w:left="0" w:right="0"/>
        <w:jc w:val="both"/>
      </w:pPr>
      <w:bookmarkStart w:id="615" w:name="bookmark615"/>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日，经中国证券登记结算有限责任公司深圳分公司审核确认，公司</w:t>
      </w:r>
      <w:r>
        <w:rPr>
          <w:rFonts w:ascii="Times New Roman" w:eastAsia="Times New Roman" w:hAnsi="Times New Roman" w:cs="Times New Roman"/>
          <w:color w:val="000000"/>
          <w:spacing w:val="0"/>
          <w:w w:val="100"/>
          <w:position w:val="0"/>
        </w:rPr>
        <w:t>46.3725</w:t>
      </w:r>
      <w:r>
        <w:rPr>
          <w:color w:val="000000"/>
          <w:spacing w:val="0"/>
          <w:w w:val="100"/>
          <w:position w:val="0"/>
        </w:rPr>
        <w:t>万股限制性股票回购注销手 续已办理完毕。</w:t>
      </w:r>
    </w:p>
    <w:p>
      <w:pPr>
        <w:pStyle w:val="Style15"/>
        <w:keepNext w:val="0"/>
        <w:keepLines w:val="0"/>
        <w:widowControl w:val="0"/>
        <w:shd w:val="clear" w:color="auto" w:fill="auto"/>
        <w:tabs>
          <w:tab w:pos="704" w:val="left"/>
        </w:tabs>
        <w:bidi w:val="0"/>
        <w:spacing w:before="0" w:after="0" w:line="311" w:lineRule="exact"/>
        <w:ind w:left="0" w:right="0"/>
        <w:jc w:val="both"/>
      </w:pPr>
      <w:bookmarkStart w:id="616" w:name="bookmark616"/>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日，公司披露《</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年年度权益分派实施公告》，本次权益分派股权登记日为：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日，除权 除息日为：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年年度权益分派方案为：以公司现有总股本</w:t>
      </w:r>
      <w:r>
        <w:rPr>
          <w:rFonts w:ascii="Times New Roman" w:eastAsia="Times New Roman" w:hAnsi="Times New Roman" w:cs="Times New Roman"/>
          <w:color w:val="000000"/>
          <w:spacing w:val="0"/>
          <w:w w:val="100"/>
          <w:position w:val="0"/>
        </w:rPr>
        <w:t>1,192,144,379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 发现金股利</w:t>
      </w:r>
      <w:r>
        <w:rPr>
          <w:rFonts w:ascii="Times New Roman" w:eastAsia="Times New Roman" w:hAnsi="Times New Roman" w:cs="Times New Roman"/>
          <w:color w:val="000000"/>
          <w:spacing w:val="0"/>
          <w:w w:val="100"/>
          <w:position w:val="0"/>
        </w:rPr>
        <w:t>0.30</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w:t>
      </w:r>
    </w:p>
    <w:p>
      <w:pPr>
        <w:pStyle w:val="Style15"/>
        <w:keepNext w:val="0"/>
        <w:keepLines w:val="0"/>
        <w:widowControl w:val="0"/>
        <w:shd w:val="clear" w:color="auto" w:fill="auto"/>
        <w:tabs>
          <w:tab w:pos="637" w:val="left"/>
        </w:tabs>
        <w:bidi w:val="0"/>
        <w:spacing w:before="0" w:after="0" w:line="311" w:lineRule="exact"/>
        <w:ind w:left="0" w:right="0"/>
        <w:jc w:val="both"/>
      </w:pPr>
      <w:bookmarkStart w:id="617" w:name="bookmark617"/>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日，公司披露《关于筹划重大资产重组停牌的公告》，拟与卫宁健康科技集团股份有限公司（以下简称 “卫宁健康”）筹划由卫宁健康向公司全体股东发行</w:t>
      </w:r>
      <w:r>
        <w:rPr>
          <w:rFonts w:ascii="Times New Roman" w:eastAsia="Times New Roman" w:hAnsi="Times New Roman" w:cs="Times New Roman"/>
          <w:color w:val="000000"/>
          <w:spacing w:val="0"/>
          <w:w w:val="100"/>
          <w:position w:val="0"/>
        </w:rPr>
        <w:t>A</w:t>
      </w:r>
      <w:r>
        <w:rPr>
          <w:color w:val="000000"/>
          <w:spacing w:val="0"/>
          <w:w w:val="100"/>
          <w:position w:val="0"/>
        </w:rPr>
        <w:t>股股票的方式换股合并事宜；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日，公司披露《关于终</w:t>
      </w:r>
    </w:p>
    <w:p>
      <w:pPr>
        <w:pStyle w:val="Style15"/>
        <w:keepNext w:val="0"/>
        <w:keepLines w:val="0"/>
        <w:widowControl w:val="0"/>
        <w:shd w:val="clear" w:color="auto" w:fill="auto"/>
        <w:bidi w:val="0"/>
        <w:spacing w:before="0" w:after="360" w:line="311" w:lineRule="exact"/>
        <w:ind w:left="0" w:right="0" w:firstLine="0"/>
        <w:jc w:val="left"/>
      </w:pPr>
      <w:r>
        <w:rPr>
          <w:color w:val="000000"/>
          <w:spacing w:val="0"/>
          <w:w w:val="100"/>
          <w:position w:val="0"/>
        </w:rPr>
        <w:t xml:space="preserve">止筹划重大资产重组事项暨股票复牌的公告》，经公司与卫宁健康方审慎研究协商一致决定终止筹划本次重大资产重组事项。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日，公司收到深圳证券交易所创业板公司管理部下发的《关于对创业慧康科技股份有限公司的关注函（以下简 称“关注函”），并于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日披露《关于对深圳证券交易所关注函的回复公告》。</w:t>
      </w:r>
    </w:p>
    <w:p>
      <w:pPr>
        <w:pStyle w:val="Style19"/>
        <w:keepNext/>
        <w:keepLines/>
        <w:widowControl w:val="0"/>
        <w:shd w:val="clear" w:color="auto" w:fill="auto"/>
        <w:bidi w:val="0"/>
        <w:spacing w:before="0" w:after="260" w:line="240" w:lineRule="auto"/>
        <w:ind w:left="0" w:right="0" w:firstLine="0"/>
        <w:jc w:val="left"/>
      </w:pPr>
      <w:bookmarkStart w:id="618" w:name="bookmark618"/>
      <w:bookmarkStart w:id="619" w:name="bookmark619"/>
      <w:bookmarkStart w:id="620" w:name="bookmark620"/>
      <w:r>
        <w:rPr>
          <w:color w:val="000000"/>
          <w:spacing w:val="0"/>
          <w:w w:val="100"/>
          <w:position w:val="0"/>
          <w:sz w:val="24"/>
          <w:szCs w:val="24"/>
        </w:rPr>
        <w:t>十七、公司子公司重大事项</w:t>
      </w:r>
      <w:bookmarkEnd w:id="618"/>
      <w:bookmarkEnd w:id="619"/>
      <w:bookmarkEnd w:id="620"/>
    </w:p>
    <w:p>
      <w:pPr>
        <w:pStyle w:val="Style15"/>
        <w:keepNext w:val="0"/>
        <w:keepLines w:val="0"/>
        <w:widowControl w:val="0"/>
        <w:shd w:val="clear" w:color="auto" w:fill="auto"/>
        <w:bidi w:val="0"/>
        <w:spacing w:before="0" w:after="260" w:line="311" w:lineRule="exact"/>
        <w:ind w:left="0" w:right="0" w:firstLine="0"/>
        <w:jc w:val="left"/>
      </w:pPr>
      <w:r>
        <w:rPr>
          <w:color w:val="000000"/>
          <w:spacing w:val="0"/>
          <w:w w:val="100"/>
          <w:position w:val="0"/>
        </w:rPr>
        <w:t>口适用”不适用</w:t>
      </w:r>
      <w:r>
        <w:br w:type="page"/>
      </w:r>
    </w:p>
    <w:p>
      <w:pPr>
        <w:pStyle w:val="Style8"/>
        <w:keepNext/>
        <w:keepLines/>
        <w:widowControl w:val="0"/>
        <w:shd w:val="clear" w:color="auto" w:fill="auto"/>
        <w:bidi w:val="0"/>
        <w:spacing w:before="0" w:after="540" w:line="240" w:lineRule="auto"/>
        <w:ind w:left="0" w:right="0" w:firstLine="0"/>
        <w:jc w:val="center"/>
      </w:pPr>
      <w:bookmarkStart w:id="621" w:name="bookmark621"/>
      <w:bookmarkStart w:id="622" w:name="bookmark622"/>
      <w:bookmarkStart w:id="623" w:name="bookmark623"/>
      <w:r>
        <w:rPr>
          <w:color w:val="000000"/>
          <w:spacing w:val="0"/>
          <w:w w:val="100"/>
          <w:position w:val="0"/>
        </w:rPr>
        <w:t>第七节股份变动及股东情况</w:t>
      </w:r>
      <w:bookmarkEnd w:id="621"/>
      <w:bookmarkEnd w:id="622"/>
      <w:bookmarkEnd w:id="623"/>
    </w:p>
    <w:p>
      <w:pPr>
        <w:pStyle w:val="Style19"/>
        <w:keepNext/>
        <w:keepLines/>
        <w:widowControl w:val="0"/>
        <w:shd w:val="clear" w:color="auto" w:fill="auto"/>
        <w:bidi w:val="0"/>
        <w:spacing w:before="0" w:after="34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一</w:t>
      </w:r>
      <w:bookmarkEnd w:id="626"/>
      <w:r>
        <w:rPr>
          <w:color w:val="000000"/>
          <w:spacing w:val="0"/>
          <w:w w:val="100"/>
          <w:position w:val="0"/>
          <w:sz w:val="24"/>
          <w:szCs w:val="24"/>
        </w:rPr>
        <w:t>、股份变动情况</w:t>
      </w:r>
      <w:bookmarkEnd w:id="624"/>
      <w:bookmarkEnd w:id="625"/>
      <w:bookmarkEnd w:id="627"/>
    </w:p>
    <w:p>
      <w:pPr>
        <w:pStyle w:val="Style24"/>
        <w:keepNext/>
        <w:keepLines/>
        <w:widowControl w:val="0"/>
        <w:shd w:val="clear" w:color="auto" w:fill="auto"/>
        <w:bidi w:val="0"/>
        <w:spacing w:before="0" w:after="34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、股份变动情况</w:t>
      </w:r>
      <w:bookmarkEnd w:id="628"/>
      <w:bookmarkEnd w:id="629"/>
      <w:bookmarkEnd w:id="63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271,634</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55,494,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-88,108, 262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-32,613, 857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239,02</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22,410, 658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-22,410, 658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-22,410, 658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249,223</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55,494,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-65,697, 604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-10,203, 199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239,02</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53,761, 941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-53,761, 941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-53,761, 941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境内自然人持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195,461</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55,494,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-11,935, 663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43,558, 742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239,02</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920,973</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302,148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87,644,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389,793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1,310,7</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920,973</w:t>
            </w:r>
          </w:p>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302,148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87,644,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389,793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1,310,7</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67,030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84.58%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1,192,6</w:t>
            </w:r>
          </w:p>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08,104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357,643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-463,72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357,179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1,549,7</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87,692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5"/>
        <w:keepNext w:val="0"/>
        <w:keepLines w:val="0"/>
        <w:widowControl w:val="0"/>
        <w:shd w:val="clear" w:color="auto" w:fill="auto"/>
        <w:tabs>
          <w:tab w:pos="709" w:val="left"/>
        </w:tabs>
        <w:bidi w:val="0"/>
        <w:spacing w:before="0" w:after="0" w:line="312" w:lineRule="exact"/>
        <w:ind w:left="0" w:right="0"/>
        <w:jc w:val="left"/>
      </w:pPr>
      <w:bookmarkStart w:id="632" w:name="bookmark632"/>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年限制性股票激励计划首次授予部分解锁情况。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年限制性股票激励计划首次授予部分 第一个解锁期的解除限售手续已在中国证券登记结算有限责任公司深圳分公司办理完毕。本次解除限售的限制性股票数量为 </w:t>
      </w:r>
      <w:r>
        <w:rPr>
          <w:rFonts w:ascii="Times New Roman" w:eastAsia="Times New Roman" w:hAnsi="Times New Roman" w:cs="Times New Roman"/>
          <w:color w:val="000000"/>
          <w:spacing w:val="0"/>
          <w:w w:val="100"/>
          <w:position w:val="0"/>
        </w:rPr>
        <w:t>666.45</w:t>
      </w:r>
      <w:r>
        <w:rPr>
          <w:color w:val="000000"/>
          <w:spacing w:val="0"/>
          <w:w w:val="100"/>
          <w:position w:val="0"/>
        </w:rPr>
        <w:t>万股，占公司当时总股本的比例为</w:t>
      </w:r>
      <w:r>
        <w:rPr>
          <w:rFonts w:ascii="Times New Roman" w:eastAsia="Times New Roman" w:hAnsi="Times New Roman" w:cs="Times New Roman"/>
          <w:color w:val="000000"/>
          <w:spacing w:val="0"/>
          <w:w w:val="100"/>
          <w:position w:val="0"/>
        </w:rPr>
        <w:t>0.56%</w:t>
      </w:r>
      <w:r>
        <w:rPr>
          <w:color w:val="000000"/>
          <w:spacing w:val="0"/>
          <w:w w:val="100"/>
          <w:position w:val="0"/>
        </w:rPr>
        <w:t>,解除限售的限制性股票上市流通日为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日，涉及股东人数</w:t>
      </w:r>
      <w:r>
        <w:rPr>
          <w:rFonts w:ascii="Times New Roman" w:eastAsia="Times New Roman" w:hAnsi="Times New Roman" w:cs="Times New Roman"/>
          <w:color w:val="000000"/>
          <w:spacing w:val="0"/>
          <w:w w:val="100"/>
          <w:position w:val="0"/>
        </w:rPr>
        <w:t>301</w:t>
      </w:r>
      <w:r>
        <w:rPr>
          <w:color w:val="000000"/>
          <w:spacing w:val="0"/>
          <w:w w:val="100"/>
          <w:position w:val="0"/>
        </w:rPr>
        <w:t>人。 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w:t>
      </w:r>
    </w:p>
    <w:p>
      <w:pPr>
        <w:pStyle w:val="Style15"/>
        <w:keepNext w:val="0"/>
        <w:keepLines w:val="0"/>
        <w:widowControl w:val="0"/>
        <w:shd w:val="clear" w:color="auto" w:fill="auto"/>
        <w:tabs>
          <w:tab w:pos="709" w:val="left"/>
        </w:tabs>
        <w:bidi w:val="0"/>
        <w:spacing w:before="0" w:after="0" w:line="311" w:lineRule="exact"/>
        <w:ind w:left="0" w:right="0"/>
        <w:jc w:val="left"/>
      </w:pPr>
      <w:bookmarkStart w:id="633" w:name="bookmark633"/>
      <w:r>
        <w:rPr>
          <w:rFonts w:ascii="Times New Roman" w:eastAsia="Times New Roman" w:hAnsi="Times New Roman" w:cs="Times New Roman"/>
          <w:color w:val="000000"/>
          <w:spacing w:val="0"/>
          <w:w w:val="100"/>
          <w:position w:val="0"/>
        </w:rPr>
        <w:t>2</w:t>
      </w:r>
      <w:bookmarkEnd w:id="633"/>
      <w:r>
        <w:rPr>
          <w:color w:val="000000"/>
          <w:spacing w:val="0"/>
          <w:w w:val="100"/>
          <w:position w:val="0"/>
        </w:rPr>
        <w:t>、</w:t>
        <w:tab/>
        <w:t>非公开发行股份解除限售情况。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日，公司在中国证监会指定披露媒体巨潮资讯网上刊登《关于限售股份 上市流通的提示性公告》，本次申请解除限售股份为公司非公开发行股份，共计涉及股东</w:t>
      </w:r>
      <w:r>
        <w:rPr>
          <w:rFonts w:ascii="Times New Roman" w:eastAsia="Times New Roman" w:hAnsi="Times New Roman" w:cs="Times New Roman"/>
          <w:color w:val="000000"/>
          <w:spacing w:val="0"/>
          <w:w w:val="100"/>
          <w:position w:val="0"/>
        </w:rPr>
        <w:t>18</w:t>
      </w:r>
      <w:r>
        <w:rPr>
          <w:color w:val="000000"/>
          <w:spacing w:val="0"/>
          <w:w w:val="100"/>
          <w:position w:val="0"/>
        </w:rPr>
        <w:t>名，证券账户总数为</w:t>
      </w:r>
      <w:r>
        <w:rPr>
          <w:rFonts w:ascii="Times New Roman" w:eastAsia="Times New Roman" w:hAnsi="Times New Roman" w:cs="Times New Roman"/>
          <w:color w:val="000000"/>
          <w:spacing w:val="0"/>
          <w:w w:val="100"/>
          <w:position w:val="0"/>
        </w:rPr>
        <w:t>45</w:t>
      </w:r>
      <w:r>
        <w:rPr>
          <w:color w:val="000000"/>
          <w:spacing w:val="0"/>
          <w:w w:val="100"/>
          <w:position w:val="0"/>
        </w:rPr>
        <w:t>户。本次 解除限售股份数量为</w:t>
      </w:r>
      <w:r>
        <w:rPr>
          <w:rFonts w:ascii="Times New Roman" w:eastAsia="Times New Roman" w:hAnsi="Times New Roman" w:cs="Times New Roman"/>
          <w:color w:val="000000"/>
          <w:spacing w:val="0"/>
          <w:w w:val="100"/>
          <w:position w:val="0"/>
        </w:rPr>
        <w:t>79,806,759</w:t>
      </w:r>
      <w:r>
        <w:rPr>
          <w:color w:val="000000"/>
          <w:spacing w:val="0"/>
          <w:w w:val="100"/>
          <w:position w:val="0"/>
        </w:rPr>
        <w:t>股，占公司当时股本总额的</w:t>
      </w:r>
      <w:r>
        <w:rPr>
          <w:rFonts w:ascii="Times New Roman" w:eastAsia="Times New Roman" w:hAnsi="Times New Roman" w:cs="Times New Roman"/>
          <w:color w:val="000000"/>
          <w:spacing w:val="0"/>
          <w:w w:val="100"/>
          <w:position w:val="0"/>
        </w:rPr>
        <w:t>6.69%</w:t>
      </w:r>
      <w:r>
        <w:rPr>
          <w:color w:val="000000"/>
          <w:spacing w:val="0"/>
          <w:w w:val="100"/>
          <w:position w:val="0"/>
        </w:rPr>
        <w:t>，其中实际可上市流通股份为</w:t>
      </w:r>
      <w:r>
        <w:rPr>
          <w:rFonts w:ascii="Times New Roman" w:eastAsia="Times New Roman" w:hAnsi="Times New Roman" w:cs="Times New Roman"/>
          <w:color w:val="000000"/>
          <w:spacing w:val="0"/>
          <w:w w:val="100"/>
          <w:position w:val="0"/>
        </w:rPr>
        <w:t>79,806,759</w:t>
      </w:r>
      <w:r>
        <w:rPr>
          <w:color w:val="000000"/>
          <w:spacing w:val="0"/>
          <w:w w:val="100"/>
          <w:position w:val="0"/>
        </w:rPr>
        <w:t>股，占公司股本总 额的</w:t>
      </w:r>
      <w:r>
        <w:rPr>
          <w:rFonts w:ascii="Times New Roman" w:eastAsia="Times New Roman" w:hAnsi="Times New Roman" w:cs="Times New Roman"/>
          <w:color w:val="000000"/>
          <w:spacing w:val="0"/>
          <w:w w:val="100"/>
          <w:position w:val="0"/>
        </w:rPr>
        <w:t>6.69%</w:t>
      </w:r>
      <w:r>
        <w:rPr>
          <w:color w:val="000000"/>
          <w:spacing w:val="0"/>
          <w:w w:val="100"/>
          <w:position w:val="0"/>
        </w:rPr>
        <w:t>，上市流通日期为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披露的公告（公告 编号：</w:t>
      </w:r>
      <w:r>
        <w:rPr>
          <w:rFonts w:ascii="Times New Roman" w:eastAsia="Times New Roman" w:hAnsi="Times New Roman" w:cs="Times New Roman"/>
          <w:color w:val="000000"/>
          <w:spacing w:val="0"/>
          <w:w w:val="100"/>
          <w:position w:val="0"/>
        </w:rPr>
        <w:t>2021-007</w:t>
      </w:r>
      <w:r>
        <w:rPr>
          <w:color w:val="000000"/>
          <w:spacing w:val="0"/>
          <w:w w:val="100"/>
          <w:position w:val="0"/>
        </w:rPr>
        <w:t>）</w:t>
      </w:r>
      <w:r>
        <w:rPr>
          <w:color w:val="000000"/>
          <w:spacing w:val="0"/>
          <w:w w:val="100"/>
          <w:position w:val="0"/>
        </w:rPr>
        <w:t>。</w:t>
      </w:r>
    </w:p>
    <w:p>
      <w:pPr>
        <w:pStyle w:val="Style15"/>
        <w:keepNext w:val="0"/>
        <w:keepLines w:val="0"/>
        <w:widowControl w:val="0"/>
        <w:shd w:val="clear" w:color="auto" w:fill="auto"/>
        <w:tabs>
          <w:tab w:pos="354" w:val="left"/>
        </w:tabs>
        <w:bidi w:val="0"/>
        <w:spacing w:before="0" w:after="0" w:line="311" w:lineRule="exact"/>
        <w:ind w:left="0" w:right="0"/>
        <w:jc w:val="both"/>
      </w:pPr>
      <w:bookmarkStart w:id="634" w:name="bookmark634"/>
      <w:r>
        <w:rPr>
          <w:rFonts w:ascii="Times New Roman" w:eastAsia="Times New Roman" w:hAnsi="Times New Roman" w:cs="Times New Roman"/>
          <w:color w:val="000000"/>
          <w:spacing w:val="0"/>
          <w:w w:val="100"/>
          <w:position w:val="0"/>
        </w:rPr>
        <w:t>3</w:t>
      </w:r>
      <w:bookmarkEnd w:id="634"/>
      <w:r>
        <w:rPr>
          <w:color w:val="000000"/>
          <w:spacing w:val="0"/>
          <w:w w:val="100"/>
          <w:position w:val="0"/>
        </w:rPr>
        <w:t>、</w:t>
        <w:tab/>
        <w:t>限制性股票回购注销情况。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日，经中国证券登记结算有限责任公司深圳分公司审核确认，公司</w:t>
      </w:r>
      <w:r>
        <w:rPr>
          <w:rFonts w:ascii="Times New Roman" w:eastAsia="Times New Roman" w:hAnsi="Times New Roman" w:cs="Times New Roman"/>
          <w:color w:val="000000"/>
          <w:spacing w:val="0"/>
          <w:w w:val="100"/>
          <w:position w:val="0"/>
        </w:rPr>
        <w:t xml:space="preserve">46.3725 </w:t>
      </w:r>
      <w:r>
        <w:rPr>
          <w:color w:val="000000"/>
          <w:spacing w:val="0"/>
          <w:w w:val="100"/>
          <w:position w:val="0"/>
        </w:rPr>
        <w:t>万股限制性股票回购注销手续已办理完毕。具体内容详见公司在巨潮资讯网站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披露的公告（公告编 号：</w:t>
      </w:r>
      <w:r>
        <w:rPr>
          <w:rFonts w:ascii="Times New Roman" w:eastAsia="Times New Roman" w:hAnsi="Times New Roman" w:cs="Times New Roman"/>
          <w:color w:val="000000"/>
          <w:spacing w:val="0"/>
          <w:w w:val="100"/>
          <w:position w:val="0"/>
        </w:rPr>
        <w:t>2021-032</w:t>
      </w:r>
      <w:r>
        <w:rPr>
          <w:color w:val="000000"/>
          <w:spacing w:val="0"/>
          <w:w w:val="100"/>
          <w:position w:val="0"/>
        </w:rPr>
        <w:t>）</w:t>
      </w:r>
      <w:r>
        <w:rPr>
          <w:color w:val="000000"/>
          <w:spacing w:val="0"/>
          <w:w w:val="100"/>
          <w:position w:val="0"/>
        </w:rPr>
        <w:t>。</w:t>
      </w:r>
    </w:p>
    <w:p>
      <w:pPr>
        <w:pStyle w:val="Style15"/>
        <w:keepNext w:val="0"/>
        <w:keepLines w:val="0"/>
        <w:widowControl w:val="0"/>
        <w:shd w:val="clear" w:color="auto" w:fill="auto"/>
        <w:tabs>
          <w:tab w:pos="644" w:val="left"/>
        </w:tabs>
        <w:bidi w:val="0"/>
        <w:spacing w:before="0" w:after="0" w:line="311" w:lineRule="exact"/>
        <w:ind w:left="0" w:right="0"/>
        <w:jc w:val="both"/>
      </w:pPr>
      <w:bookmarkStart w:id="635" w:name="bookmark635"/>
      <w:r>
        <w:rPr>
          <w:rFonts w:ascii="Times New Roman" w:eastAsia="Times New Roman" w:hAnsi="Times New Roman" w:cs="Times New Roman"/>
          <w:color w:val="000000"/>
          <w:spacing w:val="0"/>
          <w:w w:val="100"/>
          <w:position w:val="0"/>
        </w:rPr>
        <w:t>4</w:t>
      </w:r>
      <w:bookmarkEnd w:id="63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日，公司在中国证监会指定披露媒体巨潮资讯网上刊登《</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 派实施公告》，本次权益分派股权登记日为：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年年度权益分派方案为： 以公司现有总股本</w:t>
      </w:r>
      <w:r>
        <w:rPr>
          <w:rFonts w:ascii="Times New Roman" w:eastAsia="Times New Roman" w:hAnsi="Times New Roman" w:cs="Times New Roman"/>
          <w:color w:val="000000"/>
          <w:spacing w:val="0"/>
          <w:w w:val="100"/>
          <w:position w:val="0"/>
        </w:rPr>
        <w:t>1,192,144,379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0.30</w:t>
      </w:r>
      <w:r>
        <w:rPr>
          <w:color w:val="000000"/>
          <w:spacing w:val="0"/>
          <w:w w:val="100"/>
          <w:position w:val="0"/>
        </w:rPr>
        <w:t>元（含税），同时以资本公积金向全体股东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股。分红前本公司总股本</w:t>
      </w:r>
      <w:r>
        <w:rPr>
          <w:rFonts w:ascii="Times New Roman" w:eastAsia="Times New Roman" w:hAnsi="Times New Roman" w:cs="Times New Roman"/>
          <w:color w:val="000000"/>
          <w:spacing w:val="0"/>
          <w:w w:val="100"/>
          <w:position w:val="0"/>
        </w:rPr>
        <w:t>1,192,144,379</w:t>
      </w:r>
      <w:r>
        <w:rPr>
          <w:color w:val="000000"/>
          <w:spacing w:val="0"/>
          <w:w w:val="100"/>
          <w:position w:val="0"/>
        </w:rPr>
        <w:t>股，分红后总股本增至</w:t>
      </w:r>
      <w:r>
        <w:rPr>
          <w:rFonts w:ascii="Times New Roman" w:eastAsia="Times New Roman" w:hAnsi="Times New Roman" w:cs="Times New Roman"/>
          <w:color w:val="000000"/>
          <w:spacing w:val="0"/>
          <w:w w:val="100"/>
          <w:position w:val="0"/>
        </w:rPr>
        <w:t>1,549,787,692</w:t>
      </w:r>
      <w:r>
        <w:rPr>
          <w:color w:val="000000"/>
          <w:spacing w:val="0"/>
          <w:w w:val="100"/>
          <w:position w:val="0"/>
        </w:rPr>
        <w:t>股。具体内容详见公司在巨潮资讯网 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披露的公告（公告编号：</w:t>
      </w:r>
      <w:r>
        <w:rPr>
          <w:rFonts w:ascii="Times New Roman" w:eastAsia="Times New Roman" w:hAnsi="Times New Roman" w:cs="Times New Roman"/>
          <w:color w:val="000000"/>
          <w:spacing w:val="0"/>
          <w:w w:val="100"/>
          <w:position w:val="0"/>
        </w:rPr>
        <w:t>2021-033</w:t>
      </w:r>
      <w:r>
        <w:rPr>
          <w:color w:val="000000"/>
          <w:spacing w:val="0"/>
          <w:w w:val="100"/>
          <w:position w:val="0"/>
        </w:rPr>
        <w:t>）</w:t>
      </w:r>
      <w:r>
        <w:rPr>
          <w:color w:val="000000"/>
          <w:spacing w:val="0"/>
          <w:w w:val="100"/>
          <w:position w:val="0"/>
        </w:rPr>
        <w:t>。</w:t>
      </w:r>
    </w:p>
    <w:p>
      <w:pPr>
        <w:pStyle w:val="Style15"/>
        <w:keepNext w:val="0"/>
        <w:keepLines w:val="0"/>
        <w:widowControl w:val="0"/>
        <w:shd w:val="clear" w:color="auto" w:fill="auto"/>
        <w:tabs>
          <w:tab w:pos="658" w:val="left"/>
        </w:tabs>
        <w:bidi w:val="0"/>
        <w:spacing w:before="0" w:after="380" w:line="314" w:lineRule="exact"/>
        <w:ind w:left="0" w:right="0"/>
        <w:jc w:val="both"/>
      </w:pPr>
      <w:bookmarkStart w:id="636" w:name="bookmark636"/>
      <w:r>
        <w:rPr>
          <w:rFonts w:ascii="Times New Roman" w:eastAsia="Times New Roman" w:hAnsi="Times New Roman" w:cs="Times New Roman"/>
          <w:color w:val="000000"/>
          <w:spacing w:val="0"/>
          <w:w w:val="100"/>
          <w:position w:val="0"/>
        </w:rPr>
        <w:t>5</w:t>
      </w:r>
      <w:bookmarkEnd w:id="636"/>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年限制性股票激励计划预留授予部分解锁情况。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年限制性股票激励计划预留授予部分 第一个解锁期的解除限售手续已在中国证券登记结算有限责任公司深圳分公司办理完毕。本次解除限售的限制性股票数量为 </w:t>
      </w:r>
      <w:r>
        <w:rPr>
          <w:rFonts w:ascii="Times New Roman" w:eastAsia="Times New Roman" w:hAnsi="Times New Roman" w:cs="Times New Roman"/>
          <w:color w:val="000000"/>
          <w:spacing w:val="0"/>
          <w:w w:val="100"/>
          <w:position w:val="0"/>
        </w:rPr>
        <w:t>151.359</w:t>
      </w:r>
      <w:r>
        <w:rPr>
          <w:color w:val="000000"/>
          <w:spacing w:val="0"/>
          <w:w w:val="100"/>
          <w:position w:val="0"/>
        </w:rPr>
        <w:t>万股，占公司当时总股本的比例为</w:t>
      </w:r>
      <w:r>
        <w:rPr>
          <w:rFonts w:ascii="Times New Roman" w:eastAsia="Times New Roman" w:hAnsi="Times New Roman" w:cs="Times New Roman"/>
          <w:color w:val="000000"/>
          <w:spacing w:val="0"/>
          <w:w w:val="100"/>
          <w:position w:val="0"/>
        </w:rPr>
        <w:t>0.0977%</w:t>
      </w:r>
      <w:r>
        <w:rPr>
          <w:color w:val="000000"/>
          <w:spacing w:val="0"/>
          <w:w w:val="100"/>
          <w:position w:val="0"/>
        </w:rPr>
        <w:t>，解除限售的限制性股票上市流通日为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日，涉及股东人数</w:t>
      </w:r>
      <w:r>
        <w:rPr>
          <w:rFonts w:ascii="Times New Roman" w:eastAsia="Times New Roman" w:hAnsi="Times New Roman" w:cs="Times New Roman"/>
          <w:color w:val="000000"/>
          <w:spacing w:val="0"/>
          <w:w w:val="100"/>
          <w:position w:val="0"/>
        </w:rPr>
        <w:t xml:space="preserve">130 </w:t>
      </w:r>
      <w:r>
        <w:rPr>
          <w:color w:val="000000"/>
          <w:spacing w:val="0"/>
          <w:w w:val="100"/>
          <w:position w:val="0"/>
        </w:rPr>
        <w:t>人。具体内容详见公司在巨潮资讯网站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披露的公告（公告编号：</w:t>
      </w:r>
      <w:r>
        <w:rPr>
          <w:rFonts w:ascii="Times New Roman" w:eastAsia="Times New Roman" w:hAnsi="Times New Roman" w:cs="Times New Roman"/>
          <w:color w:val="000000"/>
          <w:spacing w:val="0"/>
          <w:w w:val="100"/>
          <w:position w:val="0"/>
        </w:rPr>
        <w:t>2021-057</w:t>
      </w:r>
      <w:r>
        <w:rPr>
          <w:color w:val="000000"/>
          <w:spacing w:val="0"/>
          <w:w w:val="100"/>
          <w:position w:val="0"/>
        </w:rPr>
        <w:t>）。</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15"/>
        <w:keepNext w:val="0"/>
        <w:keepLines w:val="0"/>
        <w:widowControl w:val="0"/>
        <w:shd w:val="clear" w:color="auto" w:fill="auto"/>
        <w:tabs>
          <w:tab w:pos="644" w:val="left"/>
        </w:tabs>
        <w:bidi w:val="0"/>
        <w:spacing w:before="0" w:after="0" w:line="312" w:lineRule="exact"/>
        <w:ind w:left="0" w:right="0"/>
        <w:jc w:val="both"/>
      </w:pPr>
      <w:bookmarkStart w:id="637" w:name="bookmark637"/>
      <w:r>
        <w:rPr>
          <w:rFonts w:ascii="Times New Roman" w:eastAsia="Times New Roman" w:hAnsi="Times New Roman" w:cs="Times New Roman"/>
          <w:color w:val="000000"/>
          <w:spacing w:val="0"/>
          <w:w w:val="100"/>
          <w:position w:val="0"/>
        </w:rPr>
        <w:t>1</w:t>
      </w:r>
      <w:bookmarkEnd w:id="637"/>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年限制性股票激励计划首次授予部分解锁的审议情况。</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日，公司第七届董事会第三次会议和第七 届监事会第三次会议审议通过了《关于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年限制性股票激励计划首次授予部分第一个解锁期解锁条件成就的议案》。董事 会认为，公司本次激励计划首次授予部分限制性股票第一个解锁期解锁条件已满足，同意解锁</w:t>
      </w:r>
      <w:r>
        <w:rPr>
          <w:rFonts w:ascii="Times New Roman" w:eastAsia="Times New Roman" w:hAnsi="Times New Roman" w:cs="Times New Roman"/>
          <w:color w:val="000000"/>
          <w:spacing w:val="0"/>
          <w:w w:val="100"/>
          <w:position w:val="0"/>
        </w:rPr>
        <w:t>301</w:t>
      </w:r>
      <w:r>
        <w:rPr>
          <w:color w:val="000000"/>
          <w:spacing w:val="0"/>
          <w:w w:val="100"/>
          <w:position w:val="0"/>
        </w:rPr>
        <w:t>名激励对象第一个解锁期 涉及的</w:t>
      </w:r>
      <w:r>
        <w:rPr>
          <w:rFonts w:ascii="Times New Roman" w:eastAsia="Times New Roman" w:hAnsi="Times New Roman" w:cs="Times New Roman"/>
          <w:color w:val="000000"/>
          <w:spacing w:val="0"/>
          <w:w w:val="100"/>
          <w:position w:val="0"/>
        </w:rPr>
        <w:t>666.45</w:t>
      </w:r>
      <w:r>
        <w:rPr>
          <w:color w:val="000000"/>
          <w:spacing w:val="0"/>
          <w:w w:val="100"/>
          <w:position w:val="0"/>
        </w:rPr>
        <w:t>万股限制性股票，并授权公司证券部办理相关解锁登记手续。具体内容详见公司在巨潮资讯网站</w:t>
      </w:r>
    </w:p>
    <w:p>
      <w:pPr>
        <w:pStyle w:val="Style10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披露的公告（公告编号：</w:t>
      </w:r>
      <w:r>
        <w:rPr>
          <w:color w:val="000000"/>
          <w:spacing w:val="0"/>
          <w:w w:val="100"/>
          <w:position w:val="0"/>
        </w:rPr>
        <w:t>2020-121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p>
      <w:pPr>
        <w:pStyle w:val="Style15"/>
        <w:keepNext w:val="0"/>
        <w:keepLines w:val="0"/>
        <w:widowControl w:val="0"/>
        <w:shd w:val="clear" w:color="auto" w:fill="auto"/>
        <w:tabs>
          <w:tab w:pos="649" w:val="left"/>
        </w:tabs>
        <w:bidi w:val="0"/>
        <w:spacing w:before="0" w:after="0" w:line="312" w:lineRule="exact"/>
        <w:ind w:left="0" w:right="0"/>
        <w:jc w:val="both"/>
      </w:pPr>
      <w:bookmarkStart w:id="638" w:name="bookmark638"/>
      <w:r>
        <w:rPr>
          <w:rFonts w:ascii="Times New Roman" w:eastAsia="Times New Roman" w:hAnsi="Times New Roman" w:cs="Times New Roman"/>
          <w:color w:val="000000"/>
          <w:spacing w:val="0"/>
          <w:w w:val="100"/>
          <w:position w:val="0"/>
        </w:rPr>
        <w:t>2</w:t>
      </w:r>
      <w:bookmarkEnd w:id="638"/>
      <w:r>
        <w:rPr>
          <w:color w:val="000000"/>
          <w:spacing w:val="0"/>
          <w:w w:val="100"/>
          <w:position w:val="0"/>
        </w:rPr>
        <w:t>、</w:t>
        <w:tab/>
        <w:t>限制性股票回购注销的审议情况。</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日，公司召开第六董事会第二十八次会议，审议通过了《关于对股 票期权与限制性股票激励计划部分激励股份回购注销的议案》，同意取消离职人员陈少昂等</w:t>
      </w:r>
      <w:r>
        <w:rPr>
          <w:rFonts w:ascii="Times New Roman" w:eastAsia="Times New Roman" w:hAnsi="Times New Roman" w:cs="Times New Roman"/>
          <w:color w:val="000000"/>
          <w:spacing w:val="0"/>
          <w:w w:val="100"/>
          <w:position w:val="0"/>
        </w:rPr>
        <w:t>2</w:t>
      </w:r>
      <w:r>
        <w:rPr>
          <w:color w:val="000000"/>
          <w:spacing w:val="0"/>
          <w:w w:val="100"/>
          <w:position w:val="0"/>
        </w:rPr>
        <w:t>人的激励对象资格并回购注销 其尚未解锁的全部限制性股票共计</w:t>
      </w:r>
      <w:r>
        <w:rPr>
          <w:rFonts w:ascii="Times New Roman" w:eastAsia="Times New Roman" w:hAnsi="Times New Roman" w:cs="Times New Roman"/>
          <w:color w:val="000000"/>
          <w:spacing w:val="0"/>
          <w:w w:val="100"/>
          <w:position w:val="0"/>
        </w:rPr>
        <w:t>0.675</w:t>
      </w:r>
      <w:r>
        <w:rPr>
          <w:color w:val="000000"/>
          <w:spacing w:val="0"/>
          <w:w w:val="100"/>
          <w:position w:val="0"/>
        </w:rPr>
        <w:t>万股。因公司于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年度权益分派，上述人员尚未回购注销的 股份数量最终为</w:t>
      </w:r>
      <w:r>
        <w:rPr>
          <w:rFonts w:ascii="Times New Roman" w:eastAsia="Times New Roman" w:hAnsi="Times New Roman" w:cs="Times New Roman"/>
          <w:color w:val="000000"/>
          <w:spacing w:val="0"/>
          <w:w w:val="100"/>
          <w:position w:val="0"/>
        </w:rPr>
        <w:t>1.0125</w:t>
      </w:r>
      <w:r>
        <w:rPr>
          <w:color w:val="000000"/>
          <w:spacing w:val="0"/>
          <w:w w:val="100"/>
          <w:position w:val="0"/>
        </w:rPr>
        <w:t>万股；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日，公司分别召开第六届董事会第三十八次会议及</w:t>
      </w:r>
      <w:r>
        <w:rPr>
          <w:rFonts w:ascii="Times New Roman" w:eastAsia="Times New Roman" w:hAnsi="Times New Roman" w:cs="Times New Roman"/>
          <w:color w:val="000000"/>
          <w:spacing w:val="0"/>
          <w:w w:val="100"/>
          <w:position w:val="0"/>
        </w:rPr>
        <w:t>2020</w:t>
      </w:r>
      <w:r>
        <w:rPr>
          <w:color w:val="000000"/>
          <w:spacing w:val="0"/>
          <w:w w:val="100"/>
          <w:position w:val="0"/>
        </w:rPr>
        <w:t>年第四 次临时股东大会，审议通过了《关于对</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年限制性股票激励计划部分限制性股票回购注销的议案》，同意取消职工代表监 事张超</w:t>
      </w:r>
      <w:r>
        <w:rPr>
          <w:rFonts w:ascii="Times New Roman" w:eastAsia="Times New Roman" w:hAnsi="Times New Roman" w:cs="Times New Roman"/>
          <w:color w:val="000000"/>
          <w:spacing w:val="0"/>
          <w:w w:val="100"/>
          <w:position w:val="0"/>
        </w:rPr>
        <w:t>1</w:t>
      </w:r>
      <w:r>
        <w:rPr>
          <w:color w:val="000000"/>
          <w:spacing w:val="0"/>
          <w:w w:val="100"/>
          <w:position w:val="0"/>
        </w:rPr>
        <w:t>人、离职人员曹来郑等</w:t>
      </w:r>
      <w:r>
        <w:rPr>
          <w:rFonts w:ascii="Times New Roman" w:eastAsia="Times New Roman" w:hAnsi="Times New Roman" w:cs="Times New Roman"/>
          <w:color w:val="000000"/>
          <w:spacing w:val="0"/>
          <w:w w:val="100"/>
          <w:position w:val="0"/>
        </w:rPr>
        <w:t>3</w:t>
      </w:r>
      <w:r>
        <w:rPr>
          <w:color w:val="000000"/>
          <w:spacing w:val="0"/>
          <w:w w:val="100"/>
          <w:position w:val="0"/>
        </w:rPr>
        <w:t>人的激励对象资格并回购注销其尚未解锁的全部限制性股票共计</w:t>
      </w:r>
      <w:r>
        <w:rPr>
          <w:rFonts w:ascii="Times New Roman" w:eastAsia="Times New Roman" w:hAnsi="Times New Roman" w:cs="Times New Roman"/>
          <w:color w:val="000000"/>
          <w:spacing w:val="0"/>
          <w:w w:val="100"/>
          <w:position w:val="0"/>
        </w:rPr>
        <w:t>19.50</w:t>
      </w:r>
      <w:r>
        <w:rPr>
          <w:color w:val="000000"/>
          <w:spacing w:val="0"/>
          <w:w w:val="100"/>
          <w:position w:val="0"/>
        </w:rPr>
        <w:t>万股；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公司分别召开第七届董事会第四次会议及</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年年度股东大会，审议通过了《关于对</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年限制性股票激励计划部分限制性 股票回购注销的议案》，同意取消离职人员秦俭文等</w:t>
      </w:r>
      <w:r>
        <w:rPr>
          <w:rFonts w:ascii="Times New Roman" w:eastAsia="Times New Roman" w:hAnsi="Times New Roman" w:cs="Times New Roman"/>
          <w:color w:val="000000"/>
          <w:spacing w:val="0"/>
          <w:w w:val="100"/>
          <w:position w:val="0"/>
        </w:rPr>
        <w:t>12</w:t>
      </w:r>
      <w:r>
        <w:rPr>
          <w:color w:val="000000"/>
          <w:spacing w:val="0"/>
          <w:w w:val="100"/>
          <w:position w:val="0"/>
        </w:rPr>
        <w:t>人的激励对象资格并回购注销其尚未解锁的全部限制性股票共计</w:t>
      </w:r>
      <w:r>
        <w:rPr>
          <w:rFonts w:ascii="Times New Roman" w:eastAsia="Times New Roman" w:hAnsi="Times New Roman" w:cs="Times New Roman"/>
          <w:color w:val="000000"/>
          <w:spacing w:val="0"/>
          <w:w w:val="100"/>
          <w:position w:val="0"/>
        </w:rPr>
        <w:t xml:space="preserve">25.86 </w:t>
      </w:r>
      <w:r>
        <w:rPr>
          <w:color w:val="000000"/>
          <w:spacing w:val="0"/>
          <w:w w:val="100"/>
          <w:position w:val="0"/>
        </w:rPr>
        <w:t>万股，其中首次授予部分</w:t>
      </w:r>
      <w:r>
        <w:rPr>
          <w:rFonts w:ascii="Times New Roman" w:eastAsia="Times New Roman" w:hAnsi="Times New Roman" w:cs="Times New Roman"/>
          <w:color w:val="000000"/>
          <w:spacing w:val="0"/>
          <w:w w:val="100"/>
          <w:position w:val="0"/>
        </w:rPr>
        <w:t>20.70</w:t>
      </w:r>
      <w:r>
        <w:rPr>
          <w:color w:val="000000"/>
          <w:spacing w:val="0"/>
          <w:w w:val="100"/>
          <w:position w:val="0"/>
        </w:rPr>
        <w:t>万股，预留授予部分</w:t>
      </w:r>
      <w:r>
        <w:rPr>
          <w:rFonts w:ascii="Times New Roman" w:eastAsia="Times New Roman" w:hAnsi="Times New Roman" w:cs="Times New Roman"/>
          <w:color w:val="000000"/>
          <w:spacing w:val="0"/>
          <w:w w:val="100"/>
          <w:position w:val="0"/>
        </w:rPr>
        <w:t>5.16</w:t>
      </w:r>
      <w:r>
        <w:rPr>
          <w:color w:val="000000"/>
          <w:spacing w:val="0"/>
          <w:w w:val="100"/>
          <w:position w:val="0"/>
        </w:rPr>
        <w:t>万股。具体内容详见公司在巨潮资讯网站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披 露的公告（公告编号：</w:t>
      </w:r>
      <w:r>
        <w:rPr>
          <w:rFonts w:ascii="Times New Roman" w:eastAsia="Times New Roman" w:hAnsi="Times New Roman" w:cs="Times New Roman"/>
          <w:color w:val="000000"/>
          <w:spacing w:val="0"/>
          <w:w w:val="100"/>
          <w:position w:val="0"/>
        </w:rPr>
        <w:t>2021-032</w:t>
      </w:r>
      <w:r>
        <w:rPr>
          <w:color w:val="000000"/>
          <w:spacing w:val="0"/>
          <w:w w:val="100"/>
          <w:position w:val="0"/>
        </w:rPr>
        <w:t>）。</w:t>
      </w:r>
    </w:p>
    <w:p>
      <w:pPr>
        <w:pStyle w:val="Style15"/>
        <w:keepNext w:val="0"/>
        <w:keepLines w:val="0"/>
        <w:widowControl w:val="0"/>
        <w:shd w:val="clear" w:color="auto" w:fill="auto"/>
        <w:tabs>
          <w:tab w:pos="654" w:val="left"/>
        </w:tabs>
        <w:bidi w:val="0"/>
        <w:spacing w:before="0" w:after="0" w:line="312" w:lineRule="exact"/>
        <w:ind w:left="0" w:right="0"/>
        <w:jc w:val="both"/>
      </w:pPr>
      <w:bookmarkStart w:id="639" w:name="bookmark639"/>
      <w:r>
        <w:rPr>
          <w:rFonts w:ascii="Times New Roman" w:eastAsia="Times New Roman" w:hAnsi="Times New Roman" w:cs="Times New Roman"/>
          <w:color w:val="000000"/>
          <w:spacing w:val="0"/>
          <w:w w:val="100"/>
          <w:position w:val="0"/>
        </w:rPr>
        <w:t>3</w:t>
      </w:r>
      <w:bookmarkEnd w:id="63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年年度权益分派审议情况。公司分别于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日召开第七届董事会第四次会议、</w:t>
      </w:r>
      <w:r>
        <w:rPr>
          <w:rFonts w:ascii="Times New Roman" w:eastAsia="Times New Roman" w:hAnsi="Times New Roman" w:cs="Times New Roman"/>
          <w:color w:val="000000"/>
          <w:spacing w:val="0"/>
          <w:w w:val="100"/>
          <w:position w:val="0"/>
        </w:rPr>
        <w:t>2020</w:t>
      </w:r>
      <w:r>
        <w:rPr>
          <w:color w:val="000000"/>
          <w:spacing w:val="0"/>
          <w:w w:val="100"/>
          <w:position w:val="0"/>
        </w:rPr>
        <w:t>年 年度股东大会，审议通过了《关于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年年度利润分配预案的议案》。具体内容详见公司在巨潮资讯网站</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披露的公告（公告编号：</w:t>
      </w:r>
      <w:r>
        <w:rPr>
          <w:rFonts w:ascii="Times New Roman" w:eastAsia="Times New Roman" w:hAnsi="Times New Roman" w:cs="Times New Roman"/>
          <w:color w:val="000000"/>
          <w:spacing w:val="0"/>
          <w:w w:val="100"/>
          <w:position w:val="0"/>
        </w:rPr>
        <w:t>2021-009</w:t>
      </w:r>
      <w:r>
        <w:rPr>
          <w:color w:val="000000"/>
          <w:spacing w:val="0"/>
          <w:w w:val="100"/>
          <w:position w:val="0"/>
        </w:rPr>
        <w:t>、</w:t>
      </w:r>
      <w:r>
        <w:rPr>
          <w:rFonts w:ascii="Times New Roman" w:eastAsia="Times New Roman" w:hAnsi="Times New Roman" w:cs="Times New Roman"/>
          <w:color w:val="000000"/>
          <w:spacing w:val="0"/>
          <w:w w:val="100"/>
          <w:position w:val="0"/>
        </w:rPr>
        <w:t>2021-031</w:t>
      </w:r>
      <w:r>
        <w:rPr>
          <w:color w:val="000000"/>
          <w:spacing w:val="0"/>
          <w:w w:val="100"/>
          <w:position w:val="0"/>
        </w:rPr>
        <w:t>）</w:t>
      </w:r>
      <w:r>
        <w:rPr>
          <w:color w:val="000000"/>
          <w:spacing w:val="0"/>
          <w:w w:val="100"/>
          <w:position w:val="0"/>
        </w:rPr>
        <w:t>。</w:t>
      </w:r>
    </w:p>
    <w:p>
      <w:pPr>
        <w:pStyle w:val="Style15"/>
        <w:keepNext w:val="0"/>
        <w:keepLines w:val="0"/>
        <w:widowControl w:val="0"/>
        <w:shd w:val="clear" w:color="auto" w:fill="auto"/>
        <w:tabs>
          <w:tab w:pos="644" w:val="left"/>
        </w:tabs>
        <w:bidi w:val="0"/>
        <w:spacing w:before="0" w:after="0" w:line="312" w:lineRule="exact"/>
        <w:ind w:left="0" w:right="0"/>
        <w:jc w:val="both"/>
      </w:pPr>
      <w:bookmarkStart w:id="640" w:name="bookmark640"/>
      <w:r>
        <w:rPr>
          <w:rFonts w:ascii="Times New Roman" w:eastAsia="Times New Roman" w:hAnsi="Times New Roman" w:cs="Times New Roman"/>
          <w:color w:val="000000"/>
          <w:spacing w:val="0"/>
          <w:w w:val="100"/>
          <w:position w:val="0"/>
        </w:rPr>
        <w:t>4</w:t>
      </w:r>
      <w:bookmarkEnd w:id="640"/>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年限制性股票激励计划预留授予部分解锁的审议情况。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日，公司第七届董事会第七次会议和第七届 监事会第七次会议审议通过了《关于</w:t>
      </w: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年限制性股票激励计划预留授予部分第一个解锁期解锁条件成就的议案》。董事会 认为，公司本次激励计划预留授予部分限制性股票第一个解锁期解锁条件已满足，同意解锁</w:t>
      </w:r>
      <w:r>
        <w:rPr>
          <w:rFonts w:ascii="Times New Roman" w:eastAsia="Times New Roman" w:hAnsi="Times New Roman" w:cs="Times New Roman"/>
          <w:color w:val="000000"/>
          <w:spacing w:val="0"/>
          <w:w w:val="100"/>
          <w:position w:val="0"/>
        </w:rPr>
        <w:t>130</w:t>
      </w:r>
      <w:r>
        <w:rPr>
          <w:color w:val="000000"/>
          <w:spacing w:val="0"/>
          <w:w w:val="100"/>
          <w:position w:val="0"/>
        </w:rPr>
        <w:t>名激励对象第一个解锁期涉 及的</w:t>
      </w:r>
      <w:r>
        <w:rPr>
          <w:rFonts w:ascii="Times New Roman" w:eastAsia="Times New Roman" w:hAnsi="Times New Roman" w:cs="Times New Roman"/>
          <w:color w:val="000000"/>
          <w:spacing w:val="0"/>
          <w:w w:val="100"/>
          <w:position w:val="0"/>
        </w:rPr>
        <w:t>151.359</w:t>
      </w:r>
      <w:r>
        <w:rPr>
          <w:color w:val="000000"/>
          <w:spacing w:val="0"/>
          <w:w w:val="100"/>
          <w:position w:val="0"/>
        </w:rPr>
        <w:t>万股限制性股票，并授权公司证券部办理相关解锁登记手续。具体内容详见公司在巨潮资讯网站</w:t>
      </w:r>
    </w:p>
    <w:p>
      <w:pPr>
        <w:pStyle w:val="Style107"/>
        <w:keepNext w:val="0"/>
        <w:keepLines w:val="0"/>
        <w:widowControl w:val="0"/>
        <w:shd w:val="clear" w:color="auto" w:fill="auto"/>
        <w:bidi w:val="0"/>
        <w:spacing w:before="0" w:after="30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披露的公告（公告编号：</w:t>
      </w:r>
      <w:r>
        <w:rPr>
          <w:color w:val="000000"/>
          <w:spacing w:val="0"/>
          <w:w w:val="100"/>
          <w:position w:val="0"/>
        </w:rPr>
        <w:t>2021-054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p>
      <w:pPr>
        <w:pStyle w:val="Style15"/>
        <w:keepNext w:val="0"/>
        <w:keepLines w:val="0"/>
        <w:widowControl w:val="0"/>
        <w:shd w:val="clear" w:color="auto" w:fill="auto"/>
        <w:bidi w:val="0"/>
        <w:spacing w:before="0" w:after="0" w:line="346" w:lineRule="exact"/>
        <w:ind w:left="0" w:right="0" w:firstLine="0"/>
        <w:jc w:val="left"/>
      </w:pPr>
      <w:r>
        <w:rPr>
          <w:color w:val="000000"/>
          <w:spacing w:val="0"/>
          <w:w w:val="100"/>
          <w:position w:val="0"/>
        </w:rPr>
        <w:t>股份变动的过户情况</w:t>
      </w:r>
    </w:p>
    <w:p>
      <w:pPr>
        <w:pStyle w:val="Style15"/>
        <w:keepNext w:val="0"/>
        <w:keepLines w:val="0"/>
        <w:widowControl w:val="0"/>
        <w:shd w:val="clear" w:color="auto" w:fill="auto"/>
        <w:bidi w:val="0"/>
        <w:spacing w:before="0" w:after="0" w:line="346"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 ”适用口不适用</w:t>
      </w:r>
    </w:p>
    <w:p>
      <w:pPr>
        <w:pStyle w:val="Style15"/>
        <w:keepNext w:val="0"/>
        <w:keepLines w:val="0"/>
        <w:widowControl w:val="0"/>
        <w:shd w:val="clear" w:color="auto" w:fill="auto"/>
        <w:bidi w:val="0"/>
        <w:spacing w:before="0" w:after="280" w:line="240" w:lineRule="auto"/>
        <w:ind w:left="0" w:right="0"/>
        <w:jc w:val="both"/>
      </w:pPr>
      <w:r>
        <w:rPr>
          <w:color w:val="000000"/>
          <w:spacing w:val="0"/>
          <w:w w:val="100"/>
          <w:position w:val="0"/>
        </w:rPr>
        <w:t>本报告期，公司以资本公积金向全体股东每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股、注销限制性股票</w:t>
      </w:r>
      <w:r>
        <w:rPr>
          <w:rFonts w:ascii="Times New Roman" w:eastAsia="Times New Roman" w:hAnsi="Times New Roman" w:cs="Times New Roman"/>
          <w:color w:val="000000"/>
          <w:spacing w:val="0"/>
          <w:w w:val="100"/>
          <w:position w:val="0"/>
        </w:rPr>
        <w:t>46.3725</w:t>
      </w:r>
      <w:r>
        <w:rPr>
          <w:color w:val="000000"/>
          <w:spacing w:val="0"/>
          <w:w w:val="100"/>
          <w:position w:val="0"/>
        </w:rPr>
        <w:t>万股，导致报告期内每股净资产等财</w:t>
        <w:br w:type="page"/>
      </w:r>
      <w:r>
        <w:rPr>
          <w:color w:val="000000"/>
          <w:spacing w:val="0"/>
          <w:w w:val="100"/>
          <w:position w:val="0"/>
        </w:rPr>
        <w:t>务指标发生调整。</w:t>
      </w:r>
    </w:p>
    <w:p>
      <w:pPr>
        <w:pStyle w:val="Style1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公司认为必要或证券监管机构要求披露的其他内容 口适用”不适用</w:t>
      </w:r>
    </w:p>
    <w:p>
      <w:pPr>
        <w:pStyle w:val="Style24"/>
        <w:keepNext/>
        <w:keepLines/>
        <w:widowControl w:val="0"/>
        <w:shd w:val="clear" w:color="auto" w:fill="auto"/>
        <w:bidi w:val="0"/>
        <w:spacing w:before="0" w:after="22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、限售股份变动情况</w:t>
      </w:r>
      <w:bookmarkEnd w:id="641"/>
      <w:bookmarkEnd w:id="642"/>
      <w:bookmarkEnd w:id="644"/>
    </w:p>
    <w:p>
      <w:pPr>
        <w:pStyle w:val="Style15"/>
        <w:keepNext w:val="0"/>
        <w:keepLines w:val="0"/>
        <w:widowControl w:val="0"/>
        <w:shd w:val="clear" w:color="auto" w:fill="auto"/>
        <w:bidi w:val="0"/>
        <w:spacing w:before="0" w:after="140" w:line="355" w:lineRule="exact"/>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82"/>
        <w:gridCol w:w="1118"/>
        <w:gridCol w:w="1099"/>
        <w:gridCol w:w="1003"/>
        <w:gridCol w:w="1147"/>
        <w:gridCol w:w="1253"/>
        <w:gridCol w:w="32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本期解除</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150,617,494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45,185,249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195,802,743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高管股份锁 定承诺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高管锁定股部分每年按照上年末持有 股份数的</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张吕 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20,946,022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6,283,807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27,229,829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高管股份锁 定承诺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高管锁定股部分每年按照上年末持有 股份数的</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205,512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598,051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股权激励限 售股及高管 股份锁定承 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 部分第二个解锁期解锁股份已于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日上市流通，剩余限制性股 票解除限售日为股份授予登记完成日 起锁定</w:t>
            </w:r>
            <w:r>
              <w:rPr>
                <w:rFonts w:ascii="Times New Roman" w:eastAsia="Times New Roman" w:hAnsi="Times New Roman" w:cs="Times New Roman"/>
                <w:color w:val="000000"/>
                <w:spacing w:val="0"/>
                <w:w w:val="100"/>
                <w:position w:val="0"/>
              </w:rPr>
              <w:t>36</w:t>
            </w:r>
            <w:r>
              <w:rPr>
                <w:color w:val="000000"/>
                <w:spacing w:val="0"/>
                <w:w w:val="100"/>
                <w:position w:val="0"/>
              </w:rPr>
              <w:t>个月之后，</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票激励计划预留授予的限制性股票解 除限售日为股份授予登记完成日起锁 定</w:t>
            </w:r>
            <w:r>
              <w:rPr>
                <w:rFonts w:ascii="Times New Roman" w:eastAsia="Times New Roman" w:hAnsi="Times New Roman" w:cs="Times New Roman"/>
                <w:color w:val="000000"/>
                <w:spacing w:val="0"/>
                <w:w w:val="100"/>
                <w:position w:val="0"/>
              </w:rPr>
              <w:t>24</w:t>
            </w:r>
            <w:r>
              <w:rPr>
                <w:color w:val="000000"/>
                <w:spacing w:val="0"/>
                <w:w w:val="100"/>
                <w:position w:val="0"/>
              </w:rPr>
              <w:t>个月之后；高管锁定股部分每年 按照上年末持有股份数的</w:t>
            </w:r>
            <w:r>
              <w:rPr>
                <w:rFonts w:ascii="Times New Roman" w:eastAsia="Times New Roman" w:hAnsi="Times New Roman" w:cs="Times New Roman"/>
                <w:color w:val="000000"/>
                <w:spacing w:val="0"/>
                <w:w w:val="100"/>
                <w:position w:val="0"/>
              </w:rPr>
              <w:t>25%</w:t>
            </w:r>
            <w:r>
              <w:rPr>
                <w:color w:val="000000"/>
                <w:spacing w:val="0"/>
                <w:w w:val="100"/>
                <w:position w:val="0"/>
              </w:rPr>
              <w:t>解除限 售。</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郁燕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393,748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股权激励限 售股及高管 股份锁定承 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 部分第二个解锁期解锁股份已于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日上市流通，剩余限制性股 票解除限售日为股份授予登记完成日 起锁定</w:t>
            </w:r>
            <w:r>
              <w:rPr>
                <w:rFonts w:ascii="Times New Roman" w:eastAsia="Times New Roman" w:hAnsi="Times New Roman" w:cs="Times New Roman"/>
                <w:color w:val="000000"/>
                <w:spacing w:val="0"/>
                <w:w w:val="100"/>
                <w:position w:val="0"/>
              </w:rPr>
              <w:t>36</w:t>
            </w:r>
            <w:r>
              <w:rPr>
                <w:color w:val="000000"/>
                <w:spacing w:val="0"/>
                <w:w w:val="100"/>
                <w:position w:val="0"/>
              </w:rPr>
              <w:t>个月之后；高管锁定股部分 每年按照上年末持有股份数的</w:t>
            </w:r>
            <w:r>
              <w:rPr>
                <w:rFonts w:ascii="Times New Roman" w:eastAsia="Times New Roman" w:hAnsi="Times New Roman" w:cs="Times New Roman"/>
                <w:color w:val="000000"/>
                <w:spacing w:val="0"/>
                <w:w w:val="100"/>
                <w:position w:val="0"/>
              </w:rPr>
              <w:t>25%</w:t>
            </w:r>
            <w:r>
              <w:rPr>
                <w:color w:val="000000"/>
                <w:spacing w:val="0"/>
                <w:w w:val="100"/>
                <w:position w:val="0"/>
              </w:rPr>
              <w:t>解除 限售。</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128,156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347,343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股权激励限 售股及高管 股份锁定承 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 部分第二个解锁期解锁股份已于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日上市流通，剩余限制性股 票解除限售日为股份授予登记完成日 起锁定</w:t>
            </w:r>
            <w:r>
              <w:rPr>
                <w:rFonts w:ascii="Times New Roman" w:eastAsia="Times New Roman" w:hAnsi="Times New Roman" w:cs="Times New Roman"/>
                <w:color w:val="000000"/>
                <w:spacing w:val="0"/>
                <w:w w:val="100"/>
                <w:position w:val="0"/>
              </w:rPr>
              <w:t>36</w:t>
            </w:r>
            <w:r>
              <w:rPr>
                <w:color w:val="000000"/>
                <w:spacing w:val="0"/>
                <w:w w:val="100"/>
                <w:position w:val="0"/>
              </w:rPr>
              <w:t>个月之后；高管锁定股部分 每年按照上年末持有股份数的</w:t>
            </w:r>
            <w:r>
              <w:rPr>
                <w:rFonts w:ascii="Times New Roman" w:eastAsia="Times New Roman" w:hAnsi="Times New Roman" w:cs="Times New Roman"/>
                <w:color w:val="000000"/>
                <w:spacing w:val="0"/>
                <w:w w:val="100"/>
                <w:position w:val="0"/>
              </w:rPr>
              <w:t>25%</w:t>
            </w:r>
            <w:r>
              <w:rPr>
                <w:color w:val="000000"/>
                <w:spacing w:val="0"/>
                <w:w w:val="100"/>
                <w:position w:val="0"/>
              </w:rPr>
              <w:t>解除 限售。</w:t>
            </w: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方宝 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267,187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131,906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347,343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股权激励限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售股及高管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股份锁定承</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 部分第二个解锁期解锁股份已于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日上市流通，剩余限制性股</w:t>
            </w:r>
          </w:p>
        </w:tc>
      </w:tr>
    </w:tbl>
    <w:p>
      <w:pPr>
        <w:spacing w:lineRule="exact" w:line="1"/>
        <w:rPr>
          <w:sz w:val="2"/>
          <w:szCs w:val="2"/>
        </w:rPr>
      </w:pPr>
      <w:r>
        <w:br w:type="page"/>
      </w:r>
    </w:p>
    <w:tbl>
      <w:tblPr>
        <w:tblOverlap w:val="never"/>
        <w:jc w:val="center"/>
        <w:tblLayout w:type="fixed"/>
      </w:tblPr>
      <w:tblGrid>
        <w:gridCol w:w="682"/>
        <w:gridCol w:w="1118"/>
        <w:gridCol w:w="1099"/>
        <w:gridCol w:w="1003"/>
        <w:gridCol w:w="1147"/>
        <w:gridCol w:w="1253"/>
        <w:gridCol w:w="3274"/>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票解除限售日为股份授予登记完成日 起锁定</w:t>
            </w:r>
            <w:r>
              <w:rPr>
                <w:rFonts w:ascii="Times New Roman" w:eastAsia="Times New Roman" w:hAnsi="Times New Roman" w:cs="Times New Roman"/>
                <w:color w:val="000000"/>
                <w:spacing w:val="0"/>
                <w:w w:val="100"/>
                <w:position w:val="0"/>
              </w:rPr>
              <w:t>36</w:t>
            </w:r>
            <w:r>
              <w:rPr>
                <w:color w:val="000000"/>
                <w:spacing w:val="0"/>
                <w:w w:val="100"/>
                <w:position w:val="0"/>
              </w:rPr>
              <w:t>个月之后，</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票激励计划预留授予的限制性股票解 除限售日为股份授予登记完成日起锁 定</w:t>
            </w:r>
            <w:r>
              <w:rPr>
                <w:rFonts w:ascii="Times New Roman" w:eastAsia="Times New Roman" w:hAnsi="Times New Roman" w:cs="Times New Roman"/>
                <w:color w:val="000000"/>
                <w:spacing w:val="0"/>
                <w:w w:val="100"/>
                <w:position w:val="0"/>
              </w:rPr>
              <w:t>24</w:t>
            </w:r>
            <w:r>
              <w:rPr>
                <w:color w:val="000000"/>
                <w:spacing w:val="0"/>
                <w:w w:val="100"/>
                <w:position w:val="0"/>
              </w:rPr>
              <w:t>个月之后；高管锁定股部分每年 按照上年末持有股份数的</w:t>
            </w:r>
            <w:r>
              <w:rPr>
                <w:rFonts w:ascii="Times New Roman" w:eastAsia="Times New Roman" w:hAnsi="Times New Roman" w:cs="Times New Roman"/>
                <w:color w:val="000000"/>
                <w:spacing w:val="0"/>
                <w:w w:val="100"/>
                <w:position w:val="0"/>
              </w:rPr>
              <w:t>25%</w:t>
            </w:r>
            <w:r>
              <w:rPr>
                <w:color w:val="000000"/>
                <w:spacing w:val="0"/>
                <w:w w:val="100"/>
                <w:position w:val="0"/>
              </w:rPr>
              <w:t>解除限 售。</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孙烈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123,932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312,790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 售股及高管 股份锁定承 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 部分第二个解锁期解锁股份已于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日上市流通，剩余限制性股 票解除限售日为股份授予登记完成日 起锁定</w:t>
            </w:r>
            <w:r>
              <w:rPr>
                <w:rFonts w:ascii="Times New Roman" w:eastAsia="Times New Roman" w:hAnsi="Times New Roman" w:cs="Times New Roman"/>
                <w:color w:val="000000"/>
                <w:spacing w:val="0"/>
                <w:w w:val="100"/>
                <w:position w:val="0"/>
              </w:rPr>
              <w:t>36</w:t>
            </w:r>
            <w:r>
              <w:rPr>
                <w:color w:val="000000"/>
                <w:spacing w:val="0"/>
                <w:w w:val="100"/>
                <w:position w:val="0"/>
              </w:rPr>
              <w:t>个月之后，</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票激励计划预留授予的限制性股票解 除限售日为股份授予登记完成日起锁 定</w:t>
            </w:r>
            <w:r>
              <w:rPr>
                <w:rFonts w:ascii="Times New Roman" w:eastAsia="Times New Roman" w:hAnsi="Times New Roman" w:cs="Times New Roman"/>
                <w:color w:val="000000"/>
                <w:spacing w:val="0"/>
                <w:w w:val="100"/>
                <w:position w:val="0"/>
              </w:rPr>
              <w:t>24</w:t>
            </w:r>
            <w:r>
              <w:rPr>
                <w:color w:val="000000"/>
                <w:spacing w:val="0"/>
                <w:w w:val="100"/>
                <w:position w:val="0"/>
              </w:rPr>
              <w:t>个月之后；高管锁定股部分每年 按照上年末持有股份数的</w:t>
            </w:r>
            <w:r>
              <w:rPr>
                <w:rFonts w:ascii="Times New Roman" w:eastAsia="Times New Roman" w:hAnsi="Times New Roman" w:cs="Times New Roman"/>
                <w:color w:val="000000"/>
                <w:spacing w:val="0"/>
                <w:w w:val="100"/>
                <w:position w:val="0"/>
              </w:rPr>
              <w:t>25%</w:t>
            </w:r>
            <w:r>
              <w:rPr>
                <w:color w:val="000000"/>
                <w:spacing w:val="0"/>
                <w:w w:val="100"/>
                <w:position w:val="0"/>
              </w:rPr>
              <w:t>解除限 售。</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 售股及高管 股份锁定承 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 部分第二个解锁期解锁股份已于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日上市流通，剩余限制性股 票解除限售日为股份授予登记完成日 起锁定</w:t>
            </w:r>
            <w:r>
              <w:rPr>
                <w:rFonts w:ascii="Times New Roman" w:eastAsia="Times New Roman" w:hAnsi="Times New Roman" w:cs="Times New Roman"/>
                <w:color w:val="000000"/>
                <w:spacing w:val="0"/>
                <w:w w:val="100"/>
                <w:position w:val="0"/>
              </w:rPr>
              <w:t>36</w:t>
            </w:r>
            <w:r>
              <w:rPr>
                <w:color w:val="000000"/>
                <w:spacing w:val="0"/>
                <w:w w:val="100"/>
                <w:position w:val="0"/>
              </w:rPr>
              <w:t>个月之后，</w:t>
            </w:r>
            <w:r>
              <w:rPr>
                <w:rFonts w:ascii="Times New Roman" w:eastAsia="Times New Roman" w:hAnsi="Times New Roman" w:cs="Times New Roman"/>
                <w:color w:val="000000"/>
                <w:spacing w:val="0"/>
                <w:w w:val="100"/>
                <w:position w:val="0"/>
              </w:rPr>
              <w:t>2019</w:t>
            </w:r>
            <w:r>
              <w:rPr>
                <w:color w:val="000000"/>
                <w:spacing w:val="0"/>
                <w:w w:val="100"/>
                <w:position w:val="0"/>
              </w:rPr>
              <w:t>年限制性股 票激励计划预留授予的限制性股票解 除限售日为股份授予登记完成日起锁 定</w:t>
            </w:r>
            <w:r>
              <w:rPr>
                <w:rFonts w:ascii="Times New Roman" w:eastAsia="Times New Roman" w:hAnsi="Times New Roman" w:cs="Times New Roman"/>
                <w:color w:val="000000"/>
                <w:spacing w:val="0"/>
                <w:w w:val="100"/>
                <w:position w:val="0"/>
              </w:rPr>
              <w:t>24</w:t>
            </w:r>
            <w:r>
              <w:rPr>
                <w:color w:val="000000"/>
                <w:spacing w:val="0"/>
                <w:w w:val="100"/>
                <w:position w:val="0"/>
              </w:rPr>
              <w:t>个月之后；高管锁定股部分每年 按照上年末持有股份数的</w:t>
            </w:r>
            <w:r>
              <w:rPr>
                <w:rFonts w:ascii="Times New Roman" w:eastAsia="Times New Roman" w:hAnsi="Times New Roman" w:cs="Times New Roman"/>
                <w:color w:val="000000"/>
                <w:spacing w:val="0"/>
                <w:w w:val="100"/>
                <w:position w:val="0"/>
              </w:rPr>
              <w:t>25%</w:t>
            </w:r>
            <w:r>
              <w:rPr>
                <w:color w:val="000000"/>
                <w:spacing w:val="0"/>
                <w:w w:val="100"/>
                <w:position w:val="0"/>
              </w:rPr>
              <w:t>解除限 售。</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高春 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股权激励限 售股及高管 股份锁定承 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 部分第二个解锁期解锁股份已于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日上市流通，剩余限制性股 票解除限售日为股份授予登记完成日 起锁定</w:t>
            </w:r>
            <w:r>
              <w:rPr>
                <w:rFonts w:ascii="Times New Roman" w:eastAsia="Times New Roman" w:hAnsi="Times New Roman" w:cs="Times New Roman"/>
                <w:color w:val="000000"/>
                <w:spacing w:val="0"/>
                <w:w w:val="100"/>
                <w:position w:val="0"/>
              </w:rPr>
              <w:t>36</w:t>
            </w:r>
            <w:r>
              <w:rPr>
                <w:color w:val="000000"/>
                <w:spacing w:val="0"/>
                <w:w w:val="100"/>
                <w:position w:val="0"/>
              </w:rPr>
              <w:t>个月之后；高管锁定股部分 每年按照上年末持有股份数的</w:t>
            </w:r>
            <w:r>
              <w:rPr>
                <w:rFonts w:ascii="Times New Roman" w:eastAsia="Times New Roman" w:hAnsi="Times New Roman" w:cs="Times New Roman"/>
                <w:color w:val="000000"/>
                <w:spacing w:val="0"/>
                <w:w w:val="100"/>
                <w:position w:val="0"/>
              </w:rPr>
              <w:t>25%</w:t>
            </w:r>
            <w:r>
              <w:rPr>
                <w:color w:val="000000"/>
                <w:spacing w:val="0"/>
                <w:w w:val="100"/>
                <w:position w:val="0"/>
              </w:rPr>
              <w:t>解除 限售。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 高管 锁定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高管股份锁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定承诺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高管锁定股部分每年按照上年末持有 股份数的</w:t>
            </w:r>
            <w:r>
              <w:rPr>
                <w:rFonts w:ascii="Times New Roman" w:eastAsia="Times New Roman" w:hAnsi="Times New Roman" w:cs="Times New Roman"/>
                <w:color w:val="000000"/>
                <w:spacing w:val="0"/>
                <w:w w:val="100"/>
                <w:position w:val="0"/>
              </w:rPr>
              <w:t>25%</w:t>
            </w:r>
            <w:r>
              <w:rPr>
                <w:color w:val="000000"/>
                <w:spacing w:val="0"/>
                <w:w w:val="100"/>
                <w:position w:val="0"/>
              </w:rPr>
              <w:t>解除限售。</w:t>
            </w:r>
          </w:p>
        </w:tc>
      </w:tr>
      <w:tr>
        <w:trPr>
          <w:trHeight w:val="161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激励 限售 股（不 含董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18,364,575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3,468,105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8,259,315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13,573,365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年限制性股票激励计划首次授予 部分第二个解锁期解锁股份已于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日上市流通，剩余限制性股 票解除限售日为股份授予登记完成日 起锁定</w:t>
            </w:r>
            <w:r>
              <w:rPr>
                <w:rFonts w:ascii="Times New Roman" w:eastAsia="Times New Roman" w:hAnsi="Times New Roman" w:cs="Times New Roman"/>
                <w:color w:val="000000"/>
                <w:spacing w:val="0"/>
                <w:w w:val="100"/>
                <w:position w:val="0"/>
              </w:rPr>
              <w:t>36</w:t>
            </w:r>
            <w:r>
              <w:rPr>
                <w:color w:val="000000"/>
                <w:spacing w:val="0"/>
                <w:w w:val="100"/>
                <w:position w:val="0"/>
              </w:rPr>
              <w:t>个月之后，</w:t>
            </w:r>
            <w:r>
              <w:rPr>
                <w:rFonts w:ascii="Times New Roman" w:eastAsia="Times New Roman" w:hAnsi="Times New Roman" w:cs="Times New Roman"/>
                <w:color w:val="000000"/>
                <w:spacing w:val="0"/>
                <w:w w:val="100"/>
                <w:position w:val="0"/>
              </w:rPr>
              <w:t>2019</w:t>
            </w:r>
            <w:r>
              <w:rPr>
                <w:color w:val="000000"/>
                <w:spacing w:val="0"/>
                <w:w w:val="100"/>
                <w:position w:val="0"/>
              </w:rPr>
              <w:t>年限制性股</w:t>
            </w:r>
          </w:p>
        </w:tc>
      </w:tr>
    </w:tbl>
    <w:tbl>
      <w:tblPr>
        <w:tblOverlap w:val="never"/>
        <w:jc w:val="center"/>
        <w:tblLayout w:type="fixed"/>
      </w:tblPr>
      <w:tblGrid>
        <w:gridCol w:w="682"/>
        <w:gridCol w:w="1118"/>
        <w:gridCol w:w="1099"/>
        <w:gridCol w:w="1003"/>
        <w:gridCol w:w="1147"/>
        <w:gridCol w:w="1253"/>
        <w:gridCol w:w="3274"/>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票激励计划预留授予的限制性股票解 除限售日为股份授予登记完成日起锁 定</w:t>
            </w:r>
            <w:r>
              <w:rPr>
                <w:rFonts w:ascii="Times New Roman" w:eastAsia="Times New Roman" w:hAnsi="Times New Roman" w:cs="Times New Roman"/>
                <w:color w:val="000000"/>
                <w:spacing w:val="0"/>
                <w:w w:val="100"/>
                <w:position w:val="0"/>
              </w:rPr>
              <w:t>24</w:t>
            </w:r>
            <w:r>
              <w:rPr>
                <w:color w:val="000000"/>
                <w:spacing w:val="0"/>
                <w:w w:val="100"/>
                <w:position w:val="0"/>
              </w:rPr>
              <w:t>个月之后。</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191,827,760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55,834,717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8,641,815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239,020,662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19"/>
        <w:keepNext/>
        <w:keepLines/>
        <w:widowControl w:val="0"/>
        <w:shd w:val="clear" w:color="auto" w:fill="auto"/>
        <w:tabs>
          <w:tab w:pos="512" w:val="left"/>
        </w:tabs>
        <w:bidi w:val="0"/>
        <w:spacing w:before="0" w:after="34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二</w:t>
      </w:r>
      <w:bookmarkEnd w:id="647"/>
      <w:r>
        <w:rPr>
          <w:color w:val="000000"/>
          <w:spacing w:val="0"/>
          <w:w w:val="100"/>
          <w:position w:val="0"/>
          <w:sz w:val="24"/>
          <w:szCs w:val="24"/>
        </w:rPr>
        <w:t>、</w:t>
        <w:tab/>
        <w:t>证券发行与上市情况</w:t>
      </w:r>
      <w:bookmarkEnd w:id="645"/>
      <w:bookmarkEnd w:id="646"/>
      <w:bookmarkEnd w:id="648"/>
    </w:p>
    <w:p>
      <w:pPr>
        <w:pStyle w:val="Style24"/>
        <w:keepNext/>
        <w:keepLines/>
        <w:widowControl w:val="0"/>
        <w:shd w:val="clear" w:color="auto" w:fill="auto"/>
        <w:tabs>
          <w:tab w:pos="384" w:val="left"/>
        </w:tabs>
        <w:bidi w:val="0"/>
        <w:spacing w:before="0" w:after="26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w:t>
        <w:tab/>
        <w:t>报告期内证券发行（不含优先股）情况</w:t>
      </w:r>
      <w:bookmarkEnd w:id="649"/>
      <w:bookmarkEnd w:id="650"/>
      <w:bookmarkEnd w:id="652"/>
    </w:p>
    <w:p>
      <w:pPr>
        <w:pStyle w:val="Style15"/>
        <w:keepNext w:val="0"/>
        <w:keepLines w:val="0"/>
        <w:widowControl w:val="0"/>
        <w:shd w:val="clear" w:color="auto" w:fill="auto"/>
        <w:bidi w:val="0"/>
        <w:spacing w:before="0" w:after="340" w:line="313" w:lineRule="exact"/>
        <w:ind w:left="0" w:right="0" w:firstLine="0"/>
        <w:jc w:val="left"/>
      </w:pPr>
      <w:r>
        <w:rPr>
          <w:color w:val="000000"/>
          <w:spacing w:val="0"/>
          <w:w w:val="100"/>
          <w:position w:val="0"/>
        </w:rPr>
        <w:t>口适用”不适用</w:t>
      </w:r>
    </w:p>
    <w:p>
      <w:pPr>
        <w:pStyle w:val="Style24"/>
        <w:keepNext/>
        <w:keepLines/>
        <w:widowControl w:val="0"/>
        <w:shd w:val="clear" w:color="auto" w:fill="auto"/>
        <w:tabs>
          <w:tab w:pos="384" w:val="left"/>
        </w:tabs>
        <w:bidi w:val="0"/>
        <w:spacing w:before="0" w:after="26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w:t>
        <w:tab/>
        <w:t>公司股份总数及股东结构的变动、公司资产和负债结构的变动情况说明</w:t>
      </w:r>
      <w:bookmarkEnd w:id="653"/>
      <w:bookmarkEnd w:id="654"/>
      <w:bookmarkEnd w:id="656"/>
    </w:p>
    <w:p>
      <w:pPr>
        <w:pStyle w:val="Style15"/>
        <w:keepNext w:val="0"/>
        <w:keepLines w:val="0"/>
        <w:widowControl w:val="0"/>
        <w:shd w:val="clear" w:color="auto" w:fill="auto"/>
        <w:bidi w:val="0"/>
        <w:spacing w:before="0" w:after="40" w:line="313" w:lineRule="exact"/>
        <w:ind w:left="0" w:right="0" w:firstLine="0"/>
        <w:jc w:val="both"/>
      </w:pPr>
      <w:r>
        <w:rPr>
          <w:color w:val="000000"/>
          <w:spacing w:val="0"/>
          <w:w w:val="100"/>
          <w:position w:val="0"/>
        </w:rPr>
        <w:t>”适用口不适用</w:t>
      </w:r>
    </w:p>
    <w:p>
      <w:pPr>
        <w:pStyle w:val="Style15"/>
        <w:keepNext w:val="0"/>
        <w:keepLines w:val="0"/>
        <w:widowControl w:val="0"/>
        <w:shd w:val="clear" w:color="auto" w:fill="auto"/>
        <w:tabs>
          <w:tab w:pos="704" w:val="left"/>
        </w:tabs>
        <w:bidi w:val="0"/>
        <w:spacing w:before="0" w:after="0" w:line="313" w:lineRule="exact"/>
        <w:ind w:left="0" w:right="0"/>
        <w:jc w:val="both"/>
      </w:pPr>
      <w:bookmarkStart w:id="657" w:name="bookmark657"/>
      <w:r>
        <w:rPr>
          <w:rFonts w:ascii="Times New Roman" w:eastAsia="Times New Roman" w:hAnsi="Times New Roman" w:cs="Times New Roman"/>
          <w:color w:val="000000"/>
          <w:spacing w:val="0"/>
          <w:w w:val="100"/>
          <w:position w:val="0"/>
        </w:rPr>
        <w:t>1</w:t>
      </w:r>
      <w:bookmarkEnd w:id="65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日，经中国证券登记结算有限责任公司深圳分公司审核确认，公司</w:t>
      </w:r>
      <w:r>
        <w:rPr>
          <w:rFonts w:ascii="Times New Roman" w:eastAsia="Times New Roman" w:hAnsi="Times New Roman" w:cs="Times New Roman"/>
          <w:color w:val="000000"/>
          <w:spacing w:val="0"/>
          <w:w w:val="100"/>
          <w:position w:val="0"/>
        </w:rPr>
        <w:t>46.3725</w:t>
      </w:r>
      <w:r>
        <w:rPr>
          <w:color w:val="000000"/>
          <w:spacing w:val="0"/>
          <w:w w:val="100"/>
          <w:position w:val="0"/>
        </w:rPr>
        <w:t>万股限制性股票回购注销手 续已办理完毕，公司总股本由</w:t>
      </w:r>
      <w:r>
        <w:rPr>
          <w:rFonts w:ascii="Times New Roman" w:eastAsia="Times New Roman" w:hAnsi="Times New Roman" w:cs="Times New Roman"/>
          <w:color w:val="000000"/>
          <w:spacing w:val="0"/>
          <w:w w:val="100"/>
          <w:position w:val="0"/>
        </w:rPr>
        <w:t>119,260.8104</w:t>
      </w:r>
      <w:r>
        <w:rPr>
          <w:color w:val="000000"/>
          <w:spacing w:val="0"/>
          <w:w w:val="100"/>
          <w:position w:val="0"/>
        </w:rPr>
        <w:t>万股变更为</w:t>
      </w:r>
      <w:r>
        <w:rPr>
          <w:rFonts w:ascii="Times New Roman" w:eastAsia="Times New Roman" w:hAnsi="Times New Roman" w:cs="Times New Roman"/>
          <w:color w:val="000000"/>
          <w:spacing w:val="0"/>
          <w:w w:val="100"/>
          <w:position w:val="0"/>
        </w:rPr>
        <w:t>119,214.4379</w:t>
      </w:r>
      <w:r>
        <w:rPr>
          <w:color w:val="000000"/>
          <w:spacing w:val="0"/>
          <w:w w:val="100"/>
          <w:position w:val="0"/>
        </w:rPr>
        <w:t>万股。</w:t>
      </w:r>
    </w:p>
    <w:p>
      <w:pPr>
        <w:pStyle w:val="Style15"/>
        <w:keepNext w:val="0"/>
        <w:keepLines w:val="0"/>
        <w:widowControl w:val="0"/>
        <w:shd w:val="clear" w:color="auto" w:fill="auto"/>
        <w:bidi w:val="0"/>
        <w:spacing w:before="0" w:after="340" w:line="313" w:lineRule="exact"/>
        <w:ind w:left="0" w:right="0"/>
        <w:jc w:val="both"/>
      </w:pPr>
      <w:bookmarkStart w:id="658" w:name="bookmark658"/>
      <w:r>
        <w:rPr>
          <w:rFonts w:ascii="Times New Roman" w:eastAsia="Times New Roman" w:hAnsi="Times New Roman" w:cs="Times New Roman"/>
          <w:color w:val="000000"/>
          <w:spacing w:val="0"/>
          <w:w w:val="100"/>
          <w:position w:val="0"/>
        </w:rPr>
        <w:t>2</w:t>
      </w:r>
      <w:bookmarkEnd w:id="658"/>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年年度利润分配预案的议案》，同意以公司 总股本</w:t>
      </w:r>
      <w:r>
        <w:rPr>
          <w:rFonts w:ascii="Times New Roman" w:eastAsia="Times New Roman" w:hAnsi="Times New Roman" w:cs="Times New Roman"/>
          <w:color w:val="000000"/>
          <w:spacing w:val="0"/>
          <w:w w:val="100"/>
          <w:position w:val="0"/>
        </w:rPr>
        <w:t>1,192,608,104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.30</w:t>
      </w:r>
      <w:r>
        <w:rPr>
          <w:color w:val="000000"/>
          <w:spacing w:val="0"/>
          <w:w w:val="100"/>
          <w:position w:val="0"/>
        </w:rPr>
        <w:t>元（含税），以资本公积每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股，剩余未分配 利润结转以后年度分配。自</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年年度利润分配方案披露之日起至实施权益分派股权登记日期间，若公司股本因股权激励行 权、可转债转股、股份回购等情形导致股本变化的，公司将维持每股分配比例不变，相应调整分配总额。</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本次权益分派完成除权除息工作，公司总股本由</w:t>
      </w:r>
      <w:r>
        <w:rPr>
          <w:rFonts w:ascii="Times New Roman" w:eastAsia="Times New Roman" w:hAnsi="Times New Roman" w:cs="Times New Roman"/>
          <w:color w:val="000000"/>
          <w:spacing w:val="0"/>
          <w:w w:val="100"/>
          <w:position w:val="0"/>
        </w:rPr>
        <w:t>119,214.4379</w:t>
      </w:r>
      <w:r>
        <w:rPr>
          <w:color w:val="000000"/>
          <w:spacing w:val="0"/>
          <w:w w:val="100"/>
          <w:position w:val="0"/>
        </w:rPr>
        <w:t>万股增加至</w:t>
      </w:r>
      <w:r>
        <w:rPr>
          <w:rFonts w:ascii="Times New Roman" w:eastAsia="Times New Roman" w:hAnsi="Times New Roman" w:cs="Times New Roman"/>
          <w:color w:val="000000"/>
          <w:spacing w:val="0"/>
          <w:w w:val="100"/>
          <w:position w:val="0"/>
        </w:rPr>
        <w:t>154,978.7692</w:t>
      </w:r>
      <w:r>
        <w:rPr>
          <w:color w:val="000000"/>
          <w:spacing w:val="0"/>
          <w:w w:val="100"/>
          <w:position w:val="0"/>
        </w:rPr>
        <w:t>万股。</w:t>
      </w:r>
    </w:p>
    <w:p>
      <w:pPr>
        <w:pStyle w:val="Style24"/>
        <w:keepNext/>
        <w:keepLines/>
        <w:widowControl w:val="0"/>
        <w:shd w:val="clear" w:color="auto" w:fill="auto"/>
        <w:tabs>
          <w:tab w:pos="384" w:val="left"/>
        </w:tabs>
        <w:bidi w:val="0"/>
        <w:spacing w:before="0" w:after="26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w:t>
        <w:tab/>
        <w:t>现存的内部职工股情况</w:t>
      </w:r>
      <w:bookmarkEnd w:id="659"/>
      <w:bookmarkEnd w:id="660"/>
      <w:bookmarkEnd w:id="662"/>
    </w:p>
    <w:p>
      <w:pPr>
        <w:pStyle w:val="Style15"/>
        <w:keepNext w:val="0"/>
        <w:keepLines w:val="0"/>
        <w:widowControl w:val="0"/>
        <w:shd w:val="clear" w:color="auto" w:fill="auto"/>
        <w:bidi w:val="0"/>
        <w:spacing w:before="0" w:after="340" w:line="313" w:lineRule="exact"/>
        <w:ind w:left="0" w:right="0" w:firstLine="0"/>
        <w:jc w:val="left"/>
      </w:pPr>
      <w:r>
        <w:rPr>
          <w:color w:val="000000"/>
          <w:spacing w:val="0"/>
          <w:w w:val="100"/>
          <w:position w:val="0"/>
        </w:rPr>
        <w:t>口适用”不适用</w:t>
      </w:r>
    </w:p>
    <w:p>
      <w:pPr>
        <w:pStyle w:val="Style19"/>
        <w:keepNext/>
        <w:keepLines/>
        <w:widowControl w:val="0"/>
        <w:shd w:val="clear" w:color="auto" w:fill="auto"/>
        <w:tabs>
          <w:tab w:pos="517" w:val="left"/>
        </w:tabs>
        <w:bidi w:val="0"/>
        <w:spacing w:before="0" w:after="34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三</w:t>
      </w:r>
      <w:bookmarkEnd w:id="665"/>
      <w:r>
        <w:rPr>
          <w:color w:val="000000"/>
          <w:spacing w:val="0"/>
          <w:w w:val="100"/>
          <w:position w:val="0"/>
          <w:sz w:val="24"/>
          <w:szCs w:val="24"/>
        </w:rPr>
        <w:t>、</w:t>
        <w:tab/>
        <w:t>股东和实际控制人情况</w:t>
      </w:r>
      <w:bookmarkEnd w:id="663"/>
      <w:bookmarkEnd w:id="664"/>
      <w:bookmarkEnd w:id="666"/>
    </w:p>
    <w:p>
      <w:pPr>
        <w:pStyle w:val="Style24"/>
        <w:keepNext/>
        <w:keepLines/>
        <w:widowControl w:val="0"/>
        <w:shd w:val="clear" w:color="auto" w:fill="auto"/>
        <w:bidi w:val="0"/>
        <w:spacing w:before="0" w:after="34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、公司股东数量及持股情况</w:t>
      </w:r>
      <w:bookmarkEnd w:id="667"/>
      <w:bookmarkEnd w:id="668"/>
      <w:bookmarkEnd w:id="670"/>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74"/>
        <w:gridCol w:w="758"/>
        <w:gridCol w:w="874"/>
        <w:gridCol w:w="437"/>
        <w:gridCol w:w="427"/>
        <w:gridCol w:w="869"/>
        <w:gridCol w:w="869"/>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33,553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34,296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 末表决 权恢复 的优先 股股东</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总数（如 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前上一月末表决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权恢复的优先股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股东总数（如有）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持有特 别表决 权股份 的股东 总数（如</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3"/>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标记或冻结情况</w:t>
            </w:r>
          </w:p>
        </w:tc>
      </w:tr>
      <w:tr>
        <w:trPr>
          <w:trHeight w:val="624"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末持股 数量</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内增减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限售条</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件的股</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限售条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件的股</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989"/>
        <w:gridCol w:w="979"/>
        <w:gridCol w:w="763"/>
        <w:gridCol w:w="869"/>
        <w:gridCol w:w="869"/>
        <w:gridCol w:w="874"/>
        <w:gridCol w:w="758"/>
        <w:gridCol w:w="1738"/>
        <w:gridCol w:w="173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14.85</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230,184,</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2936079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195,802,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34,381,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145,058,816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浙江鑫粟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123,003, 913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2838551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福鼎嘉盈 企业管理 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77,048,7 67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1778048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77,048, 767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29,900,000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大家人寿 保险股份 有限公司 一万能产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41,886,7</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2306844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41,886,</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东方证券 股份有限 公司一中 庚价值先 锋股票型 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36,215,7 65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3621576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36,215, 765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香港中央</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结算有限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35,236,4</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1764637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35,236, 404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张吕峥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31,973,5</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4045509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27,229,8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4,743,7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中国工商 银行股份 有限公司 一财通资 管价值成 长混合型 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30,641,1</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3064116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30,641,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雅戈尔集 团股份有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27,642,0</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6378930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27,642,</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平安鼎创 股权投资 管理（上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26,697,7</w:t>
            </w:r>
          </w:p>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-287835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26,697, 762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979"/>
        <w:gridCol w:w="763"/>
        <w:gridCol w:w="869"/>
        <w:gridCol w:w="869"/>
        <w:gridCol w:w="874"/>
        <w:gridCol w:w="758"/>
        <w:gridCol w:w="1738"/>
        <w:gridCol w:w="1738"/>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right"/>
            </w:pPr>
            <w:r>
              <w:rPr>
                <w:color w:val="000000"/>
                <w:spacing w:val="0"/>
                <w:w w:val="100"/>
                <w:position w:val="0"/>
              </w:rPr>
              <w:t>海）有限 公司一上 海欧贸投 资管理合 伙企业 （有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战略投资者或一般法 人因配售新股成为前 </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公司控股股东、实际控制人为葛航先生；福鼎嘉盈企业管理咨询有限公司为实际控制人控制的 公司；公司未知其他股东是否存在关联关系。</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 托表决权、放弃表决权 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 购专户的特别说明（如 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浙江鑫粟科技有限公 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123,003,913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123,003,913</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福鼎嘉盈企业管理咨 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77,048,767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77,048,767</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大家人寿保险股份有 限公司一万能产品</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41,886,748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41,886,748</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东方证券股份有限公 司一中庚价值先锋股 票型证券投资基金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36,215,765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36,215,765</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香港中央结算有限公 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35,236,404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35,236,404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葛航</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34,381,375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34,381,375</w:t>
            </w:r>
          </w:p>
        </w:tc>
      </w:tr>
      <w:tr>
        <w:trPr>
          <w:trHeight w:val="133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中国工商银行股份有 限公司一财通资管价 值成长混合型证券投 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30,641,169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30,641,169</w:t>
            </w:r>
          </w:p>
        </w:tc>
      </w:tr>
      <w:tr>
        <w:trPr>
          <w:trHeight w:val="720"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雅戈尔集团股份有限 公司</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27,642,030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27,642,030</w:t>
            </w:r>
          </w:p>
        </w:tc>
      </w:tr>
    </w:tbl>
    <w:p>
      <w:pPr>
        <w:spacing w:lineRule="exact" w:line="1"/>
        <w:rPr>
          <w:sz w:val="2"/>
          <w:szCs w:val="2"/>
        </w:rPr>
      </w:pPr>
      <w:r>
        <w:br w:type="page"/>
      </w:r>
    </w:p>
    <w:tbl>
      <w:tblPr>
        <w:tblOverlap w:val="never"/>
        <w:jc w:val="center"/>
        <w:tblLayout w:type="fixed"/>
      </w:tblPr>
      <w:tblGrid>
        <w:gridCol w:w="1968"/>
        <w:gridCol w:w="4133"/>
        <w:gridCol w:w="1738"/>
        <w:gridCol w:w="1738"/>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平安鼎创股权投资管 理（上海）有限公司一 上海欧贸投资管理合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26,697,762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中国农业银行股份有 限公司一财通资管宸 瑞一年持有期混合型 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19,653,832</w:t>
            </w: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公司控股股东、实际控制人为葛航先生；福鼎嘉盈企业管理咨询有限公司为实际控制人控制的 公司；公司未知其他股东是否存在关联关系。</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东情况说明（如有）（参</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公司是否具有表决权差异安排</w:t>
      </w:r>
    </w:p>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1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4"/>
        <w:keepNext/>
        <w:keepLines/>
        <w:widowControl w:val="0"/>
        <w:shd w:val="clear" w:color="auto" w:fill="auto"/>
        <w:bidi w:val="0"/>
        <w:spacing w:before="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、公司控股股东情况</w:t>
      </w:r>
      <w:bookmarkEnd w:id="671"/>
      <w:bookmarkEnd w:id="672"/>
      <w:bookmarkEnd w:id="67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公司董事、西湖大学荣誉董事、九三学社西湖大学支社主任委员、浙江省软 件行业协会会长、浙商大健康委员会副会长、浙江大学校友总会健康分会秘 书长。现任公司董事长，浙江中宇信息科技有限公司执行董事，北京甲和灯 科技股份有限公司、杭州迪通创健股权投资基金管理有限公司、浙江未来社 区开发运营集团有限公司董事，杭州鼎心企业管理咨询有限公司执行董事兼 总经理。</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r>
        <w:br w:type="page"/>
      </w:r>
    </w:p>
    <w:p>
      <w:pPr>
        <w:pStyle w:val="Style24"/>
        <w:keepNext/>
        <w:keepLines/>
        <w:widowControl w:val="0"/>
        <w:shd w:val="clear" w:color="auto" w:fill="auto"/>
        <w:bidi w:val="0"/>
        <w:spacing w:before="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、公司实际控制人及其一致行动人</w:t>
      </w:r>
      <w:bookmarkEnd w:id="675"/>
      <w:bookmarkEnd w:id="676"/>
      <w:bookmarkEnd w:id="67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福鼎嘉盈企业管理咨询有限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公司董事、西湖大学荣誉董事、九三学社西湖大学支社主任委员、浙江省软件行业协会会 长、浙商大健康委员会副会长、浙江大学校友总会健康分会秘书长。现任公司董事长，浙 江中宇信息科技有限公司执行董事，北京甲和灯科技股份有限公司、杭州迪通创健股权投 资基金管理有限公司、浙江未来社区开发运营集团有限公司董事，杭州鼎心企业管理咨询 有限公司执行董事兼总经理。</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5181600" cy="212725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3"/>
                    <a:stretch/>
                  </pic:blipFill>
                  <pic:spPr>
                    <a:xfrm>
                      <a:ext cx="5181600" cy="2127250"/>
                    </a:xfrm>
                    <a:prstGeom prst="rect"/>
                  </pic:spPr>
                </pic:pic>
              </a:graphicData>
            </a:graphic>
          </wp:inline>
        </w:drawing>
      </w:r>
    </w:p>
    <w:p>
      <w:pPr>
        <w:widowControl w:val="0"/>
        <w:spacing w:after="45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tabs>
          <w:tab w:pos="378" w:val="left"/>
        </w:tabs>
        <w:bidi w:val="0"/>
        <w:spacing w:before="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4</w:t>
      </w:r>
      <w:bookmarkEnd w:id="681"/>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9"/>
      <w:bookmarkEnd w:id="680"/>
      <w:bookmarkEnd w:id="682"/>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tabs>
          <w:tab w:pos="378" w:val="left"/>
        </w:tabs>
        <w:bidi w:val="0"/>
        <w:spacing w:before="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3"/>
      <w:bookmarkEnd w:id="684"/>
      <w:bookmarkEnd w:id="68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6</w:t>
      </w:r>
      <w:bookmarkEnd w:id="689"/>
      <w:r>
        <w:rPr>
          <w:color w:val="000000"/>
          <w:spacing w:val="0"/>
          <w:w w:val="100"/>
          <w:position w:val="0"/>
        </w:rPr>
        <w:t>、控股股东、实际控制人、重组方及其他承诺主体股份限制减持情况</w:t>
      </w:r>
      <w:bookmarkEnd w:id="687"/>
      <w:bookmarkEnd w:id="688"/>
      <w:bookmarkEnd w:id="690"/>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sz w:val="24"/>
          <w:szCs w:val="24"/>
        </w:rPr>
        <w:t>四</w:t>
      </w:r>
      <w:bookmarkEnd w:id="693"/>
      <w:r>
        <w:rPr>
          <w:color w:val="000000"/>
          <w:spacing w:val="0"/>
          <w:w w:val="100"/>
          <w:position w:val="0"/>
          <w:sz w:val="24"/>
          <w:szCs w:val="24"/>
        </w:rPr>
        <w:t>、股份回购在报告期的具体实施情况</w:t>
      </w:r>
      <w:bookmarkEnd w:id="691"/>
      <w:bookmarkEnd w:id="692"/>
      <w:bookmarkEnd w:id="69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5"/>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50" w:right="1046" w:bottom="1470" w:left="1077" w:header="0" w:footer="3" w:gutter="0"/>
          <w:cols w:space="720"/>
          <w:noEndnote/>
          <w:rtlGutter w:val="0"/>
          <w:docGrid w:linePitch="360"/>
        </w:sectPr>
      </w:pPr>
      <w:r>
        <w:rPr>
          <w:color w:val="000000"/>
          <w:spacing w:val="0"/>
          <w:w w:val="100"/>
          <w:position w:val="0"/>
        </w:rPr>
        <w:t>口适用”不适用</w:t>
      </w:r>
    </w:p>
    <w:p>
      <w:pPr>
        <w:widowControl w:val="0"/>
        <w:spacing w:line="1" w:lineRule="exact"/>
      </w:pPr>
      <w:r>
        <mc:AlternateContent>
          <mc:Choice Requires="wps">
            <w:drawing>
              <wp:anchor distT="0" distB="279400" distL="0" distR="0" simplePos="0" relativeHeight="125829405" behindDoc="0" locked="0" layoutInCell="1" allowOverlap="1">
                <wp:simplePos x="0" y="0"/>
                <wp:positionH relativeFrom="page">
                  <wp:posOffset>2696210</wp:posOffset>
                </wp:positionH>
                <wp:positionV relativeFrom="paragraph">
                  <wp:posOffset>0</wp:posOffset>
                </wp:positionV>
                <wp:extent cx="2164080" cy="243840"/>
                <wp:wrapTopAndBottom/>
                <wp:docPr id="39" name="Shape 39"/>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695" w:name="bookmark695"/>
                            <w:bookmarkStart w:id="696" w:name="bookmark696"/>
                            <w:bookmarkStart w:id="697" w:name="bookmark697"/>
                            <w:r>
                              <w:rPr>
                                <w:color w:val="000000"/>
                                <w:spacing w:val="0"/>
                                <w:w w:val="100"/>
                                <w:position w:val="0"/>
                              </w:rPr>
                              <w:t>第八节优先股相关情况</w:t>
                            </w:r>
                            <w:bookmarkEnd w:id="695"/>
                            <w:bookmarkEnd w:id="696"/>
                            <w:bookmarkEnd w:id="697"/>
                          </w:p>
                        </w:txbxContent>
                      </wps:txbx>
                      <wps:bodyPr wrap="none" lIns="0" tIns="0" rIns="0" bIns="0">
                        <a:noAutoFit/>
                      </wps:bodyPr>
                    </wps:wsp>
                  </a:graphicData>
                </a:graphic>
              </wp:anchor>
            </w:drawing>
          </mc:Choice>
          <mc:Fallback>
            <w:pict>
              <v:shape id="_x0000_s1065" type="#_x0000_t202" style="position:absolute;margin-left:212.30000000000001pt;margin-top:0;width:170.40000000000001pt;height:19.199999999999999pt;z-index:-125829348;mso-wrap-distance-left:0;mso-wrap-distance-right:0;mso-wrap-distance-bottom:22.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695" w:name="bookmark695"/>
                      <w:bookmarkStart w:id="696" w:name="bookmark696"/>
                      <w:bookmarkStart w:id="697" w:name="bookmark697"/>
                      <w:r>
                        <w:rPr>
                          <w:color w:val="000000"/>
                          <w:spacing w:val="0"/>
                          <w:w w:val="100"/>
                          <w:position w:val="0"/>
                        </w:rPr>
                        <w:t>第八节优先股相关情况</w:t>
                      </w:r>
                      <w:bookmarkEnd w:id="695"/>
                      <w:bookmarkEnd w:id="696"/>
                      <w:bookmarkEnd w:id="697"/>
                    </w:p>
                  </w:txbxContent>
                </v:textbox>
                <w10:wrap type="topAndBottom" anchorx="page"/>
              </v:shape>
            </w:pict>
          </mc:Fallback>
        </mc:AlternateConten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after="560" w:line="240" w:lineRule="auto"/>
        <w:ind w:left="0" w:right="0" w:firstLine="0"/>
        <w:jc w:val="center"/>
      </w:pPr>
      <w:bookmarkStart w:id="698" w:name="bookmark698"/>
      <w:bookmarkStart w:id="699" w:name="bookmark699"/>
      <w:bookmarkStart w:id="700" w:name="bookmark700"/>
      <w:r>
        <w:rPr>
          <w:color w:val="000000"/>
          <w:spacing w:val="0"/>
          <w:w w:val="100"/>
          <w:position w:val="0"/>
        </w:rPr>
        <w:t>第九节债券相关情况</w:t>
      </w:r>
      <w:bookmarkEnd w:id="698"/>
      <w:bookmarkEnd w:id="699"/>
      <w:bookmarkEnd w:id="700"/>
    </w:p>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193" w:bottom="1940" w:left="110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keepLines/>
        <w:widowControl w:val="0"/>
        <w:shd w:val="clear" w:color="auto" w:fill="auto"/>
        <w:bidi w:val="0"/>
        <w:spacing w:before="720" w:after="540" w:line="240" w:lineRule="auto"/>
        <w:ind w:left="0" w:right="0" w:firstLine="0"/>
        <w:jc w:val="center"/>
      </w:pPr>
      <w:bookmarkStart w:id="701" w:name="bookmark701"/>
      <w:bookmarkStart w:id="702" w:name="bookmark702"/>
      <w:bookmarkStart w:id="703" w:name="bookmark703"/>
      <w:r>
        <w:rPr>
          <w:color w:val="000000"/>
          <w:spacing w:val="0"/>
          <w:w w:val="100"/>
          <w:position w:val="0"/>
        </w:rPr>
        <w:t>第十节财务报告</w:t>
      </w:r>
      <w:bookmarkEnd w:id="701"/>
      <w:bookmarkEnd w:id="702"/>
      <w:bookmarkEnd w:id="703"/>
    </w:p>
    <w:p>
      <w:pPr>
        <w:pStyle w:val="Style19"/>
        <w:keepNext/>
        <w:keepLines/>
        <w:widowControl w:val="0"/>
        <w:shd w:val="clear" w:color="auto" w:fill="auto"/>
        <w:bidi w:val="0"/>
        <w:spacing w:before="0" w:after="300" w:line="240" w:lineRule="auto"/>
        <w:ind w:left="0" w:right="0" w:firstLine="280"/>
        <w:jc w:val="left"/>
      </w:pPr>
      <w:bookmarkStart w:id="704" w:name="bookmark704"/>
      <w:bookmarkStart w:id="705" w:name="bookmark705"/>
      <w:bookmarkStart w:id="706" w:name="bookmark706"/>
      <w:r>
        <w:rPr>
          <w:color w:val="000000"/>
          <w:spacing w:val="0"/>
          <w:w w:val="100"/>
          <w:position w:val="0"/>
          <w:sz w:val="24"/>
          <w:szCs w:val="24"/>
        </w:rPr>
        <w:t>、审计报告</w:t>
      </w:r>
      <w:bookmarkEnd w:id="704"/>
      <w:bookmarkEnd w:id="705"/>
      <w:bookmarkEnd w:id="70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rPr>
              <w:t>[2022]2508</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余建耀、李鸿霞</w:t>
            </w:r>
          </w:p>
        </w:tc>
      </w:tr>
    </w:tbl>
    <w:p>
      <w:pPr>
        <w:pStyle w:val="Style21"/>
        <w:keepNext w:val="0"/>
        <w:keepLines w:val="0"/>
        <w:widowControl w:val="0"/>
        <w:shd w:val="clear" w:color="auto" w:fill="auto"/>
        <w:bidi w:val="0"/>
        <w:spacing w:before="0" w:after="0" w:line="240" w:lineRule="auto"/>
        <w:ind w:left="4267" w:right="0" w:firstLine="0"/>
        <w:jc w:val="left"/>
      </w:pPr>
      <w:r>
        <w:rPr>
          <w:b w:val="0"/>
          <w:bCs w:val="0"/>
          <w:color w:val="000000"/>
          <w:spacing w:val="0"/>
          <w:w w:val="100"/>
          <w:position w:val="0"/>
        </w:rPr>
        <w:t>审计报告正文</w:t>
      </w:r>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创业慧康科技股份有限公司全体股东：</w:t>
      </w:r>
    </w:p>
    <w:p>
      <w:pPr>
        <w:pStyle w:val="Style15"/>
        <w:keepNext w:val="0"/>
        <w:keepLines w:val="0"/>
        <w:widowControl w:val="0"/>
        <w:shd w:val="clear" w:color="auto" w:fill="auto"/>
        <w:tabs>
          <w:tab w:pos="955" w:val="left"/>
        </w:tabs>
        <w:bidi w:val="0"/>
        <w:spacing w:before="0" w:after="0" w:line="314" w:lineRule="exact"/>
        <w:ind w:left="0" w:right="0" w:firstLine="520"/>
        <w:jc w:val="both"/>
      </w:pPr>
      <w:bookmarkStart w:id="707" w:name="bookmark707"/>
      <w:r>
        <w:rPr>
          <w:b/>
          <w:bCs/>
          <w:color w:val="000000"/>
          <w:spacing w:val="0"/>
          <w:w w:val="100"/>
          <w:position w:val="0"/>
        </w:rPr>
        <w:t>一</w:t>
      </w:r>
      <w:bookmarkEnd w:id="707"/>
      <w:r>
        <w:rPr>
          <w:b/>
          <w:bCs/>
          <w:color w:val="000000"/>
          <w:spacing w:val="0"/>
          <w:w w:val="100"/>
          <w:position w:val="0"/>
        </w:rPr>
        <w:t>、</w:t>
        <w:tab/>
        <w:t>审计意见</w:t>
      </w:r>
    </w:p>
    <w:p>
      <w:pPr>
        <w:pStyle w:val="Style15"/>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我们审计了创业慧康科技股份有限公司（以下简称创业慧康公司）财务报表，包括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年度的合并及母公司利润表、合并及母公司现金流量表、合并及母公司所有者权益变动表，以及相关财务报 表附注。</w:t>
      </w:r>
    </w:p>
    <w:p>
      <w:pPr>
        <w:pStyle w:val="Style15"/>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我们认为，后附的财务报表在所有重大方面按照企业会计准则的规定编制，公允反映了创业慧康公司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5"/>
        <w:keepNext w:val="0"/>
        <w:keepLines w:val="0"/>
        <w:widowControl w:val="0"/>
        <w:shd w:val="clear" w:color="auto" w:fill="auto"/>
        <w:tabs>
          <w:tab w:pos="955" w:val="left"/>
        </w:tabs>
        <w:bidi w:val="0"/>
        <w:spacing w:before="0" w:after="0" w:line="314" w:lineRule="exact"/>
        <w:ind w:left="0" w:right="0" w:firstLine="520"/>
        <w:jc w:val="both"/>
      </w:pPr>
      <w:bookmarkStart w:id="708" w:name="bookmark708"/>
      <w:r>
        <w:rPr>
          <w:b/>
          <w:bCs/>
          <w:color w:val="000000"/>
          <w:spacing w:val="0"/>
          <w:w w:val="100"/>
          <w:position w:val="0"/>
        </w:rPr>
        <w:t>二</w:t>
      </w:r>
      <w:bookmarkEnd w:id="708"/>
      <w:r>
        <w:rPr>
          <w:b/>
          <w:bCs/>
          <w:color w:val="000000"/>
          <w:spacing w:val="0"/>
          <w:w w:val="100"/>
          <w:position w:val="0"/>
        </w:rPr>
        <w:t>、</w:t>
        <w:tab/>
        <w:t>形成审计意见的基础</w:t>
      </w:r>
    </w:p>
    <w:p>
      <w:pPr>
        <w:pStyle w:val="Style15"/>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一步阐述了我们在这些准则下的责任。按照中国注册会计师职业道德守则，我们独立于创业慧康公司，并履行了职业道德方 面的其他责任。我们相信，我们获取的审计证据是充分、适当的，为发表审计意见提供了基础。</w:t>
      </w:r>
    </w:p>
    <w:p>
      <w:pPr>
        <w:pStyle w:val="Style15"/>
        <w:keepNext w:val="0"/>
        <w:keepLines w:val="0"/>
        <w:widowControl w:val="0"/>
        <w:shd w:val="clear" w:color="auto" w:fill="auto"/>
        <w:tabs>
          <w:tab w:pos="960" w:val="left"/>
        </w:tabs>
        <w:bidi w:val="0"/>
        <w:spacing w:before="0" w:after="0" w:line="314" w:lineRule="exact"/>
        <w:ind w:left="0" w:right="0" w:firstLine="520"/>
        <w:jc w:val="both"/>
      </w:pPr>
      <w:bookmarkStart w:id="709" w:name="bookmark709"/>
      <w:r>
        <w:rPr>
          <w:b/>
          <w:bCs/>
          <w:color w:val="000000"/>
          <w:spacing w:val="0"/>
          <w:w w:val="100"/>
          <w:position w:val="0"/>
        </w:rPr>
        <w:t>三</w:t>
      </w:r>
      <w:bookmarkEnd w:id="709"/>
      <w:r>
        <w:rPr>
          <w:b/>
          <w:bCs/>
          <w:color w:val="000000"/>
          <w:spacing w:val="0"/>
          <w:w w:val="100"/>
          <w:position w:val="0"/>
        </w:rPr>
        <w:t>、</w:t>
        <w:tab/>
        <w:t>关键审计事项</w:t>
      </w:r>
    </w:p>
    <w:p>
      <w:pPr>
        <w:pStyle w:val="Style15"/>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15"/>
        <w:keepNext w:val="0"/>
        <w:keepLines w:val="0"/>
        <w:widowControl w:val="0"/>
        <w:shd w:val="clear" w:color="auto" w:fill="auto"/>
        <w:bidi w:val="0"/>
        <w:spacing w:before="0" w:after="80" w:line="314" w:lineRule="exact"/>
        <w:ind w:left="0" w:right="0" w:firstLine="520"/>
        <w:jc w:val="left"/>
      </w:pPr>
      <w:bookmarkStart w:id="710" w:name="bookmark710"/>
      <w:r>
        <w:rPr>
          <w:color w:val="000000"/>
          <w:spacing w:val="0"/>
          <w:w w:val="100"/>
          <w:position w:val="0"/>
        </w:rPr>
        <w:t>（</w:t>
      </w:r>
      <w:bookmarkEnd w:id="710"/>
      <w:r>
        <w:rPr>
          <w:color w:val="000000"/>
          <w:spacing w:val="0"/>
          <w:w w:val="100"/>
          <w:position w:val="0"/>
        </w:rPr>
        <w:t>一）收入确认</w:t>
      </w:r>
    </w:p>
    <w:p>
      <w:pPr>
        <w:pStyle w:val="Style15"/>
        <w:keepNext w:val="0"/>
        <w:keepLines w:val="0"/>
        <w:widowControl w:val="0"/>
        <w:numPr>
          <w:ilvl w:val="0"/>
          <w:numId w:val="23"/>
        </w:numPr>
        <w:shd w:val="clear" w:color="auto" w:fill="auto"/>
        <w:tabs>
          <w:tab w:pos="897" w:val="left"/>
        </w:tabs>
        <w:bidi w:val="0"/>
        <w:spacing w:before="0" w:after="0"/>
        <w:ind w:left="0" w:right="0" w:firstLine="520"/>
        <w:jc w:val="both"/>
      </w:pPr>
      <w:bookmarkStart w:id="711" w:name="bookmark711"/>
      <w:bookmarkEnd w:id="711"/>
      <w:r>
        <w:rPr>
          <w:color w:val="000000"/>
          <w:spacing w:val="0"/>
          <w:w w:val="100"/>
          <w:position w:val="0"/>
        </w:rPr>
        <w:t>事项描述</w:t>
      </w:r>
    </w:p>
    <w:p>
      <w:pPr>
        <w:pStyle w:val="Style15"/>
        <w:keepNext w:val="0"/>
        <w:keepLines w:val="0"/>
        <w:widowControl w:val="0"/>
        <w:shd w:val="clear" w:color="auto" w:fill="auto"/>
        <w:bidi w:val="0"/>
        <w:spacing w:before="0" w:after="0" w:line="314" w:lineRule="exact"/>
        <w:ind w:left="0" w:right="0" w:firstLine="520"/>
        <w:jc w:val="both"/>
      </w:pPr>
      <w:r>
        <w:rPr>
          <w:color w:val="000000"/>
          <w:spacing w:val="0"/>
          <w:w w:val="100"/>
          <w:position w:val="0"/>
        </w:rPr>
        <w:t>相关信息披露详见财务报表附注三（二十三）及五（二）</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5"/>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创业慧康公司的营业收入主要来自于软件销售、系统集成和技术服务等。</w:t>
      </w:r>
      <w:r>
        <w:rPr>
          <w:rFonts w:ascii="Times New Roman" w:eastAsia="Times New Roman" w:hAnsi="Times New Roman" w:cs="Times New Roman"/>
          <w:color w:val="000000"/>
          <w:spacing w:val="0"/>
          <w:w w:val="100"/>
          <w:position w:val="0"/>
        </w:rPr>
        <w:t>2021</w:t>
      </w:r>
      <w:r>
        <w:rPr>
          <w:color w:val="000000"/>
          <w:spacing w:val="0"/>
          <w:w w:val="100"/>
          <w:position w:val="0"/>
        </w:rPr>
        <w:t>年度，创业慧康公司财务报表所示营业 收入项目金额为人民币</w:t>
      </w:r>
      <w:r>
        <w:rPr>
          <w:rFonts w:ascii="Times New Roman" w:eastAsia="Times New Roman" w:hAnsi="Times New Roman" w:cs="Times New Roman"/>
          <w:color w:val="000000"/>
          <w:spacing w:val="0"/>
          <w:w w:val="100"/>
          <w:position w:val="0"/>
        </w:rPr>
        <w:t>189,897.70</w:t>
      </w:r>
      <w:r>
        <w:rPr>
          <w:color w:val="000000"/>
          <w:spacing w:val="0"/>
          <w:w w:val="100"/>
          <w:position w:val="0"/>
        </w:rPr>
        <w:t>万元。根据创业慧康公司与客户签订的销售合同，公司制定了收入确认的具体方法。</w:t>
      </w:r>
    </w:p>
    <w:p>
      <w:pPr>
        <w:pStyle w:val="Style15"/>
        <w:keepNext w:val="0"/>
        <w:keepLines w:val="0"/>
        <w:widowControl w:val="0"/>
        <w:shd w:val="clear" w:color="auto" w:fill="auto"/>
        <w:bidi w:val="0"/>
        <w:spacing w:before="0" w:after="80" w:line="314" w:lineRule="exact"/>
        <w:ind w:left="0" w:right="0" w:firstLine="520"/>
        <w:jc w:val="both"/>
      </w:pPr>
      <w:r>
        <w:rPr>
          <w:color w:val="000000"/>
          <w:spacing w:val="0"/>
          <w:w w:val="100"/>
          <w:position w:val="0"/>
        </w:rPr>
        <w:t>由于营业收入是创业慧康公司关键业绩指标之一，可能存在创业慧康公司管理层（以下简称管理层）通过不恰当的收 入确认以达到特定目标或预期的固有风险，因此，我们将收入确认确定为关键审计事项。</w:t>
      </w:r>
    </w:p>
    <w:p>
      <w:pPr>
        <w:pStyle w:val="Style15"/>
        <w:keepNext w:val="0"/>
        <w:keepLines w:val="0"/>
        <w:widowControl w:val="0"/>
        <w:numPr>
          <w:ilvl w:val="0"/>
          <w:numId w:val="23"/>
        </w:numPr>
        <w:shd w:val="clear" w:color="auto" w:fill="auto"/>
        <w:tabs>
          <w:tab w:pos="897" w:val="left"/>
        </w:tabs>
        <w:bidi w:val="0"/>
        <w:spacing w:before="0" w:after="0"/>
        <w:ind w:left="0" w:right="0" w:firstLine="520"/>
        <w:jc w:val="left"/>
      </w:pPr>
      <w:bookmarkStart w:id="712" w:name="bookmark712"/>
      <w:bookmarkEnd w:id="712"/>
      <w:r>
        <w:rPr>
          <w:color w:val="000000"/>
          <w:spacing w:val="0"/>
          <w:w w:val="100"/>
          <w:position w:val="0"/>
        </w:rPr>
        <w:t>审计应对</w:t>
      </w:r>
    </w:p>
    <w:p>
      <w:pPr>
        <w:pStyle w:val="Style15"/>
        <w:keepNext w:val="0"/>
        <w:keepLines w:val="0"/>
        <w:widowControl w:val="0"/>
        <w:shd w:val="clear" w:color="auto" w:fill="auto"/>
        <w:bidi w:val="0"/>
        <w:spacing w:before="0" w:after="0" w:line="314" w:lineRule="exact"/>
        <w:ind w:left="0" w:right="0" w:firstLine="520"/>
        <w:jc w:val="left"/>
      </w:pPr>
      <w:r>
        <w:rPr>
          <w:color w:val="000000"/>
          <w:spacing w:val="0"/>
          <w:w w:val="100"/>
          <w:position w:val="0"/>
        </w:rPr>
        <w:t>针对收入确认，我们实施的审计程序主要包括：</w:t>
      </w:r>
    </w:p>
    <w:p>
      <w:pPr>
        <w:pStyle w:val="Style15"/>
        <w:keepNext w:val="0"/>
        <w:keepLines w:val="0"/>
        <w:widowControl w:val="0"/>
        <w:shd w:val="clear" w:color="auto" w:fill="auto"/>
        <w:bidi w:val="0"/>
        <w:spacing w:before="0" w:after="0" w:line="314" w:lineRule="exact"/>
        <w:ind w:left="0" w:right="0" w:firstLine="52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1</w:t>
      </w:r>
      <w:r>
        <w:rPr>
          <w:color w:val="000000"/>
          <w:spacing w:val="0"/>
          <w:w w:val="100"/>
          <w:position w:val="0"/>
        </w:rPr>
        <w:t>） 了解与收入确认相关的关键内部控制，评价这些控制的设计，确定其是否得到执行，并测试相关内部控制的运 行有效性；</w:t>
      </w:r>
    </w:p>
    <w:p>
      <w:pPr>
        <w:pStyle w:val="Style15"/>
        <w:keepNext w:val="0"/>
        <w:keepLines w:val="0"/>
        <w:widowControl w:val="0"/>
        <w:shd w:val="clear" w:color="auto" w:fill="auto"/>
        <w:tabs>
          <w:tab w:pos="960" w:val="left"/>
        </w:tabs>
        <w:bidi w:val="0"/>
        <w:spacing w:before="0" w:after="0" w:line="314" w:lineRule="exact"/>
        <w:ind w:left="0" w:right="0" w:firstLine="520"/>
        <w:jc w:val="left"/>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2</w:t>
      </w:r>
      <w:r>
        <w:rPr>
          <w:color w:val="000000"/>
          <w:spacing w:val="0"/>
          <w:w w:val="100"/>
          <w:position w:val="0"/>
        </w:rPr>
        <w:t>）</w:t>
        <w:tab/>
        <w:t>检查主要的销售合同，了解主要合同条款或条件，评价收入确认方法是否适当；</w:t>
      </w:r>
    </w:p>
    <w:p>
      <w:pPr>
        <w:pStyle w:val="Style15"/>
        <w:keepNext w:val="0"/>
        <w:keepLines w:val="0"/>
        <w:widowControl w:val="0"/>
        <w:shd w:val="clear" w:color="auto" w:fill="auto"/>
        <w:tabs>
          <w:tab w:pos="960" w:val="left"/>
        </w:tabs>
        <w:bidi w:val="0"/>
        <w:spacing w:before="0" w:after="0" w:line="314" w:lineRule="exact"/>
        <w:ind w:left="0" w:right="0" w:firstLine="520"/>
        <w:jc w:val="left"/>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3</w:t>
      </w:r>
      <w:r>
        <w:rPr>
          <w:color w:val="000000"/>
          <w:spacing w:val="0"/>
          <w:w w:val="100"/>
          <w:position w:val="0"/>
        </w:rPr>
        <w:t>）</w:t>
        <w:tab/>
        <w:t>对营业收入及毛利率按项目实施实质性分析程序，识别是否存在重大或异常波动，并查明波动原因；</w:t>
      </w:r>
    </w:p>
    <w:p>
      <w:pPr>
        <w:pStyle w:val="Style15"/>
        <w:keepNext w:val="0"/>
        <w:keepLines w:val="0"/>
        <w:widowControl w:val="0"/>
        <w:shd w:val="clear" w:color="auto" w:fill="auto"/>
        <w:tabs>
          <w:tab w:pos="960" w:val="left"/>
        </w:tabs>
        <w:bidi w:val="0"/>
        <w:spacing w:before="0" w:after="0" w:line="314" w:lineRule="exact"/>
        <w:ind w:left="0" w:right="0" w:firstLine="52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4</w:t>
      </w:r>
      <w:r>
        <w:rPr>
          <w:color w:val="000000"/>
          <w:spacing w:val="0"/>
          <w:w w:val="100"/>
          <w:position w:val="0"/>
        </w:rPr>
        <w:t>）</w:t>
        <w:tab/>
        <w:t>以抽样方式检查与收入确认相关的支持性文件；同时，以抽样方式向主要客户函证项目收入及项目进度；</w:t>
      </w:r>
    </w:p>
    <w:p>
      <w:pPr>
        <w:pStyle w:val="Style15"/>
        <w:keepNext w:val="0"/>
        <w:keepLines w:val="0"/>
        <w:widowControl w:val="0"/>
        <w:shd w:val="clear" w:color="auto" w:fill="auto"/>
        <w:tabs>
          <w:tab w:pos="1016" w:val="left"/>
        </w:tabs>
        <w:bidi w:val="0"/>
        <w:spacing w:before="0" w:after="40" w:line="314" w:lineRule="exact"/>
        <w:ind w:left="0" w:right="0" w:firstLine="52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5</w:t>
      </w:r>
      <w:r>
        <w:rPr>
          <w:color w:val="000000"/>
          <w:spacing w:val="0"/>
          <w:w w:val="100"/>
          <w:position w:val="0"/>
        </w:rPr>
        <w:t>）</w:t>
        <w:tab/>
        <w:t>以抽样方式对资产负债表日前后确认的营业收入核对至收入确认相关的支持性文件，评价营业收入是否在恰当 期间确认；</w:t>
      </w:r>
    </w:p>
    <w:p>
      <w:pPr>
        <w:pStyle w:val="Style15"/>
        <w:keepNext w:val="0"/>
        <w:keepLines w:val="0"/>
        <w:widowControl w:val="0"/>
        <w:shd w:val="clear" w:color="auto" w:fill="auto"/>
        <w:bidi w:val="0"/>
        <w:spacing w:before="0" w:after="0" w:line="314" w:lineRule="exact"/>
        <w:ind w:left="0" w:right="0" w:firstLine="50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6</w:t>
      </w:r>
      <w:r>
        <w:rPr>
          <w:color w:val="000000"/>
          <w:spacing w:val="0"/>
          <w:w w:val="100"/>
          <w:position w:val="0"/>
        </w:rPr>
        <w:t>）检查与营业收入相关的信息是否已在财务报表中作出恰当列报。</w:t>
      </w:r>
    </w:p>
    <w:p>
      <w:pPr>
        <w:pStyle w:val="Style15"/>
        <w:keepNext w:val="0"/>
        <w:keepLines w:val="0"/>
        <w:widowControl w:val="0"/>
        <w:shd w:val="clear" w:color="auto" w:fill="auto"/>
        <w:bidi w:val="0"/>
        <w:spacing w:before="0" w:after="80" w:line="314" w:lineRule="exact"/>
        <w:ind w:left="0" w:right="0" w:firstLine="500"/>
        <w:jc w:val="left"/>
      </w:pPr>
      <w:bookmarkStart w:id="719" w:name="bookmark719"/>
      <w:r>
        <w:rPr>
          <w:color w:val="000000"/>
          <w:spacing w:val="0"/>
          <w:w w:val="100"/>
          <w:position w:val="0"/>
        </w:rPr>
        <w:t>（</w:t>
      </w:r>
      <w:bookmarkEnd w:id="719"/>
      <w:r>
        <w:rPr>
          <w:color w:val="000000"/>
          <w:spacing w:val="0"/>
          <w:w w:val="100"/>
          <w:position w:val="0"/>
        </w:rPr>
        <w:t>二）商誉减值</w:t>
      </w:r>
    </w:p>
    <w:p>
      <w:pPr>
        <w:pStyle w:val="Style15"/>
        <w:keepNext w:val="0"/>
        <w:keepLines w:val="0"/>
        <w:widowControl w:val="0"/>
        <w:numPr>
          <w:ilvl w:val="0"/>
          <w:numId w:val="25"/>
        </w:numPr>
        <w:shd w:val="clear" w:color="auto" w:fill="auto"/>
        <w:tabs>
          <w:tab w:pos="801" w:val="left"/>
        </w:tabs>
        <w:bidi w:val="0"/>
        <w:spacing w:before="0" w:after="0"/>
        <w:ind w:left="0" w:right="0" w:firstLine="500"/>
        <w:jc w:val="both"/>
      </w:pPr>
      <w:bookmarkStart w:id="720" w:name="bookmark720"/>
      <w:bookmarkEnd w:id="720"/>
      <w:r>
        <w:rPr>
          <w:color w:val="000000"/>
          <w:spacing w:val="0"/>
          <w:w w:val="100"/>
          <w:position w:val="0"/>
        </w:rPr>
        <w:t>事项描述</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相关信息披露详见财务报表附注三（十八）及五（一）</w:t>
      </w:r>
      <w:r>
        <w:rPr>
          <w:rFonts w:ascii="Times New Roman" w:eastAsia="Times New Roman" w:hAnsi="Times New Roman" w:cs="Times New Roman"/>
          <w:color w:val="000000"/>
          <w:spacing w:val="0"/>
          <w:w w:val="100"/>
          <w:position w:val="0"/>
        </w:rPr>
        <w:t>21</w:t>
      </w:r>
      <w:r>
        <w:rPr>
          <w:color w:val="000000"/>
          <w:spacing w:val="0"/>
          <w:w w:val="100"/>
          <w:position w:val="0"/>
        </w:rPr>
        <w:t>。</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日，创业慧康公司财务报表所示商誉项目账面原值为人民币</w:t>
      </w:r>
      <w:r>
        <w:rPr>
          <w:rFonts w:ascii="Times New Roman" w:eastAsia="Times New Roman" w:hAnsi="Times New Roman" w:cs="Times New Roman"/>
          <w:color w:val="000000"/>
          <w:spacing w:val="0"/>
          <w:w w:val="100"/>
          <w:position w:val="0"/>
        </w:rPr>
        <w:t>109,327.06</w:t>
      </w:r>
      <w:r>
        <w:rPr>
          <w:color w:val="000000"/>
          <w:spacing w:val="0"/>
          <w:w w:val="100"/>
          <w:position w:val="0"/>
        </w:rPr>
        <w:t xml:space="preserve">万元，减值准备为人民币 </w:t>
      </w:r>
      <w:r>
        <w:rPr>
          <w:rFonts w:ascii="Times New Roman" w:eastAsia="Times New Roman" w:hAnsi="Times New Roman" w:cs="Times New Roman"/>
          <w:color w:val="000000"/>
          <w:spacing w:val="0"/>
          <w:w w:val="100"/>
          <w:position w:val="0"/>
        </w:rPr>
        <w:t>2,397.41</w:t>
      </w:r>
      <w:r>
        <w:rPr>
          <w:color w:val="000000"/>
          <w:spacing w:val="0"/>
          <w:w w:val="100"/>
          <w:position w:val="0"/>
        </w:rPr>
        <w:t>万元，账面价值为人民币</w:t>
      </w:r>
      <w:r>
        <w:rPr>
          <w:rFonts w:ascii="Times New Roman" w:eastAsia="Times New Roman" w:hAnsi="Times New Roman" w:cs="Times New Roman"/>
          <w:color w:val="000000"/>
          <w:spacing w:val="0"/>
          <w:w w:val="100"/>
          <w:position w:val="0"/>
        </w:rPr>
        <w:t>106,929.65</w:t>
      </w:r>
      <w:r>
        <w:rPr>
          <w:color w:val="000000"/>
          <w:spacing w:val="0"/>
          <w:w w:val="100"/>
          <w:position w:val="0"/>
        </w:rPr>
        <w:t>万元。</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当与商誉相关的资产组或者资产组组合存在减值迹象时，以及每年年度终了</w:t>
      </w:r>
      <w:r>
        <w:rPr>
          <w:rFonts w:ascii="Times New Roman" w:eastAsia="Times New Roman" w:hAnsi="Times New Roman" w:cs="Times New Roman"/>
          <w:color w:val="000000"/>
          <w:spacing w:val="0"/>
          <w:w w:val="100"/>
          <w:position w:val="0"/>
        </w:rPr>
        <w:t>,</w:t>
      </w:r>
      <w:r>
        <w:rPr>
          <w:color w:val="000000"/>
          <w:spacing w:val="0"/>
          <w:w w:val="100"/>
          <w:position w:val="0"/>
        </w:rPr>
        <w:t>管理层对企业合并所形成的商誉进行减值 测试。管理层将商誉结合与其相关的资产组或者资产组组合进行减值测试，相关资产组或资产组组合的可收回金额按照预计 未来现金流量现值计算确定。减值测试中采用的关键假设包括预测期收入增长率、永续预测期增长率、毛利率、折现率等。</w:t>
      </w:r>
    </w:p>
    <w:p>
      <w:pPr>
        <w:pStyle w:val="Style15"/>
        <w:keepNext w:val="0"/>
        <w:keepLines w:val="0"/>
        <w:widowControl w:val="0"/>
        <w:shd w:val="clear" w:color="auto" w:fill="auto"/>
        <w:bidi w:val="0"/>
        <w:spacing w:before="0" w:after="80" w:line="314" w:lineRule="exact"/>
        <w:ind w:left="0" w:right="0" w:firstLine="500"/>
        <w:jc w:val="both"/>
      </w:pPr>
      <w:r>
        <w:rPr>
          <w:color w:val="000000"/>
          <w:spacing w:val="0"/>
          <w:w w:val="100"/>
          <w:position w:val="0"/>
        </w:rPr>
        <w:t>由于商誉金额重大，且商誉减值测试涉及重大管理层判断，因此，我们将商誉减值确定为关键审计事项。</w:t>
      </w:r>
    </w:p>
    <w:p>
      <w:pPr>
        <w:pStyle w:val="Style15"/>
        <w:keepNext w:val="0"/>
        <w:keepLines w:val="0"/>
        <w:widowControl w:val="0"/>
        <w:numPr>
          <w:ilvl w:val="0"/>
          <w:numId w:val="25"/>
        </w:numPr>
        <w:shd w:val="clear" w:color="auto" w:fill="auto"/>
        <w:tabs>
          <w:tab w:pos="934" w:val="left"/>
        </w:tabs>
        <w:bidi w:val="0"/>
        <w:spacing w:before="0" w:after="0"/>
        <w:ind w:left="0" w:right="0" w:firstLine="500"/>
        <w:jc w:val="both"/>
      </w:pPr>
      <w:bookmarkStart w:id="721" w:name="bookmark721"/>
      <w:bookmarkEnd w:id="721"/>
      <w:r>
        <w:rPr>
          <w:color w:val="000000"/>
          <w:spacing w:val="0"/>
          <w:w w:val="100"/>
          <w:position w:val="0"/>
        </w:rPr>
        <w:t>审计应对</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针对商誉减值，我们实施的审计程序主要包括：</w:t>
      </w:r>
    </w:p>
    <w:p>
      <w:pPr>
        <w:pStyle w:val="Style15"/>
        <w:keepNext w:val="0"/>
        <w:keepLines w:val="0"/>
        <w:widowControl w:val="0"/>
        <w:shd w:val="clear" w:color="auto" w:fill="auto"/>
        <w:tabs>
          <w:tab w:pos="1016" w:val="left"/>
        </w:tabs>
        <w:bidi w:val="0"/>
        <w:spacing w:before="0" w:after="0" w:line="314" w:lineRule="exact"/>
        <w:ind w:left="0" w:right="0" w:firstLine="50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1</w:t>
      </w:r>
      <w:r>
        <w:rPr>
          <w:color w:val="000000"/>
          <w:spacing w:val="0"/>
          <w:w w:val="100"/>
          <w:position w:val="0"/>
        </w:rPr>
        <w:t>）</w:t>
        <w:tab/>
        <w:t>了解与商誉减值相关的关键内部控制，评价这些控制的设计，确定其是否得到执行，并测试相关内部控制的运 行有效性；</w:t>
      </w:r>
    </w:p>
    <w:p>
      <w:pPr>
        <w:pStyle w:val="Style15"/>
        <w:keepNext w:val="0"/>
        <w:keepLines w:val="0"/>
        <w:widowControl w:val="0"/>
        <w:shd w:val="clear" w:color="auto" w:fill="auto"/>
        <w:tabs>
          <w:tab w:pos="940" w:val="left"/>
        </w:tabs>
        <w:bidi w:val="0"/>
        <w:spacing w:before="0" w:after="0" w:line="314" w:lineRule="exact"/>
        <w:ind w:left="0" w:right="0" w:firstLine="50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2</w:t>
      </w:r>
      <w:r>
        <w:rPr>
          <w:color w:val="000000"/>
          <w:spacing w:val="0"/>
          <w:w w:val="100"/>
          <w:position w:val="0"/>
        </w:rPr>
        <w:t>）</w:t>
        <w:tab/>
        <w:t>复核管理层以前年度对未来现金流量现值的预测和实际经营结果，评价管理层过往预测的准确性；</w:t>
      </w:r>
    </w:p>
    <w:p>
      <w:pPr>
        <w:pStyle w:val="Style15"/>
        <w:keepNext w:val="0"/>
        <w:keepLines w:val="0"/>
        <w:widowControl w:val="0"/>
        <w:shd w:val="clear" w:color="auto" w:fill="auto"/>
        <w:tabs>
          <w:tab w:pos="940" w:val="left"/>
        </w:tabs>
        <w:bidi w:val="0"/>
        <w:spacing w:before="0" w:after="0" w:line="314" w:lineRule="exact"/>
        <w:ind w:left="0" w:right="0" w:firstLine="50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3</w:t>
      </w:r>
      <w:r>
        <w:rPr>
          <w:color w:val="000000"/>
          <w:spacing w:val="0"/>
          <w:w w:val="100"/>
          <w:position w:val="0"/>
        </w:rPr>
        <w:t>）</w:t>
        <w:tab/>
        <w:t>了解并评价管理层聘用的外部估值专家的胜任能力、专业素质和客观性；</w:t>
      </w:r>
    </w:p>
    <w:p>
      <w:pPr>
        <w:pStyle w:val="Style15"/>
        <w:keepNext w:val="0"/>
        <w:keepLines w:val="0"/>
        <w:widowControl w:val="0"/>
        <w:shd w:val="clear" w:color="auto" w:fill="auto"/>
        <w:tabs>
          <w:tab w:pos="940" w:val="left"/>
        </w:tabs>
        <w:bidi w:val="0"/>
        <w:spacing w:before="0" w:after="0" w:line="314" w:lineRule="exact"/>
        <w:ind w:left="0" w:right="0" w:firstLine="50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4</w:t>
      </w:r>
      <w:r>
        <w:rPr>
          <w:color w:val="000000"/>
          <w:spacing w:val="0"/>
          <w:w w:val="100"/>
          <w:position w:val="0"/>
        </w:rPr>
        <w:t>）</w:t>
        <w:tab/>
        <w:t>评价管理层在减值测试中使用方法的合理性和一致性；</w:t>
      </w:r>
    </w:p>
    <w:p>
      <w:pPr>
        <w:pStyle w:val="Style15"/>
        <w:keepNext w:val="0"/>
        <w:keepLines w:val="0"/>
        <w:widowControl w:val="0"/>
        <w:shd w:val="clear" w:color="auto" w:fill="auto"/>
        <w:bidi w:val="0"/>
        <w:spacing w:before="0" w:after="0" w:line="314" w:lineRule="exact"/>
        <w:ind w:left="0" w:right="0" w:firstLine="50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5</w:t>
      </w:r>
      <w:r>
        <w:rPr>
          <w:color w:val="000000"/>
          <w:spacing w:val="0"/>
          <w:w w:val="100"/>
          <w:position w:val="0"/>
        </w:rPr>
        <w:t>） 评价管理层在减值测试中采用的关键假设的合理性，复核相关假设是否与总体经济环境、行业状况、经营情况、 历史经验、管理层使用的与财务报表相关的其他假设等相符；</w:t>
      </w:r>
    </w:p>
    <w:p>
      <w:pPr>
        <w:pStyle w:val="Style15"/>
        <w:keepNext w:val="0"/>
        <w:keepLines w:val="0"/>
        <w:widowControl w:val="0"/>
        <w:shd w:val="clear" w:color="auto" w:fill="auto"/>
        <w:tabs>
          <w:tab w:pos="1011" w:val="left"/>
        </w:tabs>
        <w:bidi w:val="0"/>
        <w:spacing w:before="0" w:after="0" w:line="314" w:lineRule="exact"/>
        <w:ind w:left="0" w:right="0" w:firstLine="500"/>
        <w:jc w:val="both"/>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6</w:t>
      </w:r>
      <w:r>
        <w:rPr>
          <w:color w:val="000000"/>
          <w:spacing w:val="0"/>
          <w:w w:val="100"/>
          <w:position w:val="0"/>
        </w:rPr>
        <w:t>）</w:t>
        <w:tab/>
        <w:t>复核管理层对关键假设执行的敏感性分析，评价关键假设的变化对减值测试结果的影响，识别在选择关键假设 时可能存在的管理层偏向的迹象；</w:t>
      </w:r>
    </w:p>
    <w:p>
      <w:pPr>
        <w:pStyle w:val="Style15"/>
        <w:keepNext w:val="0"/>
        <w:keepLines w:val="0"/>
        <w:widowControl w:val="0"/>
        <w:shd w:val="clear" w:color="auto" w:fill="auto"/>
        <w:tabs>
          <w:tab w:pos="940" w:val="left"/>
        </w:tabs>
        <w:bidi w:val="0"/>
        <w:spacing w:before="0" w:after="0" w:line="314" w:lineRule="exact"/>
        <w:ind w:left="0" w:right="0" w:firstLine="50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7</w:t>
      </w:r>
      <w:r>
        <w:rPr>
          <w:color w:val="000000"/>
          <w:spacing w:val="0"/>
          <w:w w:val="100"/>
          <w:position w:val="0"/>
        </w:rPr>
        <w:t>）</w:t>
        <w:tab/>
        <w:t>测试管理层在减值测试中使用数据的准确性、完整性和相关性，并复核减值测试中有关信息的内在一致性；</w:t>
      </w:r>
    </w:p>
    <w:p>
      <w:pPr>
        <w:pStyle w:val="Style15"/>
        <w:keepNext w:val="0"/>
        <w:keepLines w:val="0"/>
        <w:widowControl w:val="0"/>
        <w:shd w:val="clear" w:color="auto" w:fill="auto"/>
        <w:tabs>
          <w:tab w:pos="940" w:val="left"/>
        </w:tabs>
        <w:bidi w:val="0"/>
        <w:spacing w:before="0" w:after="0" w:line="314" w:lineRule="exact"/>
        <w:ind w:left="0" w:right="0" w:firstLine="50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8</w:t>
      </w:r>
      <w:r>
        <w:rPr>
          <w:color w:val="000000"/>
          <w:spacing w:val="0"/>
          <w:w w:val="100"/>
          <w:position w:val="0"/>
        </w:rPr>
        <w:t>）</w:t>
        <w:tab/>
        <w:t>测试管理层对预计未来现金流量现值的计算是否准确；</w:t>
      </w:r>
    </w:p>
    <w:p>
      <w:pPr>
        <w:pStyle w:val="Style15"/>
        <w:keepNext w:val="0"/>
        <w:keepLines w:val="0"/>
        <w:widowControl w:val="0"/>
        <w:shd w:val="clear" w:color="auto" w:fill="auto"/>
        <w:tabs>
          <w:tab w:pos="940" w:val="left"/>
        </w:tabs>
        <w:bidi w:val="0"/>
        <w:spacing w:before="0" w:after="0" w:line="314" w:lineRule="exact"/>
        <w:ind w:left="0" w:right="0" w:firstLine="50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9</w:t>
      </w:r>
      <w:r>
        <w:rPr>
          <w:color w:val="000000"/>
          <w:spacing w:val="0"/>
          <w:w w:val="100"/>
          <w:position w:val="0"/>
        </w:rPr>
        <w:t>）</w:t>
        <w:tab/>
        <w:t>检查与商誉减值相关的信息是否已在财务报表中作出恰当列报。</w:t>
      </w:r>
    </w:p>
    <w:p>
      <w:pPr>
        <w:pStyle w:val="Style15"/>
        <w:keepNext w:val="0"/>
        <w:keepLines w:val="0"/>
        <w:widowControl w:val="0"/>
        <w:shd w:val="clear" w:color="auto" w:fill="auto"/>
        <w:tabs>
          <w:tab w:pos="934" w:val="left"/>
        </w:tabs>
        <w:bidi w:val="0"/>
        <w:spacing w:before="0" w:after="0" w:line="314" w:lineRule="exact"/>
        <w:ind w:left="0" w:right="0" w:firstLine="500"/>
        <w:jc w:val="both"/>
      </w:pPr>
      <w:bookmarkStart w:id="731" w:name="bookmark731"/>
      <w:r>
        <w:rPr>
          <w:b/>
          <w:bCs/>
          <w:color w:val="000000"/>
          <w:spacing w:val="0"/>
          <w:w w:val="100"/>
          <w:position w:val="0"/>
        </w:rPr>
        <w:t>四</w:t>
      </w:r>
      <w:bookmarkEnd w:id="731"/>
      <w:r>
        <w:rPr>
          <w:b/>
          <w:bCs/>
          <w:color w:val="000000"/>
          <w:spacing w:val="0"/>
          <w:w w:val="100"/>
          <w:position w:val="0"/>
        </w:rPr>
        <w:t>、</w:t>
        <w:tab/>
        <w:t>其他信息</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管理层对其他信息负责。其他信息包括年度报告中涵盖的信息，但不包括财务报表和我们的审计报告。</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15"/>
        <w:keepNext w:val="0"/>
        <w:keepLines w:val="0"/>
        <w:widowControl w:val="0"/>
        <w:shd w:val="clear" w:color="auto" w:fill="auto"/>
        <w:tabs>
          <w:tab w:pos="935" w:val="left"/>
        </w:tabs>
        <w:bidi w:val="0"/>
        <w:spacing w:before="0" w:after="0" w:line="314" w:lineRule="exact"/>
        <w:ind w:left="0" w:right="0" w:firstLine="500"/>
        <w:jc w:val="both"/>
      </w:pPr>
      <w:bookmarkStart w:id="732" w:name="bookmark732"/>
      <w:r>
        <w:rPr>
          <w:b/>
          <w:bCs/>
          <w:color w:val="000000"/>
          <w:spacing w:val="0"/>
          <w:w w:val="100"/>
          <w:position w:val="0"/>
        </w:rPr>
        <w:t>五</w:t>
      </w:r>
      <w:bookmarkEnd w:id="732"/>
      <w:r>
        <w:rPr>
          <w:b/>
          <w:bCs/>
          <w:color w:val="000000"/>
          <w:spacing w:val="0"/>
          <w:w w:val="100"/>
          <w:position w:val="0"/>
        </w:rPr>
        <w:t>、</w:t>
        <w:tab/>
        <w:t>管理层和治理层对财务报表的责任</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在编制财务报表时，管理层负责评估创业慧康公司的持续经营能力，披露与持续经营相关的事项（如适用），并运用 持续经营假设，除非计划进行清算、终止运营或别无其他现实的选择。</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创业慧康公司治理层（以下简称治理层）负责监督创业慧康公司的财务报告过程。</w:t>
      </w:r>
    </w:p>
    <w:p>
      <w:pPr>
        <w:pStyle w:val="Style15"/>
        <w:keepNext w:val="0"/>
        <w:keepLines w:val="0"/>
        <w:widowControl w:val="0"/>
        <w:shd w:val="clear" w:color="auto" w:fill="auto"/>
        <w:tabs>
          <w:tab w:pos="935" w:val="left"/>
        </w:tabs>
        <w:bidi w:val="0"/>
        <w:spacing w:before="0" w:after="0" w:line="314" w:lineRule="exact"/>
        <w:ind w:left="0" w:right="0" w:firstLine="500"/>
        <w:jc w:val="both"/>
      </w:pPr>
      <w:bookmarkStart w:id="733" w:name="bookmark733"/>
      <w:r>
        <w:rPr>
          <w:b/>
          <w:bCs/>
          <w:color w:val="000000"/>
          <w:spacing w:val="0"/>
          <w:w w:val="100"/>
          <w:position w:val="0"/>
        </w:rPr>
        <w:t>六</w:t>
      </w:r>
      <w:bookmarkEnd w:id="733"/>
      <w:r>
        <w:rPr>
          <w:b/>
          <w:bCs/>
          <w:color w:val="000000"/>
          <w:spacing w:val="0"/>
          <w:w w:val="100"/>
          <w:position w:val="0"/>
        </w:rPr>
        <w:t>、</w:t>
        <w:tab/>
        <w:t>注册会计师对财务报表审计的责任</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15"/>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在按照审计准则执行审计工作的过程中，我们运用职业判断，并保持职业怀疑。同时，我们也执行以下工作：</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（一）识别和评估由于舞弊或错误导致的财务报表重大错报风险，设计和实施审计程序以应对这些风险，并获取充分、 </w:t>
      </w:r>
      <w:r>
        <w:rPr>
          <w:color w:val="000000"/>
          <w:spacing w:val="0"/>
          <w:w w:val="100"/>
          <w:position w:val="0"/>
        </w:rPr>
        <w:t>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5"/>
        <w:keepNext w:val="0"/>
        <w:keepLines w:val="0"/>
        <w:widowControl w:val="0"/>
        <w:shd w:val="clear" w:color="auto" w:fill="auto"/>
        <w:tabs>
          <w:tab w:pos="932" w:val="left"/>
        </w:tabs>
        <w:bidi w:val="0"/>
        <w:spacing w:before="0" w:after="0" w:line="314" w:lineRule="exact"/>
        <w:ind w:left="0" w:right="0" w:firstLine="360"/>
        <w:jc w:val="both"/>
      </w:pPr>
      <w:bookmarkStart w:id="734" w:name="bookmark734"/>
      <w:r>
        <w:rPr>
          <w:color w:val="000000"/>
          <w:spacing w:val="0"/>
          <w:w w:val="100"/>
          <w:position w:val="0"/>
        </w:rPr>
        <w:t>（</w:t>
      </w:r>
      <w:bookmarkEnd w:id="734"/>
      <w:r>
        <w:rPr>
          <w:color w:val="000000"/>
          <w:spacing w:val="0"/>
          <w:w w:val="100"/>
          <w:position w:val="0"/>
        </w:rPr>
        <w:t>二）</w:t>
        <w:tab/>
        <w:t>了解与审计相关的内部控制，以设计恰当的审计程序，但目的并非对内部控制的有效性发表意见。</w:t>
      </w:r>
    </w:p>
    <w:p>
      <w:pPr>
        <w:pStyle w:val="Style15"/>
        <w:keepNext w:val="0"/>
        <w:keepLines w:val="0"/>
        <w:widowControl w:val="0"/>
        <w:shd w:val="clear" w:color="auto" w:fill="auto"/>
        <w:tabs>
          <w:tab w:pos="932" w:val="left"/>
        </w:tabs>
        <w:bidi w:val="0"/>
        <w:spacing w:before="0" w:after="0" w:line="314" w:lineRule="exact"/>
        <w:ind w:left="0" w:right="0" w:firstLine="360"/>
        <w:jc w:val="both"/>
      </w:pPr>
      <w:bookmarkStart w:id="735" w:name="bookmark735"/>
      <w:r>
        <w:rPr>
          <w:color w:val="000000"/>
          <w:spacing w:val="0"/>
          <w:w w:val="100"/>
          <w:position w:val="0"/>
        </w:rPr>
        <w:t>（</w:t>
      </w:r>
      <w:bookmarkEnd w:id="735"/>
      <w:r>
        <w:rPr>
          <w:color w:val="000000"/>
          <w:spacing w:val="0"/>
          <w:w w:val="100"/>
          <w:position w:val="0"/>
        </w:rPr>
        <w:t>三）</w:t>
        <w:tab/>
        <w:t>评价管理层选用会计政策的恰当性和作出会计估计及相关披露的合理性。</w:t>
      </w:r>
    </w:p>
    <w:p>
      <w:pPr>
        <w:pStyle w:val="Style15"/>
        <w:keepNext w:val="0"/>
        <w:keepLines w:val="0"/>
        <w:widowControl w:val="0"/>
        <w:shd w:val="clear" w:color="auto" w:fill="auto"/>
        <w:tabs>
          <w:tab w:pos="987" w:val="left"/>
        </w:tabs>
        <w:bidi w:val="0"/>
        <w:spacing w:before="0" w:after="0" w:line="314" w:lineRule="exact"/>
        <w:ind w:left="0" w:right="0" w:firstLine="360"/>
        <w:jc w:val="both"/>
      </w:pPr>
      <w:bookmarkStart w:id="736" w:name="bookmark736"/>
      <w:r>
        <w:rPr>
          <w:color w:val="000000"/>
          <w:spacing w:val="0"/>
          <w:w w:val="100"/>
          <w:position w:val="0"/>
        </w:rPr>
        <w:t>（</w:t>
      </w:r>
      <w:bookmarkEnd w:id="736"/>
      <w:r>
        <w:rPr>
          <w:color w:val="000000"/>
          <w:spacing w:val="0"/>
          <w:w w:val="100"/>
          <w:position w:val="0"/>
        </w:rPr>
        <w:t>四）</w:t>
        <w:tab/>
        <w:t>对管理层使用持续经营假设的恰当性得出结论。同时，根据获取的审计证据，就可能导致对创业慧康公司持续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结论基于截至审计报告日可获得的信息。然而，未来的事项或情况可能导致创业慧康公司不能持续经营。</w:t>
      </w:r>
    </w:p>
    <w:p>
      <w:pPr>
        <w:pStyle w:val="Style15"/>
        <w:keepNext w:val="0"/>
        <w:keepLines w:val="0"/>
        <w:widowControl w:val="0"/>
        <w:shd w:val="clear" w:color="auto" w:fill="auto"/>
        <w:tabs>
          <w:tab w:pos="932" w:val="left"/>
        </w:tabs>
        <w:bidi w:val="0"/>
        <w:spacing w:before="0" w:after="0" w:line="314" w:lineRule="exact"/>
        <w:ind w:left="0" w:right="0" w:firstLine="360"/>
        <w:jc w:val="both"/>
      </w:pPr>
      <w:bookmarkStart w:id="737" w:name="bookmark737"/>
      <w:r>
        <w:rPr>
          <w:color w:val="000000"/>
          <w:spacing w:val="0"/>
          <w:w w:val="100"/>
          <w:position w:val="0"/>
        </w:rPr>
        <w:t>（</w:t>
      </w:r>
      <w:bookmarkEnd w:id="737"/>
      <w:r>
        <w:rPr>
          <w:color w:val="000000"/>
          <w:spacing w:val="0"/>
          <w:w w:val="100"/>
          <w:position w:val="0"/>
        </w:rPr>
        <w:t>五）</w:t>
        <w:tab/>
        <w:t>评价财务报表的总体列报、结构和内容，并评价财务报表是否公允反映相关交易和事项。</w:t>
      </w:r>
    </w:p>
    <w:p>
      <w:pPr>
        <w:pStyle w:val="Style15"/>
        <w:keepNext w:val="0"/>
        <w:keepLines w:val="0"/>
        <w:widowControl w:val="0"/>
        <w:shd w:val="clear" w:color="auto" w:fill="auto"/>
        <w:tabs>
          <w:tab w:pos="982" w:val="left"/>
        </w:tabs>
        <w:bidi w:val="0"/>
        <w:spacing w:before="0" w:after="0" w:line="314" w:lineRule="exact"/>
        <w:ind w:left="0" w:right="0" w:firstLine="360"/>
        <w:jc w:val="both"/>
      </w:pPr>
      <w:bookmarkStart w:id="738" w:name="bookmark738"/>
      <w:r>
        <w:rPr>
          <w:color w:val="000000"/>
          <w:spacing w:val="0"/>
          <w:w w:val="100"/>
          <w:position w:val="0"/>
        </w:rPr>
        <w:t>（</w:t>
      </w:r>
      <w:bookmarkEnd w:id="738"/>
      <w:r>
        <w:rPr>
          <w:color w:val="000000"/>
          <w:spacing w:val="0"/>
          <w:w w:val="100"/>
          <w:position w:val="0"/>
        </w:rPr>
        <w:t>六）</w:t>
        <w:tab/>
        <w:t>就创业慧康公司中实体或业务活动的财务信息获取充分、适当的审计证据，以对财务报表发表审计意见。我们 负责指导、监督和执行集团审计，并对审计意见承担全部责任。</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5"/>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9"/>
        <w:keepNext/>
        <w:keepLines/>
        <w:widowControl w:val="0"/>
        <w:shd w:val="clear" w:color="auto" w:fill="auto"/>
        <w:bidi w:val="0"/>
        <w:spacing w:before="0" w:after="240" w:line="240" w:lineRule="auto"/>
        <w:ind w:left="0" w:right="0" w:firstLine="0"/>
        <w:jc w:val="left"/>
      </w:pPr>
      <w:bookmarkStart w:id="739" w:name="bookmark739"/>
      <w:bookmarkStart w:id="740" w:name="bookmark740"/>
      <w:bookmarkStart w:id="741" w:name="bookmark741"/>
      <w:r>
        <w:rPr>
          <w:color w:val="000000"/>
          <w:spacing w:val="0"/>
          <w:w w:val="100"/>
          <w:position w:val="0"/>
          <w:sz w:val="24"/>
          <w:szCs w:val="24"/>
        </w:rPr>
        <w:t>二、财务报表</w:t>
      </w:r>
      <w:bookmarkEnd w:id="739"/>
      <w:bookmarkEnd w:id="740"/>
      <w:bookmarkEnd w:id="741"/>
    </w:p>
    <w:p>
      <w:pPr>
        <w:pStyle w:val="Style1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财务附注中报表的单位为：元</w:t>
      </w:r>
    </w:p>
    <w:p>
      <w:pPr>
        <w:pStyle w:val="Style24"/>
        <w:keepNext/>
        <w:keepLines/>
        <w:widowControl w:val="0"/>
        <w:shd w:val="clear" w:color="auto" w:fill="auto"/>
        <w:bidi w:val="0"/>
        <w:spacing w:before="0" w:after="24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1</w:t>
      </w:r>
      <w:bookmarkEnd w:id="744"/>
      <w:r>
        <w:rPr>
          <w:color w:val="000000"/>
          <w:spacing w:val="0"/>
          <w:w w:val="100"/>
          <w:position w:val="0"/>
        </w:rPr>
        <w:t>、合并资产负债表</w:t>
      </w:r>
      <w:bookmarkEnd w:id="742"/>
      <w:bookmarkEnd w:id="743"/>
      <w:bookmarkEnd w:id="745"/>
    </w:p>
    <w:p>
      <w:pPr>
        <w:pStyle w:val="Style15"/>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编制单位：创业慧康科技股份有限公司</w:t>
      </w:r>
    </w:p>
    <w:p>
      <w:pPr>
        <w:pStyle w:val="Style107"/>
        <w:keepNext w:val="0"/>
        <w:keepLines w:val="0"/>
        <w:widowControl w:val="0"/>
        <w:shd w:val="clear" w:color="auto" w:fill="auto"/>
        <w:bidi w:val="0"/>
        <w:spacing w:before="0" w:after="0" w:line="36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1,619,154,719.36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1,583,947,190.00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183,782,347.10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1,250,852,813.34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845,393,504.86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22,962,930.76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41,038,194.50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58,601,699.50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48,876,156.41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240,505,018.58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325,549,827.64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142,942,407.75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80,101,496.22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850,913.15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6,349,649.15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3,336,127,002.44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3,116,798,565.88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240,832,641.95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195,061,930.06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129,618,099.88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2,804,133.68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3,026,058.92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267,749,317.91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289,489,166.84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82,574,891.28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24,399,935.79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14,535,518.33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280,059,293.80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228,706,096.60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108,226,800.01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60,560,242.04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1,069,296,487.52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1,097,627,251.00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23,588,131.67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58,450,549.19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24,766,111.76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17,608,944.84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2,273,451,427.79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2,132,330,175.28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5,609,578,430.23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5,249,128,741.16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163,116,981.94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40,421,476.90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21,461,750.91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484,377,062.50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338,245,518.48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20,727,543.48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154,468,303.65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253,298,004.18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57,944,401.99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64,291,729.71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143,704,547.95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71,022,910.48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77,134,604.64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127,304,979.75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6,914,513.82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15,273,816.42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24,714,144.56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1,000,966,271.35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1,068,456,020.01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6,811,944.05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2,500,418.20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3,827,434.56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9,312,362.25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3,905,669.27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1,010,278,633.60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1,072,361,689.28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1,549,787,692.00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1,192,608,104.00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1,524,889,111.68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1,874,198,888.85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35,293,394.52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72,288,076.50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137,529,254.21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104,788,595.44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1,384,889,157.58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1,040,345,102.34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4,561,801,820.95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4,139,652,614.13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37,497,975.68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37,114,437.75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4,599,299,796.63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4,176,767,051.88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5,609,578,430.23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5,249,128,741.16</w:t>
            </w:r>
          </w:p>
        </w:tc>
      </w:tr>
    </w:tbl>
    <w:p>
      <w:pPr>
        <w:pStyle w:val="Style24"/>
        <w:keepNext/>
        <w:keepLines/>
        <w:widowControl w:val="0"/>
        <w:shd w:val="clear" w:color="auto" w:fill="auto"/>
        <w:bidi w:val="0"/>
        <w:spacing w:before="0" w:line="240" w:lineRule="auto"/>
        <w:ind w:left="0" w:right="0" w:firstLine="0"/>
        <w:jc w:val="left"/>
      </w:pPr>
      <w:r>
        <mc:AlternateContent>
          <mc:Choice Requires="wps">
            <w:drawing>
              <wp:anchor distT="152400" distB="3175" distL="114300" distR="5259705" simplePos="0" relativeHeight="125829407" behindDoc="0" locked="0" layoutInCell="1" allowOverlap="1">
                <wp:simplePos x="0" y="0"/>
                <wp:positionH relativeFrom="page">
                  <wp:posOffset>708025</wp:posOffset>
                </wp:positionH>
                <wp:positionV relativeFrom="margin">
                  <wp:posOffset>5989320</wp:posOffset>
                </wp:positionV>
                <wp:extent cx="938530" cy="149225"/>
                <wp:wrapTopAndBottom/>
                <wp:docPr id="41" name="Shape 4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法定代表人：葛航</w:t>
                            </w:r>
                          </w:p>
                        </w:txbxContent>
                      </wps:txbx>
                      <wps:bodyPr wrap="none" lIns="0" tIns="0" rIns="0" bIns="0">
                        <a:noAutoFit/>
                      </wps:bodyPr>
                    </wps:wsp>
                  </a:graphicData>
                </a:graphic>
              </wp:anchor>
            </w:drawing>
          </mc:Choice>
          <mc:Fallback>
            <w:pict>
              <v:shape id="_x0000_s1067" type="#_x0000_t202" style="position:absolute;margin-left:55.75pt;margin-top:471.60000000000002pt;width:73.900000000000006pt;height:11.75pt;z-index:-125829346;mso-wrap-distance-left:9.pt;mso-wrap-distance-top:12.pt;mso-wrap-distance-right:414.15000000000003pt;mso-wrap-distance-bottom:0.25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法定代表人：葛航</w:t>
                      </w:r>
                    </w:p>
                  </w:txbxContent>
                </v:textbox>
                <w10:wrap type="topAndBottom" anchorx="page" anchory="margin"/>
              </v:shape>
            </w:pict>
          </mc:Fallback>
        </mc:AlternateContent>
      </w:r>
      <w:r>
        <mc:AlternateContent>
          <mc:Choice Requires="wps">
            <w:drawing>
              <wp:anchor distT="152400" distB="6350" distL="2229485" distR="2571115" simplePos="0" relativeHeight="125829409" behindDoc="0" locked="0" layoutInCell="1" allowOverlap="1">
                <wp:simplePos x="0" y="0"/>
                <wp:positionH relativeFrom="page">
                  <wp:posOffset>2823210</wp:posOffset>
                </wp:positionH>
                <wp:positionV relativeFrom="margin">
                  <wp:posOffset>5989320</wp:posOffset>
                </wp:positionV>
                <wp:extent cx="1511935" cy="146050"/>
                <wp:wrapTopAndBottom/>
                <wp:docPr id="43" name="Shape 43"/>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主管会计工作负责人：郁燕萍</w:t>
                            </w:r>
                          </w:p>
                        </w:txbxContent>
                      </wps:txbx>
                      <wps:bodyPr wrap="none" lIns="0" tIns="0" rIns="0" bIns="0">
                        <a:noAutoFit/>
                      </wps:bodyPr>
                    </wps:wsp>
                  </a:graphicData>
                </a:graphic>
              </wp:anchor>
            </w:drawing>
          </mc:Choice>
          <mc:Fallback>
            <w:pict>
              <v:shape id="_x0000_s1069" type="#_x0000_t202" style="position:absolute;margin-left:222.30000000000001pt;margin-top:471.60000000000002pt;width:119.05pt;height:11.5pt;z-index:-125829344;mso-wrap-distance-left:175.55000000000001pt;mso-wrap-distance-top:12.pt;mso-wrap-distance-right:202.45000000000002pt;mso-wrap-distance-bottom:0.5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主管会计工作负责人：郁燕萍</w:t>
                      </w:r>
                    </w:p>
                  </w:txbxContent>
                </v:textbox>
                <w10:wrap type="topAndBottom" anchorx="page" anchory="margin"/>
              </v:shape>
            </w:pict>
          </mc:Fallback>
        </mc:AlternateContent>
      </w:r>
      <w:r>
        <mc:AlternateContent>
          <mc:Choice Requires="wps">
            <w:drawing>
              <wp:anchor distT="152400" distB="0" distL="4914900" distR="114300" simplePos="0" relativeHeight="125829411" behindDoc="0" locked="0" layoutInCell="1" allowOverlap="1">
                <wp:simplePos x="0" y="0"/>
                <wp:positionH relativeFrom="page">
                  <wp:posOffset>5508625</wp:posOffset>
                </wp:positionH>
                <wp:positionV relativeFrom="margin">
                  <wp:posOffset>5989320</wp:posOffset>
                </wp:positionV>
                <wp:extent cx="1283335" cy="152400"/>
                <wp:wrapTopAndBottom/>
                <wp:docPr id="45" name="Shape 45"/>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会计机构负责人：陈锦剑</w:t>
                            </w:r>
                          </w:p>
                        </w:txbxContent>
                      </wps:txbx>
                      <wps:bodyPr wrap="none" lIns="0" tIns="0" rIns="0" bIns="0">
                        <a:noAutoFit/>
                      </wps:bodyPr>
                    </wps:wsp>
                  </a:graphicData>
                </a:graphic>
              </wp:anchor>
            </w:drawing>
          </mc:Choice>
          <mc:Fallback>
            <w:pict>
              <v:shape id="_x0000_s1071" type="#_x0000_t202" style="position:absolute;margin-left:433.75pt;margin-top:471.60000000000002pt;width:101.05pt;height:12.pt;z-index:-125829342;mso-wrap-distance-left:387.pt;mso-wrap-distance-top:12.pt;mso-wrap-distance-right:9.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会计机构负责人：陈锦剑</w:t>
                      </w:r>
                    </w:p>
                  </w:txbxContent>
                </v:textbox>
                <w10:wrap type="topAndBottom" anchorx="page" anchory="margin"/>
              </v:shape>
            </w:pict>
          </mc:Fallback>
        </mc:AlternateContent>
      </w: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color w:val="000000"/>
          <w:spacing w:val="0"/>
          <w:w w:val="100"/>
          <w:position w:val="0"/>
        </w:rPr>
        <w:t>、母公司资产负债表</w:t>
      </w:r>
      <w:bookmarkEnd w:id="746"/>
      <w:bookmarkEnd w:id="747"/>
      <w:bookmarkEnd w:id="74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1,130,351,261.03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1,149,518,159.23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183,782,347.10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1,102,746,604.68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670,694,376.58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16,994,461.51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29,962,354.03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71,285,268.21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63,568,390.93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211,518,421.10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265,465,958.04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142,524,099.62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78,921,148.99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2,675,676,616.15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2,443,421,934.90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1,863,101,002.77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1,875,686,378.32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129,618,099.88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198,872,851.41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202,204,877.10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82,574,891.28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9,005,985.70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9,926,691.68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238,678,893.64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203,809,512.13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110,891,657.80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58,808,455.39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172,213.12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731,747.08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24,609,790.69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14,263,842.56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2,687,846,092.27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2,521,910,798.28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5,363,522,708.42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4,965,332,733.18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142,090,169.44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35,409,481.80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16,715,633.41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544,881,033.88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320,269,226.94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20,727,543.48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123,032,206.94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206,169,985.21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37,037,170.25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42,293,506.65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117,343,227.84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48,701,214.57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94,003,255.33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138,133,018.36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5,734,759.25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12,536,981.89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20,227,665.65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990,705,660.66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939,600,420.23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3,956,381.52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2,500,418.20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2,556,334.56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6,456,799.72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2,634,569.27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997,162,460.38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942,234,989.50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1,549,787,692.00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1,192,608,104.00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1,632,398,401.41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1,981,647,790.57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35,293,394.52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72,288,076.50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137,529,254.21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104,788,595.44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1,081,938,294.94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816,341,330.17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4,366,360,248.04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4,023,097,743.68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5,363,522,708.42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4,965,332,733.18</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3</w:t>
      </w:r>
      <w:bookmarkEnd w:id="752"/>
      <w:r>
        <w:rPr>
          <w:color w:val="000000"/>
          <w:spacing w:val="0"/>
          <w:w w:val="100"/>
          <w:position w:val="0"/>
        </w:rPr>
        <w:t>、合并利润表</w:t>
      </w:r>
      <w:bookmarkEnd w:id="750"/>
      <w:bookmarkEnd w:id="751"/>
      <w:bookmarkEnd w:id="75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1,898,976,983.54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1,632,841,326.43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1,898,976,983.54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1,632,841,326.43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1,419,623,092.00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1,257,251,850.80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869,338,313.88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727,984,196.76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19,079,410.68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15,805,229.62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152,984,177.05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164,337,572.83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187,453,160.82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174,528,379.56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210,369,731.86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177,228,128.75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-19,601,702.29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-2,631,656.72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1,452,566.62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6,185,964.99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21,356,955.28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9,037,305.16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37,534,501.27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43,961,808.13</w:t>
            </w: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30,542,969.00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11,658,981.84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7,265,608.27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3,715,145.38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-74,845,658.13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-50,145,424.05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-20,876,799.56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-4,337,488.76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946,919.83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452,273,923.83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377,551,009.61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309,035.00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131,488.91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659,063.76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1,145,877.91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451,923,895.07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376,536,620.61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37,774,445.45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40,295,717.41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414,149,449.62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336,240,903.20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414,149,449.62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336,240,903.20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413,039,235.38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332,337,424.49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1,110,214.24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3,903,478.71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414,149,449.62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336,240,903.20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413,039,235.38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332,337,424.49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1,110,214.24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3,903,478.71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本期发生同一控制下企业合并的，被合并方在合并前实现的净利润为：元，上期被合并方实现的净利润为：元。</w:t>
      </w:r>
    </w:p>
    <w:p>
      <w:pPr>
        <w:widowControl w:val="0"/>
        <w:spacing w:after="359" w:line="1" w:lineRule="exact"/>
      </w:pPr>
    </w:p>
    <w:p>
      <w:pPr>
        <w:pStyle w:val="Style15"/>
        <w:keepNext w:val="0"/>
        <w:keepLines w:val="0"/>
        <w:widowControl w:val="0"/>
        <w:shd w:val="clear" w:color="auto" w:fill="auto"/>
        <w:tabs>
          <w:tab w:pos="3307" w:val="left"/>
          <w:tab w:pos="7526" w:val="left"/>
        </w:tabs>
        <w:bidi w:val="0"/>
        <w:spacing w:before="0" w:after="0" w:line="240" w:lineRule="auto"/>
        <w:ind w:left="0" w:right="0" w:firstLine="0"/>
        <w:jc w:val="center"/>
      </w:pPr>
      <w:r>
        <w:rPr>
          <w:color w:val="000000"/>
          <w:spacing w:val="0"/>
          <w:w w:val="100"/>
          <w:position w:val="0"/>
        </w:rPr>
        <w:t>法定代表人：葛航</w:t>
        <w:tab/>
        <w:t>主管会计工作负责人：郁燕萍</w:t>
        <w:tab/>
        <w:t>会计机构负责人：陈锦剑</w:t>
      </w:r>
      <w:r>
        <w:br w:type="page"/>
      </w:r>
    </w:p>
    <w:p>
      <w:pPr>
        <w:pStyle w:val="Style24"/>
        <w:keepNext/>
        <w:keepLines/>
        <w:widowControl w:val="0"/>
        <w:shd w:val="clear" w:color="auto" w:fill="auto"/>
        <w:bidi w:val="0"/>
        <w:spacing w:before="0" w:after="38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4</w:t>
      </w:r>
      <w:bookmarkEnd w:id="756"/>
      <w:r>
        <w:rPr>
          <w:color w:val="000000"/>
          <w:spacing w:val="0"/>
          <w:w w:val="100"/>
          <w:position w:val="0"/>
        </w:rPr>
        <w:t>、母公司利润表</w:t>
      </w:r>
      <w:bookmarkEnd w:id="754"/>
      <w:bookmarkEnd w:id="755"/>
      <w:bookmarkEnd w:id="75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1,572,724,985.53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1,187,978,233.77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773,558,554.70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564,351,254.45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16,036,372.92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12,193,492.51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120,488,650.70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108,833,682.57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141,100,307.87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120,813,811.50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180,534,729.26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142,212,224.28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-14,380,005.24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70,175.76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1,106,027.70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5,749,488.61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15,714,231.95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5,810,125.40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32,131,121.73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38,498,056.64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63,975,720.00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63,394,776.71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8,081,628.62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3,715,145.38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8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-76,499,719.07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-50,591,663.15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-31,258,190.26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-2,274,449.28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59,594.57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25,301.25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343,413,002.17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289,337,961.97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546,746.54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997,518.61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三、利润总额（亏损总额以“一” 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342,866,255.63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288,350,443.36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15,459,667.96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19,453,026.42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327,406,587.67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268,897,416.94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327,406,587.67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268,897,416.94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327,406,587.67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268,897,416.94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5</w:t>
      </w:r>
      <w:bookmarkEnd w:id="760"/>
      <w:r>
        <w:rPr>
          <w:color w:val="000000"/>
          <w:spacing w:val="0"/>
          <w:w w:val="100"/>
          <w:position w:val="0"/>
        </w:rPr>
        <w:t>、合并现金流量表</w:t>
      </w:r>
      <w:bookmarkEnd w:id="758"/>
      <w:bookmarkEnd w:id="759"/>
      <w:bookmarkEnd w:id="76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1,413,697,079.21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1,586,026,266.23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30,443,122.29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31,101,757.95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34,124,652.16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25,046,016.64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1,478,264,853.66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1,642,174,040.82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440,808,834.63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583,649,557.02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支付给职工以及为职工支付的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540,752,691.43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466,734,113.28</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117,004,815.12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129,256,002.18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203,479,400.65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191,207,518.31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1,302,045,741.83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1,370,847,190.79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176,219,111.83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271,326,850.03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13,751,906.93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15,083,107.72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11,167,940.00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71,331.82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9,291,865.39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1,787,880,373.20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2,045,800,000.00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1,842,612,085.52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2,100,954,439.54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190,569,641.86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205,077,016.21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140,043.59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1,603,570,000.00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2,228,800,000.00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1,809,079,641.86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2,512,917,059.80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33,532,443.66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-411,962,620.26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1,294,551,423.25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183,500,000.00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25,248,256.72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25,255,000.00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1,503,299,679.97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223,400,000.00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分配股利、利润或偿付利息支 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36,618,381.80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40,416,792.05</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22,756,595.42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50,990,780.32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201,374,977.22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314,807,572.37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-176,119,977.22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1,188,492,107.60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33,631,578.27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1,047,856,337.37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1,579,981,757.16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532,125,419.79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1,613,613,335.43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1,579,981,757.16</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6</w:t>
      </w:r>
      <w:bookmarkEnd w:id="764"/>
      <w:r>
        <w:rPr>
          <w:color w:val="000000"/>
          <w:spacing w:val="0"/>
          <w:w w:val="100"/>
          <w:position w:val="0"/>
        </w:rPr>
        <w:t>、母公司现金流量表</w:t>
      </w:r>
      <w:bookmarkEnd w:id="762"/>
      <w:bookmarkEnd w:id="763"/>
      <w:bookmarkEnd w:id="76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1,061,980,528.05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1,000,649,622.23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28,462,841.17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29,610,830.34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25,425,469.96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18,707,167.03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1,115,868,839.18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1,048,967,619.60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398,814,359.90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368,267,574.92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394,828,148.06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324,128,078.09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79,668,497.56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83,363,011.70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169,081,284.12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140,235,388.51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1,042,392,289.64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915,994,053.22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73,476,549.54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132,973,566.38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45,758,708.70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63,885,017.10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49,754.90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1,182,813,469.61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1,303,977,966.46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1,275,451,818.31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1,407,912,738.46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157,393,117.74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136,408,291.76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17,070,141.60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90,824,858.40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1,001,943,409.07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1,480,789,094.61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1,176,406,668.41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1,708,285,344.77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99,045,149.90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-300,372,606.31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1,294,551,423.25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162,000,000.00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45,505,780.35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67,057,595.10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45,505,780.35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1,523,609,018.35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219,900,000.00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36,399,006.80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40,158,426.41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59,428,150.68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105,538,887.61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237,827,157.48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365,597,314.02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-192,321,377.13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1,158,011,704.33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-19,799,677.69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990,612,664.40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1,146,541,549.89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155,928,885.49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1,126,741,872.20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1,146,541,549.89</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7</w:t>
      </w:r>
      <w:bookmarkEnd w:id="768"/>
      <w:r>
        <w:rPr>
          <w:color w:val="000000"/>
          <w:spacing w:val="0"/>
          <w:w w:val="100"/>
          <w:position w:val="0"/>
        </w:rPr>
        <w:t>、合并所有者权益变动表</w:t>
      </w:r>
      <w:bookmarkEnd w:id="766"/>
      <w:bookmarkEnd w:id="767"/>
      <w:bookmarkEnd w:id="769"/>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本期金额</w:t>
      </w: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40"/>
              <w:jc w:val="both"/>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92, 608 ,10 </w:t>
            </w:r>
            <w:r>
              <w:rPr>
                <w:rFonts w:ascii="Times New Roman" w:eastAsia="Times New Roman" w:hAnsi="Times New Roman" w:cs="Times New Roman"/>
                <w:color w:val="000000"/>
                <w:spacing w:val="0"/>
                <w:w w:val="100"/>
                <w:position w:val="0"/>
              </w:rPr>
              <w:t xml:space="preserve">4.0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76.5</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14,4</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76.5</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14,4</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357 ,17 9,5 88. 00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-349 ,309, 777.</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-36,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681.</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055.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1,11 0,21 4.24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投入和减少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-36,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25,3</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15,3</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08.1</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81.9</w:t>
            </w:r>
          </w:p>
          <w:p>
            <w:pPr>
              <w:pStyle w:val="Style2"/>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-36, 828, 454.</w:t>
            </w:r>
          </w:p>
          <w:p>
            <w:pPr>
              <w:pStyle w:val="Style2"/>
              <w:keepNext w:val="0"/>
              <w:keepLines w:val="0"/>
              <w:widowControl w:val="0"/>
              <w:shd w:val="clear" w:color="auto" w:fill="auto"/>
              <w:bidi w:val="0"/>
              <w:spacing w:before="0" w:after="0"/>
              <w:ind w:left="0" w:right="0" w:firstLine="28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55,3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47.2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55,3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47.2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60.9</w:t>
            </w:r>
          </w:p>
          <w:p>
            <w:pPr>
              <w:pStyle w:val="Style2"/>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45,2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45,2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388.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25,3 15,3 88.0</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25,2 55,0 00.0 0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-35, 588, 293.</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140" w:right="0" w:firstLine="0"/>
              <w:jc w:val="both"/>
            </w:pPr>
            <w:r>
              <w:rPr>
                <w:rFonts w:ascii="Times New Roman" w:eastAsia="Times New Roman" w:hAnsi="Times New Roman" w:cs="Times New Roman"/>
                <w:color w:val="000000"/>
                <w:spacing w:val="0"/>
                <w:w w:val="100"/>
                <w:position w:val="0"/>
              </w:rPr>
              <w:t>-35, 588, 293.</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740,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658.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-35, 754, 521.</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-35, 588, 293.</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140" w:right="0" w:firstLine="0"/>
              <w:jc w:val="both"/>
            </w:pPr>
            <w:r>
              <w:rPr>
                <w:rFonts w:ascii="Times New Roman" w:eastAsia="Times New Roman" w:hAnsi="Times New Roman" w:cs="Times New Roman"/>
                <w:color w:val="000000"/>
                <w:spacing w:val="0"/>
                <w:w w:val="100"/>
                <w:position w:val="0"/>
              </w:rPr>
              <w:t>-35, 588, 293.</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权益内部结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357</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357</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,64</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,955.</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042,</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064.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140" w:right="0" w:firstLine="0"/>
              <w:jc w:val="left"/>
            </w:pPr>
            <w:r>
              <w:rPr>
                <w:rFonts w:ascii="Times New Roman" w:eastAsia="Times New Roman" w:hAnsi="Times New Roman" w:cs="Times New Roman"/>
                <w:color w:val="000000"/>
                <w:spacing w:val="0"/>
                <w:w w:val="100"/>
                <w:position w:val="0"/>
              </w:rPr>
              <w:t>-26, 184, 019.</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43</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787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w:t>
            </w:r>
          </w:p>
          <w:p>
            <w:pPr>
              <w:pStyle w:val="Style2"/>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4,88</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9,11</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35,2</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93,3</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94.5</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529,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4,88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9,15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37,4</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97,9</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75.6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4,59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9,29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9,79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6.63</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上期金额</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739</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545.</w:t>
            </w:r>
          </w:p>
          <w:p>
            <w:pPr>
              <w:pStyle w:val="Style2"/>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35,64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2,692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2,625 ,376, 143.7</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78,5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87.3</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-93,</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772,</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477.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710,8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 xml:space="preserve">739 ,75 1,4 </w:t>
            </w:r>
            <w:r>
              <w:rPr>
                <w:rFonts w:ascii="Times New Roman" w:eastAsia="Times New Roman" w:hAnsi="Times New Roman" w:cs="Times New Roman"/>
                <w:color w:val="000000"/>
                <w:spacing w:val="0"/>
                <w:w w:val="100"/>
                <w:position w:val="0"/>
              </w:rPr>
              <w:t>25.</w:t>
            </w:r>
          </w:p>
          <w:p>
            <w:pPr>
              <w:pStyle w:val="Style2"/>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990,</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545.</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35.0</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77,8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98,8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53.7</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768,</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122,</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197.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35,48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2,521 ,665, 295.1</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452 ,85 6,6 79.</w:t>
            </w:r>
          </w:p>
          <w:p>
            <w:pPr>
              <w:pStyle w:val="Style2"/>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851,</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343.</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558.</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41.6</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60"/>
              <w:jc w:val="both"/>
            </w:pPr>
            <w:r>
              <w:rPr>
                <w:rFonts w:ascii="Times New Roman" w:eastAsia="Times New Roman" w:hAnsi="Times New Roman" w:cs="Times New Roman"/>
                <w:color w:val="000000"/>
                <w:spacing w:val="0"/>
                <w:w w:val="100"/>
                <w:position w:val="0"/>
              </w:rPr>
              <w:t>272,</w:t>
            </w:r>
          </w:p>
          <w:p>
            <w:pPr>
              <w:pStyle w:val="Style2"/>
              <w:keepNext w:val="0"/>
              <w:keepLines w:val="0"/>
              <w:widowControl w:val="0"/>
              <w:shd w:val="clear" w:color="auto" w:fill="auto"/>
              <w:bidi w:val="0"/>
              <w:spacing w:before="0" w:after="0"/>
              <w:ind w:left="160" w:right="0" w:firstLine="0"/>
              <w:jc w:val="both"/>
            </w:pPr>
            <w:r>
              <w:rPr>
                <w:rFonts w:ascii="Times New Roman" w:eastAsia="Times New Roman" w:hAnsi="Times New Roman" w:cs="Times New Roman"/>
                <w:color w:val="000000"/>
                <w:spacing w:val="0"/>
                <w:w w:val="100"/>
                <w:position w:val="0"/>
              </w:rPr>
              <w:t>222, 904.</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0,22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1,631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,529.</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1,655 ,101, 756.7</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332,</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337,</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424.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3,903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3.20</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82, 980 ,96 7.0 0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7,05</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656.</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1,35 4,05 7,67 8.72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1,351 ,785, 729.2</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140" w:right="0" w:firstLine="0"/>
              <w:jc w:val="both"/>
            </w:pPr>
            <w:r>
              <w:rPr>
                <w:rFonts w:ascii="Times New Roman" w:eastAsia="Times New Roman" w:hAnsi="Times New Roman" w:cs="Times New Roman"/>
                <w:color w:val="000000"/>
                <w:spacing w:val="0"/>
                <w:w w:val="100"/>
                <w:position w:val="0"/>
              </w:rPr>
              <w:t>1,23 1,03 7,65 0.46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349,</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656.</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1,331 ,355, 073.4</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 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30,8</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30,81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0,655</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55.7</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50.5</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80,00</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,902.</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41.6</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-60,1</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24,87</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5.68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41.6</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,902.</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-33,</w:t>
            </w:r>
          </w:p>
          <w:p>
            <w:pPr>
              <w:pStyle w:val="Style2"/>
              <w:keepNext w:val="0"/>
              <w:keepLines w:val="0"/>
              <w:widowControl w:val="0"/>
              <w:shd w:val="clear" w:color="auto" w:fill="auto"/>
              <w:bidi w:val="0"/>
              <w:spacing w:before="0" w:after="0"/>
              <w:ind w:left="0" w:right="0" w:firstLine="160"/>
              <w:jc w:val="both"/>
            </w:pPr>
            <w:r>
              <w:rPr>
                <w:rFonts w:ascii="Times New Roman" w:eastAsia="Times New Roman" w:hAnsi="Times New Roman" w:cs="Times New Roman"/>
                <w:color w:val="000000"/>
                <w:spacing w:val="0"/>
                <w:w w:val="100"/>
                <w:position w:val="0"/>
              </w:rPr>
              <w:t>224, 778.</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24,87</w:t>
            </w:r>
          </w:p>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712.</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,875,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712.</w:t>
            </w:r>
          </w:p>
          <w:p>
            <w:pPr>
              <w:pStyle w:val="Style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 xml:space="preserve">92, 608 ,10 </w:t>
            </w:r>
            <w:r>
              <w:rPr>
                <w:rFonts w:ascii="Times New Roman" w:eastAsia="Times New Roman" w:hAnsi="Times New Roman" w:cs="Times New Roman"/>
                <w:color w:val="000000"/>
                <w:spacing w:val="0"/>
                <w:w w:val="100"/>
                <w:position w:val="0"/>
              </w:rPr>
              <w:t>4.0</w:t>
            </w:r>
          </w:p>
          <w:p>
            <w:pPr>
              <w:pStyle w:val="Style2"/>
              <w:keepNext w:val="0"/>
              <w:keepLines w:val="0"/>
              <w:widowControl w:val="0"/>
              <w:shd w:val="clear" w:color="auto" w:fill="auto"/>
              <w:bidi w:val="0"/>
              <w:spacing w:before="0" w:after="0"/>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4,19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72,2</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76.5</w:t>
            </w:r>
          </w:p>
          <w:p>
            <w:pPr>
              <w:pStyle w:val="Style2"/>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788,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595.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1,04</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0,34</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5,10</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4,13</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9,65</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2,61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37,11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4,437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4,176 ,767, 051.8 8</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8</w:t>
      </w:r>
      <w:bookmarkEnd w:id="772"/>
      <w:r>
        <w:rPr>
          <w:color w:val="000000"/>
          <w:spacing w:val="0"/>
          <w:w w:val="100"/>
          <w:position w:val="0"/>
        </w:rPr>
        <w:t>、母公司所有者权益变动表</w:t>
      </w:r>
      <w:bookmarkEnd w:id="770"/>
      <w:bookmarkEnd w:id="771"/>
      <w:bookmarkEnd w:id="773"/>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1,192 ,608, 104.0 0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1,981,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647,79</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72,288 ,076.5 0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104,78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8,595.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816,</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341,</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330.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4,023,09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7,743.68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6,68</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5,55</w:t>
            </w:r>
          </w:p>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6,685,55</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1,192 ,608, 104.0 0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1,981,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647,79</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72,288 ,076.5 0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104,78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8,595.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180" w:right="0" w:firstLine="0"/>
              <w:jc w:val="both"/>
            </w:pPr>
            <w:r>
              <w:rPr>
                <w:rFonts w:ascii="Times New Roman" w:eastAsia="Times New Roman" w:hAnsi="Times New Roman" w:cs="Times New Roman"/>
                <w:color w:val="000000"/>
                <w:spacing w:val="0"/>
                <w:w w:val="100"/>
                <w:position w:val="0"/>
              </w:rPr>
              <w:t>823, 026, 887.</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4,029,78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3,300.92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 变动金额（减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-36,99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32,740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258,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336,576,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947.12</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少以“一”号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327,</w:t>
            </w:r>
          </w:p>
          <w:p>
            <w:pPr>
              <w:pStyle w:val="Style2"/>
              <w:keepNext w:val="0"/>
              <w:keepLines w:val="0"/>
              <w:widowControl w:val="0"/>
              <w:shd w:val="clear" w:color="auto" w:fill="auto"/>
              <w:bidi w:val="0"/>
              <w:spacing w:before="0" w:after="0"/>
              <w:ind w:left="0" w:right="0" w:firstLine="160"/>
              <w:jc w:val="both"/>
            </w:pPr>
            <w:r>
              <w:rPr>
                <w:rFonts w:ascii="Times New Roman" w:eastAsia="Times New Roman" w:hAnsi="Times New Roman" w:cs="Times New Roman"/>
                <w:color w:val="000000"/>
                <w:spacing w:val="0"/>
                <w:w w:val="100"/>
                <w:position w:val="0"/>
              </w:rPr>
              <w:t>406, 587.</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327,406,</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587.67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725.0</w:t>
            </w:r>
          </w:p>
          <w:p>
            <w:pPr>
              <w:pStyle w:val="Style2"/>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8,535,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-36,82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8,454.</w:t>
            </w:r>
          </w:p>
          <w:p>
            <w:pPr>
              <w:pStyle w:val="Style2"/>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44,900,6</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08.18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725.0</w:t>
            </w:r>
          </w:p>
          <w:p>
            <w:pPr>
              <w:pStyle w:val="Style2"/>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-2,109, 381.98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-36,82</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8,454.</w:t>
            </w:r>
          </w:p>
          <w:p>
            <w:pPr>
              <w:pStyle w:val="Style2"/>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34,255,3</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47.25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,260.9</w:t>
            </w:r>
          </w:p>
          <w:p>
            <w:pPr>
              <w:pStyle w:val="Style2"/>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10,645,2</w:t>
            </w:r>
          </w:p>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-166,2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32,740 ,658.7 7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-68,4</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95,1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80.1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-35,588,</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293.62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32,740 ,658.7 7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-166,2</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-35,588,</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43,31</w:t>
            </w:r>
          </w:p>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43,313</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43,31</w:t>
            </w:r>
          </w:p>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-357,6</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43,313</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-141,9</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-141,955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1,549 ,787, </w:t>
            </w:r>
            <w:r>
              <w:rPr>
                <w:rFonts w:ascii="Times New Roman" w:eastAsia="Times New Roman" w:hAnsi="Times New Roman" w:cs="Times New Roman"/>
                <w:color w:val="000000"/>
                <w:spacing w:val="0"/>
                <w:w w:val="100"/>
                <w:position w:val="0"/>
              </w:rPr>
              <w:t xml:space="preserve">692.0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1,632,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398,40</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35,293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,394.5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137,52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1,08</w:t>
            </w:r>
          </w:p>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1,93</w:t>
            </w:r>
          </w:p>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8,29</w:t>
            </w:r>
          </w:p>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4,366,36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0,248.04</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上期金额</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20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425.</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675,1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89,93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7,635.</w:t>
            </w:r>
          </w:p>
          <w:p>
            <w:pPr>
              <w:pStyle w:val="Style2"/>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87,67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7,441</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695,56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5,719.4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2,522,73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2,146.87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-9,77</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8,587</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-88,007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-97,785,8</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2,424,94</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751,</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425.</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7,635.</w:t>
            </w:r>
          </w:p>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8,853</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8,433.1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6,273.20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452,</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856,</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679.</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891,9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72,59</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9,558.</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26,88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9,741</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208,78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2,897.0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1,598,15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1,470.48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268,89</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7,416.9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268,897,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投入和减少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82,9</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80,9</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67.0</w:t>
            </w:r>
          </w:p>
          <w:p>
            <w:pPr>
              <w:pStyle w:val="Style2"/>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1,261, 848,3 06.22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9,656.</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1,362,17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8,929.22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82,9</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80,9</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67.0</w:t>
            </w:r>
          </w:p>
          <w:p>
            <w:pPr>
              <w:pStyle w:val="Style2"/>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1,261, 848,3 06.22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9,656.</w:t>
            </w:r>
          </w:p>
          <w:p>
            <w:pPr>
              <w:pStyle w:val="Style2"/>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1,362,17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8,929.22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26,88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9,741</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-60,114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-32,924,8</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75.68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26,88</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9,741</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-26,889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-33,224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-32,924,8</w:t>
            </w:r>
          </w:p>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75.68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权益内部结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369,</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875,</w:t>
            </w:r>
          </w:p>
          <w:p>
            <w:pPr>
              <w:pStyle w:val="Style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712.</w:t>
            </w:r>
          </w:p>
          <w:p>
            <w:pPr>
              <w:pStyle w:val="Style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75,71</w:t>
            </w:r>
          </w:p>
          <w:p>
            <w:pPr>
              <w:pStyle w:val="Style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875,</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712.</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75,71</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1,19</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2,60</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8,10</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1,981,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647,7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72,28 8,076.</w:t>
            </w:r>
          </w:p>
          <w:p>
            <w:pPr>
              <w:pStyle w:val="Style2"/>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104,7</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88,59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816,34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1,330.1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4,023,09</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7,743.68</w:t>
            </w:r>
          </w:p>
        </w:tc>
      </w:tr>
    </w:tbl>
    <w:p>
      <w:pPr>
        <w:widowControl w:val="0"/>
        <w:spacing w:after="319" w:line="1" w:lineRule="exact"/>
      </w:pPr>
    </w:p>
    <w:p>
      <w:pPr>
        <w:pStyle w:val="Style19"/>
        <w:keepNext/>
        <w:keepLines/>
        <w:widowControl w:val="0"/>
        <w:shd w:val="clear" w:color="auto" w:fill="auto"/>
        <w:bidi w:val="0"/>
        <w:spacing w:before="0" w:after="240" w:line="240" w:lineRule="auto"/>
        <w:ind w:left="0" w:right="0" w:firstLine="0"/>
        <w:jc w:val="left"/>
      </w:pPr>
      <w:bookmarkStart w:id="774" w:name="bookmark774"/>
      <w:bookmarkStart w:id="775" w:name="bookmark775"/>
      <w:bookmarkStart w:id="776" w:name="bookmark776"/>
      <w:r>
        <w:rPr>
          <w:color w:val="000000"/>
          <w:spacing w:val="0"/>
          <w:w w:val="100"/>
          <w:position w:val="0"/>
          <w:sz w:val="24"/>
          <w:szCs w:val="24"/>
        </w:rPr>
        <w:t>三、公司基本情况</w:t>
      </w:r>
      <w:bookmarkEnd w:id="774"/>
      <w:bookmarkEnd w:id="775"/>
      <w:bookmarkEnd w:id="776"/>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创业慧康科技股份有限公司（以下简称公司或本公司，更名自创业软件股份有限公司）系经浙江省人民政府企业上市 工作领导小组《关于同意变更设立杭州创业软件股份有限公司的批复》（浙上市〔</w:t>
      </w:r>
      <w:r>
        <w:rPr>
          <w:rFonts w:ascii="Times New Roman" w:eastAsia="Times New Roman" w:hAnsi="Times New Roman" w:cs="Times New Roman"/>
          <w:color w:val="000000"/>
          <w:spacing w:val="0"/>
          <w:w w:val="100"/>
          <w:position w:val="0"/>
        </w:rPr>
        <w:t>2002</w:t>
      </w:r>
      <w:r>
        <w:rPr>
          <w:color w:val="000000"/>
          <w:spacing w:val="0"/>
          <w:w w:val="100"/>
          <w:position w:val="0"/>
        </w:rPr>
        <w:t xml:space="preserve">） </w:t>
      </w:r>
      <w:r>
        <w:rPr>
          <w:rFonts w:ascii="Times New Roman" w:eastAsia="Times New Roman" w:hAnsi="Times New Roman" w:cs="Times New Roman"/>
          <w:color w:val="000000"/>
          <w:spacing w:val="0"/>
          <w:w w:val="100"/>
          <w:position w:val="0"/>
        </w:rPr>
        <w:t>33</w:t>
      </w:r>
      <w:r>
        <w:rPr>
          <w:color w:val="000000"/>
          <w:spacing w:val="0"/>
          <w:w w:val="100"/>
          <w:position w:val="0"/>
        </w:rPr>
        <w:t>号）批准，由杭州创业软件集团 有限公司以</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日的净资产为基准整体变更设立，于</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日在浙江省工商行政管理局登记注册，总部位于浙 江省杭州市。公司现持有统一社会信用代码为</w:t>
      </w:r>
      <w:r>
        <w:rPr>
          <w:rFonts w:ascii="Times New Roman" w:eastAsia="Times New Roman" w:hAnsi="Times New Roman" w:cs="Times New Roman"/>
          <w:color w:val="000000"/>
          <w:spacing w:val="0"/>
          <w:w w:val="100"/>
          <w:position w:val="0"/>
        </w:rPr>
        <w:t>9133000025393934X6</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,549,787,692.00</w:t>
      </w:r>
      <w:r>
        <w:rPr>
          <w:color w:val="000000"/>
          <w:spacing w:val="0"/>
          <w:w w:val="100"/>
          <w:position w:val="0"/>
        </w:rPr>
        <w:t xml:space="preserve">元，股份总数 </w:t>
      </w:r>
      <w:r>
        <w:rPr>
          <w:rFonts w:ascii="Times New Roman" w:eastAsia="Times New Roman" w:hAnsi="Times New Roman" w:cs="Times New Roman"/>
          <w:color w:val="000000"/>
          <w:spacing w:val="0"/>
          <w:w w:val="100"/>
          <w:position w:val="0"/>
        </w:rPr>
        <w:t>1,549,787,692</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239,020,662</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1,310,767,030 </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日在深圳证券交易所挂牌交易。</w:t>
      </w:r>
    </w:p>
    <w:p>
      <w:pPr>
        <w:pStyle w:val="Style1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本公司属软件行业。主要业务包括软件销售、系统集成和技术服务等。</w:t>
      </w:r>
    </w:p>
    <w:p>
      <w:pPr>
        <w:pStyle w:val="Style15"/>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日第七届董事会第十一次会议批准对外报出。</w:t>
      </w:r>
    </w:p>
    <w:p>
      <w:pPr>
        <w:pStyle w:val="Style15"/>
        <w:keepNext w:val="0"/>
        <w:keepLines w:val="0"/>
        <w:widowControl w:val="0"/>
        <w:shd w:val="clear" w:color="auto" w:fill="auto"/>
        <w:bidi w:val="0"/>
        <w:spacing w:before="0" w:after="680" w:line="311" w:lineRule="exact"/>
        <w:ind w:left="0" w:right="0"/>
        <w:jc w:val="left"/>
      </w:pPr>
      <w:r>
        <w:rPr>
          <w:color w:val="000000"/>
          <w:spacing w:val="0"/>
          <w:w w:val="100"/>
          <w:position w:val="0"/>
        </w:rPr>
        <w:t xml:space="preserve">本公司将杭州联旗科技有限公司、苏州创业亿康信息科技有限公司、上海创航软件有限公司、创业软件南京有限公司、 新疆创什信息科技有限公司、重庆创易康软件有限公司、天津创津科技有限公司、杭州惟勤科技有限公司、广东中拓信息技 术有限公司、中山市蓝天电脑有限公司、中山市杭创科技有限公司、宁海杭创网络科技有限公司、杭州慧康物联网科技有限 公司、杭州卓腾信息技术有限公司、杭州合美物业管理有限公司、杭州美诺泰科科技有限公司、浙江医康数据科技研究院有 限公司、广州粤湾慧康科技有限公司、浙江百利医药有限公司、自贡市杭创科技有限公司、杭州慧心健康科技有限公司、海 </w:t>
      </w:r>
      <w:r>
        <w:rPr>
          <w:color w:val="000000"/>
          <w:spacing w:val="0"/>
          <w:w w:val="100"/>
          <w:position w:val="0"/>
        </w:rPr>
        <w:t>南省汇亿互联网医疗科技有限公司、杭州慧康互联科技有限公司、北京童康医疗信息技术有限公司、天津青创慧康科技有限 公司等</w:t>
      </w:r>
      <w:r>
        <w:rPr>
          <w:rFonts w:ascii="Times New Roman" w:eastAsia="Times New Roman" w:hAnsi="Times New Roman" w:cs="Times New Roman"/>
          <w:color w:val="000000"/>
          <w:spacing w:val="0"/>
          <w:w w:val="100"/>
          <w:position w:val="0"/>
        </w:rPr>
        <w:t>25</w:t>
      </w:r>
      <w:r>
        <w:rPr>
          <w:color w:val="000000"/>
          <w:spacing w:val="0"/>
          <w:w w:val="100"/>
          <w:position w:val="0"/>
        </w:rPr>
        <w:t>家子公司纳入本期合并财务报表范围。情况详见本财务报表附注“合并范围的变更”及“在其他主体中的权益”之 说明。</w:t>
      </w:r>
    </w:p>
    <w:p>
      <w:pPr>
        <w:pStyle w:val="Style19"/>
        <w:keepNext/>
        <w:keepLines/>
        <w:widowControl w:val="0"/>
        <w:shd w:val="clear" w:color="auto" w:fill="auto"/>
        <w:tabs>
          <w:tab w:pos="493" w:val="left"/>
        </w:tabs>
        <w:bidi w:val="0"/>
        <w:spacing w:before="0" w:after="360" w:line="240" w:lineRule="auto"/>
        <w:ind w:left="0" w:right="0" w:firstLine="0"/>
        <w:jc w:val="both"/>
      </w:pPr>
      <w:bookmarkStart w:id="777" w:name="bookmark777"/>
      <w:bookmarkStart w:id="778" w:name="bookmark778"/>
      <w:bookmarkStart w:id="779" w:name="bookmark779"/>
      <w:bookmarkStart w:id="780" w:name="bookmark780"/>
      <w:r>
        <w:rPr>
          <w:color w:val="000000"/>
          <w:spacing w:val="0"/>
          <w:w w:val="100"/>
          <w:position w:val="0"/>
          <w:sz w:val="24"/>
          <w:szCs w:val="24"/>
        </w:rPr>
        <w:t>四</w:t>
      </w:r>
      <w:bookmarkEnd w:id="779"/>
      <w:r>
        <w:rPr>
          <w:color w:val="000000"/>
          <w:spacing w:val="0"/>
          <w:w w:val="100"/>
          <w:position w:val="0"/>
          <w:sz w:val="24"/>
          <w:szCs w:val="24"/>
        </w:rPr>
        <w:t>、</w:t>
        <w:tab/>
        <w:t>财务报表的编制基础</w:t>
      </w:r>
      <w:bookmarkEnd w:id="777"/>
      <w:bookmarkEnd w:id="778"/>
      <w:bookmarkEnd w:id="780"/>
    </w:p>
    <w:p>
      <w:pPr>
        <w:pStyle w:val="Style24"/>
        <w:keepNext/>
        <w:keepLines/>
        <w:widowControl w:val="0"/>
        <w:shd w:val="clear" w:color="auto" w:fill="auto"/>
        <w:tabs>
          <w:tab w:pos="368" w:val="left"/>
        </w:tabs>
        <w:bidi w:val="0"/>
        <w:spacing w:before="0" w:after="26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color w:val="000000"/>
          <w:spacing w:val="0"/>
          <w:w w:val="100"/>
          <w:position w:val="0"/>
        </w:rPr>
        <w:t>、</w:t>
        <w:tab/>
        <w:t>编制基础</w:t>
      </w:r>
      <w:bookmarkEnd w:id="781"/>
      <w:bookmarkEnd w:id="782"/>
      <w:bookmarkEnd w:id="784"/>
    </w:p>
    <w:p>
      <w:pPr>
        <w:pStyle w:val="Style15"/>
        <w:keepNext w:val="0"/>
        <w:keepLines w:val="0"/>
        <w:widowControl w:val="0"/>
        <w:shd w:val="clear" w:color="auto" w:fill="auto"/>
        <w:bidi w:val="0"/>
        <w:spacing w:before="0" w:after="360" w:line="314" w:lineRule="exact"/>
        <w:ind w:left="0" w:right="0"/>
        <w:jc w:val="both"/>
      </w:pPr>
      <w:r>
        <w:rPr>
          <w:color w:val="000000"/>
          <w:spacing w:val="0"/>
          <w:w w:val="100"/>
          <w:position w:val="0"/>
        </w:rPr>
        <w:t>本公司财务报表以持续经营为编制基础。</w:t>
      </w:r>
    </w:p>
    <w:p>
      <w:pPr>
        <w:pStyle w:val="Style24"/>
        <w:keepNext/>
        <w:keepLines/>
        <w:widowControl w:val="0"/>
        <w:shd w:val="clear" w:color="auto" w:fill="auto"/>
        <w:tabs>
          <w:tab w:pos="378" w:val="left"/>
        </w:tabs>
        <w:bidi w:val="0"/>
        <w:spacing w:before="0" w:after="26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color w:val="000000"/>
          <w:spacing w:val="0"/>
          <w:w w:val="100"/>
          <w:position w:val="0"/>
        </w:rPr>
        <w:t>、</w:t>
        <w:tab/>
        <w:t>持续经营</w:t>
      </w:r>
      <w:bookmarkEnd w:id="785"/>
      <w:bookmarkEnd w:id="786"/>
      <w:bookmarkEnd w:id="788"/>
    </w:p>
    <w:p>
      <w:pPr>
        <w:pStyle w:val="Style15"/>
        <w:keepNext w:val="0"/>
        <w:keepLines w:val="0"/>
        <w:widowControl w:val="0"/>
        <w:shd w:val="clear" w:color="auto" w:fill="auto"/>
        <w:bidi w:val="0"/>
        <w:spacing w:before="0" w:after="360" w:line="314" w:lineRule="exact"/>
        <w:ind w:left="0" w:right="0"/>
        <w:jc w:val="both"/>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个月内的持续经营能力产生重大疑虑的事项或情况。</w:t>
      </w:r>
    </w:p>
    <w:p>
      <w:pPr>
        <w:pStyle w:val="Style19"/>
        <w:keepNext/>
        <w:keepLines/>
        <w:widowControl w:val="0"/>
        <w:shd w:val="clear" w:color="auto" w:fill="auto"/>
        <w:tabs>
          <w:tab w:pos="512"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sz w:val="24"/>
          <w:szCs w:val="24"/>
        </w:rPr>
        <w:t>五</w:t>
      </w:r>
      <w:bookmarkEnd w:id="791"/>
      <w:r>
        <w:rPr>
          <w:color w:val="000000"/>
          <w:spacing w:val="0"/>
          <w:w w:val="100"/>
          <w:position w:val="0"/>
          <w:sz w:val="24"/>
          <w:szCs w:val="24"/>
        </w:rPr>
        <w:t>、</w:t>
        <w:tab/>
        <w:t>重要会计政策及会计估计</w:t>
      </w:r>
      <w:bookmarkEnd w:id="789"/>
      <w:bookmarkEnd w:id="790"/>
      <w:bookmarkEnd w:id="792"/>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具体会计政策和会计估计提示：</w:t>
      </w:r>
    </w:p>
    <w:p>
      <w:pPr>
        <w:pStyle w:val="Style15"/>
        <w:keepNext w:val="0"/>
        <w:keepLines w:val="0"/>
        <w:widowControl w:val="0"/>
        <w:shd w:val="clear" w:color="auto" w:fill="auto"/>
        <w:bidi w:val="0"/>
        <w:spacing w:before="0" w:after="360" w:line="312" w:lineRule="exact"/>
        <w:ind w:left="0" w:right="0" w:firstLine="200"/>
        <w:jc w:val="both"/>
      </w:pPr>
      <w:r>
        <w:rPr>
          <w:color w:val="000000"/>
          <w:spacing w:val="0"/>
          <w:w w:val="100"/>
          <w:position w:val="0"/>
        </w:rPr>
        <w:t>重要提示：本公司根据实际生产经营特点针对金融工具减值、固定资产折旧、使用权资产折旧、无形资产摊销、开发支出 资本化、收入确认等交易或事项制定了具体会计政策和会计估计。</w:t>
      </w:r>
    </w:p>
    <w:p>
      <w:pPr>
        <w:pStyle w:val="Style24"/>
        <w:keepNext/>
        <w:keepLines/>
        <w:widowControl w:val="0"/>
        <w:shd w:val="clear" w:color="auto" w:fill="auto"/>
        <w:tabs>
          <w:tab w:pos="368" w:val="left"/>
        </w:tabs>
        <w:bidi w:val="0"/>
        <w:spacing w:before="0" w:after="26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color w:val="000000"/>
          <w:spacing w:val="0"/>
          <w:w w:val="100"/>
          <w:position w:val="0"/>
        </w:rPr>
        <w:t>、</w:t>
        <w:tab/>
        <w:t>遵循企业会计准则的声明</w:t>
      </w:r>
      <w:bookmarkEnd w:id="793"/>
      <w:bookmarkEnd w:id="794"/>
      <w:bookmarkEnd w:id="796"/>
    </w:p>
    <w:p>
      <w:pPr>
        <w:pStyle w:val="Style15"/>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本公司所编制的财务报表符合企业会计准则的要求，真实、完整地反映了公司的财务状况、经营成果和现金流量等有关 信息。</w:t>
      </w:r>
    </w:p>
    <w:p>
      <w:pPr>
        <w:pStyle w:val="Style24"/>
        <w:keepNext/>
        <w:keepLines/>
        <w:widowControl w:val="0"/>
        <w:shd w:val="clear" w:color="auto" w:fill="auto"/>
        <w:tabs>
          <w:tab w:pos="378" w:val="left"/>
        </w:tabs>
        <w:bidi w:val="0"/>
        <w:spacing w:before="0" w:after="26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color w:val="000000"/>
          <w:spacing w:val="0"/>
          <w:w w:val="100"/>
          <w:position w:val="0"/>
        </w:rPr>
        <w:t>、</w:t>
        <w:tab/>
        <w:t>会计期间</w:t>
      </w:r>
      <w:bookmarkEnd w:id="797"/>
      <w:bookmarkEnd w:id="798"/>
      <w:bookmarkEnd w:id="800"/>
    </w:p>
    <w:p>
      <w:pPr>
        <w:pStyle w:val="Style15"/>
        <w:keepNext w:val="0"/>
        <w:keepLines w:val="0"/>
        <w:widowControl w:val="0"/>
        <w:shd w:val="clear" w:color="auto" w:fill="auto"/>
        <w:bidi w:val="0"/>
        <w:spacing w:before="0" w:after="360" w:line="314" w:lineRule="exact"/>
        <w:ind w:left="0" w:right="0"/>
        <w:jc w:val="both"/>
      </w:pPr>
      <w:r>
        <w:rPr>
          <w:color w:val="000000"/>
          <w:spacing w:val="0"/>
          <w:w w:val="100"/>
          <w:position w:val="0"/>
        </w:rPr>
        <w:t>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4"/>
        <w:keepNext/>
        <w:keepLines/>
        <w:widowControl w:val="0"/>
        <w:shd w:val="clear" w:color="auto" w:fill="auto"/>
        <w:tabs>
          <w:tab w:pos="378" w:val="left"/>
        </w:tabs>
        <w:bidi w:val="0"/>
        <w:spacing w:before="0" w:after="26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3</w:t>
      </w:r>
      <w:bookmarkEnd w:id="803"/>
      <w:r>
        <w:rPr>
          <w:color w:val="000000"/>
          <w:spacing w:val="0"/>
          <w:w w:val="100"/>
          <w:position w:val="0"/>
        </w:rPr>
        <w:t>、</w:t>
        <w:tab/>
        <w:t>营业周期</w:t>
      </w:r>
      <w:bookmarkEnd w:id="801"/>
      <w:bookmarkEnd w:id="802"/>
      <w:bookmarkEnd w:id="804"/>
    </w:p>
    <w:p>
      <w:pPr>
        <w:pStyle w:val="Style15"/>
        <w:keepNext w:val="0"/>
        <w:keepLines w:val="0"/>
        <w:widowControl w:val="0"/>
        <w:shd w:val="clear" w:color="auto" w:fill="auto"/>
        <w:bidi w:val="0"/>
        <w:spacing w:before="0" w:after="360" w:line="314" w:lineRule="exact"/>
        <w:ind w:left="0" w:right="0"/>
        <w:jc w:val="both"/>
      </w:pPr>
      <w:r>
        <w:rPr>
          <w:color w:val="000000"/>
          <w:spacing w:val="0"/>
          <w:w w:val="100"/>
          <w:position w:val="0"/>
        </w:rPr>
        <w:t>公司经营业务的营业周期较短，以</w:t>
      </w:r>
      <w:r>
        <w:rPr>
          <w:color w:val="000000"/>
          <w:spacing w:val="0"/>
          <w:w w:val="100"/>
          <w:position w:val="0"/>
          <w:sz w:val="18"/>
          <w:szCs w:val="18"/>
        </w:rPr>
        <w:t>12</w:t>
      </w:r>
      <w:r>
        <w:rPr>
          <w:color w:val="000000"/>
          <w:spacing w:val="0"/>
          <w:w w:val="100"/>
          <w:position w:val="0"/>
        </w:rPr>
        <w:t>个月作为资产和负债的流动性划分标准。</w:t>
      </w:r>
    </w:p>
    <w:p>
      <w:pPr>
        <w:pStyle w:val="Style24"/>
        <w:keepNext/>
        <w:keepLines/>
        <w:widowControl w:val="0"/>
        <w:shd w:val="clear" w:color="auto" w:fill="auto"/>
        <w:tabs>
          <w:tab w:pos="378"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4</w:t>
      </w:r>
      <w:bookmarkEnd w:id="807"/>
      <w:r>
        <w:rPr>
          <w:color w:val="000000"/>
          <w:spacing w:val="0"/>
          <w:w w:val="100"/>
          <w:position w:val="0"/>
        </w:rPr>
        <w:t>、</w:t>
        <w:tab/>
        <w:t>记账本位币</w:t>
      </w:r>
      <w:bookmarkEnd w:id="805"/>
      <w:bookmarkEnd w:id="806"/>
      <w:bookmarkEnd w:id="808"/>
    </w:p>
    <w:p>
      <w:pPr>
        <w:pStyle w:val="Style15"/>
        <w:keepNext w:val="0"/>
        <w:keepLines w:val="0"/>
        <w:widowControl w:val="0"/>
        <w:shd w:val="clear" w:color="auto" w:fill="auto"/>
        <w:bidi w:val="0"/>
        <w:spacing w:before="0" w:after="360" w:line="314" w:lineRule="exact"/>
        <w:ind w:left="0" w:right="0"/>
        <w:jc w:val="both"/>
      </w:pPr>
      <w:r>
        <w:rPr>
          <w:color w:val="000000"/>
          <w:spacing w:val="0"/>
          <w:w w:val="100"/>
          <w:position w:val="0"/>
        </w:rPr>
        <w:t>采用人民币为记账本位币。</w:t>
      </w:r>
    </w:p>
    <w:p>
      <w:pPr>
        <w:pStyle w:val="Style24"/>
        <w:keepNext/>
        <w:keepLines/>
        <w:widowControl w:val="0"/>
        <w:shd w:val="clear" w:color="auto" w:fill="auto"/>
        <w:tabs>
          <w:tab w:pos="378" w:val="left"/>
        </w:tabs>
        <w:bidi w:val="0"/>
        <w:spacing w:before="0" w:after="26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5</w:t>
      </w:r>
      <w:bookmarkEnd w:id="811"/>
      <w:r>
        <w:rPr>
          <w:color w:val="000000"/>
          <w:spacing w:val="0"/>
          <w:w w:val="100"/>
          <w:position w:val="0"/>
        </w:rPr>
        <w:t>、</w:t>
        <w:tab/>
        <w:t>同一控制下和非同一控制下企业合并的会计处理方法</w:t>
      </w:r>
      <w:bookmarkEnd w:id="809"/>
      <w:bookmarkEnd w:id="810"/>
      <w:bookmarkEnd w:id="812"/>
    </w:p>
    <w:p>
      <w:pPr>
        <w:pStyle w:val="Style15"/>
        <w:keepNext w:val="0"/>
        <w:keepLines w:val="0"/>
        <w:widowControl w:val="0"/>
        <w:shd w:val="clear" w:color="auto" w:fill="auto"/>
        <w:bidi w:val="0"/>
        <w:spacing w:before="0" w:after="0" w:line="317" w:lineRule="exact"/>
        <w:ind w:left="0" w:right="0"/>
        <w:jc w:val="both"/>
      </w:pPr>
      <w:bookmarkStart w:id="813" w:name="bookmark813"/>
      <w:r>
        <w:rPr>
          <w:color w:val="000000"/>
          <w:spacing w:val="0"/>
          <w:w w:val="100"/>
          <w:position w:val="0"/>
          <w:sz w:val="18"/>
          <w:szCs w:val="18"/>
        </w:rPr>
        <w:t>1</w:t>
      </w:r>
      <w:bookmarkEnd w:id="813"/>
      <w:r>
        <w:rPr>
          <w:color w:val="000000"/>
          <w:spacing w:val="0"/>
          <w:w w:val="100"/>
          <w:position w:val="0"/>
        </w:rPr>
        <w:t>、同一控制下企业合并的会计处理方法</w:t>
      </w:r>
    </w:p>
    <w:p>
      <w:pPr>
        <w:pStyle w:val="Style15"/>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公司在企业合并中取得的资产和负债，按照合并日被合并方在最终控制方合并财务报表中的账面价值计量。公司按照 被合并方所有者权益在最终控制方合并财务报表中的账面价值份额与支付的合并对价账面价值或发行股份面值总额的差额， 调整资本公积；资本公积不足冲减的，调整留存收益。</w:t>
      </w:r>
    </w:p>
    <w:p>
      <w:pPr>
        <w:pStyle w:val="Style15"/>
        <w:keepNext w:val="0"/>
        <w:keepLines w:val="0"/>
        <w:widowControl w:val="0"/>
        <w:shd w:val="clear" w:color="auto" w:fill="auto"/>
        <w:bidi w:val="0"/>
        <w:spacing w:before="0" w:after="300" w:line="317" w:lineRule="exact"/>
        <w:ind w:left="0" w:right="0"/>
        <w:jc w:val="both"/>
      </w:pPr>
      <w:bookmarkStart w:id="814" w:name="bookmark814"/>
      <w:r>
        <w:rPr>
          <w:color w:val="000000"/>
          <w:spacing w:val="0"/>
          <w:w w:val="100"/>
          <w:position w:val="0"/>
          <w:sz w:val="18"/>
          <w:szCs w:val="18"/>
        </w:rPr>
        <w:t>2</w:t>
      </w:r>
      <w:bookmarkEnd w:id="814"/>
      <w:r>
        <w:rPr>
          <w:color w:val="000000"/>
          <w:spacing w:val="0"/>
          <w:w w:val="100"/>
          <w:position w:val="0"/>
        </w:rPr>
        <w:t>、非同一控制下企业合并的会计处理方法</w:t>
      </w:r>
    </w:p>
    <w:p>
      <w:pPr>
        <w:pStyle w:val="Style15"/>
        <w:keepNext w:val="0"/>
        <w:keepLines w:val="0"/>
        <w:widowControl w:val="0"/>
        <w:shd w:val="clear" w:color="auto" w:fill="auto"/>
        <w:bidi w:val="0"/>
        <w:spacing w:before="0" w:after="680" w:line="310" w:lineRule="exact"/>
        <w:ind w:left="0" w:right="0" w:firstLine="440"/>
        <w:jc w:val="both"/>
      </w:pPr>
      <w:r>
        <w:rPr>
          <w:color w:val="000000"/>
          <w:spacing w:val="0"/>
          <w:w w:val="100"/>
          <w:position w:val="0"/>
        </w:rPr>
        <w:t>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24"/>
        <w:keepNext/>
        <w:keepLines/>
        <w:widowControl w:val="0"/>
        <w:shd w:val="clear" w:color="auto" w:fill="auto"/>
        <w:tabs>
          <w:tab w:pos="378" w:val="left"/>
        </w:tabs>
        <w:bidi w:val="0"/>
        <w:spacing w:before="0" w:after="28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6</w:t>
      </w:r>
      <w:bookmarkEnd w:id="817"/>
      <w:r>
        <w:rPr>
          <w:color w:val="000000"/>
          <w:spacing w:val="0"/>
          <w:w w:val="100"/>
          <w:position w:val="0"/>
        </w:rPr>
        <w:t>、</w:t>
        <w:tab/>
        <w:t>合并财务报表的编制方法</w:t>
      </w:r>
      <w:bookmarkEnd w:id="815"/>
      <w:bookmarkEnd w:id="816"/>
      <w:bookmarkEnd w:id="818"/>
    </w:p>
    <w:p>
      <w:pPr>
        <w:pStyle w:val="Style15"/>
        <w:keepNext w:val="0"/>
        <w:keepLines w:val="0"/>
        <w:widowControl w:val="0"/>
        <w:shd w:val="clear" w:color="auto" w:fill="auto"/>
        <w:tabs>
          <w:tab w:pos="762" w:val="left"/>
        </w:tabs>
        <w:bidi w:val="0"/>
        <w:spacing w:before="0" w:after="0" w:line="302" w:lineRule="exact"/>
        <w:ind w:left="0" w:right="0" w:firstLine="440"/>
        <w:jc w:val="left"/>
      </w:pPr>
      <w:bookmarkStart w:id="819" w:name="bookmark819"/>
      <w:r>
        <w:rPr>
          <w:rFonts w:ascii="Times New Roman" w:eastAsia="Times New Roman" w:hAnsi="Times New Roman" w:cs="Times New Roman"/>
          <w:color w:val="000000"/>
          <w:spacing w:val="0"/>
          <w:w w:val="100"/>
          <w:position w:val="0"/>
        </w:rPr>
        <w:t>1</w:t>
      </w:r>
      <w:bookmarkEnd w:id="819"/>
      <w:r>
        <w:rPr>
          <w:color w:val="000000"/>
          <w:spacing w:val="0"/>
          <w:w w:val="100"/>
          <w:position w:val="0"/>
        </w:rPr>
        <w:t>、</w:t>
        <w:tab/>
        <w:t>母公司将其控制的所有子公司纳入合并财务报表的合并范围。合并财务报表以母公司及其子公司的财务报表为基础， 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合并财务报表》编制。</w:t>
      </w:r>
    </w:p>
    <w:p>
      <w:pPr>
        <w:pStyle w:val="Style15"/>
        <w:keepNext w:val="0"/>
        <w:keepLines w:val="0"/>
        <w:widowControl w:val="0"/>
        <w:shd w:val="clear" w:color="auto" w:fill="auto"/>
        <w:tabs>
          <w:tab w:pos="794" w:val="left"/>
        </w:tabs>
        <w:bidi w:val="0"/>
        <w:spacing w:before="0" w:after="340" w:line="302" w:lineRule="exact"/>
        <w:ind w:left="0" w:right="0" w:firstLine="440"/>
        <w:jc w:val="left"/>
      </w:pPr>
      <w:bookmarkStart w:id="820" w:name="bookmark820"/>
      <w:r>
        <w:rPr>
          <w:rFonts w:ascii="Times New Roman" w:eastAsia="Times New Roman" w:hAnsi="Times New Roman" w:cs="Times New Roman"/>
          <w:color w:val="000000"/>
          <w:spacing w:val="0"/>
          <w:w w:val="100"/>
          <w:position w:val="0"/>
        </w:rPr>
        <w:t>2</w:t>
      </w:r>
      <w:bookmarkEnd w:id="820"/>
      <w:r>
        <w:rPr>
          <w:color w:val="000000"/>
          <w:spacing w:val="0"/>
          <w:w w:val="100"/>
          <w:position w:val="0"/>
        </w:rPr>
        <w:t>、</w:t>
        <w:tab/>
        <w:t>对同一子公司的股权在连续两个会计年度买入再卖出，或卖出再买入的相关会计处理方法</w:t>
      </w:r>
    </w:p>
    <w:p>
      <w:pPr>
        <w:pStyle w:val="Style24"/>
        <w:keepNext/>
        <w:keepLines/>
        <w:widowControl w:val="0"/>
        <w:shd w:val="clear" w:color="auto" w:fill="auto"/>
        <w:tabs>
          <w:tab w:pos="378" w:val="left"/>
        </w:tabs>
        <w:bidi w:val="0"/>
        <w:spacing w:before="0" w:after="34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7</w:t>
      </w:r>
      <w:bookmarkEnd w:id="823"/>
      <w:r>
        <w:rPr>
          <w:color w:val="000000"/>
          <w:spacing w:val="0"/>
          <w:w w:val="100"/>
          <w:position w:val="0"/>
        </w:rPr>
        <w:t>、</w:t>
        <w:tab/>
        <w:t>合营安排分类及共同经营会计处理方法</w:t>
      </w:r>
      <w:bookmarkEnd w:id="821"/>
      <w:bookmarkEnd w:id="822"/>
      <w:bookmarkEnd w:id="824"/>
    </w:p>
    <w:p>
      <w:pPr>
        <w:pStyle w:val="Style24"/>
        <w:keepNext/>
        <w:keepLines/>
        <w:widowControl w:val="0"/>
        <w:shd w:val="clear" w:color="auto" w:fill="auto"/>
        <w:tabs>
          <w:tab w:pos="378"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8</w:t>
      </w:r>
      <w:bookmarkEnd w:id="827"/>
      <w:r>
        <w:rPr>
          <w:color w:val="000000"/>
          <w:spacing w:val="0"/>
          <w:w w:val="100"/>
          <w:position w:val="0"/>
        </w:rPr>
        <w:t>、</w:t>
        <w:tab/>
        <w:t>现金及现金等价物的确定标准</w:t>
      </w:r>
      <w:bookmarkEnd w:id="825"/>
      <w:bookmarkEnd w:id="826"/>
      <w:bookmarkEnd w:id="828"/>
    </w:p>
    <w:p>
      <w:pPr>
        <w:pStyle w:val="Style15"/>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列示于现金流量表中的现金是指库存现金以及可以随时用于支付的存款。现金等价物是指企业持有的期限短、流动性 强、易于转换为已知金额现金、价值变动风险很小的投资。</w:t>
      </w:r>
    </w:p>
    <w:p>
      <w:pPr>
        <w:pStyle w:val="Style24"/>
        <w:keepNext/>
        <w:keepLines/>
        <w:widowControl w:val="0"/>
        <w:shd w:val="clear" w:color="auto" w:fill="auto"/>
        <w:tabs>
          <w:tab w:pos="378"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9</w:t>
      </w:r>
      <w:bookmarkEnd w:id="831"/>
      <w:r>
        <w:rPr>
          <w:color w:val="000000"/>
          <w:spacing w:val="0"/>
          <w:w w:val="100"/>
          <w:position w:val="0"/>
        </w:rPr>
        <w:t>、</w:t>
        <w:tab/>
        <w:t>外币业务和外币报表折算</w:t>
      </w:r>
      <w:bookmarkEnd w:id="829"/>
      <w:bookmarkEnd w:id="830"/>
      <w:bookmarkEnd w:id="832"/>
    </w:p>
    <w:p>
      <w:pPr>
        <w:pStyle w:val="Style15"/>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外币交易在初始确认时，采用交易发生日即期汇率的近似汇率折算为人民币金额。资产负债表日，外币货币性项目采 用资产负债表日即期汇率折算，因汇率不同而产生的汇兑差额，除与购建符合资本化条件资产有关的外币专门借款本金及利 息的汇兑差额外，计入当期损益；以历史成本计量的外币非货币性项目仍采用交易发生日即期汇率的近似汇率折算，不改变 其人民币金额；以公允价值计量的外币非货币性项目，采用公允价值确定日的即期汇率折算，差额计入当期损益或其他综合 收益。</w:t>
      </w:r>
    </w:p>
    <w:p>
      <w:pPr>
        <w:pStyle w:val="Style24"/>
        <w:keepNext/>
        <w:keepLines/>
        <w:widowControl w:val="0"/>
        <w:shd w:val="clear" w:color="auto" w:fill="auto"/>
        <w:tabs>
          <w:tab w:pos="474"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33"/>
      <w:bookmarkEnd w:id="834"/>
      <w:bookmarkEnd w:id="836"/>
    </w:p>
    <w:p>
      <w:pPr>
        <w:pStyle w:val="Style15"/>
        <w:keepNext w:val="0"/>
        <w:keepLines w:val="0"/>
        <w:widowControl w:val="0"/>
        <w:shd w:val="clear" w:color="auto" w:fill="auto"/>
        <w:tabs>
          <w:tab w:pos="774" w:val="left"/>
        </w:tabs>
        <w:bidi w:val="0"/>
        <w:spacing w:before="0" w:after="0" w:line="309" w:lineRule="exact"/>
        <w:ind w:left="0" w:right="0" w:firstLine="440"/>
        <w:jc w:val="both"/>
      </w:pPr>
      <w:bookmarkStart w:id="837" w:name="bookmark837"/>
      <w:r>
        <w:rPr>
          <w:rFonts w:ascii="Times New Roman" w:eastAsia="Times New Roman" w:hAnsi="Times New Roman" w:cs="Times New Roman"/>
          <w:color w:val="000000"/>
          <w:spacing w:val="0"/>
          <w:w w:val="100"/>
          <w:position w:val="0"/>
        </w:rPr>
        <w:t>1</w:t>
      </w:r>
      <w:bookmarkEnd w:id="837"/>
      <w:r>
        <w:rPr>
          <w:color w:val="000000"/>
          <w:spacing w:val="0"/>
          <w:w w:val="100"/>
          <w:position w:val="0"/>
        </w:rPr>
        <w:t>、</w:t>
        <w:tab/>
        <w:t>金融资产和金融负债的分类</w:t>
      </w:r>
    </w:p>
    <w:p>
      <w:pPr>
        <w:pStyle w:val="Style1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金融资产在初始确认时划分为以下三类：（</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）以公允价值计量且其变动计入其 他综合收益的金融资产；（</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）以公允价值计量且其变动计入当期损益的金融资产。</w:t>
      </w:r>
    </w:p>
    <w:p>
      <w:pPr>
        <w:pStyle w:val="Style1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金融负债在初始确认时划分为以下四类：（</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）以公允价值计量且其变动计入当期损益的金融负债；（</w:t>
      </w:r>
      <w:r>
        <w:rPr>
          <w:rFonts w:ascii="Times New Roman" w:eastAsia="Times New Roman" w:hAnsi="Times New Roman" w:cs="Times New Roman"/>
          <w:color w:val="000000"/>
          <w:spacing w:val="0"/>
          <w:w w:val="100"/>
          <w:position w:val="0"/>
        </w:rPr>
        <w:t>2</w:t>
      </w:r>
      <w:r>
        <w:rPr>
          <w:color w:val="000000"/>
          <w:spacing w:val="0"/>
          <w:w w:val="100"/>
          <w:position w:val="0"/>
        </w:rPr>
        <w:t>）金融资产 转移不符合终止确认条件或继续涉入被转移金融资产所形成的金融负债；（</w:t>
      </w:r>
      <w:r>
        <w:rPr>
          <w:rFonts w:ascii="Times New Roman" w:eastAsia="Times New Roman" w:hAnsi="Times New Roman" w:cs="Times New Roman"/>
          <w:color w:val="000000"/>
          <w:spacing w:val="0"/>
          <w:w w:val="100"/>
          <w:position w:val="0"/>
        </w:rPr>
        <w:t>3</w:t>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 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rFonts w:ascii="Times New Roman" w:eastAsia="Times New Roman" w:hAnsi="Times New Roman" w:cs="Times New Roman"/>
          <w:color w:val="000000"/>
          <w:spacing w:val="0"/>
          <w:w w:val="100"/>
          <w:position w:val="0"/>
        </w:rPr>
        <w:t>4</w:t>
      </w:r>
      <w:r>
        <w:rPr>
          <w:color w:val="000000"/>
          <w:spacing w:val="0"/>
          <w:w w:val="100"/>
          <w:position w:val="0"/>
        </w:rPr>
        <w:t>）以摊余成本计量的金融负债。</w:t>
      </w:r>
    </w:p>
    <w:p>
      <w:pPr>
        <w:pStyle w:val="Style15"/>
        <w:keepNext w:val="0"/>
        <w:keepLines w:val="0"/>
        <w:widowControl w:val="0"/>
        <w:shd w:val="clear" w:color="auto" w:fill="auto"/>
        <w:tabs>
          <w:tab w:pos="794" w:val="left"/>
        </w:tabs>
        <w:bidi w:val="0"/>
        <w:spacing w:before="0" w:after="0" w:line="309" w:lineRule="exact"/>
        <w:ind w:left="0" w:right="0" w:firstLine="440"/>
        <w:jc w:val="both"/>
      </w:pPr>
      <w:bookmarkStart w:id="838" w:name="bookmark838"/>
      <w:r>
        <w:rPr>
          <w:rFonts w:ascii="Times New Roman" w:eastAsia="Times New Roman" w:hAnsi="Times New Roman" w:cs="Times New Roman"/>
          <w:color w:val="000000"/>
          <w:spacing w:val="0"/>
          <w:w w:val="100"/>
          <w:position w:val="0"/>
        </w:rPr>
        <w:t>2</w:t>
      </w:r>
      <w:bookmarkEnd w:id="838"/>
      <w:r>
        <w:rPr>
          <w:color w:val="000000"/>
          <w:spacing w:val="0"/>
          <w:w w:val="100"/>
          <w:position w:val="0"/>
        </w:rPr>
        <w:t>、</w:t>
        <w:tab/>
        <w:t>金融资产和金融负债的确认依据、计量方法和终止确认条件</w:t>
      </w:r>
    </w:p>
    <w:p>
      <w:pPr>
        <w:pStyle w:val="Style15"/>
        <w:keepNext w:val="0"/>
        <w:keepLines w:val="0"/>
        <w:widowControl w:val="0"/>
        <w:shd w:val="clear" w:color="auto" w:fill="auto"/>
        <w:tabs>
          <w:tab w:pos="885" w:val="left"/>
        </w:tabs>
        <w:bidi w:val="0"/>
        <w:spacing w:before="0" w:after="0" w:line="309" w:lineRule="exact"/>
        <w:ind w:left="0" w:right="0" w:firstLine="44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金融资产和金融负债的确认依据和初始计量方法</w:t>
      </w:r>
    </w:p>
    <w:p>
      <w:pPr>
        <w:pStyle w:val="Style1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公司成为金融工具合同的一方时，确认一项金融资产或金融负债。初始确认金融资产或金融负债时，按照公允价值计 量；对于以公允价值计量且其变动计入当期损益的金融资产和金融负债，相关交易费用直接计入当期损益；对于其他类别的 金融资产或金融负债，相关交易费用计入初始确认金额。但是，公司初始确认的应收账款未包含重大融资成分或公司不考虑 未超过一年的合同中的融资成分的，按照《企业会计准则第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号——收入》所定义的交易价格进行初始计量。</w:t>
      </w:r>
    </w:p>
    <w:p>
      <w:pPr>
        <w:pStyle w:val="Style15"/>
        <w:keepNext w:val="0"/>
        <w:keepLines w:val="0"/>
        <w:widowControl w:val="0"/>
        <w:shd w:val="clear" w:color="auto" w:fill="auto"/>
        <w:tabs>
          <w:tab w:pos="885" w:val="left"/>
        </w:tabs>
        <w:bidi w:val="0"/>
        <w:spacing w:before="0" w:after="0" w:line="309" w:lineRule="exact"/>
        <w:ind w:left="0" w:right="0" w:firstLine="44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金融资产的后续计量方法</w:t>
      </w:r>
    </w:p>
    <w:p>
      <w:pPr>
        <w:pStyle w:val="Style15"/>
        <w:keepNext w:val="0"/>
        <w:keepLines w:val="0"/>
        <w:widowControl w:val="0"/>
        <w:shd w:val="clear" w:color="auto" w:fill="auto"/>
        <w:bidi w:val="0"/>
        <w:spacing w:before="0" w:after="0" w:line="309" w:lineRule="exact"/>
        <w:ind w:left="0" w:right="0" w:firstLine="440"/>
        <w:jc w:val="both"/>
      </w:pPr>
      <w:bookmarkStart w:id="841" w:name="bookmark841"/>
      <w:r>
        <w:rPr>
          <w:rFonts w:ascii="Times New Roman" w:eastAsia="Times New Roman" w:hAnsi="Times New Roman" w:cs="Times New Roman"/>
          <w:color w:val="000000"/>
          <w:spacing w:val="0"/>
          <w:w w:val="100"/>
          <w:position w:val="0"/>
        </w:rPr>
        <w:t>1</w:t>
      </w:r>
      <w:bookmarkEnd w:id="841"/>
      <w:r>
        <w:rPr>
          <w:color w:val="000000"/>
          <w:spacing w:val="0"/>
          <w:w w:val="100"/>
          <w:position w:val="0"/>
        </w:rPr>
        <w:t>）以摊余成本计量的金融资产</w:t>
      </w:r>
    </w:p>
    <w:p>
      <w:pPr>
        <w:pStyle w:val="Style15"/>
        <w:keepNext w:val="0"/>
        <w:keepLines w:val="0"/>
        <w:widowControl w:val="0"/>
        <w:shd w:val="clear" w:color="auto" w:fill="auto"/>
        <w:bidi w:val="0"/>
        <w:spacing w:before="0" w:after="280" w:line="309" w:lineRule="exact"/>
        <w:ind w:left="0" w:right="0" w:firstLine="440"/>
        <w:jc w:val="both"/>
      </w:pPr>
      <w:r>
        <w:rPr>
          <w:color w:val="000000"/>
          <w:spacing w:val="0"/>
          <w:w w:val="100"/>
          <w:position w:val="0"/>
        </w:rPr>
        <w:t>采用实际利率法，按照摊余成本进行后续计量。以摊余成本计量且不属于任何套期关系的一部分的金融资产所产生的 利得或损失，在终止确认、重分类、按照实际利率法摊销或确认减值时，计入当期损益。</w:t>
      </w:r>
    </w:p>
    <w:p>
      <w:pPr>
        <w:pStyle w:val="Style15"/>
        <w:keepNext w:val="0"/>
        <w:keepLines w:val="0"/>
        <w:widowControl w:val="0"/>
        <w:shd w:val="clear" w:color="auto" w:fill="auto"/>
        <w:tabs>
          <w:tab w:pos="808" w:val="left"/>
        </w:tabs>
        <w:bidi w:val="0"/>
        <w:spacing w:before="0" w:after="0" w:line="311" w:lineRule="exact"/>
        <w:ind w:left="0" w:right="0" w:firstLine="440"/>
        <w:jc w:val="both"/>
      </w:pPr>
      <w:bookmarkStart w:id="842" w:name="bookmark842"/>
      <w:r>
        <w:rPr>
          <w:rFonts w:ascii="Times New Roman" w:eastAsia="Times New Roman" w:hAnsi="Times New Roman" w:cs="Times New Roman"/>
          <w:color w:val="000000"/>
          <w:spacing w:val="0"/>
          <w:w w:val="100"/>
          <w:position w:val="0"/>
        </w:rPr>
        <w:t>2</w:t>
      </w:r>
      <w:bookmarkEnd w:id="842"/>
      <w:r>
        <w:rPr>
          <w:color w:val="000000"/>
          <w:spacing w:val="0"/>
          <w:w w:val="100"/>
          <w:position w:val="0"/>
        </w:rPr>
        <w:t>）</w:t>
        <w:tab/>
        <w:t>以公允价值计量且其变动计入其他综合收益的债务工具投资</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采用公允价值进行后续计量。采用实际利率法计算的利息、减值损失或利得及汇兑损益计入当期损益，其他利得或损 失计入其他综合收益。终止确认时，将之前计入其他综合收益的累计利得或损失从其他综合收益中转出，计入当期损益。</w:t>
      </w:r>
    </w:p>
    <w:p>
      <w:pPr>
        <w:pStyle w:val="Style15"/>
        <w:keepNext w:val="0"/>
        <w:keepLines w:val="0"/>
        <w:widowControl w:val="0"/>
        <w:shd w:val="clear" w:color="auto" w:fill="auto"/>
        <w:tabs>
          <w:tab w:pos="808" w:val="left"/>
        </w:tabs>
        <w:bidi w:val="0"/>
        <w:spacing w:before="0" w:after="0" w:line="311" w:lineRule="exact"/>
        <w:ind w:left="0" w:right="0" w:firstLine="440"/>
        <w:jc w:val="both"/>
      </w:pPr>
      <w:bookmarkStart w:id="843" w:name="bookmark843"/>
      <w:r>
        <w:rPr>
          <w:rFonts w:ascii="Times New Roman" w:eastAsia="Times New Roman" w:hAnsi="Times New Roman" w:cs="Times New Roman"/>
          <w:color w:val="000000"/>
          <w:spacing w:val="0"/>
          <w:w w:val="100"/>
          <w:position w:val="0"/>
        </w:rPr>
        <w:t>3</w:t>
      </w:r>
      <w:bookmarkEnd w:id="843"/>
      <w:r>
        <w:rPr>
          <w:color w:val="000000"/>
          <w:spacing w:val="0"/>
          <w:w w:val="100"/>
          <w:position w:val="0"/>
        </w:rPr>
        <w:t>）</w:t>
        <w:tab/>
        <w:t>以公允价值计量且其变动计入其他综合收益的权益工具投资</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采用公允价值进行后续计量。获得的股利（属于投资成本收回部分的除外）计入当期损益，其他利得或损失计入其他 综合收益。终止确认时，将之前计入其他综合收益的累计利得或损失从其他综合收益中转出，计入留存收益。</w:t>
      </w:r>
    </w:p>
    <w:p>
      <w:pPr>
        <w:pStyle w:val="Style15"/>
        <w:keepNext w:val="0"/>
        <w:keepLines w:val="0"/>
        <w:widowControl w:val="0"/>
        <w:shd w:val="clear" w:color="auto" w:fill="auto"/>
        <w:tabs>
          <w:tab w:pos="808" w:val="left"/>
        </w:tabs>
        <w:bidi w:val="0"/>
        <w:spacing w:before="0" w:after="0" w:line="311" w:lineRule="exact"/>
        <w:ind w:left="0" w:right="0" w:firstLine="440"/>
        <w:jc w:val="both"/>
      </w:pPr>
      <w:bookmarkStart w:id="844" w:name="bookmark844"/>
      <w:r>
        <w:rPr>
          <w:rFonts w:ascii="Times New Roman" w:eastAsia="Times New Roman" w:hAnsi="Times New Roman" w:cs="Times New Roman"/>
          <w:color w:val="000000"/>
          <w:spacing w:val="0"/>
          <w:w w:val="100"/>
          <w:position w:val="0"/>
        </w:rPr>
        <w:t>4</w:t>
      </w:r>
      <w:bookmarkEnd w:id="844"/>
      <w:r>
        <w:rPr>
          <w:color w:val="000000"/>
          <w:spacing w:val="0"/>
          <w:w w:val="100"/>
          <w:position w:val="0"/>
        </w:rPr>
        <w:t>）</w:t>
        <w:tab/>
        <w:t>以公允价值计量且其变动计入当期损益的金融资产</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采用公允价值进行后续计量，产生的利得或损失（包括利息和股利收入）计入当期损益，除非该金融资产属于套期关 系的一部分。</w:t>
      </w:r>
    </w:p>
    <w:p>
      <w:pPr>
        <w:pStyle w:val="Style15"/>
        <w:keepNext w:val="0"/>
        <w:keepLines w:val="0"/>
        <w:widowControl w:val="0"/>
        <w:shd w:val="clear" w:color="auto" w:fill="auto"/>
        <w:tabs>
          <w:tab w:pos="885" w:val="left"/>
        </w:tabs>
        <w:bidi w:val="0"/>
        <w:spacing w:before="0" w:after="0" w:line="311" w:lineRule="exact"/>
        <w:ind w:left="0" w:right="0" w:firstLine="44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w:t>
        <w:tab/>
        <w:t>金融负债的后续计量方法</w:t>
      </w:r>
    </w:p>
    <w:p>
      <w:pPr>
        <w:pStyle w:val="Style15"/>
        <w:keepNext w:val="0"/>
        <w:keepLines w:val="0"/>
        <w:widowControl w:val="0"/>
        <w:shd w:val="clear" w:color="auto" w:fill="auto"/>
        <w:tabs>
          <w:tab w:pos="789" w:val="left"/>
        </w:tabs>
        <w:bidi w:val="0"/>
        <w:spacing w:before="0" w:after="0" w:line="311" w:lineRule="exact"/>
        <w:ind w:left="0" w:right="0" w:firstLine="440"/>
        <w:jc w:val="both"/>
      </w:pPr>
      <w:bookmarkStart w:id="846" w:name="bookmark846"/>
      <w:r>
        <w:rPr>
          <w:rFonts w:ascii="Times New Roman" w:eastAsia="Times New Roman" w:hAnsi="Times New Roman" w:cs="Times New Roman"/>
          <w:color w:val="000000"/>
          <w:spacing w:val="0"/>
          <w:w w:val="100"/>
          <w:position w:val="0"/>
        </w:rPr>
        <w:t>1</w:t>
      </w:r>
      <w:bookmarkEnd w:id="846"/>
      <w:r>
        <w:rPr>
          <w:color w:val="000000"/>
          <w:spacing w:val="0"/>
          <w:w w:val="100"/>
          <w:position w:val="0"/>
        </w:rPr>
        <w:t>）</w:t>
        <w:tab/>
        <w:t>以公允价值计量且其变动计入当期损益的金融负债</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此类金融负债包括交易性金融负债（含属于金融负债的衍生工具）和指定为以公允价值计量且其变动计入当期损益的 金融负债。对于此类金融负债以公允价值进行后续计量。因公司自身信用风险变动引起的指定为以公允价值计量且其变动计 入当期损益的金融负债的公允价值变动金额计入其他综合收益，除非该处理会造成或扩大损益中的会计错配。此类金融负债 产生的其他利得或损失（包括利息费用、除因公司自身信用风险变动引起的公允价值变动）计入当期损益，除非该金融负债 属于套期关系的一部分。终止确认时，将之前计入其他综合收益的累计利得或损失从其他综合收益中转出，计入留存收益。</w:t>
      </w:r>
    </w:p>
    <w:p>
      <w:pPr>
        <w:pStyle w:val="Style15"/>
        <w:keepNext w:val="0"/>
        <w:keepLines w:val="0"/>
        <w:widowControl w:val="0"/>
        <w:shd w:val="clear" w:color="auto" w:fill="auto"/>
        <w:tabs>
          <w:tab w:pos="808" w:val="left"/>
        </w:tabs>
        <w:bidi w:val="0"/>
        <w:spacing w:before="0" w:after="0" w:line="311" w:lineRule="exact"/>
        <w:ind w:left="0" w:right="0" w:firstLine="440"/>
        <w:jc w:val="both"/>
      </w:pPr>
      <w:bookmarkStart w:id="847" w:name="bookmark847"/>
      <w:r>
        <w:rPr>
          <w:rFonts w:ascii="Times New Roman" w:eastAsia="Times New Roman" w:hAnsi="Times New Roman" w:cs="Times New Roman"/>
          <w:color w:val="000000"/>
          <w:spacing w:val="0"/>
          <w:w w:val="100"/>
          <w:position w:val="0"/>
        </w:rPr>
        <w:t>2</w:t>
      </w:r>
      <w:bookmarkEnd w:id="847"/>
      <w:r>
        <w:rPr>
          <w:color w:val="000000"/>
          <w:spacing w:val="0"/>
          <w:w w:val="100"/>
          <w:position w:val="0"/>
        </w:rPr>
        <w:t>）</w:t>
        <w:tab/>
        <w:t>金融资产转移不符合终止确认条件或继续涉入被转移金融资产所形成的金融负债</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号——金融资产转移》相关规定进行计量。</w:t>
      </w:r>
    </w:p>
    <w:p>
      <w:pPr>
        <w:pStyle w:val="Style15"/>
        <w:keepNext w:val="0"/>
        <w:keepLines w:val="0"/>
        <w:widowControl w:val="0"/>
        <w:shd w:val="clear" w:color="auto" w:fill="auto"/>
        <w:tabs>
          <w:tab w:pos="808" w:val="left"/>
        </w:tabs>
        <w:bidi w:val="0"/>
        <w:spacing w:before="0" w:after="0" w:line="311" w:lineRule="exact"/>
        <w:ind w:left="0" w:right="0" w:firstLine="440"/>
        <w:jc w:val="both"/>
      </w:pPr>
      <w:bookmarkStart w:id="848" w:name="bookmark848"/>
      <w:r>
        <w:rPr>
          <w:rFonts w:ascii="Times New Roman" w:eastAsia="Times New Roman" w:hAnsi="Times New Roman" w:cs="Times New Roman"/>
          <w:color w:val="000000"/>
          <w:spacing w:val="0"/>
          <w:w w:val="100"/>
          <w:position w:val="0"/>
        </w:rPr>
        <w:t>3</w:t>
      </w:r>
      <w:bookmarkEnd w:id="848"/>
      <w:r>
        <w:rPr>
          <w:color w:val="000000"/>
          <w:spacing w:val="0"/>
          <w:w w:val="100"/>
          <w:position w:val="0"/>
        </w:rPr>
        <w:t>）</w:t>
        <w:tab/>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在初始确认后按照下列两项金额之中的较高者进行后续计量:①按照金融工具的减值规定确定的损失准备金额;②初 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号——收入》相关规定所确定的累计摊销额后的余额。</w:t>
      </w:r>
    </w:p>
    <w:p>
      <w:pPr>
        <w:pStyle w:val="Style15"/>
        <w:keepNext w:val="0"/>
        <w:keepLines w:val="0"/>
        <w:widowControl w:val="0"/>
        <w:shd w:val="clear" w:color="auto" w:fill="auto"/>
        <w:tabs>
          <w:tab w:pos="808" w:val="left"/>
        </w:tabs>
        <w:bidi w:val="0"/>
        <w:spacing w:before="0" w:after="0" w:line="311" w:lineRule="exact"/>
        <w:ind w:left="0" w:right="0" w:firstLine="440"/>
        <w:jc w:val="both"/>
      </w:pPr>
      <w:bookmarkStart w:id="849" w:name="bookmark849"/>
      <w:r>
        <w:rPr>
          <w:rFonts w:ascii="Times New Roman" w:eastAsia="Times New Roman" w:hAnsi="Times New Roman" w:cs="Times New Roman"/>
          <w:color w:val="000000"/>
          <w:spacing w:val="0"/>
          <w:w w:val="100"/>
          <w:position w:val="0"/>
        </w:rPr>
        <w:t>4</w:t>
      </w:r>
      <w:bookmarkEnd w:id="849"/>
      <w:r>
        <w:rPr>
          <w:color w:val="000000"/>
          <w:spacing w:val="0"/>
          <w:w w:val="100"/>
          <w:position w:val="0"/>
        </w:rPr>
        <w:t>）</w:t>
        <w:tab/>
        <w:t>以摊余成本计量的金融负债</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采用实际利率法以摊余成本计量。以摊余成本计量且不属于任何套期关系的一部分的金融负债所产生的利得或损失， 在终止确认、按照实际利率法摊销时计入当期损益。</w:t>
      </w:r>
    </w:p>
    <w:p>
      <w:pPr>
        <w:pStyle w:val="Style15"/>
        <w:keepNext w:val="0"/>
        <w:keepLines w:val="0"/>
        <w:widowControl w:val="0"/>
        <w:shd w:val="clear" w:color="auto" w:fill="auto"/>
        <w:tabs>
          <w:tab w:pos="885" w:val="left"/>
        </w:tabs>
        <w:bidi w:val="0"/>
        <w:spacing w:before="0" w:after="0" w:line="311" w:lineRule="exact"/>
        <w:ind w:left="0" w:right="0" w:firstLine="44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金融资产和金融负债的终止确认</w:t>
      </w:r>
    </w:p>
    <w:p>
      <w:pPr>
        <w:pStyle w:val="Style15"/>
        <w:keepNext w:val="0"/>
        <w:keepLines w:val="0"/>
        <w:widowControl w:val="0"/>
        <w:shd w:val="clear" w:color="auto" w:fill="auto"/>
        <w:tabs>
          <w:tab w:pos="789" w:val="left"/>
        </w:tabs>
        <w:bidi w:val="0"/>
        <w:spacing w:before="0" w:after="0" w:line="311" w:lineRule="exact"/>
        <w:ind w:left="0" w:right="0" w:firstLine="440"/>
        <w:jc w:val="both"/>
      </w:pPr>
      <w:bookmarkStart w:id="851" w:name="bookmark851"/>
      <w:r>
        <w:rPr>
          <w:rFonts w:ascii="Times New Roman" w:eastAsia="Times New Roman" w:hAnsi="Times New Roman" w:cs="Times New Roman"/>
          <w:color w:val="000000"/>
          <w:spacing w:val="0"/>
          <w:w w:val="100"/>
          <w:position w:val="0"/>
        </w:rPr>
        <w:t>1</w:t>
      </w:r>
      <w:bookmarkEnd w:id="851"/>
      <w:r>
        <w:rPr>
          <w:color w:val="000000"/>
          <w:spacing w:val="0"/>
          <w:w w:val="100"/>
          <w:position w:val="0"/>
        </w:rPr>
        <w:t>）</w:t>
        <w:tab/>
        <w:t>当满足下列条件之一时，终止确认金融资产：</w:t>
      </w:r>
    </w:p>
    <w:p>
      <w:pPr>
        <w:pStyle w:val="Style15"/>
        <w:keepNext w:val="0"/>
        <w:keepLines w:val="0"/>
        <w:widowControl w:val="0"/>
        <w:numPr>
          <w:ilvl w:val="0"/>
          <w:numId w:val="27"/>
        </w:numPr>
        <w:shd w:val="clear" w:color="auto" w:fill="auto"/>
        <w:tabs>
          <w:tab w:pos="813" w:val="left"/>
        </w:tabs>
        <w:bidi w:val="0"/>
        <w:spacing w:before="0" w:after="0" w:line="311" w:lineRule="exact"/>
        <w:ind w:left="0" w:right="0" w:firstLine="440"/>
        <w:jc w:val="both"/>
      </w:pPr>
      <w:bookmarkStart w:id="852" w:name="bookmark852"/>
      <w:bookmarkEnd w:id="852"/>
      <w:r>
        <w:rPr>
          <w:color w:val="000000"/>
          <w:spacing w:val="0"/>
          <w:w w:val="100"/>
          <w:position w:val="0"/>
        </w:rPr>
        <w:t>收取金融资产现金流量的合同权利已终止；</w:t>
      </w:r>
    </w:p>
    <w:p>
      <w:pPr>
        <w:pStyle w:val="Style15"/>
        <w:keepNext w:val="0"/>
        <w:keepLines w:val="0"/>
        <w:widowControl w:val="0"/>
        <w:numPr>
          <w:ilvl w:val="0"/>
          <w:numId w:val="27"/>
        </w:numPr>
        <w:shd w:val="clear" w:color="auto" w:fill="auto"/>
        <w:tabs>
          <w:tab w:pos="813" w:val="left"/>
        </w:tabs>
        <w:bidi w:val="0"/>
        <w:spacing w:before="0" w:after="0" w:line="311" w:lineRule="exact"/>
        <w:ind w:left="0" w:right="0" w:firstLine="440"/>
        <w:jc w:val="both"/>
      </w:pPr>
      <w:bookmarkStart w:id="853" w:name="bookmark853"/>
      <w:bookmarkEnd w:id="853"/>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号——金融资产转移》关于金融资产终止确认的规定。</w:t>
      </w:r>
    </w:p>
    <w:p>
      <w:pPr>
        <w:pStyle w:val="Style15"/>
        <w:keepNext w:val="0"/>
        <w:keepLines w:val="0"/>
        <w:widowControl w:val="0"/>
        <w:shd w:val="clear" w:color="auto" w:fill="auto"/>
        <w:tabs>
          <w:tab w:pos="808" w:val="left"/>
        </w:tabs>
        <w:bidi w:val="0"/>
        <w:spacing w:before="0" w:after="0" w:line="311" w:lineRule="exact"/>
        <w:ind w:left="0" w:right="0" w:firstLine="440"/>
        <w:jc w:val="both"/>
      </w:pPr>
      <w:bookmarkStart w:id="854" w:name="bookmark854"/>
      <w:r>
        <w:rPr>
          <w:rFonts w:ascii="Times New Roman" w:eastAsia="Times New Roman" w:hAnsi="Times New Roman" w:cs="Times New Roman"/>
          <w:color w:val="000000"/>
          <w:spacing w:val="0"/>
          <w:w w:val="100"/>
          <w:position w:val="0"/>
        </w:rPr>
        <w:t>2</w:t>
      </w:r>
      <w:bookmarkEnd w:id="854"/>
      <w:r>
        <w:rPr>
          <w:color w:val="000000"/>
          <w:spacing w:val="0"/>
          <w:w w:val="100"/>
          <w:position w:val="0"/>
        </w:rPr>
        <w:t>）</w:t>
        <w:tab/>
        <w:t>当金融负债（或其一部分）的现时义务已经解除时，相应终止确认该金融负债（或该部分金融负债）。</w:t>
      </w:r>
    </w:p>
    <w:p>
      <w:pPr>
        <w:pStyle w:val="Style15"/>
        <w:keepNext w:val="0"/>
        <w:keepLines w:val="0"/>
        <w:widowControl w:val="0"/>
        <w:shd w:val="clear" w:color="auto" w:fill="auto"/>
        <w:tabs>
          <w:tab w:pos="784" w:val="left"/>
        </w:tabs>
        <w:bidi w:val="0"/>
        <w:spacing w:before="0" w:after="0" w:line="311" w:lineRule="exact"/>
        <w:ind w:left="0" w:right="0" w:firstLine="440"/>
        <w:jc w:val="both"/>
      </w:pPr>
      <w:bookmarkStart w:id="855" w:name="bookmark855"/>
      <w:r>
        <w:rPr>
          <w:rFonts w:ascii="Times New Roman" w:eastAsia="Times New Roman" w:hAnsi="Times New Roman" w:cs="Times New Roman"/>
          <w:color w:val="000000"/>
          <w:spacing w:val="0"/>
          <w:w w:val="100"/>
          <w:position w:val="0"/>
        </w:rPr>
        <w:t>3</w:t>
      </w:r>
      <w:bookmarkEnd w:id="855"/>
      <w:r>
        <w:rPr>
          <w:color w:val="000000"/>
          <w:spacing w:val="0"/>
          <w:w w:val="100"/>
          <w:position w:val="0"/>
        </w:rPr>
        <w:t>、</w:t>
        <w:tab/>
        <w:t>金融资产转移的确认依据和计量方法</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公司转移了金融资产所有权上几乎所有的风险和报酬的，终止确认该金融资产，并将转移中产生或保留的权利和义务 单独确认为资产或负债；保留了金融资产所有权上几乎所有的风险和报酬的，继续确认所转移的金融资产。公司既没有转移 也没有保留金融资产所有权上几乎所有的风险和报酬的，分别下列情况处理：（</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 该金融资产，并将转移中产生或保留的权利和义务单独确认为资产或负债；（</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）保留了对该金融资产控制的，按照继续涉 入所转移金融资产的程度确认有关金融资产，并相应确认有关负债。</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）所转移金融资产在终止确认日的 账面价值；（</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）因转移金融资产而收到的对价，与原直接计入其他综合收益的公允价值变动累计额中对应终止确认部分的 金额（涉及转移的金融资产为以公允价值计量且其变动计入其他综合收益的债务工具投资）之和。转移了金融资产的一部分， 且该被转移部分整体满足终止确认条件的，将转移前金融资产整体的账面价值，在终止确认部分和继续确认部分之间，按照 转移日各自的相对公允价值进行分摊，并将下列两项金额的差额计入当期损益：（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）终止确认部分的账面价值；（</w:t>
      </w:r>
      <w:r>
        <w:rPr>
          <w:rFonts w:ascii="Times New Roman" w:eastAsia="Times New Roman" w:hAnsi="Times New Roman" w:cs="Times New Roman"/>
          <w:color w:val="000000"/>
          <w:spacing w:val="0"/>
          <w:w w:val="100"/>
          <w:position w:val="0"/>
        </w:rPr>
        <w:t>2</w:t>
      </w:r>
      <w:r>
        <w:rPr>
          <w:color w:val="000000"/>
          <w:spacing w:val="0"/>
          <w:w w:val="100"/>
          <w:position w:val="0"/>
        </w:rPr>
        <w:t>）终止 确认部分的对价，与原直接计入其他综合收益的公允价值变动累计额中对应终止确认部分的金额（涉及转移的金融资产为以 公允价值计量且其变动计入其他综合收益的债务工具投资）之和。</w:t>
      </w:r>
    </w:p>
    <w:p>
      <w:pPr>
        <w:pStyle w:val="Style15"/>
        <w:keepNext w:val="0"/>
        <w:keepLines w:val="0"/>
        <w:widowControl w:val="0"/>
        <w:shd w:val="clear" w:color="auto" w:fill="auto"/>
        <w:tabs>
          <w:tab w:pos="798" w:val="left"/>
        </w:tabs>
        <w:bidi w:val="0"/>
        <w:spacing w:before="0" w:after="0" w:line="311" w:lineRule="exact"/>
        <w:ind w:left="0" w:right="0" w:firstLine="440"/>
        <w:jc w:val="both"/>
      </w:pPr>
      <w:bookmarkStart w:id="856" w:name="bookmark856"/>
      <w:r>
        <w:rPr>
          <w:rFonts w:ascii="Times New Roman" w:eastAsia="Times New Roman" w:hAnsi="Times New Roman" w:cs="Times New Roman"/>
          <w:color w:val="000000"/>
          <w:spacing w:val="0"/>
          <w:w w:val="100"/>
          <w:position w:val="0"/>
        </w:rPr>
        <w:t>4</w:t>
      </w:r>
      <w:bookmarkEnd w:id="856"/>
      <w:r>
        <w:rPr>
          <w:color w:val="000000"/>
          <w:spacing w:val="0"/>
          <w:w w:val="100"/>
          <w:position w:val="0"/>
        </w:rPr>
        <w:t>、</w:t>
        <w:tab/>
        <w:t>金融资产和金融负债的公允价值确定方法</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公司采用在当前情况下适用并且有足够可利用数据和其他信息支持的估值技术确定相关金融资产和金融负债的公允价 </w:t>
      </w:r>
      <w:r>
        <w:rPr>
          <w:color w:val="000000"/>
          <w:spacing w:val="0"/>
          <w:w w:val="100"/>
          <w:position w:val="0"/>
        </w:rPr>
        <w:t>值。公司将估值技术使用的输入值分以下层级，并依次使用：</w:t>
      </w:r>
    </w:p>
    <w:p>
      <w:pPr>
        <w:pStyle w:val="Style15"/>
        <w:keepNext w:val="0"/>
        <w:keepLines w:val="0"/>
        <w:widowControl w:val="0"/>
        <w:shd w:val="clear" w:color="auto" w:fill="auto"/>
        <w:tabs>
          <w:tab w:pos="862" w:val="left"/>
        </w:tabs>
        <w:bidi w:val="0"/>
        <w:spacing w:before="0" w:after="0" w:line="313" w:lineRule="exact"/>
        <w:ind w:left="0" w:right="0" w:firstLine="44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第一层次输入值是在计量日能够取得的相同资产或负债在活跃市场上未经调整的报价；</w:t>
      </w:r>
    </w:p>
    <w:p>
      <w:pPr>
        <w:pStyle w:val="Style15"/>
        <w:keepNext w:val="0"/>
        <w:keepLines w:val="0"/>
        <w:widowControl w:val="0"/>
        <w:shd w:val="clear" w:color="auto" w:fill="auto"/>
        <w:tabs>
          <w:tab w:pos="935" w:val="left"/>
        </w:tabs>
        <w:bidi w:val="0"/>
        <w:spacing w:before="0" w:after="0" w:line="313" w:lineRule="exact"/>
        <w:ind w:left="0" w:right="0" w:firstLine="440"/>
        <w:jc w:val="both"/>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2</w:t>
      </w:r>
      <w:r>
        <w:rPr>
          <w:color w:val="000000"/>
          <w:spacing w:val="0"/>
          <w:w w:val="100"/>
          <w:position w:val="0"/>
        </w:rPr>
        <w:t>）</w:t>
        <w:tab/>
        <w:t>第二层次输入值是除第一层次输入值外相关资产或负债直接或间接可观察的输入值，包括：活跃市场中类似资产 或负债的报价；非活跃市场中相同或类似资产或负债的报价；除报价以外的其他可观察输入值，如在正常报价间隔期间可观 察的利率和收益率曲线等；市场验证的输入值等；</w:t>
      </w:r>
    </w:p>
    <w:p>
      <w:pPr>
        <w:pStyle w:val="Style15"/>
        <w:keepNext w:val="0"/>
        <w:keepLines w:val="0"/>
        <w:widowControl w:val="0"/>
        <w:shd w:val="clear" w:color="auto" w:fill="auto"/>
        <w:tabs>
          <w:tab w:pos="940" w:val="left"/>
        </w:tabs>
        <w:bidi w:val="0"/>
        <w:spacing w:before="0" w:after="80" w:line="313" w:lineRule="exact"/>
        <w:ind w:left="0" w:right="0" w:firstLine="44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第三层次输入值是相关资产或负债的不可观察输入值，包括不能直接观察或无法由可观察市场数据验证的利率、 股票波动率、企业合并中承担的弃置义务的未来现金流量、使用自身数据作出的财务预测等。</w:t>
      </w:r>
    </w:p>
    <w:p>
      <w:pPr>
        <w:pStyle w:val="Style15"/>
        <w:keepNext w:val="0"/>
        <w:keepLines w:val="0"/>
        <w:widowControl w:val="0"/>
        <w:shd w:val="clear" w:color="auto" w:fill="auto"/>
        <w:bidi w:val="0"/>
        <w:spacing w:before="0" w:after="0"/>
        <w:ind w:left="0" w:right="0"/>
        <w:jc w:val="both"/>
      </w:pPr>
      <w:bookmarkStart w:id="860" w:name="bookmark860"/>
      <w:r>
        <w:rPr>
          <w:rFonts w:ascii="Times New Roman" w:eastAsia="Times New Roman" w:hAnsi="Times New Roman" w:cs="Times New Roman"/>
          <w:color w:val="000000"/>
          <w:spacing w:val="0"/>
          <w:w w:val="100"/>
          <w:position w:val="0"/>
        </w:rPr>
        <w:t>5</w:t>
      </w:r>
      <w:bookmarkEnd w:id="860"/>
      <w:r>
        <w:rPr>
          <w:color w:val="000000"/>
          <w:spacing w:val="0"/>
          <w:w w:val="100"/>
          <w:position w:val="0"/>
        </w:rPr>
        <w:t>、金融工具减值</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金融工具减值计量和会计处理</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公司以预期信用损失为基础，对以摊余成本计量的金融资产、以公允价值计量且其变动计入其他综合收益的债务工具投 资、合同资产、租赁应收款、分类为以公允价值计量且其变动计入当期损益的金融负债以外的贷款承诺、不属于以公允价值 计量且其变动计入当期损益的金融负债或不属于金融资产转移不符合终止确认条件或继续涉入被转移金融资产所形成的金 融负债的财务担保合同进行减值处理并确认损失准备。</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预期信用损失，是指以发生违约的风险为权重的金融工具信用损失的加权平均值。信用损失，是指公司按照原实际利率 折现的、根据合同应收的所有合同现金流量与预期收取的所有现金流量之间的差额，即全部现金短缺的现值。其中，对于公 司购买或源生的已发生信用减值的金融资产，按照该金融资产经信用调整的实际利率折现。</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对于购买或源生的已发生信用减值的金融资产，公司在资产负债表日仅将自初始确认后整个存续期内预期信用损失的累 计变动确认为损失准备。</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对于租赁应收款、由《企业会计准则第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收入》规范的交易形成的应收款项及合同资产，公司运用简化计量方法， 按照相当于整个存续期内的预期信用损失金额计量损失准备。</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除上述计量方法以外的金融资产，公司在每个资产负债表日评估其信用风险自初始确认后是否已经显著增加。如果信用 风险自初始确认后已显著增加，公司按照整个存续期内预期信用损失的金额计量损失准备；如果信用风险自初始确认后未显 著增加，公司按照该金融工具未来</w:t>
      </w:r>
      <w:r>
        <w:rPr>
          <w:color w:val="000000"/>
          <w:spacing w:val="0"/>
          <w:w w:val="100"/>
          <w:position w:val="0"/>
          <w:sz w:val="18"/>
          <w:szCs w:val="18"/>
        </w:rPr>
        <w:t>12</w:t>
      </w:r>
      <w:r>
        <w:rPr>
          <w:color w:val="000000"/>
          <w:spacing w:val="0"/>
          <w:w w:val="100"/>
          <w:position w:val="0"/>
        </w:rPr>
        <w:t>个月内预期信用损失的金额计量损失准备。</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公司利用可获得的合理且有依据的信息，包括前瞻性信息，通过比较金融工具在资产负债表日发生违约的风险与在初始 确认日发生违约的风险，以确定金融工具的信用风险自初始确认后是否已显著增加。</w:t>
      </w:r>
    </w:p>
    <w:p>
      <w:pPr>
        <w:pStyle w:val="Style15"/>
        <w:keepNext w:val="0"/>
        <w:keepLines w:val="0"/>
        <w:widowControl w:val="0"/>
        <w:shd w:val="clear" w:color="auto" w:fill="auto"/>
        <w:bidi w:val="0"/>
        <w:spacing w:before="0" w:after="0" w:line="313" w:lineRule="exact"/>
        <w:ind w:left="0" w:right="0" w:firstLine="0"/>
        <w:jc w:val="left"/>
      </w:pPr>
      <w:r>
        <w:rPr>
          <w:color w:val="000000"/>
          <w:spacing w:val="0"/>
          <w:w w:val="100"/>
          <w:position w:val="0"/>
        </w:rPr>
        <w:t>于资产负债表日，若公司判断金融工具只具有较低的信用风险，则假定该金融工具的信用风险自初始确认后并未显著增加。</w:t>
      </w:r>
    </w:p>
    <w:p>
      <w:pPr>
        <w:pStyle w:val="Style15"/>
        <w:keepNext w:val="0"/>
        <w:keepLines w:val="0"/>
        <w:widowControl w:val="0"/>
        <w:shd w:val="clear" w:color="auto" w:fill="auto"/>
        <w:bidi w:val="0"/>
        <w:spacing w:before="0" w:after="0" w:line="313" w:lineRule="exact"/>
        <w:ind w:left="0" w:right="0"/>
        <w:jc w:val="both"/>
      </w:pPr>
      <w:r>
        <w:rPr>
          <w:color w:val="000000"/>
          <w:spacing w:val="0"/>
          <w:w w:val="100"/>
          <w:position w:val="0"/>
        </w:rPr>
        <w:t>公司以单项金融工具或金融工具组合为基础评估预期信用风险和计量预期信用损失。当以金融工具组合为基础时，公司 以共同风险特征为依据，将金融工具划分为不同组合。</w:t>
      </w:r>
    </w:p>
    <w:p>
      <w:pPr>
        <w:pStyle w:val="Style15"/>
        <w:keepNext w:val="0"/>
        <w:keepLines w:val="0"/>
        <w:widowControl w:val="0"/>
        <w:shd w:val="clear" w:color="auto" w:fill="auto"/>
        <w:bidi w:val="0"/>
        <w:spacing w:before="0" w:after="80" w:line="313" w:lineRule="exact"/>
        <w:ind w:left="0" w:right="0"/>
        <w:jc w:val="both"/>
      </w:pPr>
      <w:r>
        <w:rPr>
          <w:color w:val="000000"/>
          <w:spacing w:val="0"/>
          <w:w w:val="100"/>
          <w:position w:val="0"/>
        </w:rPr>
        <w:t>公司在每个资产负债表日重新计量预期信用损失，由此形成的损失准备的增加或转回金额，作为减值损失或利得计入当 期损益。对于以摊余成本计量的金融资产，损失准备抵减该金融资产在资产负债表中列示的账面价值；对于以公允价值计量 且其变动计入其他综合收益的债权投资，公司在其他综合收益中确认其损失准备，不抵减该金融资产的账面价值。</w:t>
      </w:r>
    </w:p>
    <w:p>
      <w:pPr>
        <w:pStyle w:val="Style21"/>
        <w:keepNext w:val="0"/>
        <w:keepLines w:val="0"/>
        <w:widowControl w:val="0"/>
        <w:shd w:val="clear" w:color="auto" w:fill="auto"/>
        <w:bidi w:val="0"/>
        <w:spacing w:before="0" w:after="0" w:line="240" w:lineRule="auto"/>
        <w:ind w:left="307"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）按组合评估预期信用风险和计量预期信用损失的金融工具</w:t>
      </w:r>
    </w:p>
    <w:tbl>
      <w:tblPr>
        <w:tblOverlap w:val="never"/>
        <w:jc w:val="center"/>
        <w:tblLayout w:type="fixed"/>
      </w:tblPr>
      <w:tblGrid>
        <w:gridCol w:w="3701"/>
        <w:gridCol w:w="1560"/>
        <w:gridCol w:w="4277"/>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5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rPr>
              <w:t>一一</w:t>
            </w:r>
            <w:r>
              <w:rPr>
                <w:color w:val="000000"/>
                <w:spacing w:val="0"/>
                <w:w w:val="100"/>
                <w:position w:val="0"/>
              </w:rPr>
              <w:t>应收利息组合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 济状况的预测，通过违约风险敞口和未来</w:t>
            </w:r>
            <w:r>
              <w:rPr>
                <w:color w:val="000000"/>
                <w:spacing w:val="0"/>
                <w:w w:val="100"/>
                <w:position w:val="0"/>
                <w:sz w:val="18"/>
                <w:szCs w:val="18"/>
              </w:rPr>
              <w:t>12</w:t>
            </w:r>
            <w:r>
              <w:rPr>
                <w:color w:val="000000"/>
                <w:spacing w:val="0"/>
                <w:w w:val="100"/>
                <w:position w:val="0"/>
              </w:rPr>
              <w:t>个月内或 整个存续期预期信用损失率，计算预期信用损失</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rPr>
              <w:t>一一</w:t>
            </w:r>
            <w:r>
              <w:rPr>
                <w:color w:val="000000"/>
                <w:spacing w:val="0"/>
                <w:w w:val="100"/>
                <w:position w:val="0"/>
              </w:rPr>
              <w:t>应收股利组合</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rPr>
              <w:t>一一</w:t>
            </w:r>
            <w:r>
              <w:rPr>
                <w:color w:val="000000"/>
                <w:spacing w:val="0"/>
                <w:w w:val="100"/>
                <w:position w:val="0"/>
              </w:rPr>
              <w:t>应收合并范围内关联方组合</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color w:val="000000"/>
                <w:spacing w:val="0"/>
                <w:w w:val="100"/>
                <w:position w:val="0"/>
              </w:rPr>
              <w:t>一一</w:t>
            </w: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92"/>
        <w:keepNext/>
        <w:keepLines/>
        <w:widowControl w:val="0"/>
        <w:shd w:val="clear" w:color="auto" w:fill="auto"/>
        <w:bidi w:val="0"/>
        <w:spacing w:before="0" w:after="140" w:line="240" w:lineRule="auto"/>
        <w:ind w:left="0" w:right="0" w:firstLine="380"/>
        <w:jc w:val="both"/>
        <w:rPr>
          <w:sz w:val="18"/>
          <w:szCs w:val="18"/>
        </w:rPr>
      </w:pPr>
      <w:bookmarkStart w:id="861" w:name="bookmark861"/>
      <w:bookmarkStart w:id="862" w:name="bookmark862"/>
      <w:bookmarkStart w:id="863" w:name="bookmark863"/>
      <w:bookmarkStart w:id="864" w:name="bookmark864"/>
      <w:r>
        <w:rPr>
          <w:b w:val="0"/>
          <w:bCs w:val="0"/>
          <w:color w:val="000000"/>
          <w:spacing w:val="0"/>
          <w:w w:val="100"/>
          <w:position w:val="0"/>
          <w:sz w:val="18"/>
          <w:szCs w:val="18"/>
        </w:rPr>
        <w:t>（</w:t>
      </w:r>
      <w:bookmarkEnd w:id="863"/>
      <w:r>
        <w:rPr>
          <w:b w:val="0"/>
          <w:bCs w:val="0"/>
          <w:color w:val="000000"/>
          <w:spacing w:val="0"/>
          <w:w w:val="100"/>
          <w:position w:val="0"/>
          <w:sz w:val="18"/>
          <w:szCs w:val="18"/>
        </w:rPr>
        <w:t>1）</w:t>
      </w:r>
      <w:r>
        <w:rPr>
          <w:b w:val="0"/>
          <w:bCs w:val="0"/>
          <w:color w:val="000000"/>
          <w:spacing w:val="0"/>
          <w:w w:val="100"/>
          <w:position w:val="0"/>
          <w:sz w:val="18"/>
          <w:szCs w:val="18"/>
        </w:rPr>
        <w:t>按组合计量预期信用损失的应收款项及合同资产</w:t>
      </w:r>
      <w:bookmarkEnd w:id="861"/>
      <w:bookmarkEnd w:id="862"/>
      <w:bookmarkEnd w:id="864"/>
    </w:p>
    <w:p>
      <w:pPr>
        <w:pStyle w:val="Style115"/>
        <w:keepNext/>
        <w:keepLines/>
        <w:widowControl w:val="0"/>
        <w:shd w:val="clear" w:color="auto" w:fill="auto"/>
        <w:bidi w:val="0"/>
        <w:spacing w:before="0" w:line="240" w:lineRule="auto"/>
        <w:ind w:left="0" w:right="0"/>
        <w:jc w:val="both"/>
      </w:pPr>
      <w:bookmarkStart w:id="865" w:name="bookmark865"/>
      <w:bookmarkStart w:id="866" w:name="bookmark866"/>
      <w:bookmarkStart w:id="867" w:name="bookmark867"/>
      <w:bookmarkStart w:id="868" w:name="bookmark868"/>
      <w:r>
        <w:rPr>
          <w:color w:val="000000"/>
          <w:spacing w:val="0"/>
          <w:w w:val="100"/>
          <w:position w:val="0"/>
          <w:sz w:val="18"/>
          <w:szCs w:val="18"/>
        </w:rPr>
        <w:t>1</w:t>
      </w:r>
      <w:bookmarkEnd w:id="867"/>
      <w:r>
        <w:rPr>
          <w:color w:val="000000"/>
          <w:spacing w:val="0"/>
          <w:w w:val="100"/>
          <w:position w:val="0"/>
          <w:sz w:val="18"/>
          <w:szCs w:val="18"/>
        </w:rPr>
        <w:t>）</w:t>
      </w:r>
      <w:r>
        <w:rPr>
          <w:color w:val="000000"/>
          <w:spacing w:val="0"/>
          <w:w w:val="100"/>
          <w:position w:val="0"/>
        </w:rPr>
        <w:t>具体组合及计量预期信用损失的方法</w:t>
      </w:r>
      <w:bookmarkEnd w:id="865"/>
      <w:bookmarkEnd w:id="866"/>
      <w:bookmarkEnd w:id="868"/>
    </w:p>
    <w:tbl>
      <w:tblPr>
        <w:tblOverlap w:val="never"/>
        <w:jc w:val="center"/>
        <w:tblLayout w:type="fixed"/>
      </w:tblPr>
      <w:tblGrid>
        <w:gridCol w:w="3235"/>
        <w:gridCol w:w="1526"/>
        <w:gridCol w:w="4646"/>
      </w:tblGrid>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bl>
    <w:p>
      <w:pPr>
        <w:widowControl w:val="0"/>
        <w:spacing w:line="1" w:lineRule="exact"/>
      </w:pPr>
      <w:r>
        <w:br w:type="page"/>
      </w:r>
    </w:p>
    <w:tbl>
      <w:tblPr>
        <w:tblOverlap w:val="never"/>
        <w:jc w:val="center"/>
        <w:tblLayout w:type="fixed"/>
      </w:tblPr>
      <w:tblGrid>
        <w:gridCol w:w="3235"/>
        <w:gridCol w:w="1526"/>
        <w:gridCol w:w="4646"/>
      </w:tblGrid>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应收银行承兑汇票</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票据类型</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参考历史信用损失经验，结合当前状况以及对未来经济状 况的预测，通过违约风险敞口和整个存续期预期信用损失 率，计算预期信用损失</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应收商业承兑汇票</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应收账款/合同资产-应收合并范围内 关联方组合</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参考历史信用损失经验，结合当前状况以及对未来经济状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况的预测，通过违约风险敞口和整个存续期预期信用损失</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率，计算预期信用损失</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应收账款/合同资产</w:t>
            </w:r>
            <w:r>
              <w:rPr>
                <w:color w:val="000000"/>
                <w:spacing w:val="0"/>
                <w:w w:val="100"/>
                <w:position w:val="0"/>
              </w:rPr>
              <w:t>一一</w:t>
            </w:r>
            <w:r>
              <w:rPr>
                <w:color w:val="000000"/>
                <w:spacing w:val="0"/>
                <w:w w:val="100"/>
                <w:position w:val="0"/>
              </w:rPr>
              <w:t>应收外部客户 账款组合</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参考历史信用损失经验，结合当前状况以及对未来经济状 况的预测，编制应收账款账龄与整个存续期预期信用损失 率对照表，计算预期信用损失</w:t>
            </w:r>
          </w:p>
        </w:tc>
      </w:tr>
    </w:tbl>
    <w:p>
      <w:pPr>
        <w:widowControl w:val="0"/>
        <w:spacing w:after="1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173" w:right="0" w:firstLine="0"/>
        <w:jc w:val="left"/>
      </w:pPr>
      <w:bookmarkStart w:id="869" w:name="bookmark869"/>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）应收账款</w:t>
      </w:r>
      <w:r>
        <w:rPr>
          <w:b w:val="0"/>
          <w:bCs w:val="0"/>
          <w:color w:val="000000"/>
          <w:spacing w:val="0"/>
          <w:w w:val="100"/>
          <w:position w:val="0"/>
        </w:rPr>
        <w:t>一一</w:t>
      </w:r>
      <w:r>
        <w:rPr>
          <w:b w:val="0"/>
          <w:bCs w:val="0"/>
          <w:color w:val="000000"/>
          <w:spacing w:val="0"/>
          <w:w w:val="100"/>
          <w:position w:val="0"/>
        </w:rPr>
        <w:t>应收外部客户账款组合的账龄与整个存续期预期信用损失率对照表</w:t>
      </w:r>
      <w:bookmarkEnd w:id="869"/>
    </w:p>
    <w:tbl>
      <w:tblPr>
        <w:tblOverlap w:val="never"/>
        <w:jc w:val="center"/>
        <w:tblLayout w:type="fixed"/>
      </w:tblPr>
      <w:tblGrid>
        <w:gridCol w:w="3456"/>
        <w:gridCol w:w="5870"/>
      </w:tblGrid>
      <w:tr>
        <w:trPr>
          <w:trHeight w:val="7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0" w:lineRule="exact"/>
              <w:ind w:left="0" w:right="0" w:firstLine="0"/>
              <w:jc w:val="center"/>
            </w:pPr>
            <w:r>
              <w:rPr>
                <w:color w:val="000000"/>
                <w:spacing w:val="0"/>
                <w:w w:val="100"/>
                <w:position w:val="0"/>
              </w:rPr>
              <w:t>应收外部客户账款组合 预期信用损失率</w:t>
            </w:r>
            <w:r>
              <w:rPr>
                <w:rFonts w:ascii="Times New Roman" w:eastAsia="Times New Roman" w:hAnsi="Times New Roman" w:cs="Times New Roman"/>
                <w:color w:val="000000"/>
                <w:spacing w:val="0"/>
                <w:w w:val="100"/>
                <w:position w:val="0"/>
              </w:rPr>
              <w:t>（%）</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r>
      <w:tr>
        <w:trPr>
          <w:trHeight w:val="52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15"/>
        <w:keepNext w:val="0"/>
        <w:keepLines w:val="0"/>
        <w:widowControl w:val="0"/>
        <w:shd w:val="clear" w:color="auto" w:fill="auto"/>
        <w:bidi w:val="0"/>
        <w:spacing w:before="0" w:after="80" w:line="240" w:lineRule="auto"/>
        <w:ind w:left="0" w:right="0" w:firstLine="440"/>
        <w:jc w:val="both"/>
      </w:pPr>
      <w:r>
        <w:rPr>
          <w:color w:val="000000"/>
          <w:spacing w:val="0"/>
          <w:w w:val="100"/>
          <w:position w:val="0"/>
        </w:rPr>
        <w:t>此外，应收商业承兑汇票组合均为</w:t>
      </w:r>
      <w:r>
        <w:rPr>
          <w:rFonts w:ascii="Times New Roman" w:eastAsia="Times New Roman" w:hAnsi="Times New Roman" w:cs="Times New Roman"/>
          <w:color w:val="000000"/>
          <w:spacing w:val="0"/>
          <w:w w:val="100"/>
          <w:position w:val="0"/>
        </w:rPr>
        <w:t>1</w:t>
      </w:r>
      <w:r>
        <w:rPr>
          <w:color w:val="000000"/>
          <w:spacing w:val="0"/>
          <w:w w:val="100"/>
          <w:position w:val="0"/>
        </w:rPr>
        <w:t>年以内，故按</w:t>
      </w:r>
      <w:r>
        <w:rPr>
          <w:rFonts w:ascii="Times New Roman" w:eastAsia="Times New Roman" w:hAnsi="Times New Roman" w:cs="Times New Roman"/>
          <w:color w:val="000000"/>
          <w:spacing w:val="0"/>
          <w:w w:val="100"/>
          <w:position w:val="0"/>
        </w:rPr>
        <w:t>5%</w:t>
      </w:r>
      <w:r>
        <w:rPr>
          <w:color w:val="000000"/>
          <w:spacing w:val="0"/>
          <w:w w:val="100"/>
          <w:position w:val="0"/>
        </w:rPr>
        <w:t>确定预期信用损失率。</w:t>
      </w:r>
    </w:p>
    <w:p>
      <w:pPr>
        <w:pStyle w:val="Style15"/>
        <w:keepNext w:val="0"/>
        <w:keepLines w:val="0"/>
        <w:widowControl w:val="0"/>
        <w:shd w:val="clear" w:color="auto" w:fill="auto"/>
        <w:bidi w:val="0"/>
        <w:spacing w:before="0" w:after="80" w:line="240" w:lineRule="auto"/>
        <w:ind w:left="0" w:right="0" w:firstLine="440"/>
        <w:jc w:val="both"/>
      </w:pPr>
      <w:bookmarkStart w:id="870" w:name="bookmark870"/>
      <w:r>
        <w:rPr>
          <w:rFonts w:ascii="Times New Roman" w:eastAsia="Times New Roman" w:hAnsi="Times New Roman" w:cs="Times New Roman"/>
          <w:color w:val="000000"/>
          <w:spacing w:val="0"/>
          <w:w w:val="100"/>
          <w:position w:val="0"/>
        </w:rPr>
        <w:t>6</w:t>
      </w:r>
      <w:bookmarkEnd w:id="870"/>
      <w:r>
        <w:rPr>
          <w:color w:val="000000"/>
          <w:spacing w:val="0"/>
          <w:w w:val="100"/>
          <w:position w:val="0"/>
        </w:rPr>
        <w:t>、金融资产和金融负债的抵销</w:t>
      </w:r>
    </w:p>
    <w:p>
      <w:pPr>
        <w:pStyle w:val="Style15"/>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金融资产和金融负债在资产负债表内分别列示，不相互抵销。但同时满足下列条件的，公司以相互抵销后的净额在资 </w:t>
      </w:r>
      <w:r>
        <w:rPr>
          <w:color w:val="000000"/>
          <w:spacing w:val="0"/>
          <w:w w:val="100"/>
          <w:position w:val="0"/>
        </w:rPr>
        <w:t>产负债表内列示：（</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）公司具有抵销已确认金额的法定权利，且该种法定权利是当前可执行的；（</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 或同时变现该金融资产和清偿该金融负债。</w:t>
      </w:r>
    </w:p>
    <w:p>
      <w:pPr>
        <w:pStyle w:val="Style15"/>
        <w:keepNext w:val="0"/>
        <w:keepLines w:val="0"/>
        <w:widowControl w:val="0"/>
        <w:shd w:val="clear" w:color="auto" w:fill="auto"/>
        <w:bidi w:val="0"/>
        <w:spacing w:before="0" w:after="340" w:line="322" w:lineRule="exact"/>
        <w:ind w:left="0" w:right="0" w:firstLine="440"/>
        <w:jc w:val="both"/>
      </w:pPr>
      <w:r>
        <w:rPr>
          <w:color w:val="000000"/>
          <w:spacing w:val="0"/>
          <w:w w:val="100"/>
          <w:position w:val="0"/>
        </w:rPr>
        <w:t>不满足终止确认条件的金融资产转移，公司不对已转移的金融资产和相关负债进行抵销。</w:t>
      </w:r>
    </w:p>
    <w:p>
      <w:pPr>
        <w:pStyle w:val="Style24"/>
        <w:keepNext/>
        <w:keepLines/>
        <w:widowControl w:val="0"/>
        <w:shd w:val="clear" w:color="auto" w:fill="auto"/>
        <w:tabs>
          <w:tab w:pos="474" w:val="left"/>
        </w:tabs>
        <w:bidi w:val="0"/>
        <w:spacing w:before="0" w:after="34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71"/>
      <w:bookmarkEnd w:id="872"/>
      <w:bookmarkEnd w:id="874"/>
    </w:p>
    <w:p>
      <w:pPr>
        <w:pStyle w:val="Style24"/>
        <w:keepNext/>
        <w:keepLines/>
        <w:widowControl w:val="0"/>
        <w:shd w:val="clear" w:color="auto" w:fill="auto"/>
        <w:tabs>
          <w:tab w:pos="474" w:val="left"/>
        </w:tabs>
        <w:bidi w:val="0"/>
        <w:spacing w:before="0" w:after="34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75"/>
      <w:bookmarkEnd w:id="876"/>
      <w:bookmarkEnd w:id="878"/>
    </w:p>
    <w:p>
      <w:pPr>
        <w:pStyle w:val="Style24"/>
        <w:keepNext/>
        <w:keepLines/>
        <w:widowControl w:val="0"/>
        <w:shd w:val="clear" w:color="auto" w:fill="auto"/>
        <w:tabs>
          <w:tab w:pos="474" w:val="left"/>
        </w:tabs>
        <w:bidi w:val="0"/>
        <w:spacing w:before="0" w:after="340" w:line="24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9"/>
      <w:bookmarkEnd w:id="880"/>
      <w:bookmarkEnd w:id="882"/>
    </w:p>
    <w:p>
      <w:pPr>
        <w:pStyle w:val="Style24"/>
        <w:keepNext/>
        <w:keepLines/>
        <w:widowControl w:val="0"/>
        <w:shd w:val="clear" w:color="auto" w:fill="auto"/>
        <w:tabs>
          <w:tab w:pos="474" w:val="left"/>
        </w:tabs>
        <w:bidi w:val="0"/>
        <w:spacing w:before="0" w:after="26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83"/>
      <w:bookmarkEnd w:id="884"/>
      <w:bookmarkEnd w:id="886"/>
    </w:p>
    <w:p>
      <w:pPr>
        <w:pStyle w:val="Style15"/>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其他应收款的预期信用损失的确定方法及会计处理方法</w:t>
      </w:r>
    </w:p>
    <w:p>
      <w:pPr>
        <w:pStyle w:val="Style24"/>
        <w:keepNext/>
        <w:keepLines/>
        <w:widowControl w:val="0"/>
        <w:shd w:val="clear" w:color="auto" w:fill="auto"/>
        <w:tabs>
          <w:tab w:pos="474" w:val="left"/>
        </w:tabs>
        <w:bidi w:val="0"/>
        <w:spacing w:before="0" w:after="340" w:line="240"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7"/>
      <w:bookmarkEnd w:id="888"/>
      <w:bookmarkEnd w:id="890"/>
    </w:p>
    <w:p>
      <w:pPr>
        <w:pStyle w:val="Style15"/>
        <w:keepNext w:val="0"/>
        <w:keepLines w:val="0"/>
        <w:widowControl w:val="0"/>
        <w:shd w:val="clear" w:color="auto" w:fill="auto"/>
        <w:bidi w:val="0"/>
        <w:spacing w:before="0" w:after="340" w:line="240" w:lineRule="auto"/>
        <w:ind w:left="0" w:right="0" w:firstLine="440"/>
        <w:jc w:val="both"/>
      </w:pPr>
      <w:bookmarkStart w:id="891" w:name="bookmark891"/>
      <w:r>
        <w:rPr>
          <w:rFonts w:ascii="Times New Roman" w:eastAsia="Times New Roman" w:hAnsi="Times New Roman" w:cs="Times New Roman"/>
          <w:color w:val="000000"/>
          <w:spacing w:val="0"/>
          <w:w w:val="100"/>
          <w:position w:val="0"/>
        </w:rPr>
        <w:t>1</w:t>
      </w:r>
      <w:bookmarkEnd w:id="891"/>
      <w:r>
        <w:rPr>
          <w:color w:val="000000"/>
          <w:spacing w:val="0"/>
          <w:w w:val="100"/>
          <w:position w:val="0"/>
        </w:rPr>
        <w:t>、存货的分类</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存货包括在日常活动中持有以备出售的产成品或商品、处在生产过程中的在产品、在生产过程或提供劳务过程中耗用 的材料和物料等。</w:t>
      </w:r>
    </w:p>
    <w:p>
      <w:pPr>
        <w:pStyle w:val="Style15"/>
        <w:keepNext w:val="0"/>
        <w:keepLines w:val="0"/>
        <w:widowControl w:val="0"/>
        <w:shd w:val="clear" w:color="auto" w:fill="auto"/>
        <w:tabs>
          <w:tab w:pos="794" w:val="left"/>
        </w:tabs>
        <w:bidi w:val="0"/>
        <w:spacing w:before="0" w:after="0"/>
        <w:ind w:left="0" w:right="0" w:firstLine="440"/>
        <w:jc w:val="left"/>
      </w:pPr>
      <w:bookmarkStart w:id="892" w:name="bookmark892"/>
      <w:r>
        <w:rPr>
          <w:rFonts w:ascii="Times New Roman" w:eastAsia="Times New Roman" w:hAnsi="Times New Roman" w:cs="Times New Roman"/>
          <w:color w:val="000000"/>
          <w:spacing w:val="0"/>
          <w:w w:val="100"/>
          <w:position w:val="0"/>
        </w:rPr>
        <w:t>2</w:t>
      </w:r>
      <w:bookmarkEnd w:id="892"/>
      <w:r>
        <w:rPr>
          <w:color w:val="000000"/>
          <w:spacing w:val="0"/>
          <w:w w:val="100"/>
          <w:position w:val="0"/>
        </w:rPr>
        <w:t>、</w:t>
        <w:tab/>
        <w:t>发出存货的计价方法</w:t>
      </w:r>
    </w:p>
    <w:p>
      <w:pPr>
        <w:pStyle w:val="Style15"/>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发出存货采用个别计价法和月末一次加权平均法。</w:t>
      </w:r>
    </w:p>
    <w:p>
      <w:pPr>
        <w:pStyle w:val="Style15"/>
        <w:keepNext w:val="0"/>
        <w:keepLines w:val="0"/>
        <w:widowControl w:val="0"/>
        <w:shd w:val="clear" w:color="auto" w:fill="auto"/>
        <w:tabs>
          <w:tab w:pos="794" w:val="left"/>
        </w:tabs>
        <w:bidi w:val="0"/>
        <w:spacing w:before="0" w:after="0"/>
        <w:ind w:left="0" w:right="0" w:firstLine="440"/>
        <w:jc w:val="left"/>
      </w:pPr>
      <w:bookmarkStart w:id="893" w:name="bookmark893"/>
      <w:r>
        <w:rPr>
          <w:rFonts w:ascii="Times New Roman" w:eastAsia="Times New Roman" w:hAnsi="Times New Roman" w:cs="Times New Roman"/>
          <w:color w:val="000000"/>
          <w:spacing w:val="0"/>
          <w:w w:val="100"/>
          <w:position w:val="0"/>
        </w:rPr>
        <w:t>3</w:t>
      </w:r>
      <w:bookmarkEnd w:id="893"/>
      <w:r>
        <w:rPr>
          <w:color w:val="000000"/>
          <w:spacing w:val="0"/>
          <w:w w:val="100"/>
          <w:position w:val="0"/>
        </w:rPr>
        <w:t>、</w:t>
        <w:tab/>
        <w:t>存货可变现净值的确定依据</w:t>
      </w:r>
    </w:p>
    <w:p>
      <w:pPr>
        <w:pStyle w:val="Style1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资产负债表日，存货采用成本与可变现净值孰低计量，按照单个存货成本高于可变现净值的差额计提存货跌价准备。 直接用于出售的存货，在正常生产经营过程中以该存货的估计售价减去估计的销售费用和相关税费后的金额确定其可变现净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15"/>
        <w:keepNext w:val="0"/>
        <w:keepLines w:val="0"/>
        <w:widowControl w:val="0"/>
        <w:shd w:val="clear" w:color="auto" w:fill="auto"/>
        <w:tabs>
          <w:tab w:pos="794" w:val="left"/>
        </w:tabs>
        <w:bidi w:val="0"/>
        <w:spacing w:before="0" w:after="0"/>
        <w:ind w:left="0" w:right="0" w:firstLine="440"/>
        <w:jc w:val="left"/>
      </w:pPr>
      <w:bookmarkStart w:id="894" w:name="bookmark894"/>
      <w:r>
        <w:rPr>
          <w:rFonts w:ascii="Times New Roman" w:eastAsia="Times New Roman" w:hAnsi="Times New Roman" w:cs="Times New Roman"/>
          <w:color w:val="000000"/>
          <w:spacing w:val="0"/>
          <w:w w:val="100"/>
          <w:position w:val="0"/>
        </w:rPr>
        <w:t>4</w:t>
      </w:r>
      <w:bookmarkEnd w:id="894"/>
      <w:r>
        <w:rPr>
          <w:color w:val="000000"/>
          <w:spacing w:val="0"/>
          <w:w w:val="100"/>
          <w:position w:val="0"/>
        </w:rPr>
        <w:t>、</w:t>
        <w:tab/>
        <w:t>存货的盘存制度</w:t>
      </w:r>
    </w:p>
    <w:p>
      <w:pPr>
        <w:pStyle w:val="Style15"/>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存货的盘存制度为永续盘存制。</w:t>
      </w:r>
    </w:p>
    <w:p>
      <w:pPr>
        <w:pStyle w:val="Style15"/>
        <w:keepNext w:val="0"/>
        <w:keepLines w:val="0"/>
        <w:widowControl w:val="0"/>
        <w:shd w:val="clear" w:color="auto" w:fill="auto"/>
        <w:tabs>
          <w:tab w:pos="794" w:val="left"/>
        </w:tabs>
        <w:bidi w:val="0"/>
        <w:spacing w:before="0" w:after="0"/>
        <w:ind w:left="0" w:right="0" w:firstLine="440"/>
        <w:jc w:val="left"/>
      </w:pPr>
      <w:bookmarkStart w:id="895" w:name="bookmark895"/>
      <w:r>
        <w:rPr>
          <w:rFonts w:ascii="Times New Roman" w:eastAsia="Times New Roman" w:hAnsi="Times New Roman" w:cs="Times New Roman"/>
          <w:color w:val="000000"/>
          <w:spacing w:val="0"/>
          <w:w w:val="100"/>
          <w:position w:val="0"/>
        </w:rPr>
        <w:t>5</w:t>
      </w:r>
      <w:bookmarkEnd w:id="895"/>
      <w:r>
        <w:rPr>
          <w:color w:val="000000"/>
          <w:spacing w:val="0"/>
          <w:w w:val="100"/>
          <w:position w:val="0"/>
        </w:rPr>
        <w:t>、</w:t>
        <w:tab/>
        <w:t>低值易耗品和包装物的摊销方法</w:t>
      </w:r>
    </w:p>
    <w:p>
      <w:pPr>
        <w:pStyle w:val="Style15"/>
        <w:keepNext w:val="0"/>
        <w:keepLines w:val="0"/>
        <w:widowControl w:val="0"/>
        <w:shd w:val="clear" w:color="auto" w:fill="auto"/>
        <w:tabs>
          <w:tab w:pos="885" w:val="left"/>
        </w:tabs>
        <w:bidi w:val="0"/>
        <w:spacing w:before="0" w:after="0" w:line="313" w:lineRule="exact"/>
        <w:ind w:left="0" w:right="0" w:firstLine="44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低值易耗品</w:t>
      </w:r>
    </w:p>
    <w:p>
      <w:pPr>
        <w:pStyle w:val="Style1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按照一次转销法进行摊销。</w:t>
      </w:r>
    </w:p>
    <w:p>
      <w:pPr>
        <w:pStyle w:val="Style15"/>
        <w:keepNext w:val="0"/>
        <w:keepLines w:val="0"/>
        <w:widowControl w:val="0"/>
        <w:shd w:val="clear" w:color="auto" w:fill="auto"/>
        <w:tabs>
          <w:tab w:pos="885" w:val="left"/>
        </w:tabs>
        <w:bidi w:val="0"/>
        <w:spacing w:before="0" w:after="0" w:line="313" w:lineRule="exact"/>
        <w:ind w:left="0" w:right="0" w:firstLine="44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包装物</w:t>
      </w:r>
    </w:p>
    <w:p>
      <w:pPr>
        <w:pStyle w:val="Style1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按照一次转销法进行摊销。</w:t>
      </w:r>
    </w:p>
    <w:p>
      <w:pPr>
        <w:pStyle w:val="Style15"/>
        <w:keepNext w:val="0"/>
        <w:keepLines w:val="0"/>
        <w:widowControl w:val="0"/>
        <w:shd w:val="clear" w:color="auto" w:fill="auto"/>
        <w:tabs>
          <w:tab w:pos="885" w:val="left"/>
        </w:tabs>
        <w:bidi w:val="0"/>
        <w:spacing w:before="0" w:after="0" w:line="313" w:lineRule="exact"/>
        <w:ind w:left="0" w:right="0" w:firstLine="44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周转材料</w:t>
      </w:r>
    </w:p>
    <w:p>
      <w:pPr>
        <w:pStyle w:val="Style15"/>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按照分期摊销法进行摊销。</w:t>
      </w:r>
    </w:p>
    <w:p>
      <w:pPr>
        <w:pStyle w:val="Style24"/>
        <w:keepNext/>
        <w:keepLines/>
        <w:widowControl w:val="0"/>
        <w:shd w:val="clear" w:color="auto" w:fill="auto"/>
        <w:tabs>
          <w:tab w:pos="474" w:val="left"/>
        </w:tabs>
        <w:bidi w:val="0"/>
        <w:spacing w:before="0" w:after="2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99"/>
      <w:bookmarkEnd w:id="900"/>
      <w:bookmarkEnd w:id="902"/>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公司根据履行履约义务与客户付款之间的关系在资产负债表中列示合同资产或合同负债。公司将同一合同下的合同资 产和合同负债相互抵销后以净额列示。</w:t>
      </w:r>
    </w:p>
    <w:p>
      <w:pPr>
        <w:pStyle w:val="Style1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公司将拥有的、无条件（即，仅取决于时间流逝）向客户收取对价的权利作为应收款项列示，将已向客户转让商品而 有权收取对价的权利（该权利取决于时间流逝之外的其他因素）作为合同资产列示。</w:t>
      </w:r>
    </w:p>
    <w:p>
      <w:pPr>
        <w:pStyle w:val="Style24"/>
        <w:keepNext/>
        <w:keepLines/>
        <w:widowControl w:val="0"/>
        <w:shd w:val="clear" w:color="auto" w:fill="auto"/>
        <w:tabs>
          <w:tab w:pos="474" w:val="left"/>
        </w:tabs>
        <w:bidi w:val="0"/>
        <w:spacing w:before="0" w:after="28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03"/>
      <w:bookmarkEnd w:id="904"/>
      <w:bookmarkEnd w:id="906"/>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与合同成本有关的资产包括合同取得成本和合同履约成本。</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15"/>
        <w:keepNext w:val="0"/>
        <w:keepLines w:val="0"/>
        <w:widowControl w:val="0"/>
        <w:shd w:val="clear" w:color="auto" w:fill="auto"/>
        <w:tabs>
          <w:tab w:pos="720" w:val="left"/>
        </w:tabs>
        <w:bidi w:val="0"/>
        <w:spacing w:before="0" w:after="80" w:line="312" w:lineRule="exact"/>
        <w:ind w:left="0" w:right="0"/>
        <w:jc w:val="both"/>
      </w:pPr>
      <w:bookmarkStart w:id="907" w:name="bookmark907"/>
      <w:r>
        <w:rPr>
          <w:rFonts w:ascii="Times New Roman" w:eastAsia="Times New Roman" w:hAnsi="Times New Roman" w:cs="Times New Roman"/>
          <w:color w:val="000000"/>
          <w:spacing w:val="0"/>
          <w:w w:val="100"/>
          <w:position w:val="0"/>
        </w:rPr>
        <w:t>1</w:t>
      </w:r>
      <w:bookmarkEnd w:id="907"/>
      <w:r>
        <w:rPr>
          <w:color w:val="000000"/>
          <w:spacing w:val="0"/>
          <w:w w:val="100"/>
          <w:position w:val="0"/>
        </w:rPr>
        <w:t>、</w:t>
        <w:tab/>
        <w:t>该成本与一份当前或预期取得的合同直接相关，包括直接人工、直接材料、制造费用（或类似费用）、明确由客户 承担的成本以及仅因该合同而发生的其他成本；</w:t>
      </w:r>
    </w:p>
    <w:p>
      <w:pPr>
        <w:pStyle w:val="Style15"/>
        <w:keepNext w:val="0"/>
        <w:keepLines w:val="0"/>
        <w:widowControl w:val="0"/>
        <w:shd w:val="clear" w:color="auto" w:fill="auto"/>
        <w:tabs>
          <w:tab w:pos="734" w:val="left"/>
        </w:tabs>
        <w:bidi w:val="0"/>
        <w:spacing w:before="0" w:after="0"/>
        <w:ind w:left="0" w:right="0"/>
        <w:jc w:val="both"/>
      </w:pPr>
      <w:bookmarkStart w:id="908" w:name="bookmark908"/>
      <w:r>
        <w:rPr>
          <w:rFonts w:ascii="Times New Roman" w:eastAsia="Times New Roman" w:hAnsi="Times New Roman" w:cs="Times New Roman"/>
          <w:color w:val="000000"/>
          <w:spacing w:val="0"/>
          <w:w w:val="100"/>
          <w:position w:val="0"/>
        </w:rPr>
        <w:t>2</w:t>
      </w:r>
      <w:bookmarkEnd w:id="908"/>
      <w:r>
        <w:rPr>
          <w:color w:val="000000"/>
          <w:spacing w:val="0"/>
          <w:w w:val="100"/>
          <w:position w:val="0"/>
        </w:rPr>
        <w:t>、</w:t>
        <w:tab/>
        <w:t>该成本增加了公司未来用于履行履约义务的资源；</w:t>
      </w:r>
    </w:p>
    <w:p>
      <w:pPr>
        <w:pStyle w:val="Style15"/>
        <w:keepNext w:val="0"/>
        <w:keepLines w:val="0"/>
        <w:widowControl w:val="0"/>
        <w:shd w:val="clear" w:color="auto" w:fill="auto"/>
        <w:tabs>
          <w:tab w:pos="734" w:val="left"/>
        </w:tabs>
        <w:bidi w:val="0"/>
        <w:spacing w:before="0" w:after="0"/>
        <w:ind w:left="0" w:right="0"/>
        <w:jc w:val="both"/>
      </w:pPr>
      <w:bookmarkStart w:id="909" w:name="bookmark909"/>
      <w:r>
        <w:rPr>
          <w:rFonts w:ascii="Times New Roman" w:eastAsia="Times New Roman" w:hAnsi="Times New Roman" w:cs="Times New Roman"/>
          <w:color w:val="000000"/>
          <w:spacing w:val="0"/>
          <w:w w:val="100"/>
          <w:position w:val="0"/>
        </w:rPr>
        <w:t>3</w:t>
      </w:r>
      <w:bookmarkEnd w:id="909"/>
      <w:r>
        <w:rPr>
          <w:color w:val="000000"/>
          <w:spacing w:val="0"/>
          <w:w w:val="100"/>
          <w:position w:val="0"/>
        </w:rPr>
        <w:t>、</w:t>
        <w:tab/>
        <w:t>该成本预期能够收回。</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公司对于与合同成本有关的资产采用与该资产相关的商品或服务收入确认相同的基础进行摊销，计入当期损益。</w:t>
      </w:r>
    </w:p>
    <w:p>
      <w:pPr>
        <w:pStyle w:val="Style15"/>
        <w:keepNext w:val="0"/>
        <w:keepLines w:val="0"/>
        <w:widowControl w:val="0"/>
        <w:shd w:val="clear" w:color="auto" w:fill="auto"/>
        <w:bidi w:val="0"/>
        <w:spacing w:before="0" w:after="80" w:line="312" w:lineRule="exact"/>
        <w:ind w:left="0" w:right="0"/>
        <w:jc w:val="both"/>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 备，并计入当期损益，但转回后的资产账面价值不超过假定不计提减值准备情况下该资产在转回日的账面价值。</w:t>
      </w:r>
    </w:p>
    <w:p>
      <w:pPr>
        <w:pStyle w:val="Style24"/>
        <w:keepNext/>
        <w:keepLines/>
        <w:widowControl w:val="0"/>
        <w:shd w:val="clear" w:color="auto" w:fill="auto"/>
        <w:tabs>
          <w:tab w:pos="469" w:val="left"/>
        </w:tabs>
        <w:bidi w:val="0"/>
        <w:spacing w:before="0" w:after="34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10"/>
      <w:bookmarkEnd w:id="911"/>
      <w:bookmarkEnd w:id="913"/>
    </w:p>
    <w:p>
      <w:pPr>
        <w:pStyle w:val="Style24"/>
        <w:keepNext/>
        <w:keepLines/>
        <w:widowControl w:val="0"/>
        <w:shd w:val="clear" w:color="auto" w:fill="auto"/>
        <w:tabs>
          <w:tab w:pos="469" w:val="left"/>
        </w:tabs>
        <w:bidi w:val="0"/>
        <w:spacing w:before="0" w:after="34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14"/>
      <w:bookmarkEnd w:id="915"/>
      <w:bookmarkEnd w:id="917"/>
    </w:p>
    <w:p>
      <w:pPr>
        <w:pStyle w:val="Style24"/>
        <w:keepNext/>
        <w:keepLines/>
        <w:widowControl w:val="0"/>
        <w:shd w:val="clear" w:color="auto" w:fill="auto"/>
        <w:tabs>
          <w:tab w:pos="478" w:val="left"/>
        </w:tabs>
        <w:bidi w:val="0"/>
        <w:spacing w:before="0" w:after="34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18"/>
      <w:bookmarkEnd w:id="919"/>
      <w:bookmarkEnd w:id="921"/>
    </w:p>
    <w:p>
      <w:pPr>
        <w:pStyle w:val="Style24"/>
        <w:keepNext/>
        <w:keepLines/>
        <w:widowControl w:val="0"/>
        <w:shd w:val="clear" w:color="auto" w:fill="auto"/>
        <w:tabs>
          <w:tab w:pos="478" w:val="left"/>
        </w:tabs>
        <w:bidi w:val="0"/>
        <w:spacing w:before="0" w:after="34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22"/>
      <w:bookmarkEnd w:id="923"/>
      <w:bookmarkEnd w:id="925"/>
    </w:p>
    <w:p>
      <w:pPr>
        <w:pStyle w:val="Style24"/>
        <w:keepNext/>
        <w:keepLines/>
        <w:widowControl w:val="0"/>
        <w:shd w:val="clear" w:color="auto" w:fill="auto"/>
        <w:tabs>
          <w:tab w:pos="478" w:val="left"/>
        </w:tabs>
        <w:bidi w:val="0"/>
        <w:spacing w:before="0" w:after="2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26"/>
      <w:bookmarkEnd w:id="927"/>
      <w:bookmarkEnd w:id="929"/>
    </w:p>
    <w:p>
      <w:pPr>
        <w:pStyle w:val="Style15"/>
        <w:keepNext w:val="0"/>
        <w:keepLines w:val="0"/>
        <w:widowControl w:val="0"/>
        <w:shd w:val="clear" w:color="auto" w:fill="auto"/>
        <w:tabs>
          <w:tab w:pos="710" w:val="left"/>
        </w:tabs>
        <w:bidi w:val="0"/>
        <w:spacing w:before="0" w:after="0" w:line="312" w:lineRule="exact"/>
        <w:ind w:left="0" w:right="0"/>
        <w:jc w:val="both"/>
      </w:pPr>
      <w:bookmarkStart w:id="930" w:name="bookmark930"/>
      <w:r>
        <w:rPr>
          <w:rFonts w:ascii="Times New Roman" w:eastAsia="Times New Roman" w:hAnsi="Times New Roman" w:cs="Times New Roman"/>
          <w:color w:val="000000"/>
          <w:spacing w:val="0"/>
          <w:w w:val="100"/>
          <w:position w:val="0"/>
        </w:rPr>
        <w:t>1</w:t>
      </w:r>
      <w:bookmarkEnd w:id="930"/>
      <w:r>
        <w:rPr>
          <w:color w:val="000000"/>
          <w:spacing w:val="0"/>
          <w:w w:val="100"/>
          <w:position w:val="0"/>
        </w:rPr>
        <w:t>、</w:t>
        <w:tab/>
        <w:t>共同控制、重大影响的判断</w:t>
      </w:r>
    </w:p>
    <w:p>
      <w:pPr>
        <w:pStyle w:val="Style15"/>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15"/>
        <w:keepNext w:val="0"/>
        <w:keepLines w:val="0"/>
        <w:widowControl w:val="0"/>
        <w:shd w:val="clear" w:color="auto" w:fill="auto"/>
        <w:tabs>
          <w:tab w:pos="729" w:val="left"/>
        </w:tabs>
        <w:bidi w:val="0"/>
        <w:spacing w:before="0" w:after="0" w:line="312" w:lineRule="exact"/>
        <w:ind w:left="0" w:right="0"/>
        <w:jc w:val="both"/>
      </w:pPr>
      <w:bookmarkStart w:id="931" w:name="bookmark931"/>
      <w:r>
        <w:rPr>
          <w:rFonts w:ascii="Times New Roman" w:eastAsia="Times New Roman" w:hAnsi="Times New Roman" w:cs="Times New Roman"/>
          <w:color w:val="000000"/>
          <w:spacing w:val="0"/>
          <w:w w:val="100"/>
          <w:position w:val="0"/>
        </w:rPr>
        <w:t>2</w:t>
      </w:r>
      <w:bookmarkEnd w:id="931"/>
      <w:r>
        <w:rPr>
          <w:color w:val="000000"/>
          <w:spacing w:val="0"/>
          <w:w w:val="100"/>
          <w:position w:val="0"/>
        </w:rPr>
        <w:t>、</w:t>
        <w:tab/>
        <w:t>投资成本的确定</w:t>
      </w:r>
    </w:p>
    <w:p>
      <w:pPr>
        <w:pStyle w:val="Style15"/>
        <w:keepNext w:val="0"/>
        <w:keepLines w:val="0"/>
        <w:widowControl w:val="0"/>
        <w:shd w:val="clear" w:color="auto" w:fill="auto"/>
        <w:tabs>
          <w:tab w:pos="891" w:val="left"/>
        </w:tabs>
        <w:bidi w:val="0"/>
        <w:spacing w:before="0" w:after="0" w:line="312" w:lineRule="exact"/>
        <w:ind w:left="0" w:right="0" w:firstLine="420"/>
        <w:jc w:val="both"/>
      </w:pPr>
      <w:bookmarkStart w:id="932" w:name="bookmark932"/>
      <w:r>
        <w:rPr>
          <w:color w:val="000000"/>
          <w:spacing w:val="0"/>
          <w:w w:val="100"/>
          <w:position w:val="0"/>
        </w:rPr>
        <w:t>（</w:t>
      </w:r>
      <w:bookmarkEnd w:id="932"/>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同一控制下的企业合并形成的，合并方以支付现金、转让非现金资产、承担债务或发行权益性证券作为合并对价 的，在合并日按照取得被合并方所有者权益在最终控制方合并财务报表中的账面价值的份额作为其初始投资成本。长期股权 投资初始投资成本与支付的合并对价的账面价值或发行股份的面值总额之间的差额调整资本公积；资本公积不足冲减的，调 整留存收益。</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公司通过多次交易分步实现同一控制下企业合并形成的长期股权投资，判断是否属于“一揽子交易”。属于“一揽子 交易”的，把各项交易作为一项取得控制权的交易进行会计处理。不属于“一揽子交易”的，在合并日，根据合并后应享有 被合并方净资产在最终控制方合并财务报表中的账面价值的份额确定初始投资成本。合并日长期股权投资的初始投资成本， 与达到合并前的长期股权投资账面价值加上合并日进一步取得股份新支付对价的账面价值之和的差额，调整资本公积；资本 公积不足冲减的，调整留存收益。</w:t>
      </w:r>
    </w:p>
    <w:p>
      <w:pPr>
        <w:pStyle w:val="Style15"/>
        <w:keepNext w:val="0"/>
        <w:keepLines w:val="0"/>
        <w:widowControl w:val="0"/>
        <w:shd w:val="clear" w:color="auto" w:fill="auto"/>
        <w:tabs>
          <w:tab w:pos="815" w:val="left"/>
        </w:tabs>
        <w:bidi w:val="0"/>
        <w:spacing w:before="0" w:after="0" w:line="312" w:lineRule="exact"/>
        <w:ind w:left="0" w:right="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非同一控制下的企业合并形成的，在购买日按照支付的合并对价的公允价值作为其初始投资成本。</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公司通过多次交易分步实现非同一控制下企业合并形成的长期股权投资，区分个别财务报表和合并财务报表进行相关会 计处理：</w:t>
      </w:r>
    </w:p>
    <w:p>
      <w:pPr>
        <w:pStyle w:val="Style15"/>
        <w:keepNext w:val="0"/>
        <w:keepLines w:val="0"/>
        <w:widowControl w:val="0"/>
        <w:shd w:val="clear" w:color="auto" w:fill="auto"/>
        <w:tabs>
          <w:tab w:pos="771" w:val="left"/>
        </w:tabs>
        <w:bidi w:val="0"/>
        <w:spacing w:before="0" w:after="0" w:line="312" w:lineRule="exact"/>
        <w:ind w:left="0" w:right="0" w:firstLine="420"/>
        <w:jc w:val="both"/>
      </w:pPr>
      <w:bookmarkStart w:id="934" w:name="bookmark934"/>
      <w:r>
        <w:rPr>
          <w:rFonts w:ascii="Times New Roman" w:eastAsia="Times New Roman" w:hAnsi="Times New Roman" w:cs="Times New Roman"/>
          <w:color w:val="000000"/>
          <w:spacing w:val="0"/>
          <w:w w:val="100"/>
          <w:position w:val="0"/>
        </w:rPr>
        <w:t>1</w:t>
      </w:r>
      <w:bookmarkEnd w:id="934"/>
      <w:r>
        <w:rPr>
          <w:color w:val="000000"/>
          <w:spacing w:val="0"/>
          <w:w w:val="100"/>
          <w:position w:val="0"/>
        </w:rPr>
        <w:t>）</w:t>
        <w:tab/>
        <w:t>在个别财务报表中，按照原持有的股权投资的账面价值加上新增投资成本之和，作为改按成本法核算的初始投资成 本。</w:t>
      </w:r>
    </w:p>
    <w:p>
      <w:pPr>
        <w:pStyle w:val="Style15"/>
        <w:keepNext w:val="0"/>
        <w:keepLines w:val="0"/>
        <w:widowControl w:val="0"/>
        <w:shd w:val="clear" w:color="auto" w:fill="auto"/>
        <w:tabs>
          <w:tab w:pos="771" w:val="left"/>
        </w:tabs>
        <w:bidi w:val="0"/>
        <w:spacing w:before="0" w:after="0" w:line="312" w:lineRule="exact"/>
        <w:ind w:left="0" w:right="0" w:firstLine="420"/>
        <w:jc w:val="both"/>
      </w:pPr>
      <w:bookmarkStart w:id="935" w:name="bookmark935"/>
      <w:r>
        <w:rPr>
          <w:rFonts w:ascii="Times New Roman" w:eastAsia="Times New Roman" w:hAnsi="Times New Roman" w:cs="Times New Roman"/>
          <w:color w:val="000000"/>
          <w:spacing w:val="0"/>
          <w:w w:val="100"/>
          <w:position w:val="0"/>
        </w:rPr>
        <w:t>2</w:t>
      </w:r>
      <w:bookmarkEnd w:id="935"/>
      <w:r>
        <w:rPr>
          <w:color w:val="000000"/>
          <w:spacing w:val="0"/>
          <w:w w:val="100"/>
          <w:position w:val="0"/>
        </w:rPr>
        <w:t>）</w:t>
        <w:tab/>
        <w:t>在合并财务报表中，判断是否属于“一揽子交易”。属于“一揽子交易”的，把各项交易作为一项取得控制权的交 易进行会计处理。不属于“一揽子交易”的，对于购买日之前持有的被购买方的股权，按照该股权在购买日的公允价值进行 重新计量，公允价值与其账面价值的差额计入当期投资收益；购买日之前持有的被购买方的股权涉及权益法核算下的其他综 合收益等的，与其相关的其他综合收益等转为购买日所属当期收益。但由于被投资方重新计量设定受益计划净负债或净资产 变动而产生的其他综合收益除外。</w:t>
      </w:r>
    </w:p>
    <w:p>
      <w:pPr>
        <w:pStyle w:val="Style15"/>
        <w:keepNext w:val="0"/>
        <w:keepLines w:val="0"/>
        <w:widowControl w:val="0"/>
        <w:shd w:val="clear" w:color="auto" w:fill="auto"/>
        <w:bidi w:val="0"/>
        <w:spacing w:before="0" w:after="0" w:line="312" w:lineRule="exact"/>
        <w:ind w:left="0" w:right="0" w:firstLine="42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3</w:t>
      </w:r>
      <w:r>
        <w:rPr>
          <w:color w:val="000000"/>
          <w:spacing w:val="0"/>
          <w:w w:val="100"/>
          <w:position w:val="0"/>
        </w:rPr>
        <w:t>）除企业合并形成以外的：以支付现金取得的，按照实际支付的购买价款作为其初始投资成本；以发行权益性证券 取得的，按照发行权益性证券的公允价值作为其初始投资成本；以债务重组方式取得的，按《企业会计准则第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 重组》确定其初始投资成本；以非货币性资产交换取得的，按《企业会计准则第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 资成本。</w:t>
      </w:r>
    </w:p>
    <w:p>
      <w:pPr>
        <w:pStyle w:val="Style15"/>
        <w:keepNext w:val="0"/>
        <w:keepLines w:val="0"/>
        <w:widowControl w:val="0"/>
        <w:shd w:val="clear" w:color="auto" w:fill="auto"/>
        <w:tabs>
          <w:tab w:pos="769" w:val="left"/>
        </w:tabs>
        <w:bidi w:val="0"/>
        <w:spacing w:before="0" w:after="0" w:line="312" w:lineRule="exact"/>
        <w:ind w:left="0" w:right="0" w:firstLine="420"/>
        <w:jc w:val="both"/>
      </w:pPr>
      <w:bookmarkStart w:id="937" w:name="bookmark937"/>
      <w:r>
        <w:rPr>
          <w:rFonts w:ascii="Times New Roman" w:eastAsia="Times New Roman" w:hAnsi="Times New Roman" w:cs="Times New Roman"/>
          <w:color w:val="000000"/>
          <w:spacing w:val="0"/>
          <w:w w:val="100"/>
          <w:position w:val="0"/>
        </w:rPr>
        <w:t>3</w:t>
      </w:r>
      <w:bookmarkEnd w:id="937"/>
      <w:r>
        <w:rPr>
          <w:color w:val="000000"/>
          <w:spacing w:val="0"/>
          <w:w w:val="100"/>
          <w:position w:val="0"/>
        </w:rPr>
        <w:t>、</w:t>
        <w:tab/>
        <w:t>后续计量及损益确认方法</w:t>
      </w:r>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对被投资单位实施控制的长期股权投资采用成本法核算；对联营企业和合营企业的长期股权投资，采用权益法核算。</w:t>
      </w:r>
    </w:p>
    <w:p>
      <w:pPr>
        <w:pStyle w:val="Style15"/>
        <w:keepNext w:val="0"/>
        <w:keepLines w:val="0"/>
        <w:widowControl w:val="0"/>
        <w:shd w:val="clear" w:color="auto" w:fill="auto"/>
        <w:tabs>
          <w:tab w:pos="769" w:val="left"/>
        </w:tabs>
        <w:bidi w:val="0"/>
        <w:spacing w:before="0" w:after="0" w:line="312" w:lineRule="exact"/>
        <w:ind w:left="0" w:right="0" w:firstLine="420"/>
        <w:jc w:val="both"/>
      </w:pPr>
      <w:bookmarkStart w:id="938" w:name="bookmark938"/>
      <w:r>
        <w:rPr>
          <w:rFonts w:ascii="Times New Roman" w:eastAsia="Times New Roman" w:hAnsi="Times New Roman" w:cs="Times New Roman"/>
          <w:color w:val="000000"/>
          <w:spacing w:val="0"/>
          <w:w w:val="100"/>
          <w:position w:val="0"/>
        </w:rPr>
        <w:t>4</w:t>
      </w:r>
      <w:bookmarkEnd w:id="938"/>
      <w:r>
        <w:rPr>
          <w:color w:val="000000"/>
          <w:spacing w:val="0"/>
          <w:w w:val="100"/>
          <w:position w:val="0"/>
        </w:rPr>
        <w:t>、</w:t>
        <w:tab/>
        <w:t>通过多次交易分步处置对子公司投资至丧失控制权的处理方法</w:t>
      </w:r>
    </w:p>
    <w:p>
      <w:pPr>
        <w:pStyle w:val="Style15"/>
        <w:keepNext w:val="0"/>
        <w:keepLines w:val="0"/>
        <w:widowControl w:val="0"/>
        <w:shd w:val="clear" w:color="auto" w:fill="auto"/>
        <w:bidi w:val="0"/>
        <w:spacing w:before="0" w:after="0" w:line="312" w:lineRule="exact"/>
        <w:ind w:left="0" w:right="0" w:firstLine="42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）个别财务报表</w:t>
      </w:r>
    </w:p>
    <w:p>
      <w:pPr>
        <w:pStyle w:val="Style15"/>
        <w:keepNext w:val="0"/>
        <w:keepLines w:val="0"/>
        <w:widowControl w:val="0"/>
        <w:shd w:val="clear" w:color="auto" w:fill="auto"/>
        <w:bidi w:val="0"/>
        <w:spacing w:before="0" w:after="140" w:line="312" w:lineRule="exact"/>
        <w:ind w:left="0" w:right="0" w:firstLine="420"/>
        <w:jc w:val="both"/>
      </w:pPr>
      <w:r>
        <w:rPr>
          <w:color w:val="000000"/>
          <w:spacing w:val="0"/>
          <w:w w:val="100"/>
          <w:position w:val="0"/>
        </w:rPr>
        <w:t>对处置的股权，其账面价值与实际取得价款之间的差额，计入当期损益。对于剩余股权，对被投资单位仍具有重大影 响或者与其他方一起实施共同控制的，转为权益法核算；不能再对被投资单位实施控制、共同控制或重大影响的，按照《企 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号——金融工具确认和计量》的相关规定进行核算。</w:t>
      </w:r>
    </w:p>
    <w:p>
      <w:pPr>
        <w:pStyle w:val="Style15"/>
        <w:keepNext w:val="0"/>
        <w:keepLines w:val="0"/>
        <w:widowControl w:val="0"/>
        <w:shd w:val="clear" w:color="auto" w:fill="auto"/>
        <w:bidi w:val="0"/>
        <w:spacing w:before="0" w:after="0" w:line="311" w:lineRule="exact"/>
        <w:ind w:left="0" w:right="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）合并财务报表</w:t>
      </w:r>
    </w:p>
    <w:p>
      <w:pPr>
        <w:pStyle w:val="Style15"/>
        <w:keepNext w:val="0"/>
        <w:keepLines w:val="0"/>
        <w:widowControl w:val="0"/>
        <w:shd w:val="clear" w:color="auto" w:fill="auto"/>
        <w:tabs>
          <w:tab w:pos="729" w:val="left"/>
        </w:tabs>
        <w:bidi w:val="0"/>
        <w:spacing w:before="0" w:after="0" w:line="311" w:lineRule="exact"/>
        <w:ind w:left="0" w:right="0"/>
        <w:jc w:val="both"/>
      </w:pPr>
      <w:bookmarkStart w:id="941" w:name="bookmark941"/>
      <w:r>
        <w:rPr>
          <w:rFonts w:ascii="Times New Roman" w:eastAsia="Times New Roman" w:hAnsi="Times New Roman" w:cs="Times New Roman"/>
          <w:color w:val="000000"/>
          <w:spacing w:val="0"/>
          <w:w w:val="100"/>
          <w:position w:val="0"/>
        </w:rPr>
        <w:t>1</w:t>
      </w:r>
      <w:bookmarkEnd w:id="941"/>
      <w:r>
        <w:rPr>
          <w:color w:val="000000"/>
          <w:spacing w:val="0"/>
          <w:w w:val="100"/>
          <w:position w:val="0"/>
        </w:rPr>
        <w:t>）</w:t>
        <w:tab/>
        <w:t>通过多次交易分步处置对子公司投资至丧失控制权，且不属于“一揽子交易”的</w:t>
      </w:r>
    </w:p>
    <w:p>
      <w:pPr>
        <w:pStyle w:val="Style1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在丧失控制权之前，处置价款与处置长期股权投资相对应享有子公司自购买日或合并日开始持续计算的净资产份额之 间的差额，调整资本公积（资本溢价），资本溢价不足冲减的，冲减留存收益。</w:t>
      </w:r>
    </w:p>
    <w:p>
      <w:pPr>
        <w:pStyle w:val="Style1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丧失对原子公司控制权时，对于剩余股权，按照其在丧失控制权日的公允价值进行重新计量。处置股权取得的对价与 剩余股权公允价值之和，减去按原持股比例计算应享有原有子公司自购买日或合并日开始持续计算的净资产的份额之间的差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15"/>
        <w:keepNext w:val="0"/>
        <w:keepLines w:val="0"/>
        <w:widowControl w:val="0"/>
        <w:shd w:val="clear" w:color="auto" w:fill="auto"/>
        <w:tabs>
          <w:tab w:pos="788" w:val="left"/>
        </w:tabs>
        <w:bidi w:val="0"/>
        <w:spacing w:before="0" w:after="0" w:line="311" w:lineRule="exact"/>
        <w:ind w:left="0" w:right="0" w:firstLine="420"/>
        <w:jc w:val="both"/>
      </w:pPr>
      <w:bookmarkStart w:id="942" w:name="bookmark942"/>
      <w:r>
        <w:rPr>
          <w:rFonts w:ascii="Times New Roman" w:eastAsia="Times New Roman" w:hAnsi="Times New Roman" w:cs="Times New Roman"/>
          <w:color w:val="000000"/>
          <w:spacing w:val="0"/>
          <w:w w:val="100"/>
          <w:position w:val="0"/>
        </w:rPr>
        <w:t>2</w:t>
      </w:r>
      <w:bookmarkEnd w:id="942"/>
      <w:r>
        <w:rPr>
          <w:color w:val="000000"/>
          <w:spacing w:val="0"/>
          <w:w w:val="100"/>
          <w:position w:val="0"/>
        </w:rPr>
        <w:t>）</w:t>
        <w:tab/>
        <w:t>通过多次交易分步处置对子公司投资至丧失控制权，且属于“一揽子交易”的</w:t>
      </w:r>
    </w:p>
    <w:p>
      <w:pPr>
        <w:pStyle w:val="Style15"/>
        <w:keepNext w:val="0"/>
        <w:keepLines w:val="0"/>
        <w:widowControl w:val="0"/>
        <w:shd w:val="clear" w:color="auto" w:fill="auto"/>
        <w:bidi w:val="0"/>
        <w:spacing w:before="0" w:after="680" w:line="311" w:lineRule="exact"/>
        <w:ind w:left="0" w:right="0" w:firstLine="420"/>
        <w:jc w:val="both"/>
      </w:pPr>
      <w:r>
        <w:rPr>
          <w:color w:val="000000"/>
          <w:spacing w:val="0"/>
          <w:w w:val="100"/>
          <w:position w:val="0"/>
        </w:rPr>
        <w:t>将各项交易作为一项处置子公司并丧失控制权的交易进行会计处理。但是，在丧失控制权之前每一次处置价款与处置 投资对应的享有该子公司净资产份额的差额，在合并财务报表中确认为其他综合收益，在丧失控制权时一并转入丧失控制权 当期的损益。</w:t>
      </w:r>
    </w:p>
    <w:p>
      <w:pPr>
        <w:pStyle w:val="Style24"/>
        <w:keepNext/>
        <w:keepLines/>
        <w:widowControl w:val="0"/>
        <w:shd w:val="clear" w:color="auto" w:fill="auto"/>
        <w:tabs>
          <w:tab w:pos="483" w:val="left"/>
        </w:tabs>
        <w:bidi w:val="0"/>
        <w:spacing w:before="0" w:after="28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43"/>
      <w:bookmarkEnd w:id="944"/>
      <w:bookmarkEnd w:id="946"/>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投资性房地产计量模式</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成本法计量</w:t>
      </w:r>
    </w:p>
    <w:p>
      <w:pPr>
        <w:pStyle w:val="Style15"/>
        <w:keepNext w:val="0"/>
        <w:keepLines w:val="0"/>
        <w:widowControl w:val="0"/>
        <w:shd w:val="clear" w:color="auto" w:fill="auto"/>
        <w:bidi w:val="0"/>
        <w:spacing w:before="0" w:after="0" w:line="317" w:lineRule="exact"/>
        <w:ind w:left="0" w:right="0" w:firstLine="0"/>
        <w:jc w:val="both"/>
      </w:pPr>
      <w:r>
        <w:rPr>
          <w:color w:val="000000"/>
          <w:spacing w:val="0"/>
          <w:w w:val="100"/>
          <w:position w:val="0"/>
        </w:rPr>
        <w:t>折旧或摊销方法</w:t>
      </w:r>
    </w:p>
    <w:p>
      <w:pPr>
        <w:pStyle w:val="Style15"/>
        <w:keepNext w:val="0"/>
        <w:keepLines w:val="0"/>
        <w:widowControl w:val="0"/>
        <w:shd w:val="clear" w:color="auto" w:fill="auto"/>
        <w:tabs>
          <w:tab w:pos="714" w:val="left"/>
        </w:tabs>
        <w:bidi w:val="0"/>
        <w:spacing w:before="0" w:after="0" w:line="317" w:lineRule="exact"/>
        <w:ind w:left="0" w:right="0"/>
        <w:jc w:val="both"/>
      </w:pPr>
      <w:bookmarkStart w:id="947" w:name="bookmark947"/>
      <w:r>
        <w:rPr>
          <w:rFonts w:ascii="Times New Roman" w:eastAsia="Times New Roman" w:hAnsi="Times New Roman" w:cs="Times New Roman"/>
          <w:color w:val="000000"/>
          <w:spacing w:val="0"/>
          <w:w w:val="100"/>
          <w:position w:val="0"/>
        </w:rPr>
        <w:t>1</w:t>
      </w:r>
      <w:bookmarkEnd w:id="947"/>
      <w:r>
        <w:rPr>
          <w:color w:val="000000"/>
          <w:spacing w:val="0"/>
          <w:w w:val="100"/>
          <w:position w:val="0"/>
        </w:rPr>
        <w:t>、</w:t>
        <w:tab/>
        <w:t>投资性房地产包括已出租的土地使用权、持有并准备增值后转让的土地使用权和已出租的建筑物。</w:t>
      </w:r>
    </w:p>
    <w:p>
      <w:pPr>
        <w:pStyle w:val="Style15"/>
        <w:keepNext w:val="0"/>
        <w:keepLines w:val="0"/>
        <w:widowControl w:val="0"/>
        <w:shd w:val="clear" w:color="auto" w:fill="auto"/>
        <w:tabs>
          <w:tab w:pos="762" w:val="left"/>
        </w:tabs>
        <w:bidi w:val="0"/>
        <w:spacing w:before="0" w:after="340" w:line="317" w:lineRule="exact"/>
        <w:ind w:left="0" w:right="0" w:firstLine="420"/>
        <w:jc w:val="both"/>
      </w:pPr>
      <w:bookmarkStart w:id="948" w:name="bookmark948"/>
      <w:r>
        <w:rPr>
          <w:rFonts w:ascii="Times New Roman" w:eastAsia="Times New Roman" w:hAnsi="Times New Roman" w:cs="Times New Roman"/>
          <w:color w:val="000000"/>
          <w:spacing w:val="0"/>
          <w:w w:val="100"/>
          <w:position w:val="0"/>
        </w:rPr>
        <w:t>2</w:t>
      </w:r>
      <w:bookmarkEnd w:id="948"/>
      <w:r>
        <w:rPr>
          <w:color w:val="000000"/>
          <w:spacing w:val="0"/>
          <w:w w:val="100"/>
          <w:position w:val="0"/>
        </w:rPr>
        <w:t>、</w:t>
        <w:tab/>
        <w:t>投资性房地产按照成本进行初始计量，采用成本模式进行后续计量，并采用与固定资产和无形资产相同的方法计提 折旧或进行摊销。</w:t>
      </w:r>
    </w:p>
    <w:p>
      <w:pPr>
        <w:pStyle w:val="Style24"/>
        <w:keepNext/>
        <w:keepLines/>
        <w:widowControl w:val="0"/>
        <w:shd w:val="clear" w:color="auto" w:fill="auto"/>
        <w:tabs>
          <w:tab w:pos="483" w:val="left"/>
        </w:tabs>
        <w:bidi w:val="0"/>
        <w:spacing w:before="0" w:after="34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49"/>
      <w:bookmarkEnd w:id="950"/>
      <w:bookmarkEnd w:id="952"/>
    </w:p>
    <w:p>
      <w:pPr>
        <w:pStyle w:val="Style92"/>
        <w:keepNext/>
        <w:keepLines/>
        <w:widowControl w:val="0"/>
        <w:shd w:val="clear" w:color="auto" w:fill="auto"/>
        <w:bidi w:val="0"/>
        <w:spacing w:before="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53"/>
      <w:bookmarkEnd w:id="954"/>
      <w:bookmarkEnd w:id="956"/>
    </w:p>
    <w:p>
      <w:pPr>
        <w:pStyle w:val="Style15"/>
        <w:keepNext w:val="0"/>
        <w:keepLines w:val="0"/>
        <w:widowControl w:val="0"/>
        <w:shd w:val="clear" w:color="auto" w:fill="auto"/>
        <w:bidi w:val="0"/>
        <w:spacing w:before="0" w:after="340" w:line="312" w:lineRule="exact"/>
        <w:ind w:left="0" w:right="0" w:firstLine="420"/>
        <w:jc w:val="both"/>
      </w:pPr>
      <w:r>
        <w:rPr>
          <w:color w:val="000000"/>
          <w:spacing w:val="0"/>
          <w:w w:val="100"/>
          <w:position w:val="0"/>
        </w:rPr>
        <w:t>固定资产是指为生产商品、提供劳务、出租或经营管理而持有的，使用年限超过一个会计年度的有形资产。固定资产在 同时满足经济利益很可能流入、成本能够可靠计量时予以确认。</w:t>
      </w:r>
    </w:p>
    <w:p>
      <w:pPr>
        <w:pStyle w:val="Style92"/>
        <w:keepNext/>
        <w:keepLines/>
        <w:widowControl w:val="0"/>
        <w:shd w:val="clear" w:color="auto" w:fill="auto"/>
        <w:bidi w:val="0"/>
        <w:spacing w:before="0" w:after="340" w:line="240" w:lineRule="auto"/>
        <w:ind w:left="0" w:right="0" w:firstLine="0"/>
        <w:jc w:val="both"/>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57"/>
      <w:bookmarkEnd w:id="958"/>
      <w:bookmarkEnd w:id="960"/>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19.00%-9.50%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31.67%-9.50%</w:t>
            </w:r>
          </w:p>
        </w:tc>
      </w:tr>
    </w:tbl>
    <w:p>
      <w:pPr>
        <w:widowControl w:val="0"/>
        <w:spacing w:after="279" w:line="1" w:lineRule="exact"/>
      </w:pPr>
    </w:p>
    <w:p>
      <w:pPr>
        <w:pStyle w:val="Style92"/>
        <w:keepNext/>
        <w:keepLines/>
        <w:widowControl w:val="0"/>
        <w:shd w:val="clear" w:color="auto" w:fill="auto"/>
        <w:bidi w:val="0"/>
        <w:spacing w:before="0" w:after="340" w:line="240" w:lineRule="auto"/>
        <w:ind w:left="0" w:right="0" w:firstLine="0"/>
        <w:jc w:val="both"/>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61"/>
      <w:bookmarkEnd w:id="962"/>
      <w:bookmarkEnd w:id="964"/>
    </w:p>
    <w:p>
      <w:pPr>
        <w:pStyle w:val="Style24"/>
        <w:keepNext/>
        <w:keepLines/>
        <w:widowControl w:val="0"/>
        <w:shd w:val="clear" w:color="auto" w:fill="auto"/>
        <w:bidi w:val="0"/>
        <w:spacing w:before="0" w:after="34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965"/>
      <w:bookmarkEnd w:id="966"/>
      <w:bookmarkEnd w:id="968"/>
    </w:p>
    <w:p>
      <w:pPr>
        <w:pStyle w:val="Style15"/>
        <w:keepNext w:val="0"/>
        <w:keepLines w:val="0"/>
        <w:widowControl w:val="0"/>
        <w:shd w:val="clear" w:color="auto" w:fill="auto"/>
        <w:bidi w:val="0"/>
        <w:spacing w:before="0" w:after="0" w:line="240" w:lineRule="auto"/>
        <w:ind w:left="0" w:right="0"/>
        <w:jc w:val="both"/>
      </w:pPr>
      <w:bookmarkStart w:id="969" w:name="bookmark969"/>
      <w:r>
        <w:rPr>
          <w:rFonts w:ascii="Times New Roman" w:eastAsia="Times New Roman" w:hAnsi="Times New Roman" w:cs="Times New Roman"/>
          <w:color w:val="000000"/>
          <w:spacing w:val="0"/>
          <w:w w:val="100"/>
          <w:position w:val="0"/>
        </w:rPr>
        <w:t>1</w:t>
      </w:r>
      <w:bookmarkEnd w:id="969"/>
      <w:r>
        <w:rPr>
          <w:color w:val="000000"/>
          <w:spacing w:val="0"/>
          <w:w w:val="100"/>
          <w:position w:val="0"/>
        </w:rPr>
        <w:t xml:space="preserve">、在建工程同时满足经济利益很可能流入、成本能够可靠计量则予以确认。在建工程按建造该项资产达到预定可使用 </w:t>
      </w:r>
      <w:r>
        <w:rPr>
          <w:color w:val="000000"/>
          <w:spacing w:val="0"/>
          <w:w w:val="100"/>
          <w:position w:val="0"/>
        </w:rPr>
        <w:t>状态前所发生的实际成本计量。</w:t>
      </w:r>
    </w:p>
    <w:p>
      <w:pPr>
        <w:pStyle w:val="Style15"/>
        <w:keepNext w:val="0"/>
        <w:keepLines w:val="0"/>
        <w:widowControl w:val="0"/>
        <w:shd w:val="clear" w:color="auto" w:fill="auto"/>
        <w:bidi w:val="0"/>
        <w:spacing w:before="0" w:after="340" w:line="317" w:lineRule="exact"/>
        <w:ind w:left="0" w:right="0" w:firstLine="420"/>
        <w:jc w:val="both"/>
      </w:pPr>
      <w:bookmarkStart w:id="970" w:name="bookmark970"/>
      <w:r>
        <w:rPr>
          <w:rFonts w:ascii="Times New Roman" w:eastAsia="Times New Roman" w:hAnsi="Times New Roman" w:cs="Times New Roman"/>
          <w:color w:val="000000"/>
          <w:spacing w:val="0"/>
          <w:w w:val="100"/>
          <w:position w:val="0"/>
        </w:rPr>
        <w:t>2</w:t>
      </w:r>
      <w:bookmarkEnd w:id="970"/>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24"/>
        <w:keepNext/>
        <w:keepLines/>
        <w:widowControl w:val="0"/>
        <w:shd w:val="clear" w:color="auto" w:fill="auto"/>
        <w:tabs>
          <w:tab w:pos="483" w:val="left"/>
        </w:tabs>
        <w:bidi w:val="0"/>
        <w:spacing w:before="0" w:after="2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71"/>
      <w:bookmarkEnd w:id="972"/>
      <w:bookmarkEnd w:id="974"/>
    </w:p>
    <w:p>
      <w:pPr>
        <w:pStyle w:val="Style15"/>
        <w:keepNext w:val="0"/>
        <w:keepLines w:val="0"/>
        <w:widowControl w:val="0"/>
        <w:shd w:val="clear" w:color="auto" w:fill="auto"/>
        <w:tabs>
          <w:tab w:pos="714" w:val="left"/>
        </w:tabs>
        <w:bidi w:val="0"/>
        <w:spacing w:before="0" w:after="0" w:line="316" w:lineRule="exact"/>
        <w:ind w:left="0" w:right="0"/>
        <w:jc w:val="both"/>
      </w:pPr>
      <w:bookmarkStart w:id="975" w:name="bookmark975"/>
      <w:r>
        <w:rPr>
          <w:rFonts w:ascii="Times New Roman" w:eastAsia="Times New Roman" w:hAnsi="Times New Roman" w:cs="Times New Roman"/>
          <w:color w:val="000000"/>
          <w:spacing w:val="0"/>
          <w:w w:val="100"/>
          <w:position w:val="0"/>
        </w:rPr>
        <w:t>1</w:t>
      </w:r>
      <w:bookmarkEnd w:id="975"/>
      <w:r>
        <w:rPr>
          <w:color w:val="000000"/>
          <w:spacing w:val="0"/>
          <w:w w:val="100"/>
          <w:position w:val="0"/>
        </w:rPr>
        <w:t>、</w:t>
        <w:tab/>
        <w:t>借款费用资本化的确认原则</w:t>
      </w:r>
    </w:p>
    <w:p>
      <w:pPr>
        <w:pStyle w:val="Style15"/>
        <w:keepNext w:val="0"/>
        <w:keepLines w:val="0"/>
        <w:widowControl w:val="0"/>
        <w:shd w:val="clear" w:color="auto" w:fill="auto"/>
        <w:bidi w:val="0"/>
        <w:spacing w:before="0" w:after="80" w:line="316" w:lineRule="exact"/>
        <w:ind w:left="0" w:right="0" w:firstLine="420"/>
        <w:jc w:val="both"/>
      </w:pPr>
      <w:r>
        <w:rPr>
          <w:color w:val="000000"/>
          <w:spacing w:val="0"/>
          <w:w w:val="100"/>
          <w:position w:val="0"/>
        </w:rPr>
        <w:t>公司发生的借款费用，可直接归属于符合资本化条件的资产的购建或者生产的，予以资本化，计入相关资产成本；其 他借款费用，在发生时确认为费用，计入当期损益。</w:t>
      </w:r>
    </w:p>
    <w:p>
      <w:pPr>
        <w:pStyle w:val="Style15"/>
        <w:keepNext w:val="0"/>
        <w:keepLines w:val="0"/>
        <w:widowControl w:val="0"/>
        <w:shd w:val="clear" w:color="auto" w:fill="auto"/>
        <w:tabs>
          <w:tab w:pos="774" w:val="left"/>
        </w:tabs>
        <w:bidi w:val="0"/>
        <w:spacing w:before="0" w:after="0"/>
        <w:ind w:left="0" w:right="0" w:firstLine="420"/>
        <w:jc w:val="both"/>
      </w:pPr>
      <w:bookmarkStart w:id="976" w:name="bookmark976"/>
      <w:r>
        <w:rPr>
          <w:rFonts w:ascii="Times New Roman" w:eastAsia="Times New Roman" w:hAnsi="Times New Roman" w:cs="Times New Roman"/>
          <w:color w:val="000000"/>
          <w:spacing w:val="0"/>
          <w:w w:val="100"/>
          <w:position w:val="0"/>
        </w:rPr>
        <w:t>2</w:t>
      </w:r>
      <w:bookmarkEnd w:id="976"/>
      <w:r>
        <w:rPr>
          <w:color w:val="000000"/>
          <w:spacing w:val="0"/>
          <w:w w:val="100"/>
          <w:position w:val="0"/>
        </w:rPr>
        <w:t>、</w:t>
        <w:tab/>
        <w:t>借款费用资本化期间</w:t>
      </w:r>
    </w:p>
    <w:p>
      <w:pPr>
        <w:pStyle w:val="Style15"/>
        <w:keepNext w:val="0"/>
        <w:keepLines w:val="0"/>
        <w:widowControl w:val="0"/>
        <w:shd w:val="clear" w:color="auto" w:fill="auto"/>
        <w:tabs>
          <w:tab w:pos="896" w:val="left"/>
        </w:tabs>
        <w:bidi w:val="0"/>
        <w:spacing w:before="0" w:after="0" w:line="316" w:lineRule="exact"/>
        <w:ind w:left="0" w:right="0" w:firstLine="42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w:t>
        <w:tab/>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 预定可使用或可销售状态所必要的购建或者生产活动已经开始。</w:t>
      </w:r>
    </w:p>
    <w:p>
      <w:pPr>
        <w:pStyle w:val="Style15"/>
        <w:keepNext w:val="0"/>
        <w:keepLines w:val="0"/>
        <w:widowControl w:val="0"/>
        <w:shd w:val="clear" w:color="auto" w:fill="auto"/>
        <w:tabs>
          <w:tab w:pos="891" w:val="left"/>
        </w:tabs>
        <w:bidi w:val="0"/>
        <w:spacing w:before="0" w:after="0" w:line="316" w:lineRule="exact"/>
        <w:ind w:left="0" w:right="0" w:firstLine="42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w:t>
        <w:tab/>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 资本化；中断期间发生的借款费用确认为当期费用，直至资产的购建或者生产活动重新开始。</w:t>
      </w:r>
    </w:p>
    <w:p>
      <w:pPr>
        <w:pStyle w:val="Style15"/>
        <w:keepNext w:val="0"/>
        <w:keepLines w:val="0"/>
        <w:widowControl w:val="0"/>
        <w:shd w:val="clear" w:color="auto" w:fill="auto"/>
        <w:bidi w:val="0"/>
        <w:spacing w:before="0" w:after="0" w:line="316" w:lineRule="exact"/>
        <w:ind w:left="0" w:right="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3</w:t>
      </w:r>
      <w:r>
        <w:rPr>
          <w:color w:val="000000"/>
          <w:spacing w:val="0"/>
          <w:w w:val="100"/>
          <w:position w:val="0"/>
        </w:rPr>
        <w:t>）当所购建或者生产符合资本化条件的资产达到预定可使用或可销售状态时，借款费用停止资本化。</w:t>
      </w:r>
    </w:p>
    <w:p>
      <w:pPr>
        <w:pStyle w:val="Style15"/>
        <w:keepNext w:val="0"/>
        <w:keepLines w:val="0"/>
        <w:widowControl w:val="0"/>
        <w:shd w:val="clear" w:color="auto" w:fill="auto"/>
        <w:tabs>
          <w:tab w:pos="734" w:val="left"/>
        </w:tabs>
        <w:bidi w:val="0"/>
        <w:spacing w:before="0" w:after="0" w:line="316" w:lineRule="exact"/>
        <w:ind w:left="0" w:right="0"/>
        <w:jc w:val="both"/>
      </w:pPr>
      <w:bookmarkStart w:id="980" w:name="bookmark980"/>
      <w:r>
        <w:rPr>
          <w:rFonts w:ascii="Times New Roman" w:eastAsia="Times New Roman" w:hAnsi="Times New Roman" w:cs="Times New Roman"/>
          <w:color w:val="000000"/>
          <w:spacing w:val="0"/>
          <w:w w:val="100"/>
          <w:position w:val="0"/>
        </w:rPr>
        <w:t>3</w:t>
      </w:r>
      <w:bookmarkEnd w:id="980"/>
      <w:r>
        <w:rPr>
          <w:color w:val="000000"/>
          <w:spacing w:val="0"/>
          <w:w w:val="100"/>
          <w:position w:val="0"/>
        </w:rPr>
        <w:t>、</w:t>
        <w:tab/>
        <w:t>借款费用资本化率以及资本化金额</w:t>
      </w:r>
    </w:p>
    <w:p>
      <w:pPr>
        <w:pStyle w:val="Style15"/>
        <w:keepNext w:val="0"/>
        <w:keepLines w:val="0"/>
        <w:widowControl w:val="0"/>
        <w:shd w:val="clear" w:color="auto" w:fill="auto"/>
        <w:bidi w:val="0"/>
        <w:spacing w:before="0" w:after="340" w:line="316" w:lineRule="exact"/>
        <w:ind w:left="0" w:right="0" w:firstLine="420"/>
        <w:jc w:val="both"/>
      </w:pPr>
      <w:r>
        <w:rPr>
          <w:color w:val="000000"/>
          <w:spacing w:val="0"/>
          <w:w w:val="100"/>
          <w:position w:val="0"/>
        </w:rPr>
        <w:t>为购建或者生产符合资本化条件的资产而借入专门借款的，以专门借款当期实际发生的利息费用（包括按照实际利率 法确定的折价或溢价的摊销），减去将尚未动用的借款资金存入银行取得的利息收入或进行暂时性投资取得的投资收益后的 金额，确定应予资本化的利息金额；为购建或者生产符合资本化条件的资产占用了一般借款的，根据累计资产支出超过专门 借款的资产支出加权平均数乘以占用一般借款的资本化率，计算确定一般借款应予资本化的利息金额。</w:t>
      </w:r>
    </w:p>
    <w:p>
      <w:pPr>
        <w:pStyle w:val="Style24"/>
        <w:keepNext/>
        <w:keepLines/>
        <w:widowControl w:val="0"/>
        <w:shd w:val="clear" w:color="auto" w:fill="auto"/>
        <w:tabs>
          <w:tab w:pos="483" w:val="left"/>
        </w:tabs>
        <w:bidi w:val="0"/>
        <w:spacing w:before="0" w:after="34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81"/>
      <w:bookmarkEnd w:id="982"/>
      <w:bookmarkEnd w:id="984"/>
    </w:p>
    <w:p>
      <w:pPr>
        <w:pStyle w:val="Style24"/>
        <w:keepNext/>
        <w:keepLines/>
        <w:widowControl w:val="0"/>
        <w:shd w:val="clear" w:color="auto" w:fill="auto"/>
        <w:tabs>
          <w:tab w:pos="483" w:val="left"/>
        </w:tabs>
        <w:bidi w:val="0"/>
        <w:spacing w:before="0" w:after="34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85"/>
      <w:bookmarkEnd w:id="986"/>
      <w:bookmarkEnd w:id="988"/>
    </w:p>
    <w:p>
      <w:pPr>
        <w:pStyle w:val="Style24"/>
        <w:keepNext/>
        <w:keepLines/>
        <w:widowControl w:val="0"/>
        <w:shd w:val="clear" w:color="auto" w:fill="auto"/>
        <w:tabs>
          <w:tab w:pos="483" w:val="left"/>
        </w:tabs>
        <w:bidi w:val="0"/>
        <w:spacing w:before="0" w:after="2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89"/>
      <w:bookmarkEnd w:id="990"/>
      <w:bookmarkEnd w:id="992"/>
    </w:p>
    <w:p>
      <w:pPr>
        <w:pStyle w:val="Style1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使用权资产按照成本进行初始计量，该成本包括：</w:t>
      </w:r>
      <w:r>
        <w:rPr>
          <w:color w:val="000000"/>
          <w:spacing w:val="0"/>
          <w:w w:val="100"/>
          <w:position w:val="0"/>
          <w:sz w:val="18"/>
          <w:szCs w:val="18"/>
        </w:rPr>
        <w:t>1）</w:t>
      </w:r>
      <w:r>
        <w:rPr>
          <w:color w:val="000000"/>
          <w:spacing w:val="0"/>
          <w:w w:val="100"/>
          <w:position w:val="0"/>
        </w:rPr>
        <w:t>租赁负债的初始计量金额；</w:t>
      </w:r>
      <w:r>
        <w:rPr>
          <w:color w:val="000000"/>
          <w:spacing w:val="0"/>
          <w:w w:val="100"/>
          <w:position w:val="0"/>
          <w:sz w:val="18"/>
          <w:szCs w:val="18"/>
        </w:rPr>
        <w:t>2）</w:t>
      </w:r>
      <w:r>
        <w:rPr>
          <w:color w:val="000000"/>
          <w:spacing w:val="0"/>
          <w:w w:val="100"/>
          <w:position w:val="0"/>
        </w:rPr>
        <w:t>在租赁期开始日或之前支付的 租赁付款额，存在租赁激励的，扣除已享受的租赁激励相关金额；</w:t>
      </w:r>
      <w:r>
        <w:rPr>
          <w:color w:val="000000"/>
          <w:spacing w:val="0"/>
          <w:w w:val="100"/>
          <w:position w:val="0"/>
          <w:sz w:val="18"/>
          <w:szCs w:val="18"/>
        </w:rPr>
        <w:t>3）</w:t>
      </w:r>
      <w:r>
        <w:rPr>
          <w:color w:val="000000"/>
          <w:spacing w:val="0"/>
          <w:w w:val="100"/>
          <w:position w:val="0"/>
        </w:rPr>
        <w:t>承租人发生的初始直接费用</w:t>
      </w:r>
      <w:r>
        <w:rPr>
          <w:color w:val="000000"/>
          <w:spacing w:val="0"/>
          <w:w w:val="100"/>
          <w:position w:val="0"/>
          <w:sz w:val="18"/>
          <w:szCs w:val="18"/>
        </w:rPr>
        <w:t>；4）</w:t>
      </w:r>
      <w:r>
        <w:rPr>
          <w:color w:val="000000"/>
          <w:spacing w:val="0"/>
          <w:w w:val="100"/>
          <w:position w:val="0"/>
        </w:rPr>
        <w:t>承租人为拆卸及移 除租赁资产、复原租赁资产所在场地或将租赁资产恢复至租赁条款约定状态预计将发生的成本。</w:t>
      </w:r>
    </w:p>
    <w:p>
      <w:pPr>
        <w:pStyle w:val="Style15"/>
        <w:keepNext w:val="0"/>
        <w:keepLines w:val="0"/>
        <w:widowControl w:val="0"/>
        <w:shd w:val="clear" w:color="auto" w:fill="auto"/>
        <w:bidi w:val="0"/>
        <w:spacing w:before="0" w:after="340" w:line="313" w:lineRule="exact"/>
        <w:ind w:left="0" w:right="0" w:firstLine="420"/>
        <w:jc w:val="both"/>
      </w:pPr>
      <w:r>
        <w:rPr>
          <w:color w:val="000000"/>
          <w:spacing w:val="0"/>
          <w:w w:val="100"/>
          <w:position w:val="0"/>
        </w:rPr>
        <w:t>公司按照直线法对使用权资产计提折旧。能够合理确定租赁期届满时取得租赁资产所有权的，公司在租赁资产剩余使 用寿命内计提折旧。无法合理确定租赁期届满时能够取得租赁资产所有权的，公司在租赁期与租赁资产剩余使用寿命两者孰 短的期间内计提折旧。</w:t>
      </w:r>
    </w:p>
    <w:p>
      <w:pPr>
        <w:pStyle w:val="Style24"/>
        <w:keepNext/>
        <w:keepLines/>
        <w:widowControl w:val="0"/>
        <w:shd w:val="clear" w:color="auto" w:fill="auto"/>
        <w:tabs>
          <w:tab w:pos="483" w:val="left"/>
        </w:tabs>
        <w:bidi w:val="0"/>
        <w:spacing w:before="0" w:after="34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93"/>
      <w:bookmarkEnd w:id="994"/>
      <w:bookmarkEnd w:id="996"/>
    </w:p>
    <w:p>
      <w:pPr>
        <w:pStyle w:val="Style92"/>
        <w:keepNext/>
        <w:keepLines/>
        <w:widowControl w:val="0"/>
        <w:shd w:val="clear" w:color="auto" w:fill="auto"/>
        <w:bidi w:val="0"/>
        <w:spacing w:before="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00"/>
      <w:bookmarkEnd w:id="997"/>
      <w:bookmarkEnd w:id="998"/>
    </w:p>
    <w:p>
      <w:pPr>
        <w:pStyle w:val="Style15"/>
        <w:keepNext w:val="0"/>
        <w:keepLines w:val="0"/>
        <w:widowControl w:val="0"/>
        <w:shd w:val="clear" w:color="auto" w:fill="auto"/>
        <w:tabs>
          <w:tab w:pos="714" w:val="left"/>
        </w:tabs>
        <w:bidi w:val="0"/>
        <w:spacing w:before="0" w:after="0" w:line="316" w:lineRule="exact"/>
        <w:ind w:left="0" w:right="0"/>
        <w:jc w:val="both"/>
      </w:pPr>
      <w:bookmarkStart w:id="1001" w:name="bookmark1001"/>
      <w:r>
        <w:rPr>
          <w:rFonts w:ascii="Times New Roman" w:eastAsia="Times New Roman" w:hAnsi="Times New Roman" w:cs="Times New Roman"/>
          <w:color w:val="000000"/>
          <w:spacing w:val="0"/>
          <w:w w:val="100"/>
          <w:position w:val="0"/>
        </w:rPr>
        <w:t>1</w:t>
      </w:r>
      <w:bookmarkEnd w:id="1001"/>
      <w:r>
        <w:rPr>
          <w:color w:val="000000"/>
          <w:spacing w:val="0"/>
          <w:w w:val="100"/>
          <w:position w:val="0"/>
        </w:rPr>
        <w:t>、</w:t>
        <w:tab/>
        <w:t>无形资产包括土地使用权、专利权及非专利技术等，按成本进行初始计量。</w:t>
      </w:r>
    </w:p>
    <w:p>
      <w:pPr>
        <w:pStyle w:val="Style15"/>
        <w:keepNext w:val="0"/>
        <w:keepLines w:val="0"/>
        <w:widowControl w:val="0"/>
        <w:shd w:val="clear" w:color="auto" w:fill="auto"/>
        <w:tabs>
          <w:tab w:pos="734" w:val="left"/>
        </w:tabs>
        <w:bidi w:val="0"/>
        <w:spacing w:before="0" w:after="80" w:line="316" w:lineRule="exact"/>
        <w:ind w:left="0" w:right="0"/>
        <w:jc w:val="both"/>
      </w:pPr>
      <w:bookmarkStart w:id="1002" w:name="bookmark1002"/>
      <w:r>
        <w:rPr>
          <w:rFonts w:ascii="Times New Roman" w:eastAsia="Times New Roman" w:hAnsi="Times New Roman" w:cs="Times New Roman"/>
          <w:color w:val="000000"/>
          <w:spacing w:val="0"/>
          <w:w w:val="100"/>
          <w:position w:val="0"/>
        </w:rPr>
        <w:t>2</w:t>
      </w:r>
      <w:bookmarkEnd w:id="1002"/>
      <w:r>
        <w:rPr>
          <w:color w:val="000000"/>
          <w:spacing w:val="0"/>
          <w:w w:val="100"/>
          <w:position w:val="0"/>
        </w:rPr>
        <w:t>、</w:t>
        <w:tab/>
        <w:t>使用寿命有限的无形资产，在使用寿命内按照与该项无形资产有关的经济利益的预期实现方式系统合理地摊销，无</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法可靠确定预期实现方式的，采用直线法摊销。具体年限如下:</w:t>
      </w:r>
    </w:p>
    <w:tbl>
      <w:tblPr>
        <w:tblOverlap w:val="never"/>
        <w:jc w:val="center"/>
        <w:tblLayout w:type="fixed"/>
      </w:tblPr>
      <w:tblGrid>
        <w:gridCol w:w="4834"/>
        <w:gridCol w:w="4838"/>
      </w:tblGrid>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bl>
    <w:p>
      <w:pPr>
        <w:widowControl w:val="0"/>
        <w:spacing w:line="1" w:lineRule="exact"/>
      </w:pPr>
    </w:p>
    <w:tbl>
      <w:tblPr>
        <w:tblOverlap w:val="never"/>
        <w:jc w:val="center"/>
        <w:tblLayout w:type="fixed"/>
      </w:tblPr>
      <w:tblGrid>
        <w:gridCol w:w="4834"/>
        <w:gridCol w:w="4838"/>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特许经营权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bl>
    <w:p>
      <w:pPr>
        <w:widowControl w:val="0"/>
        <w:spacing w:after="619" w:line="1" w:lineRule="exact"/>
      </w:pPr>
    </w:p>
    <w:p>
      <w:pPr>
        <w:pStyle w:val="Style92"/>
        <w:keepNext/>
        <w:keepLines/>
        <w:widowControl w:val="0"/>
        <w:shd w:val="clear" w:color="auto" w:fill="auto"/>
        <w:bidi w:val="0"/>
        <w:spacing w:before="0" w:after="26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03"/>
      <w:bookmarkEnd w:id="1004"/>
      <w:bookmarkEnd w:id="1006"/>
    </w:p>
    <w:p>
      <w:pPr>
        <w:pStyle w:val="Style15"/>
        <w:keepNext w:val="0"/>
        <w:keepLines w:val="0"/>
        <w:widowControl w:val="0"/>
        <w:shd w:val="clear" w:color="auto" w:fill="auto"/>
        <w:bidi w:val="0"/>
        <w:spacing w:before="0" w:after="0" w:line="311" w:lineRule="exact"/>
        <w:ind w:left="0" w:right="0" w:firstLine="420"/>
        <w:jc w:val="left"/>
      </w:pPr>
      <w:r>
        <w:rPr>
          <w:color w:val="000000"/>
          <w:spacing w:val="0"/>
          <w:w w:val="100"/>
          <w:position w:val="0"/>
        </w:rPr>
        <w:t>内部研究开发项目研究阶段的支出，于发生时计入当期损益。内部研究开发项目开发阶段的支出，同时满足下列条件的， 确认为无形资产：（</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 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）无形资产产生经济利益的方式，包括能够证明运用该无形资产生产的产品存在市场或无形资产自身存在市 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 发，并有能力使用或出售该无形资产；（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15"/>
        <w:keepNext w:val="0"/>
        <w:keepLines w:val="0"/>
        <w:widowControl w:val="0"/>
        <w:shd w:val="clear" w:color="auto" w:fill="auto"/>
        <w:bidi w:val="0"/>
        <w:spacing w:before="0" w:after="360" w:line="311" w:lineRule="exact"/>
        <w:ind w:left="0" w:right="0" w:firstLine="420"/>
        <w:jc w:val="left"/>
      </w:pPr>
      <w:r>
        <w:rPr>
          <w:color w:val="000000"/>
          <w:spacing w:val="0"/>
          <w:w w:val="100"/>
          <w:position w:val="0"/>
        </w:rPr>
        <w:t>公司划分内部研究开发项目研究阶段支出和开发阶段支出的具体标准：为获取新的技术和知识等进行的有计划的调查 阶段，应确定为研究阶段，该阶段具有计划性和探索性等特点；在进行商业性生产或使用前，将研究成果或其他知识应用于 某项计划或设计，以生产出新的或具有实质性改进的材料、装置、产品等阶段，应确定为开发阶段，该阶段具有针对性和形 成成果的可能性较大等特点。结合软件行业研发流程及自身研发的特点，公司研发项目通过立项评审后进入开发阶段。开发 项目达到预定用途后确认为无形资产核算。</w:t>
      </w:r>
    </w:p>
    <w:p>
      <w:pPr>
        <w:pStyle w:val="Style24"/>
        <w:keepNext/>
        <w:keepLines/>
        <w:widowControl w:val="0"/>
        <w:shd w:val="clear" w:color="auto" w:fill="auto"/>
        <w:tabs>
          <w:tab w:pos="483" w:val="left"/>
        </w:tabs>
        <w:bidi w:val="0"/>
        <w:spacing w:before="0" w:after="26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07"/>
      <w:bookmarkEnd w:id="1008"/>
      <w:bookmarkEnd w:id="1010"/>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对长期股权投资、采用成本模式计量的投资性房地产、固定资产、在建工程、使用权资产、使用寿命有限的无形资产 等长期资产，在资产负债表日有迹象表明发生减值的，估计其可收回金额。对因企业合并所形成的商誉和使用寿命不确定的 无形资产，无论是否存在减值迹象，每年都进行减值测试。商誉结合与其相关的资产组或者资产组组合进行减值测试。</w:t>
      </w:r>
    </w:p>
    <w:p>
      <w:pPr>
        <w:pStyle w:val="Style15"/>
        <w:keepNext w:val="0"/>
        <w:keepLines w:val="0"/>
        <w:widowControl w:val="0"/>
        <w:shd w:val="clear" w:color="auto" w:fill="auto"/>
        <w:bidi w:val="0"/>
        <w:spacing w:before="0" w:after="360" w:line="312" w:lineRule="exact"/>
        <w:ind w:left="0" w:right="0"/>
        <w:jc w:val="left"/>
      </w:pPr>
      <w:r>
        <w:rPr>
          <w:color w:val="000000"/>
          <w:spacing w:val="0"/>
          <w:w w:val="100"/>
          <w:position w:val="0"/>
        </w:rPr>
        <w:t>若上述长期资产的可收回金额低于其账面价值的，按其差额确认资产减值准备并计入当期损益。</w:t>
      </w:r>
    </w:p>
    <w:p>
      <w:pPr>
        <w:pStyle w:val="Style24"/>
        <w:keepNext/>
        <w:keepLines/>
        <w:widowControl w:val="0"/>
        <w:shd w:val="clear" w:color="auto" w:fill="auto"/>
        <w:tabs>
          <w:tab w:pos="483" w:val="left"/>
        </w:tabs>
        <w:bidi w:val="0"/>
        <w:spacing w:before="0" w:after="26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11"/>
      <w:bookmarkEnd w:id="1012"/>
      <w:bookmarkEnd w:id="1014"/>
    </w:p>
    <w:p>
      <w:pPr>
        <w:pStyle w:val="Style15"/>
        <w:keepNext w:val="0"/>
        <w:keepLines w:val="0"/>
        <w:widowControl w:val="0"/>
        <w:shd w:val="clear" w:color="auto" w:fill="auto"/>
        <w:bidi w:val="0"/>
        <w:spacing w:before="0" w:after="360" w:line="310" w:lineRule="exact"/>
        <w:ind w:left="0" w:right="0" w:firstLine="42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年）的各项费用。长期待摊费用按实际发生额入账，在受益 期或规定的期限内分期平均摊销。如果长期待摊的费用项目不能使以后会计期间受益则将尚未摊销的该项目的摊余价值全部 转入当期损益。</w:t>
      </w:r>
    </w:p>
    <w:p>
      <w:pPr>
        <w:pStyle w:val="Style24"/>
        <w:keepNext/>
        <w:keepLines/>
        <w:widowControl w:val="0"/>
        <w:shd w:val="clear" w:color="auto" w:fill="auto"/>
        <w:tabs>
          <w:tab w:pos="483" w:val="left"/>
        </w:tabs>
        <w:bidi w:val="0"/>
        <w:spacing w:before="0" w:after="26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w:t>
      </w:r>
      <w:bookmarkEnd w:id="101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15"/>
      <w:bookmarkEnd w:id="1016"/>
      <w:bookmarkEnd w:id="1018"/>
    </w:p>
    <w:p>
      <w:pPr>
        <w:pStyle w:val="Style1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公司根据履行履约义务与客户付款之间的关系在资产负债表中列示合同资产或合同负债。公司将同一合同下的合同资 产和合同负债相互抵销后以净额列示。</w:t>
      </w:r>
    </w:p>
    <w:p>
      <w:pPr>
        <w:pStyle w:val="Style15"/>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公司将已收或应收客户对价而应向客户转让商品的义务作为合同负债列示。</w:t>
      </w:r>
    </w:p>
    <w:p>
      <w:pPr>
        <w:pStyle w:val="Style24"/>
        <w:keepNext/>
        <w:keepLines/>
        <w:widowControl w:val="0"/>
        <w:shd w:val="clear" w:color="auto" w:fill="auto"/>
        <w:tabs>
          <w:tab w:pos="483" w:val="left"/>
        </w:tabs>
        <w:bidi w:val="0"/>
        <w:spacing w:before="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19"/>
      <w:bookmarkEnd w:id="1020"/>
      <w:bookmarkEnd w:id="1022"/>
    </w:p>
    <w:p>
      <w:pPr>
        <w:pStyle w:val="Style92"/>
        <w:keepNext/>
        <w:keepLines/>
        <w:widowControl w:val="0"/>
        <w:shd w:val="clear" w:color="auto" w:fill="auto"/>
        <w:tabs>
          <w:tab w:pos="493" w:val="left"/>
        </w:tabs>
        <w:bidi w:val="0"/>
        <w:spacing w:before="0" w:after="26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23"/>
      <w:bookmarkEnd w:id="1024"/>
      <w:bookmarkEnd w:id="1026"/>
    </w:p>
    <w:p>
      <w:pPr>
        <w:pStyle w:val="Style15"/>
        <w:keepNext w:val="0"/>
        <w:keepLines w:val="0"/>
        <w:widowControl w:val="0"/>
        <w:shd w:val="clear" w:color="auto" w:fill="auto"/>
        <w:bidi w:val="0"/>
        <w:spacing w:before="0" w:after="360" w:line="311" w:lineRule="exact"/>
        <w:ind w:left="0" w:right="0"/>
        <w:jc w:val="left"/>
      </w:pPr>
      <w:r>
        <w:rPr>
          <w:color w:val="000000"/>
          <w:spacing w:val="0"/>
          <w:w w:val="100"/>
          <w:position w:val="0"/>
        </w:rPr>
        <w:t>在职工为公司提供服务的会计期间，将实际发生的短期薪酬确认为负债，并计入当期损益或相关资产成本。</w:t>
      </w:r>
    </w:p>
    <w:p>
      <w:pPr>
        <w:pStyle w:val="Style92"/>
        <w:keepNext/>
        <w:keepLines/>
        <w:widowControl w:val="0"/>
        <w:shd w:val="clear" w:color="auto" w:fill="auto"/>
        <w:tabs>
          <w:tab w:pos="493" w:val="left"/>
        </w:tabs>
        <w:bidi w:val="0"/>
        <w:spacing w:before="0" w:after="36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27"/>
      <w:bookmarkEnd w:id="1028"/>
      <w:bookmarkEnd w:id="1030"/>
    </w:p>
    <w:p>
      <w:pPr>
        <w:pStyle w:val="Style15"/>
        <w:keepNext w:val="0"/>
        <w:keepLines w:val="0"/>
        <w:widowControl w:val="0"/>
        <w:shd w:val="clear" w:color="auto" w:fill="auto"/>
        <w:bidi w:val="0"/>
        <w:spacing w:before="0" w:after="360" w:line="240" w:lineRule="auto"/>
        <w:ind w:left="0" w:right="0"/>
        <w:jc w:val="both"/>
      </w:pPr>
      <w:r>
        <w:rPr>
          <w:color w:val="000000"/>
          <w:spacing w:val="0"/>
          <w:w w:val="100"/>
          <w:position w:val="0"/>
        </w:rPr>
        <w:t>离职后福利分为设定提存计划和设定受益计划。</w:t>
      </w:r>
    </w:p>
    <w:p>
      <w:pPr>
        <w:pStyle w:val="Style15"/>
        <w:keepNext w:val="0"/>
        <w:keepLines w:val="0"/>
        <w:widowControl w:val="0"/>
        <w:shd w:val="clear" w:color="auto" w:fill="auto"/>
        <w:tabs>
          <w:tab w:pos="928" w:val="left"/>
        </w:tabs>
        <w:bidi w:val="0"/>
        <w:spacing w:before="0" w:after="0" w:line="322" w:lineRule="exact"/>
        <w:ind w:left="0" w:right="0" w:firstLine="44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w:t>
        <w:tab/>
        <w:t>在职工为公司提供服务的会计期间，根据设定提存计划计算的应缴存金额确认为负债，并计入当期损益或相关资 产成本。</w:t>
      </w:r>
    </w:p>
    <w:p>
      <w:pPr>
        <w:pStyle w:val="Style15"/>
        <w:keepNext w:val="0"/>
        <w:keepLines w:val="0"/>
        <w:widowControl w:val="0"/>
        <w:shd w:val="clear" w:color="auto" w:fill="auto"/>
        <w:tabs>
          <w:tab w:pos="849" w:val="left"/>
        </w:tabs>
        <w:bidi w:val="0"/>
        <w:spacing w:before="0" w:after="0" w:line="316" w:lineRule="exact"/>
        <w:ind w:left="0" w:right="0" w:firstLine="44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w:t>
        <w:tab/>
        <w:t>对设定受益计划的会计处理通常包括下列步骤：</w:t>
      </w:r>
    </w:p>
    <w:p>
      <w:pPr>
        <w:pStyle w:val="Style15"/>
        <w:keepNext w:val="0"/>
        <w:keepLines w:val="0"/>
        <w:widowControl w:val="0"/>
        <w:shd w:val="clear" w:color="auto" w:fill="auto"/>
        <w:tabs>
          <w:tab w:pos="741" w:val="left"/>
        </w:tabs>
        <w:bidi w:val="0"/>
        <w:spacing w:before="0" w:after="0" w:line="316" w:lineRule="exact"/>
        <w:ind w:left="0" w:right="0" w:firstLine="440"/>
        <w:jc w:val="both"/>
      </w:pPr>
      <w:bookmarkStart w:id="1033" w:name="bookmark1033"/>
      <w:r>
        <w:rPr>
          <w:rFonts w:ascii="Times New Roman" w:eastAsia="Times New Roman" w:hAnsi="Times New Roman" w:cs="Times New Roman"/>
          <w:color w:val="000000"/>
          <w:spacing w:val="0"/>
          <w:w w:val="100"/>
          <w:position w:val="0"/>
        </w:rPr>
        <w:t>1</w:t>
      </w:r>
      <w:bookmarkEnd w:id="1033"/>
      <w:r>
        <w:rPr>
          <w:color w:val="000000"/>
          <w:spacing w:val="0"/>
          <w:w w:val="100"/>
          <w:position w:val="0"/>
        </w:rPr>
        <w:t>）</w:t>
        <w:tab/>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15"/>
        <w:keepNext w:val="0"/>
        <w:keepLines w:val="0"/>
        <w:widowControl w:val="0"/>
        <w:shd w:val="clear" w:color="auto" w:fill="auto"/>
        <w:tabs>
          <w:tab w:pos="741" w:val="left"/>
        </w:tabs>
        <w:bidi w:val="0"/>
        <w:spacing w:before="0" w:after="0" w:line="316" w:lineRule="exact"/>
        <w:ind w:left="0" w:right="0" w:firstLine="440"/>
        <w:jc w:val="both"/>
      </w:pPr>
      <w:bookmarkStart w:id="1034" w:name="bookmark1034"/>
      <w:r>
        <w:rPr>
          <w:rFonts w:ascii="Times New Roman" w:eastAsia="Times New Roman" w:hAnsi="Times New Roman" w:cs="Times New Roman"/>
          <w:color w:val="000000"/>
          <w:spacing w:val="0"/>
          <w:w w:val="100"/>
          <w:position w:val="0"/>
        </w:rPr>
        <w:t>2</w:t>
      </w:r>
      <w:bookmarkEnd w:id="1034"/>
      <w:r>
        <w:rPr>
          <w:color w:val="000000"/>
          <w:spacing w:val="0"/>
          <w:w w:val="100"/>
          <w:position w:val="0"/>
        </w:rPr>
        <w:t>）</w:t>
        <w:tab/>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15"/>
        <w:keepNext w:val="0"/>
        <w:keepLines w:val="0"/>
        <w:widowControl w:val="0"/>
        <w:shd w:val="clear" w:color="auto" w:fill="auto"/>
        <w:tabs>
          <w:tab w:pos="713" w:val="left"/>
        </w:tabs>
        <w:bidi w:val="0"/>
        <w:spacing w:before="0" w:after="720" w:line="314" w:lineRule="exact"/>
        <w:ind w:left="0" w:right="0"/>
        <w:jc w:val="both"/>
      </w:pPr>
      <w:bookmarkStart w:id="1035" w:name="bookmark1035"/>
      <w:r>
        <w:rPr>
          <w:rFonts w:ascii="Times New Roman" w:eastAsia="Times New Roman" w:hAnsi="Times New Roman" w:cs="Times New Roman"/>
          <w:color w:val="000000"/>
          <w:spacing w:val="0"/>
          <w:w w:val="100"/>
          <w:position w:val="0"/>
        </w:rPr>
        <w:t>3</w:t>
      </w:r>
      <w:bookmarkEnd w:id="1035"/>
      <w:r>
        <w:rPr>
          <w:color w:val="000000"/>
          <w:spacing w:val="0"/>
          <w:w w:val="100"/>
          <w:position w:val="0"/>
        </w:rPr>
        <w:t>）</w:t>
        <w:tab/>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92"/>
        <w:keepNext/>
        <w:keepLines/>
        <w:widowControl w:val="0"/>
        <w:shd w:val="clear" w:color="auto" w:fill="auto"/>
        <w:tabs>
          <w:tab w:pos="457" w:val="left"/>
        </w:tabs>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36"/>
      <w:bookmarkEnd w:id="1037"/>
      <w:bookmarkEnd w:id="1039"/>
    </w:p>
    <w:p>
      <w:pPr>
        <w:pStyle w:val="Style15"/>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向职工提供的辞退福利，在下列两者孰早日确认辞退福利产生的职工薪酬负债，并计入当期损益：（</w:t>
      </w:r>
      <w:r>
        <w:rPr>
          <w:rFonts w:ascii="Times New Roman" w:eastAsia="Times New Roman" w:hAnsi="Times New Roman" w:cs="Times New Roman"/>
          <w:color w:val="000000"/>
          <w:spacing w:val="0"/>
          <w:w w:val="100"/>
          <w:position w:val="0"/>
        </w:rPr>
        <w:t>1</w:t>
      </w:r>
      <w:r>
        <w:rPr>
          <w:color w:val="000000"/>
          <w:spacing w:val="0"/>
          <w:w w:val="100"/>
          <w:position w:val="0"/>
        </w:rPr>
        <w:t>）公司不能单方 面撤回因解除劳动关系计划或裁减建议所提供的辞退福利时；（</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）公司确认与涉及支付辞退福利的重组相关的成本或费用 时。</w:t>
      </w:r>
    </w:p>
    <w:p>
      <w:pPr>
        <w:pStyle w:val="Style92"/>
        <w:keepNext/>
        <w:keepLines/>
        <w:widowControl w:val="0"/>
        <w:shd w:val="clear" w:color="auto" w:fill="auto"/>
        <w:tabs>
          <w:tab w:pos="457" w:val="left"/>
        </w:tabs>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40"/>
      <w:bookmarkEnd w:id="1041"/>
      <w:bookmarkEnd w:id="1043"/>
    </w:p>
    <w:p>
      <w:pPr>
        <w:pStyle w:val="Style15"/>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向职工提供的其他长期福利，符合设定提存计划条件的，按照设定提存计划的有关规定进行会计处理；除此之外的其 他长期福利，按照设定受益计划的有关规定进行会计处理，为简化相关会计处理，将其产生的职工薪酬成本确认为服务成本、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24"/>
        <w:keepNext/>
        <w:keepLines/>
        <w:widowControl w:val="0"/>
        <w:shd w:val="clear" w:color="auto" w:fill="auto"/>
        <w:tabs>
          <w:tab w:pos="448" w:val="left"/>
        </w:tabs>
        <w:bidi w:val="0"/>
        <w:spacing w:before="0" w:after="28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3</w:t>
      </w:r>
      <w:bookmarkEnd w:id="104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44"/>
      <w:bookmarkEnd w:id="1045"/>
      <w:bookmarkEnd w:id="1047"/>
    </w:p>
    <w:p>
      <w:pPr>
        <w:pStyle w:val="Style1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在租赁开始日，公司将尚未支付的租赁付款额的现值确认为租赁负债。计算租赁付款额现值时采用租赁内含利率作为 折现率，无法确定租赁内含利率的，采用公司增量借款利率作为折现率。租赁付款额与其现值之间的差额作为未确认融资费 用，在租赁期各个期间内按照确认租赁付款额现值的折现率确认利息费用，并计入当期损益。未纳入租赁负债计量的可变租 赁付款额于实际发生时计入当期损益。</w:t>
      </w:r>
    </w:p>
    <w:p>
      <w:pPr>
        <w:pStyle w:val="Style15"/>
        <w:keepNext w:val="0"/>
        <w:keepLines w:val="0"/>
        <w:widowControl w:val="0"/>
        <w:shd w:val="clear" w:color="auto" w:fill="auto"/>
        <w:bidi w:val="0"/>
        <w:spacing w:before="0" w:after="360" w:line="313" w:lineRule="exact"/>
        <w:ind w:left="0" w:right="0" w:firstLine="440"/>
        <w:jc w:val="left"/>
      </w:pPr>
      <w:r>
        <w:rPr>
          <w:color w:val="000000"/>
          <w:spacing w:val="0"/>
          <w:w w:val="100"/>
          <w:position w:val="0"/>
        </w:rPr>
        <w:t>租赁期开始日后，当实质固定付款额发生变动、担保余值预计的应付金额发生变化、用于确定租赁付款额的指数或比 率发生变动、购买选择权、续租选择权或终止选择权的评估结果或实际行权情况发生变化时，公司按照变动后的租赁付款额 的现值重新计量租赁负债，并相应调整使用权资产的账面价值，如使用权资产账面价值已调减至零，但租赁负债仍需进一步 调减的，将剩余金额计入当期损益。</w:t>
      </w:r>
    </w:p>
    <w:p>
      <w:pPr>
        <w:pStyle w:val="Style24"/>
        <w:keepNext/>
        <w:keepLines/>
        <w:widowControl w:val="0"/>
        <w:shd w:val="clear" w:color="auto" w:fill="auto"/>
        <w:tabs>
          <w:tab w:pos="448" w:val="left"/>
        </w:tabs>
        <w:bidi w:val="0"/>
        <w:spacing w:before="0" w:after="28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48"/>
      <w:bookmarkEnd w:id="1049"/>
      <w:bookmarkEnd w:id="1051"/>
    </w:p>
    <w:p>
      <w:pPr>
        <w:pStyle w:val="Style15"/>
        <w:keepNext w:val="0"/>
        <w:keepLines w:val="0"/>
        <w:widowControl w:val="0"/>
        <w:shd w:val="clear" w:color="auto" w:fill="auto"/>
        <w:tabs>
          <w:tab w:pos="726" w:val="left"/>
        </w:tabs>
        <w:bidi w:val="0"/>
        <w:spacing w:before="0" w:after="0" w:line="317" w:lineRule="exact"/>
        <w:ind w:left="0" w:right="0" w:firstLine="440"/>
        <w:jc w:val="both"/>
      </w:pPr>
      <w:bookmarkStart w:id="1052" w:name="bookmark1052"/>
      <w:r>
        <w:rPr>
          <w:rFonts w:ascii="Times New Roman" w:eastAsia="Times New Roman" w:hAnsi="Times New Roman" w:cs="Times New Roman"/>
          <w:color w:val="000000"/>
          <w:spacing w:val="0"/>
          <w:w w:val="100"/>
          <w:position w:val="0"/>
        </w:rPr>
        <w:t>1</w:t>
      </w:r>
      <w:bookmarkEnd w:id="1052"/>
      <w:r>
        <w:rPr>
          <w:color w:val="000000"/>
          <w:spacing w:val="0"/>
          <w:w w:val="100"/>
          <w:position w:val="0"/>
        </w:rPr>
        <w:t>、</w:t>
        <w:tab/>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Style15"/>
        <w:keepNext w:val="0"/>
        <w:keepLines w:val="0"/>
        <w:widowControl w:val="0"/>
        <w:shd w:val="clear" w:color="auto" w:fill="auto"/>
        <w:tabs>
          <w:tab w:pos="318" w:val="left"/>
        </w:tabs>
        <w:bidi w:val="0"/>
        <w:spacing w:before="0" w:after="340" w:line="317" w:lineRule="exact"/>
        <w:ind w:left="0" w:right="0" w:firstLine="440"/>
        <w:jc w:val="both"/>
      </w:pPr>
      <w:bookmarkStart w:id="1053" w:name="bookmark1053"/>
      <w:r>
        <w:rPr>
          <w:rFonts w:ascii="Times New Roman" w:eastAsia="Times New Roman" w:hAnsi="Times New Roman" w:cs="Times New Roman"/>
          <w:color w:val="000000"/>
          <w:spacing w:val="0"/>
          <w:w w:val="100"/>
          <w:position w:val="0"/>
        </w:rPr>
        <w:t>2</w:t>
      </w:r>
      <w:bookmarkEnd w:id="1053"/>
      <w:r>
        <w:rPr>
          <w:color w:val="000000"/>
          <w:spacing w:val="0"/>
          <w:w w:val="100"/>
          <w:position w:val="0"/>
        </w:rPr>
        <w:t>、</w:t>
        <w:tab/>
        <w:t xml:space="preserve">公司按照履行相关现时义务所需支出的最佳估计数对预计负债进行初始计量，并在资产负债表日对预计负债的账面 </w:t>
      </w:r>
      <w:r>
        <w:rPr>
          <w:color w:val="000000"/>
          <w:spacing w:val="0"/>
          <w:w w:val="100"/>
          <w:position w:val="0"/>
        </w:rPr>
        <w:t>价值进行复核。</w:t>
      </w:r>
    </w:p>
    <w:p>
      <w:pPr>
        <w:pStyle w:val="Style24"/>
        <w:keepNext/>
        <w:keepLines/>
        <w:widowControl w:val="0"/>
        <w:shd w:val="clear" w:color="auto" w:fill="auto"/>
        <w:tabs>
          <w:tab w:pos="483" w:val="left"/>
        </w:tabs>
        <w:bidi w:val="0"/>
        <w:spacing w:before="0" w:after="2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3</w:t>
      </w:r>
      <w:bookmarkEnd w:id="1056"/>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54"/>
      <w:bookmarkEnd w:id="1055"/>
      <w:bookmarkEnd w:id="1057"/>
    </w:p>
    <w:p>
      <w:pPr>
        <w:pStyle w:val="Style15"/>
        <w:keepNext w:val="0"/>
        <w:keepLines w:val="0"/>
        <w:widowControl w:val="0"/>
        <w:shd w:val="clear" w:color="auto" w:fill="auto"/>
        <w:tabs>
          <w:tab w:pos="774" w:val="left"/>
        </w:tabs>
        <w:bidi w:val="0"/>
        <w:spacing w:before="0" w:after="0" w:line="312" w:lineRule="exact"/>
        <w:ind w:left="0" w:right="0" w:firstLine="440"/>
        <w:jc w:val="both"/>
      </w:pPr>
      <w:bookmarkStart w:id="1058" w:name="bookmark1058"/>
      <w:r>
        <w:rPr>
          <w:rFonts w:ascii="Times New Roman" w:eastAsia="Times New Roman" w:hAnsi="Times New Roman" w:cs="Times New Roman"/>
          <w:color w:val="000000"/>
          <w:spacing w:val="0"/>
          <w:w w:val="100"/>
          <w:position w:val="0"/>
        </w:rPr>
        <w:t>1</w:t>
      </w:r>
      <w:bookmarkEnd w:id="1058"/>
      <w:r>
        <w:rPr>
          <w:color w:val="000000"/>
          <w:spacing w:val="0"/>
          <w:w w:val="100"/>
          <w:position w:val="0"/>
        </w:rPr>
        <w:t>、</w:t>
        <w:tab/>
        <w:t>股份支付的种类</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包括以权益结算的股份支付和以现金结算的股份支付。</w:t>
      </w:r>
    </w:p>
    <w:p>
      <w:pPr>
        <w:pStyle w:val="Style15"/>
        <w:keepNext w:val="0"/>
        <w:keepLines w:val="0"/>
        <w:widowControl w:val="0"/>
        <w:shd w:val="clear" w:color="auto" w:fill="auto"/>
        <w:tabs>
          <w:tab w:pos="794" w:val="left"/>
        </w:tabs>
        <w:bidi w:val="0"/>
        <w:spacing w:before="0" w:after="0" w:line="312" w:lineRule="exact"/>
        <w:ind w:left="0" w:right="0" w:firstLine="440"/>
        <w:jc w:val="both"/>
      </w:pPr>
      <w:bookmarkStart w:id="1059" w:name="bookmark1059"/>
      <w:r>
        <w:rPr>
          <w:rFonts w:ascii="Times New Roman" w:eastAsia="Times New Roman" w:hAnsi="Times New Roman" w:cs="Times New Roman"/>
          <w:color w:val="000000"/>
          <w:spacing w:val="0"/>
          <w:w w:val="100"/>
          <w:position w:val="0"/>
        </w:rPr>
        <w:t>2</w:t>
      </w:r>
      <w:bookmarkEnd w:id="1059"/>
      <w:r>
        <w:rPr>
          <w:color w:val="000000"/>
          <w:spacing w:val="0"/>
          <w:w w:val="100"/>
          <w:position w:val="0"/>
        </w:rPr>
        <w:t>、</w:t>
        <w:tab/>
        <w:t>实施、修改、终止股份支付计划的相关会计处理</w:t>
      </w:r>
    </w:p>
    <w:p>
      <w:pPr>
        <w:pStyle w:val="Style15"/>
        <w:keepNext w:val="0"/>
        <w:keepLines w:val="0"/>
        <w:widowControl w:val="0"/>
        <w:shd w:val="clear" w:color="auto" w:fill="auto"/>
        <w:tabs>
          <w:tab w:pos="885" w:val="left"/>
        </w:tabs>
        <w:bidi w:val="0"/>
        <w:spacing w:before="0" w:after="0" w:line="312" w:lineRule="exact"/>
        <w:ind w:left="0" w:right="0" w:firstLine="440"/>
        <w:jc w:val="both"/>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w:t>
        <w:tab/>
        <w:t>以权益结算的股份支付</w:t>
      </w:r>
    </w:p>
    <w:p>
      <w:pPr>
        <w:pStyle w:val="Style1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授予后立即可行权的换取职工服务的以权益结算的股份支付，在授予日按照权益工具的公允价值计入相关成本或费用， 相应调整资本公积。完成等待期内的服务或达到规定业绩条件才可行权的换取职工服务的以权益结算的股份支付，在等待期 内的每个资产负债表日，以对可行权权益工具数量的最佳估计为基础，按权益工具授予日的公允价值，将当期取得的服务计 入相关成本或费用，相应调整资本公积。</w:t>
      </w:r>
    </w:p>
    <w:p>
      <w:pPr>
        <w:pStyle w:val="Style1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换取其他方服务的权益结算的股份支付，如果其他方服务的公允价值能够可靠计量的，按照其他方服务在取得日的公 允价值计量；如果其他方服务的公允价值不能可靠计量，但权益工具的公允价值能够可靠计量的，按照权益工具在服务取得 日的公允价值计量，计入相关成本或费用，相应增加所有者权益。</w:t>
      </w:r>
    </w:p>
    <w:p>
      <w:pPr>
        <w:pStyle w:val="Style15"/>
        <w:keepNext w:val="0"/>
        <w:keepLines w:val="0"/>
        <w:widowControl w:val="0"/>
        <w:shd w:val="clear" w:color="auto" w:fill="auto"/>
        <w:tabs>
          <w:tab w:pos="885" w:val="left"/>
        </w:tabs>
        <w:bidi w:val="0"/>
        <w:spacing w:before="0" w:after="0" w:line="312" w:lineRule="exact"/>
        <w:ind w:left="0" w:right="0" w:firstLine="44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w:t>
        <w:tab/>
        <w:t>以现金结算的股份支付</w:t>
      </w:r>
    </w:p>
    <w:p>
      <w:pPr>
        <w:pStyle w:val="Style1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授予后立即可行权的换取职工服务的以现金结算的股份支付，在授予日按公司承担负债的公允价值计入相关成本或费 用，相应增加负债。完成等待期内的服务或达到规定业绩条件才可行权的换取职工服务的以现金结算的股份支付，在等待期 内的每个资产负债表日，以对可行权情况的最佳估计为基础，按公司承担负债的公允价值，将当期取得的服务计入相关成本 或费用和相应的负债。</w:t>
      </w:r>
    </w:p>
    <w:p>
      <w:pPr>
        <w:pStyle w:val="Style15"/>
        <w:keepNext w:val="0"/>
        <w:keepLines w:val="0"/>
        <w:widowControl w:val="0"/>
        <w:shd w:val="clear" w:color="auto" w:fill="auto"/>
        <w:tabs>
          <w:tab w:pos="885" w:val="left"/>
        </w:tabs>
        <w:bidi w:val="0"/>
        <w:spacing w:before="0" w:after="0" w:line="312" w:lineRule="exact"/>
        <w:ind w:left="0" w:right="0" w:firstLine="440"/>
        <w:jc w:val="left"/>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w:t>
        <w:tab/>
        <w:t>修改、终止股份支付计划</w:t>
      </w:r>
    </w:p>
    <w:p>
      <w:pPr>
        <w:pStyle w:val="Style1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如果修改增加了所授予的权益工具的公允价值，公司按照权益工具公允价值的增加相应地确认取得服务的增加；如果 修改增加了所授予的权益工具的数量，公司将增加的权益工具的公允价值相应地确认为取得服务的增加；如果公司按照有利 于职工的方式修改可行权条件，公司在处理可行权条件时，考虑修改后的可行权条件。</w:t>
      </w:r>
    </w:p>
    <w:p>
      <w:pPr>
        <w:pStyle w:val="Style1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15"/>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如果公司在等待期内取消了所授予的权益工具或结算了所授予的权益工具（因未满足可行权条件而被取消的除外）， 则将取消或结算作为加速可行权处理，立即确认原本在剩余等待期内确认的金额。</w:t>
      </w:r>
    </w:p>
    <w:p>
      <w:pPr>
        <w:pStyle w:val="Style24"/>
        <w:keepNext/>
        <w:keepLines/>
        <w:widowControl w:val="0"/>
        <w:shd w:val="clear" w:color="auto" w:fill="auto"/>
        <w:tabs>
          <w:tab w:pos="483" w:val="left"/>
        </w:tabs>
        <w:bidi w:val="0"/>
        <w:spacing w:before="0" w:after="340" w:line="240" w:lineRule="auto"/>
        <w:ind w:left="0" w:right="0" w:firstLine="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w:t>
      </w:r>
      <w:bookmarkEnd w:id="1065"/>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63"/>
      <w:bookmarkEnd w:id="1064"/>
      <w:bookmarkEnd w:id="1066"/>
    </w:p>
    <w:p>
      <w:pPr>
        <w:pStyle w:val="Style24"/>
        <w:keepNext/>
        <w:keepLines/>
        <w:widowControl w:val="0"/>
        <w:shd w:val="clear" w:color="auto" w:fill="auto"/>
        <w:tabs>
          <w:tab w:pos="483" w:val="left"/>
        </w:tabs>
        <w:bidi w:val="0"/>
        <w:spacing w:before="0" w:after="280" w:line="240" w:lineRule="auto"/>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67"/>
      <w:bookmarkEnd w:id="1068"/>
      <w:bookmarkEnd w:id="1070"/>
    </w:p>
    <w:p>
      <w:pPr>
        <w:pStyle w:val="Style15"/>
        <w:keepNext w:val="0"/>
        <w:keepLines w:val="0"/>
        <w:widowControl w:val="0"/>
        <w:shd w:val="clear" w:color="auto" w:fill="auto"/>
        <w:bidi w:val="0"/>
        <w:spacing w:before="0" w:after="6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5"/>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、收入确认原则</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于合同开始日，公司对合同进行评估，识别合同所包含的各单项履约义务，并确定各单项履约义务是在某一时段内履 行，还是在某一时点履行。</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满足下列条件之一时，属于在某一时段内履行履约义务，否则，属于在某一时点履行履约义务：（</w:t>
      </w:r>
      <w:r>
        <w:rPr>
          <w:rFonts w:ascii="Times New Roman" w:eastAsia="Times New Roman" w:hAnsi="Times New Roman" w:cs="Times New Roman"/>
          <w:color w:val="000000"/>
          <w:spacing w:val="0"/>
          <w:w w:val="100"/>
          <w:position w:val="0"/>
        </w:rPr>
        <w:t>1</w:t>
      </w:r>
      <w:r>
        <w:rPr>
          <w:color w:val="000000"/>
          <w:spacing w:val="0"/>
          <w:w w:val="100"/>
          <w:position w:val="0"/>
        </w:rPr>
        <w:t>）客户在公司履约 的同时即取得并消耗公司履约所带来的经济利益；（</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）客户能够控制公司履约过程中在建商品；（</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 出的商品具有不可替代用途，且公司在整个合同期间内有权就累计至今已完成的履约部分收取款项。</w:t>
      </w:r>
    </w:p>
    <w:p>
      <w:pPr>
        <w:pStyle w:val="Style15"/>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对于在某一时段内履行的履约义务，公司在该段时间内按照履约进度确认收入。履约进度不能合理确定时，已经发生 的成本预计能够得到补偿的，按照已经发生的成本金额确认收入，直到履约进度能够合理确定为止。对于在某一时点履行的 履约义务，在客户取得相关商品或服务控制权时点确认收入。在判断客户是否已取得商品控制权时，公司考虑下列迹象：（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color w:val="000000"/>
          <w:spacing w:val="0"/>
          <w:w w:val="100"/>
          <w:position w:val="0"/>
        </w:rPr>
        <w:t>公司就该商品享有现时收款权利，即客户就该商品负有现时付款义务；（</w:t>
      </w:r>
      <w:r>
        <w:rPr>
          <w:rFonts w:ascii="Times New Roman" w:eastAsia="Times New Roman" w:hAnsi="Times New Roman" w:cs="Times New Roman"/>
          <w:color w:val="000000"/>
          <w:spacing w:val="0"/>
          <w:w w:val="100"/>
          <w:position w:val="0"/>
        </w:rPr>
        <w:t>2</w:t>
      </w:r>
      <w:r>
        <w:rPr>
          <w:color w:val="000000"/>
          <w:spacing w:val="0"/>
          <w:w w:val="100"/>
          <w:position w:val="0"/>
        </w:rPr>
        <w:t>）公司已将该商品的法定所有权转移给客户，即 客户已拥有该商品的法定所有权；（</w:t>
      </w:r>
      <w:r>
        <w:rPr>
          <w:rFonts w:ascii="Times New Roman" w:eastAsia="Times New Roman" w:hAnsi="Times New Roman" w:cs="Times New Roman"/>
          <w:color w:val="000000"/>
          <w:spacing w:val="0"/>
          <w:w w:val="100"/>
          <w:position w:val="0"/>
        </w:rPr>
        <w:t>3</w:t>
      </w:r>
      <w:r>
        <w:rPr>
          <w:color w:val="000000"/>
          <w:spacing w:val="0"/>
          <w:w w:val="100"/>
          <w:position w:val="0"/>
        </w:rPr>
        <w:t>）公司已将该商品实物转移给客户，即客户已实物占有该商品；（</w:t>
      </w:r>
      <w:r>
        <w:rPr>
          <w:rFonts w:ascii="Times New Roman" w:eastAsia="Times New Roman" w:hAnsi="Times New Roman" w:cs="Times New Roman"/>
          <w:color w:val="000000"/>
          <w:spacing w:val="0"/>
          <w:w w:val="100"/>
          <w:position w:val="0"/>
        </w:rPr>
        <w:t>4</w:t>
      </w:r>
      <w:r>
        <w:rPr>
          <w:color w:val="000000"/>
          <w:spacing w:val="0"/>
          <w:w w:val="100"/>
          <w:position w:val="0"/>
        </w:rPr>
        <w:t>）公司已将该商品 所有权上的主要风险和报酬转移给客户，即客户已取得该商品所有权上的主要风险和报酬；（</w:t>
      </w:r>
      <w:r>
        <w:rPr>
          <w:rFonts w:ascii="Times New Roman" w:eastAsia="Times New Roman" w:hAnsi="Times New Roman" w:cs="Times New Roman"/>
          <w:color w:val="000000"/>
          <w:spacing w:val="0"/>
          <w:w w:val="100"/>
          <w:position w:val="0"/>
        </w:rPr>
        <w:t>5</w:t>
      </w:r>
      <w:r>
        <w:rPr>
          <w:color w:val="000000"/>
          <w:spacing w:val="0"/>
          <w:w w:val="100"/>
          <w:position w:val="0"/>
        </w:rPr>
        <w:t>）客户已接受该商品；（</w:t>
      </w:r>
      <w:r>
        <w:rPr>
          <w:rFonts w:ascii="Times New Roman" w:eastAsia="Times New Roman" w:hAnsi="Times New Roman" w:cs="Times New Roman"/>
          <w:color w:val="000000"/>
          <w:spacing w:val="0"/>
          <w:w w:val="100"/>
          <w:position w:val="0"/>
        </w:rPr>
        <w:t>6</w:t>
      </w:r>
      <w:r>
        <w:rPr>
          <w:color w:val="000000"/>
          <w:spacing w:val="0"/>
          <w:w w:val="100"/>
          <w:position w:val="0"/>
        </w:rPr>
        <w:t>） 其他表明客户已取得商品控制权的迹象。</w:t>
      </w:r>
    </w:p>
    <w:p>
      <w:pPr>
        <w:pStyle w:val="Style15"/>
        <w:keepNext w:val="0"/>
        <w:keepLines w:val="0"/>
        <w:widowControl w:val="0"/>
        <w:shd w:val="clear" w:color="auto" w:fill="auto"/>
        <w:tabs>
          <w:tab w:pos="732" w:val="left"/>
        </w:tabs>
        <w:bidi w:val="0"/>
        <w:spacing w:before="0" w:after="0"/>
        <w:ind w:left="0" w:right="0"/>
        <w:jc w:val="left"/>
      </w:pPr>
      <w:bookmarkStart w:id="1071" w:name="bookmark1071"/>
      <w:r>
        <w:rPr>
          <w:rFonts w:ascii="Times New Roman" w:eastAsia="Times New Roman" w:hAnsi="Times New Roman" w:cs="Times New Roman"/>
          <w:color w:val="000000"/>
          <w:spacing w:val="0"/>
          <w:w w:val="100"/>
          <w:position w:val="0"/>
        </w:rPr>
        <w:t>2</w:t>
      </w:r>
      <w:bookmarkEnd w:id="1071"/>
      <w:r>
        <w:rPr>
          <w:color w:val="000000"/>
          <w:spacing w:val="0"/>
          <w:w w:val="100"/>
          <w:position w:val="0"/>
        </w:rPr>
        <w:t>、</w:t>
        <w:tab/>
        <w:t>收入计量原则</w:t>
      </w:r>
    </w:p>
    <w:p>
      <w:pPr>
        <w:pStyle w:val="Style15"/>
        <w:keepNext w:val="0"/>
        <w:keepLines w:val="0"/>
        <w:widowControl w:val="0"/>
        <w:shd w:val="clear" w:color="auto" w:fill="auto"/>
        <w:tabs>
          <w:tab w:pos="857" w:val="left"/>
        </w:tabs>
        <w:bidi w:val="0"/>
        <w:spacing w:before="0" w:after="0" w:line="315" w:lineRule="exact"/>
        <w:ind w:left="0" w:right="0" w:firstLine="42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w:t>
        <w:tab/>
        <w:t>公司按照分摊至各单项履约义务的交易价格计量收入。交易价格是公司因向客户转让商品或服务而预期有权收取 的对价金额，不包括代第三方收取的款项以及预期将退还给客户的款项。</w:t>
      </w:r>
    </w:p>
    <w:p>
      <w:pPr>
        <w:pStyle w:val="Style15"/>
        <w:keepNext w:val="0"/>
        <w:keepLines w:val="0"/>
        <w:widowControl w:val="0"/>
        <w:shd w:val="clear" w:color="auto" w:fill="auto"/>
        <w:tabs>
          <w:tab w:pos="871" w:val="left"/>
        </w:tabs>
        <w:bidi w:val="0"/>
        <w:spacing w:before="0" w:after="0" w:line="315" w:lineRule="exact"/>
        <w:ind w:left="0" w:right="0" w:firstLine="42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w:t>
        <w:tab/>
        <w:t>合同中存在可变对价的，公司按照期望值或最可能发生金额确定可变对价的最佳估计数，但包含可变对价的交易 价格，不超过在相关不确定性消除时累计已确认收入极可能不会发生重大转回的金额。</w:t>
      </w:r>
    </w:p>
    <w:p>
      <w:pPr>
        <w:pStyle w:val="Style15"/>
        <w:keepNext w:val="0"/>
        <w:keepLines w:val="0"/>
        <w:widowControl w:val="0"/>
        <w:shd w:val="clear" w:color="auto" w:fill="auto"/>
        <w:tabs>
          <w:tab w:pos="871" w:val="left"/>
        </w:tabs>
        <w:bidi w:val="0"/>
        <w:spacing w:before="0" w:after="0" w:line="315" w:lineRule="exact"/>
        <w:ind w:left="0" w:right="0" w:firstLine="420"/>
        <w:jc w:val="both"/>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w:t>
        <w:tab/>
        <w:t>合同中存在重大融资成分的，公司按照假定客户在取得商品或服务控制权时即以现金支付的应付金额确定交易价 格。该交易价格与合同对价之间的差额，在合同期间内采用实际利率法摊销。</w:t>
      </w:r>
    </w:p>
    <w:p>
      <w:pPr>
        <w:pStyle w:val="Style15"/>
        <w:keepNext w:val="0"/>
        <w:keepLines w:val="0"/>
        <w:widowControl w:val="0"/>
        <w:shd w:val="clear" w:color="auto" w:fill="auto"/>
        <w:tabs>
          <w:tab w:pos="871" w:val="left"/>
        </w:tabs>
        <w:bidi w:val="0"/>
        <w:spacing w:before="0" w:after="80" w:line="315" w:lineRule="exact"/>
        <w:ind w:left="0" w:right="0" w:firstLine="420"/>
        <w:jc w:val="both"/>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rPr>
        <w:t>4</w:t>
      </w:r>
      <w:r>
        <w:rPr>
          <w:color w:val="000000"/>
          <w:spacing w:val="0"/>
          <w:w w:val="100"/>
          <w:position w:val="0"/>
        </w:rPr>
        <w:t>）</w:t>
        <w:tab/>
        <w:t>合同中包含两项或多项履约义务的，公司于合同开始日，按照各单项履约义务所承诺商品的单独售价的相对比例， 将交易价格分摊至各单项履约义务。</w:t>
      </w:r>
    </w:p>
    <w:p>
      <w:pPr>
        <w:pStyle w:val="Style15"/>
        <w:keepNext w:val="0"/>
        <w:keepLines w:val="0"/>
        <w:widowControl w:val="0"/>
        <w:shd w:val="clear" w:color="auto" w:fill="auto"/>
        <w:tabs>
          <w:tab w:pos="732" w:val="left"/>
        </w:tabs>
        <w:bidi w:val="0"/>
        <w:spacing w:before="0" w:after="0"/>
        <w:ind w:left="0" w:right="0"/>
        <w:jc w:val="left"/>
      </w:pPr>
      <w:bookmarkStart w:id="1076" w:name="bookmark1076"/>
      <w:r>
        <w:rPr>
          <w:rFonts w:ascii="Times New Roman" w:eastAsia="Times New Roman" w:hAnsi="Times New Roman" w:cs="Times New Roman"/>
          <w:color w:val="000000"/>
          <w:spacing w:val="0"/>
          <w:w w:val="100"/>
          <w:position w:val="0"/>
        </w:rPr>
        <w:t>3</w:t>
      </w:r>
      <w:bookmarkEnd w:id="1076"/>
      <w:r>
        <w:rPr>
          <w:color w:val="000000"/>
          <w:spacing w:val="0"/>
          <w:w w:val="100"/>
          <w:position w:val="0"/>
        </w:rPr>
        <w:t>、</w:t>
        <w:tab/>
        <w:t>收入确认的具体方法</w:t>
      </w:r>
    </w:p>
    <w:p>
      <w:pPr>
        <w:pStyle w:val="Style15"/>
        <w:keepNext w:val="0"/>
        <w:keepLines w:val="0"/>
        <w:widowControl w:val="0"/>
        <w:shd w:val="clear" w:color="auto" w:fill="auto"/>
        <w:bidi w:val="0"/>
        <w:spacing w:before="0" w:after="0" w:line="315" w:lineRule="exact"/>
        <w:ind w:left="0" w:right="0"/>
        <w:jc w:val="left"/>
      </w:pPr>
      <w:r>
        <w:rPr>
          <w:color w:val="000000"/>
          <w:spacing w:val="0"/>
          <w:w w:val="100"/>
          <w:position w:val="0"/>
        </w:rPr>
        <w:t>公司主要产品为软件销售、系统集成和技术服务。</w:t>
      </w:r>
    </w:p>
    <w:p>
      <w:pPr>
        <w:pStyle w:val="Style15"/>
        <w:keepNext w:val="0"/>
        <w:keepLines w:val="0"/>
        <w:widowControl w:val="0"/>
        <w:shd w:val="clear" w:color="auto" w:fill="auto"/>
        <w:tabs>
          <w:tab w:pos="800" w:val="left"/>
        </w:tabs>
        <w:bidi w:val="0"/>
        <w:spacing w:before="0" w:after="0" w:line="315" w:lineRule="exact"/>
        <w:ind w:left="0" w:right="0"/>
        <w:jc w:val="left"/>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w:t>
        <w:tab/>
        <w:t>软件销售</w:t>
      </w:r>
    </w:p>
    <w:p>
      <w:pPr>
        <w:pStyle w:val="Style15"/>
        <w:keepNext w:val="0"/>
        <w:keepLines w:val="0"/>
        <w:widowControl w:val="0"/>
        <w:shd w:val="clear" w:color="auto" w:fill="auto"/>
        <w:bidi w:val="0"/>
        <w:spacing w:before="0" w:after="0" w:line="315" w:lineRule="exact"/>
        <w:ind w:left="0" w:right="0" w:firstLine="420"/>
        <w:jc w:val="both"/>
      </w:pPr>
      <w:r>
        <w:rPr>
          <w:color w:val="000000"/>
          <w:spacing w:val="0"/>
          <w:w w:val="100"/>
          <w:position w:val="0"/>
        </w:rPr>
        <w:t>软件销售属于在某一时点履行的履约义务，在公司完成履约义务并由客户确认接受、已收取价款或取得收款权利且相 关的经济利益可能流入时确认收入。</w:t>
      </w:r>
    </w:p>
    <w:p>
      <w:pPr>
        <w:pStyle w:val="Style15"/>
        <w:keepNext w:val="0"/>
        <w:keepLines w:val="0"/>
        <w:widowControl w:val="0"/>
        <w:shd w:val="clear" w:color="auto" w:fill="auto"/>
        <w:tabs>
          <w:tab w:pos="800" w:val="left"/>
        </w:tabs>
        <w:bidi w:val="0"/>
        <w:spacing w:before="0" w:after="0" w:line="315" w:lineRule="exact"/>
        <w:ind w:left="0" w:right="0"/>
        <w:jc w:val="left"/>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技术服务</w:t>
      </w:r>
    </w:p>
    <w:p>
      <w:pPr>
        <w:pStyle w:val="Style15"/>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技术服务包括软件开发服务和软硬件维护服务。软件开发服务，属于在某一时点履行的履约义务，在公司完成履约义 务并由客户确认接受、已收取价款或取得收款权利且相关的经济利益可能流入时确认收入。软硬件维护服务属于在某一时段 内履行的履约义务，根据服务期间的时间进度确定提供服务的履约进度，并按履行进度确认收入。</w:t>
      </w:r>
    </w:p>
    <w:p>
      <w:pPr>
        <w:pStyle w:val="Style15"/>
        <w:keepNext w:val="0"/>
        <w:keepLines w:val="0"/>
        <w:widowControl w:val="0"/>
        <w:shd w:val="clear" w:color="auto" w:fill="auto"/>
        <w:tabs>
          <w:tab w:pos="800" w:val="left"/>
        </w:tabs>
        <w:bidi w:val="0"/>
        <w:spacing w:before="0" w:after="0" w:line="315" w:lineRule="exact"/>
        <w:ind w:left="0" w:right="0"/>
        <w:jc w:val="both"/>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3</w:t>
      </w:r>
      <w:r>
        <w:rPr>
          <w:color w:val="000000"/>
          <w:spacing w:val="0"/>
          <w:w w:val="100"/>
          <w:position w:val="0"/>
        </w:rPr>
        <w:t>）</w:t>
        <w:tab/>
        <w:t>系统集成</w:t>
      </w:r>
    </w:p>
    <w:p>
      <w:pPr>
        <w:pStyle w:val="Style15"/>
        <w:keepNext w:val="0"/>
        <w:keepLines w:val="0"/>
        <w:widowControl w:val="0"/>
        <w:shd w:val="clear" w:color="auto" w:fill="auto"/>
        <w:bidi w:val="0"/>
        <w:spacing w:before="0" w:after="360" w:line="315" w:lineRule="exact"/>
        <w:ind w:left="0" w:right="0" w:firstLine="420"/>
        <w:jc w:val="both"/>
      </w:pPr>
      <w:r>
        <w:rPr>
          <w:color w:val="000000"/>
          <w:spacing w:val="0"/>
          <w:w w:val="100"/>
          <w:position w:val="0"/>
        </w:rPr>
        <w:t>系统集成包括计算机信息设备系统集成业务和智能化网络布线工程集成业务。计算机信息设备系统集成业务属于在某 一时点履行的履约义务，在公司完成履约义务并由客户确认接受、已收取价款或取得收款权利且相关的经济利益可能流入时 确认收入。智能化网络布线工程集成业务属于在某一时段履行的履约义务，根据工程项目的实际进度确定提供服务的履约进 度，并按履约进度确认收入。</w:t>
      </w:r>
    </w:p>
    <w:p>
      <w:pPr>
        <w:pStyle w:val="Style24"/>
        <w:keepNext/>
        <w:keepLines/>
        <w:widowControl w:val="0"/>
        <w:shd w:val="clear" w:color="auto" w:fill="auto"/>
        <w:bidi w:val="0"/>
        <w:spacing w:before="0" w:after="2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4</w:t>
      </w:r>
      <w:bookmarkEnd w:id="108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80"/>
      <w:bookmarkEnd w:id="1081"/>
      <w:bookmarkEnd w:id="1083"/>
    </w:p>
    <w:p>
      <w:pPr>
        <w:pStyle w:val="Style15"/>
        <w:keepNext w:val="0"/>
        <w:keepLines w:val="0"/>
        <w:widowControl w:val="0"/>
        <w:shd w:val="clear" w:color="auto" w:fill="auto"/>
        <w:bidi w:val="0"/>
        <w:spacing w:before="0" w:after="80" w:line="311" w:lineRule="exact"/>
        <w:ind w:left="0" w:right="0" w:firstLine="420"/>
        <w:jc w:val="left"/>
      </w:pPr>
      <w:bookmarkStart w:id="1084" w:name="bookmark1084"/>
      <w:r>
        <w:rPr>
          <w:rFonts w:ascii="Times New Roman" w:eastAsia="Times New Roman" w:hAnsi="Times New Roman" w:cs="Times New Roman"/>
          <w:color w:val="000000"/>
          <w:spacing w:val="0"/>
          <w:w w:val="100"/>
          <w:position w:val="0"/>
        </w:rPr>
        <w:t>1</w:t>
      </w:r>
      <w:bookmarkEnd w:id="1084"/>
      <w:r>
        <w:rPr>
          <w:color w:val="000000"/>
          <w:spacing w:val="0"/>
          <w:w w:val="100"/>
          <w:position w:val="0"/>
        </w:rPr>
        <w:t>、 政府补助在同时满足下列条件时予以确认：（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）公司能够满足政府补助所附的条件；（</w:t>
      </w:r>
      <w:r>
        <w:rPr>
          <w:rFonts w:ascii="Times New Roman" w:eastAsia="Times New Roman" w:hAnsi="Times New Roman" w:cs="Times New Roman"/>
          <w:color w:val="000000"/>
          <w:spacing w:val="0"/>
          <w:w w:val="100"/>
          <w:position w:val="0"/>
        </w:rPr>
        <w:t>2</w:t>
      </w:r>
      <w:r>
        <w:rPr>
          <w:color w:val="000000"/>
          <w:spacing w:val="0"/>
          <w:w w:val="100"/>
          <w:position w:val="0"/>
        </w:rPr>
        <w:t>）公司能够收到政府补助。 政府补助为货币性资产的，按照收到或应收的金额计量。政府补助为非货币性资产的，按照公允价值计量；公允价值不能可 靠取得的，按照名义金额计量。</w:t>
      </w:r>
    </w:p>
    <w:p>
      <w:pPr>
        <w:pStyle w:val="Style15"/>
        <w:keepNext w:val="0"/>
        <w:keepLines w:val="0"/>
        <w:widowControl w:val="0"/>
        <w:shd w:val="clear" w:color="auto" w:fill="auto"/>
        <w:tabs>
          <w:tab w:pos="732" w:val="left"/>
        </w:tabs>
        <w:bidi w:val="0"/>
        <w:spacing w:before="0" w:after="0"/>
        <w:ind w:left="0" w:right="0"/>
        <w:jc w:val="left"/>
      </w:pPr>
      <w:bookmarkStart w:id="1085" w:name="bookmark1085"/>
      <w:r>
        <w:rPr>
          <w:rFonts w:ascii="Times New Roman" w:eastAsia="Times New Roman" w:hAnsi="Times New Roman" w:cs="Times New Roman"/>
          <w:color w:val="000000"/>
          <w:spacing w:val="0"/>
          <w:w w:val="100"/>
          <w:position w:val="0"/>
        </w:rPr>
        <w:t>2</w:t>
      </w:r>
      <w:bookmarkEnd w:id="1085"/>
      <w:r>
        <w:rPr>
          <w:color w:val="000000"/>
          <w:spacing w:val="0"/>
          <w:w w:val="100"/>
          <w:position w:val="0"/>
        </w:rPr>
        <w:t>、</w:t>
        <w:tab/>
        <w:t>资产相关的政府补助判断依据及会计处理方法</w:t>
      </w:r>
    </w:p>
    <w:p>
      <w:pPr>
        <w:pStyle w:val="Style15"/>
        <w:keepNext w:val="0"/>
        <w:keepLines w:val="0"/>
        <w:widowControl w:val="0"/>
        <w:shd w:val="clear" w:color="auto" w:fill="auto"/>
        <w:bidi w:val="0"/>
        <w:spacing w:before="0" w:after="80" w:line="311" w:lineRule="exact"/>
        <w:ind w:left="0" w:right="0" w:firstLine="420"/>
        <w:jc w:val="both"/>
      </w:pPr>
      <w:r>
        <w:rPr>
          <w:color w:val="000000"/>
          <w:spacing w:val="0"/>
          <w:w w:val="100"/>
          <w:position w:val="0"/>
        </w:rPr>
        <w:t>政府文件规定用于购建或以其他方式形成长期资产的政府补助划分为与资产相关的政府补助。政府文件不明确的，以 取得该补助必须具备的基本条件为基础进行判断，以购建或其他方式形成长期资产为基本条件的作为与资产相关的政府补 助。与资产相关的政府补助，冲减相关资产的账面价值或确认为递延收益。与资产相关的政府补助确认为递延收益的，在相 关资产使用寿命内按照合理、系统的方法分期计入损益。按照名义金额计量的政府补助，直接计入当期损益。相关资产在使 用寿命结束前被出售、转让、报废或发生毁损的，将尚未分配的相关递延收益余额转入资产处置当期的损益。</w:t>
      </w:r>
    </w:p>
    <w:p>
      <w:pPr>
        <w:pStyle w:val="Style15"/>
        <w:keepNext w:val="0"/>
        <w:keepLines w:val="0"/>
        <w:widowControl w:val="0"/>
        <w:shd w:val="clear" w:color="auto" w:fill="auto"/>
        <w:tabs>
          <w:tab w:pos="732" w:val="left"/>
        </w:tabs>
        <w:bidi w:val="0"/>
        <w:spacing w:before="0" w:after="0"/>
        <w:ind w:left="0" w:right="0"/>
        <w:jc w:val="both"/>
      </w:pPr>
      <w:bookmarkStart w:id="1086" w:name="bookmark1086"/>
      <w:r>
        <w:rPr>
          <w:rFonts w:ascii="Times New Roman" w:eastAsia="Times New Roman" w:hAnsi="Times New Roman" w:cs="Times New Roman"/>
          <w:color w:val="000000"/>
          <w:spacing w:val="0"/>
          <w:w w:val="100"/>
          <w:position w:val="0"/>
        </w:rPr>
        <w:t>3</w:t>
      </w:r>
      <w:bookmarkEnd w:id="1086"/>
      <w:r>
        <w:rPr>
          <w:color w:val="000000"/>
          <w:spacing w:val="0"/>
          <w:w w:val="100"/>
          <w:position w:val="0"/>
        </w:rPr>
        <w:t>、</w:t>
        <w:tab/>
        <w:t>与收益相关的政府补助判断依据及会计处理方法</w:t>
      </w:r>
    </w:p>
    <w:p>
      <w:pPr>
        <w:pStyle w:val="Style15"/>
        <w:keepNext w:val="0"/>
        <w:keepLines w:val="0"/>
        <w:widowControl w:val="0"/>
        <w:shd w:val="clear" w:color="auto" w:fill="auto"/>
        <w:bidi w:val="0"/>
        <w:spacing w:before="0" w:after="80" w:line="311" w:lineRule="exact"/>
        <w:ind w:left="0" w:right="0" w:firstLine="420"/>
        <w:jc w:val="both"/>
      </w:pPr>
      <w:r>
        <w:rPr>
          <w:color w:val="000000"/>
          <w:spacing w:val="0"/>
          <w:w w:val="100"/>
          <w:position w:val="0"/>
        </w:rPr>
        <w:t>除与资产相关的政府补助之外的政府补助划分为与收益相关的政府补助。对于同时包含与资产相关部分和与收益相关 部分的政府补助，难以区分与资产相关或与收益相关的，整体归类为与收益相关的政府补助。与收益相关的政府补助，用于 补偿以后期间的相关成本费用或损失的，确认为递延收益，在确认相关成本费用或损失的期间，计入当期损益或冲减相关成 本；用于补偿已发生的相关成本费用或损失的，直接计入当期损益或冲减相关成本。</w:t>
      </w:r>
    </w:p>
    <w:p>
      <w:pPr>
        <w:pStyle w:val="Style15"/>
        <w:keepNext w:val="0"/>
        <w:keepLines w:val="0"/>
        <w:widowControl w:val="0"/>
        <w:shd w:val="clear" w:color="auto" w:fill="auto"/>
        <w:tabs>
          <w:tab w:pos="762" w:val="left"/>
        </w:tabs>
        <w:bidi w:val="0"/>
        <w:spacing w:before="0" w:after="0" w:line="319" w:lineRule="exact"/>
        <w:ind w:left="0" w:right="0" w:firstLine="440"/>
        <w:jc w:val="both"/>
      </w:pPr>
      <w:bookmarkStart w:id="1087" w:name="bookmark1087"/>
      <w:r>
        <w:rPr>
          <w:rFonts w:ascii="Times New Roman" w:eastAsia="Times New Roman" w:hAnsi="Times New Roman" w:cs="Times New Roman"/>
          <w:color w:val="000000"/>
          <w:spacing w:val="0"/>
          <w:w w:val="100"/>
          <w:position w:val="0"/>
        </w:rPr>
        <w:t>4</w:t>
      </w:r>
      <w:bookmarkEnd w:id="1087"/>
      <w:r>
        <w:rPr>
          <w:color w:val="000000"/>
          <w:spacing w:val="0"/>
          <w:w w:val="100"/>
          <w:position w:val="0"/>
        </w:rPr>
        <w:t>、</w:t>
        <w:tab/>
        <w:t>与公司日常经营活动相关的政府补助，按照经济业务实质，计入其他收益或冲减相关成本费用。与公司日常活动无 关的政府补助，计入营业外收支。</w:t>
      </w:r>
    </w:p>
    <w:p>
      <w:pPr>
        <w:pStyle w:val="Style15"/>
        <w:keepNext w:val="0"/>
        <w:keepLines w:val="0"/>
        <w:widowControl w:val="0"/>
        <w:shd w:val="clear" w:color="auto" w:fill="auto"/>
        <w:tabs>
          <w:tab w:pos="754" w:val="left"/>
        </w:tabs>
        <w:bidi w:val="0"/>
        <w:spacing w:before="0" w:after="0" w:line="319" w:lineRule="exact"/>
        <w:ind w:left="0" w:right="0" w:firstLine="400"/>
        <w:jc w:val="left"/>
      </w:pPr>
      <w:bookmarkStart w:id="1088" w:name="bookmark1088"/>
      <w:r>
        <w:rPr>
          <w:rFonts w:ascii="Times New Roman" w:eastAsia="Times New Roman" w:hAnsi="Times New Roman" w:cs="Times New Roman"/>
          <w:color w:val="000000"/>
          <w:spacing w:val="0"/>
          <w:w w:val="100"/>
          <w:position w:val="0"/>
        </w:rPr>
        <w:t>5</w:t>
      </w:r>
      <w:bookmarkEnd w:id="1088"/>
      <w:r>
        <w:rPr>
          <w:color w:val="000000"/>
          <w:spacing w:val="0"/>
          <w:w w:val="100"/>
          <w:position w:val="0"/>
        </w:rPr>
        <w:t>、</w:t>
        <w:tab/>
        <w:t>政策性优惠贷款贴息的会计处理方法</w:t>
      </w:r>
    </w:p>
    <w:p>
      <w:pPr>
        <w:pStyle w:val="Style15"/>
        <w:keepNext w:val="0"/>
        <w:keepLines w:val="0"/>
        <w:widowControl w:val="0"/>
        <w:shd w:val="clear" w:color="auto" w:fill="auto"/>
        <w:tabs>
          <w:tab w:pos="896" w:val="left"/>
        </w:tabs>
        <w:bidi w:val="0"/>
        <w:spacing w:before="0" w:after="0" w:line="319" w:lineRule="exact"/>
        <w:ind w:left="0" w:right="0" w:firstLine="440"/>
        <w:jc w:val="both"/>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财政将贴息资金拨付给贷款银行，由贷款银行以政策性优惠利率向公司提供贷款的，以实际收到的借款金额作为 借款的入账价值，按照借款本金和该政策性优惠利率计算相关借款费用。</w:t>
      </w:r>
    </w:p>
    <w:p>
      <w:pPr>
        <w:pStyle w:val="Style15"/>
        <w:keepNext w:val="0"/>
        <w:keepLines w:val="0"/>
        <w:widowControl w:val="0"/>
        <w:shd w:val="clear" w:color="auto" w:fill="auto"/>
        <w:tabs>
          <w:tab w:pos="880" w:val="left"/>
        </w:tabs>
        <w:bidi w:val="0"/>
        <w:spacing w:before="0" w:after="360" w:line="319" w:lineRule="exact"/>
        <w:ind w:left="0" w:right="0" w:firstLine="440"/>
        <w:jc w:val="both"/>
      </w:pPr>
      <w:bookmarkStart w:id="1090" w:name="bookmark1090"/>
      <w:r>
        <w:rPr>
          <w:color w:val="000000"/>
          <w:spacing w:val="0"/>
          <w:w w:val="100"/>
          <w:position w:val="0"/>
        </w:rPr>
        <w:t>（</w:t>
      </w:r>
      <w:bookmarkEnd w:id="1090"/>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财政将贴息资金直接拨付给公司的，将对应的贴息冲减相关借款费用。</w:t>
      </w:r>
    </w:p>
    <w:p>
      <w:pPr>
        <w:pStyle w:val="Style24"/>
        <w:keepNext/>
        <w:keepLines/>
        <w:widowControl w:val="0"/>
        <w:shd w:val="clear" w:color="auto" w:fill="auto"/>
        <w:tabs>
          <w:tab w:pos="483" w:val="left"/>
        </w:tabs>
        <w:bidi w:val="0"/>
        <w:spacing w:before="0" w:after="2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4</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91"/>
      <w:bookmarkEnd w:id="1092"/>
      <w:bookmarkEnd w:id="1094"/>
    </w:p>
    <w:p>
      <w:pPr>
        <w:pStyle w:val="Style15"/>
        <w:keepNext w:val="0"/>
        <w:keepLines w:val="0"/>
        <w:widowControl w:val="0"/>
        <w:shd w:val="clear" w:color="auto" w:fill="auto"/>
        <w:tabs>
          <w:tab w:pos="721" w:val="left"/>
        </w:tabs>
        <w:bidi w:val="0"/>
        <w:spacing w:before="0" w:after="0" w:line="314" w:lineRule="exact"/>
        <w:ind w:left="0" w:right="0" w:firstLine="440"/>
        <w:jc w:val="both"/>
      </w:pPr>
      <w:bookmarkStart w:id="1095" w:name="bookmark1095"/>
      <w:r>
        <w:rPr>
          <w:rFonts w:ascii="Times New Roman" w:eastAsia="Times New Roman" w:hAnsi="Times New Roman" w:cs="Times New Roman"/>
          <w:color w:val="000000"/>
          <w:spacing w:val="0"/>
          <w:w w:val="100"/>
          <w:position w:val="0"/>
        </w:rPr>
        <w:t>1</w:t>
      </w:r>
      <w:bookmarkEnd w:id="1095"/>
      <w:r>
        <w:rPr>
          <w:color w:val="000000"/>
          <w:spacing w:val="0"/>
          <w:w w:val="100"/>
          <w:position w:val="0"/>
        </w:rPr>
        <w:t>、</w:t>
        <w:tab/>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15"/>
        <w:keepNext w:val="0"/>
        <w:keepLines w:val="0"/>
        <w:widowControl w:val="0"/>
        <w:shd w:val="clear" w:color="auto" w:fill="auto"/>
        <w:tabs>
          <w:tab w:pos="721" w:val="left"/>
        </w:tabs>
        <w:bidi w:val="0"/>
        <w:spacing w:before="0" w:after="0" w:line="314" w:lineRule="exact"/>
        <w:ind w:left="0" w:right="0" w:firstLine="440"/>
        <w:jc w:val="both"/>
      </w:pPr>
      <w:bookmarkStart w:id="1096" w:name="bookmark1096"/>
      <w:r>
        <w:rPr>
          <w:rFonts w:ascii="Times New Roman" w:eastAsia="Times New Roman" w:hAnsi="Times New Roman" w:cs="Times New Roman"/>
          <w:color w:val="000000"/>
          <w:spacing w:val="0"/>
          <w:w w:val="100"/>
          <w:position w:val="0"/>
        </w:rPr>
        <w:t>2</w:t>
      </w:r>
      <w:bookmarkEnd w:id="1096"/>
      <w:r>
        <w:rPr>
          <w:color w:val="000000"/>
          <w:spacing w:val="0"/>
          <w:w w:val="100"/>
          <w:position w:val="0"/>
        </w:rPr>
        <w:t>、</w:t>
        <w:tab/>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15"/>
        <w:keepNext w:val="0"/>
        <w:keepLines w:val="0"/>
        <w:widowControl w:val="0"/>
        <w:shd w:val="clear" w:color="auto" w:fill="auto"/>
        <w:tabs>
          <w:tab w:pos="721" w:val="left"/>
        </w:tabs>
        <w:bidi w:val="0"/>
        <w:spacing w:before="0" w:after="0" w:line="314" w:lineRule="exact"/>
        <w:ind w:left="0" w:right="0" w:firstLine="440"/>
        <w:jc w:val="both"/>
      </w:pPr>
      <w:bookmarkStart w:id="1097" w:name="bookmark1097"/>
      <w:r>
        <w:rPr>
          <w:rFonts w:ascii="Times New Roman" w:eastAsia="Times New Roman" w:hAnsi="Times New Roman" w:cs="Times New Roman"/>
          <w:color w:val="000000"/>
          <w:spacing w:val="0"/>
          <w:w w:val="100"/>
          <w:position w:val="0"/>
        </w:rPr>
        <w:t>3</w:t>
      </w:r>
      <w:bookmarkEnd w:id="1097"/>
      <w:r>
        <w:rPr>
          <w:color w:val="000000"/>
          <w:spacing w:val="0"/>
          <w:w w:val="100"/>
          <w:position w:val="0"/>
        </w:rPr>
        <w:t>、</w:t>
        <w:tab/>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15"/>
        <w:keepNext w:val="0"/>
        <w:keepLines w:val="0"/>
        <w:widowControl w:val="0"/>
        <w:shd w:val="clear" w:color="auto" w:fill="auto"/>
        <w:tabs>
          <w:tab w:pos="762" w:val="left"/>
        </w:tabs>
        <w:bidi w:val="0"/>
        <w:spacing w:before="0" w:after="360" w:line="314" w:lineRule="exact"/>
        <w:ind w:left="0" w:right="0" w:firstLine="440"/>
        <w:jc w:val="both"/>
      </w:pPr>
      <w:bookmarkStart w:id="1098" w:name="bookmark1098"/>
      <w:r>
        <w:rPr>
          <w:rFonts w:ascii="Times New Roman" w:eastAsia="Times New Roman" w:hAnsi="Times New Roman" w:cs="Times New Roman"/>
          <w:color w:val="000000"/>
          <w:spacing w:val="0"/>
          <w:w w:val="100"/>
          <w:position w:val="0"/>
        </w:rPr>
        <w:t>4</w:t>
      </w:r>
      <w:bookmarkEnd w:id="1098"/>
      <w:r>
        <w:rPr>
          <w:color w:val="000000"/>
          <w:spacing w:val="0"/>
          <w:w w:val="100"/>
          <w:position w:val="0"/>
        </w:rPr>
        <w:t>、</w:t>
        <w:tab/>
        <w:t>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rPr>
        <w:t>1</w:t>
      </w:r>
      <w:r>
        <w:rPr>
          <w:color w:val="000000"/>
          <w:spacing w:val="0"/>
          <w:w w:val="100"/>
          <w:position w:val="0"/>
        </w:rPr>
        <w:t>）企业 合并；（</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24"/>
        <w:keepNext/>
        <w:keepLines/>
        <w:widowControl w:val="0"/>
        <w:shd w:val="clear" w:color="auto" w:fill="auto"/>
        <w:tabs>
          <w:tab w:pos="483" w:val="left"/>
        </w:tabs>
        <w:bidi w:val="0"/>
        <w:spacing w:before="0" w:after="2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4</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99"/>
      <w:bookmarkEnd w:id="1100"/>
      <w:bookmarkEnd w:id="1102"/>
    </w:p>
    <w:p>
      <w:pPr>
        <w:pStyle w:val="Style92"/>
        <w:keepNext/>
        <w:keepLines/>
        <w:widowControl w:val="0"/>
        <w:shd w:val="clear" w:color="auto" w:fill="auto"/>
        <w:tabs>
          <w:tab w:pos="840" w:val="left"/>
        </w:tabs>
        <w:bidi w:val="0"/>
        <w:spacing w:before="0" w:after="0" w:line="311" w:lineRule="exact"/>
        <w:ind w:left="0" w:right="0" w:firstLine="400"/>
        <w:jc w:val="both"/>
        <w:rPr>
          <w:sz w:val="18"/>
          <w:szCs w:val="18"/>
        </w:rPr>
      </w:pPr>
      <w:bookmarkStart w:id="1103" w:name="bookmark1103"/>
      <w:bookmarkStart w:id="1104" w:name="bookmark1104"/>
      <w:bookmarkStart w:id="1105" w:name="bookmark1105"/>
      <w:bookmarkStart w:id="1106" w:name="bookmark1106"/>
      <w:r>
        <w:rPr>
          <w:b w:val="0"/>
          <w:bCs w:val="0"/>
          <w:color w:val="000000"/>
          <w:spacing w:val="0"/>
          <w:w w:val="100"/>
          <w:position w:val="0"/>
          <w:sz w:val="18"/>
          <w:szCs w:val="18"/>
        </w:rPr>
        <w:t>（</w:t>
      </w:r>
      <w:bookmarkEnd w:id="1105"/>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8"/>
          <w:szCs w:val="18"/>
        </w:rPr>
        <w:t>）</w:t>
        <w:tab/>
        <w:t>经营租赁的会计处理方法</w:t>
      </w:r>
      <w:bookmarkEnd w:id="1103"/>
      <w:bookmarkEnd w:id="1104"/>
      <w:bookmarkEnd w:id="1106"/>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公司作为承租人时，在租赁期开始日，公司将租赁期不超过</w:t>
      </w:r>
      <w:r>
        <w:rPr>
          <w:color w:val="000000"/>
          <w:spacing w:val="0"/>
          <w:w w:val="100"/>
          <w:position w:val="0"/>
          <w:sz w:val="18"/>
          <w:szCs w:val="18"/>
        </w:rPr>
        <w:t>12</w:t>
      </w:r>
      <w:r>
        <w:rPr>
          <w:color w:val="000000"/>
          <w:spacing w:val="0"/>
          <w:w w:val="100"/>
          <w:position w:val="0"/>
        </w:rPr>
        <w:t>个月，且不包含购买选择权的租赁认定为短期租赁；将 单项租赁资产为全新资产时价值较低的租赁认定为低价值资产租赁。公司转租或预期转租租赁资产的，原租赁不认定为低价 值资产租赁。</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对于所有短期租赁和低价值资产租赁，公司在租赁期内各个期间按照直线法将租赁付款额计入相关资产成本或当期损 益。</w:t>
      </w:r>
    </w:p>
    <w:p>
      <w:pPr>
        <w:pStyle w:val="Style15"/>
        <w:keepNext w:val="0"/>
        <w:keepLines w:val="0"/>
        <w:widowControl w:val="0"/>
        <w:shd w:val="clear" w:color="auto" w:fill="auto"/>
        <w:bidi w:val="0"/>
        <w:spacing w:before="0" w:after="0" w:line="311" w:lineRule="exact"/>
        <w:ind w:left="0" w:right="0" w:firstLine="400"/>
        <w:jc w:val="both"/>
      </w:pPr>
      <w:r>
        <w:rPr>
          <w:color w:val="000000"/>
          <w:spacing w:val="0"/>
          <w:w w:val="100"/>
          <w:position w:val="0"/>
        </w:rPr>
        <w:t>除上述采用简化处理的短期租赁和低价值资产租赁外，在租赁期开始日，公司对租赁确认使用权资产和租赁负债。</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公司作为承租人时，公司在租赁期内各个期间按照直线法将租赁收款额确认为租金收入，发生的初始直接费用予以资本 化并按照与租金收入确认相同的基础进行分摊，分期计入当期损益。公司取得的与经营租赁有关的未计入租赁收款额的可变 租赁付款额在实际发生时计入当期损益。</w:t>
      </w:r>
    </w:p>
    <w:p>
      <w:pPr>
        <w:pStyle w:val="Style92"/>
        <w:keepNext/>
        <w:keepLines/>
        <w:widowControl w:val="0"/>
        <w:shd w:val="clear" w:color="auto" w:fill="auto"/>
        <w:tabs>
          <w:tab w:pos="880" w:val="left"/>
        </w:tabs>
        <w:bidi w:val="0"/>
        <w:spacing w:before="0" w:after="360" w:line="311" w:lineRule="exact"/>
        <w:ind w:left="0" w:right="0"/>
        <w:jc w:val="both"/>
        <w:rPr>
          <w:sz w:val="18"/>
          <w:szCs w:val="18"/>
        </w:rPr>
      </w:pPr>
      <w:bookmarkStart w:id="1107" w:name="bookmark1107"/>
      <w:bookmarkStart w:id="1108" w:name="bookmark1108"/>
      <w:bookmarkStart w:id="1109" w:name="bookmark1109"/>
      <w:bookmarkStart w:id="1110" w:name="bookmark1110"/>
      <w:r>
        <w:rPr>
          <w:b w:val="0"/>
          <w:bCs w:val="0"/>
          <w:color w:val="000000"/>
          <w:spacing w:val="0"/>
          <w:w w:val="100"/>
          <w:position w:val="0"/>
          <w:sz w:val="18"/>
          <w:szCs w:val="18"/>
        </w:rPr>
        <w:t>（</w:t>
      </w:r>
      <w:bookmarkEnd w:id="1109"/>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sz w:val="18"/>
          <w:szCs w:val="18"/>
        </w:rPr>
        <w:t>）</w:t>
        <w:tab/>
        <w:t>融资租赁的会计处理方法</w:t>
      </w:r>
      <w:bookmarkEnd w:id="1107"/>
      <w:bookmarkEnd w:id="1108"/>
      <w:bookmarkEnd w:id="1110"/>
    </w:p>
    <w:p>
      <w:pPr>
        <w:pStyle w:val="Style24"/>
        <w:keepNext/>
        <w:keepLines/>
        <w:widowControl w:val="0"/>
        <w:shd w:val="clear" w:color="auto" w:fill="auto"/>
        <w:tabs>
          <w:tab w:pos="483" w:val="left"/>
        </w:tabs>
        <w:bidi w:val="0"/>
        <w:spacing w:before="0" w:after="28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4</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11"/>
      <w:bookmarkEnd w:id="1112"/>
      <w:bookmarkEnd w:id="1114"/>
    </w:p>
    <w:p>
      <w:pPr>
        <w:pStyle w:val="Style15"/>
        <w:keepNext w:val="0"/>
        <w:keepLines w:val="0"/>
        <w:widowControl w:val="0"/>
        <w:shd w:val="clear" w:color="auto" w:fill="auto"/>
        <w:tabs>
          <w:tab w:pos="931" w:val="left"/>
        </w:tabs>
        <w:bidi w:val="0"/>
        <w:spacing w:before="0" w:after="0" w:line="310" w:lineRule="exact"/>
        <w:ind w:left="0" w:right="0" w:firstLine="400"/>
        <w:jc w:val="both"/>
      </w:pPr>
      <w:bookmarkStart w:id="1115" w:name="bookmark1115"/>
      <w:r>
        <w:rPr>
          <w:color w:val="000000"/>
          <w:spacing w:val="0"/>
          <w:w w:val="100"/>
          <w:position w:val="0"/>
        </w:rPr>
        <w:t>（</w:t>
      </w:r>
      <w:bookmarkEnd w:id="1115"/>
      <w:r>
        <w:rPr>
          <w:color w:val="000000"/>
          <w:spacing w:val="0"/>
          <w:w w:val="100"/>
          <w:position w:val="0"/>
        </w:rPr>
        <w:t>一）</w:t>
        <w:tab/>
        <w:t>分部报告</w:t>
      </w:r>
    </w:p>
    <w:p>
      <w:pPr>
        <w:pStyle w:val="Style15"/>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公司以内部组织结构、管理要求、内部报告制度等为依据确定经营分部。公司的经营分部是指同时满足下列条件的组 成部分：</w:t>
      </w:r>
    </w:p>
    <w:p>
      <w:pPr>
        <w:pStyle w:val="Style15"/>
        <w:keepNext w:val="0"/>
        <w:keepLines w:val="0"/>
        <w:widowControl w:val="0"/>
        <w:shd w:val="clear" w:color="auto" w:fill="auto"/>
        <w:tabs>
          <w:tab w:pos="734" w:val="left"/>
        </w:tabs>
        <w:bidi w:val="0"/>
        <w:spacing w:before="0" w:after="0" w:line="310" w:lineRule="exact"/>
        <w:ind w:left="0" w:right="0" w:firstLine="400"/>
        <w:jc w:val="both"/>
      </w:pPr>
      <w:bookmarkStart w:id="1116" w:name="bookmark1116"/>
      <w:r>
        <w:rPr>
          <w:rFonts w:ascii="Times New Roman" w:eastAsia="Times New Roman" w:hAnsi="Times New Roman" w:cs="Times New Roman"/>
          <w:color w:val="000000"/>
          <w:spacing w:val="0"/>
          <w:w w:val="100"/>
          <w:position w:val="0"/>
        </w:rPr>
        <w:t>1</w:t>
      </w:r>
      <w:bookmarkEnd w:id="1116"/>
      <w:r>
        <w:rPr>
          <w:color w:val="000000"/>
          <w:spacing w:val="0"/>
          <w:w w:val="100"/>
          <w:position w:val="0"/>
        </w:rPr>
        <w:t>、</w:t>
        <w:tab/>
        <w:t>该组成部分能够在日常活动中产生收入、发生费用；</w:t>
      </w:r>
    </w:p>
    <w:p>
      <w:pPr>
        <w:pStyle w:val="Style15"/>
        <w:keepNext w:val="0"/>
        <w:keepLines w:val="0"/>
        <w:widowControl w:val="0"/>
        <w:shd w:val="clear" w:color="auto" w:fill="auto"/>
        <w:tabs>
          <w:tab w:pos="754" w:val="left"/>
        </w:tabs>
        <w:bidi w:val="0"/>
        <w:spacing w:before="0" w:after="0" w:line="310" w:lineRule="exact"/>
        <w:ind w:left="0" w:right="0" w:firstLine="400"/>
        <w:jc w:val="both"/>
      </w:pPr>
      <w:bookmarkStart w:id="1117" w:name="bookmark1117"/>
      <w:r>
        <w:rPr>
          <w:rFonts w:ascii="Times New Roman" w:eastAsia="Times New Roman" w:hAnsi="Times New Roman" w:cs="Times New Roman"/>
          <w:color w:val="000000"/>
          <w:spacing w:val="0"/>
          <w:w w:val="100"/>
          <w:position w:val="0"/>
        </w:rPr>
        <w:t>2</w:t>
      </w:r>
      <w:bookmarkEnd w:id="1117"/>
      <w:r>
        <w:rPr>
          <w:color w:val="000000"/>
          <w:spacing w:val="0"/>
          <w:w w:val="100"/>
          <w:position w:val="0"/>
        </w:rPr>
        <w:t>、</w:t>
        <w:tab/>
        <w:t>管理层能够定期评价该组成部分的经营成果，以决定向其配置资源、评价其业绩；</w:t>
      </w:r>
    </w:p>
    <w:p>
      <w:pPr>
        <w:pStyle w:val="Style15"/>
        <w:keepNext w:val="0"/>
        <w:keepLines w:val="0"/>
        <w:widowControl w:val="0"/>
        <w:shd w:val="clear" w:color="auto" w:fill="auto"/>
        <w:tabs>
          <w:tab w:pos="754" w:val="left"/>
        </w:tabs>
        <w:bidi w:val="0"/>
        <w:spacing w:before="0" w:after="0" w:line="310" w:lineRule="exact"/>
        <w:ind w:left="0" w:right="0" w:firstLine="400"/>
        <w:jc w:val="both"/>
      </w:pPr>
      <w:bookmarkStart w:id="1118" w:name="bookmark1118"/>
      <w:r>
        <w:rPr>
          <w:rFonts w:ascii="Times New Roman" w:eastAsia="Times New Roman" w:hAnsi="Times New Roman" w:cs="Times New Roman"/>
          <w:color w:val="000000"/>
          <w:spacing w:val="0"/>
          <w:w w:val="100"/>
          <w:position w:val="0"/>
        </w:rPr>
        <w:t>3</w:t>
      </w:r>
      <w:bookmarkEnd w:id="1118"/>
      <w:r>
        <w:rPr>
          <w:color w:val="000000"/>
          <w:spacing w:val="0"/>
          <w:w w:val="100"/>
          <w:position w:val="0"/>
        </w:rPr>
        <w:t>、</w:t>
        <w:tab/>
        <w:t>能够通过分析取得该组成部分的财务状况、经营成果和现金流量等有关会计信息。</w:t>
      </w:r>
    </w:p>
    <w:p>
      <w:pPr>
        <w:pStyle w:val="Style15"/>
        <w:keepNext w:val="0"/>
        <w:keepLines w:val="0"/>
        <w:widowControl w:val="0"/>
        <w:shd w:val="clear" w:color="auto" w:fill="auto"/>
        <w:tabs>
          <w:tab w:pos="931" w:val="left"/>
        </w:tabs>
        <w:bidi w:val="0"/>
        <w:spacing w:before="0" w:after="0" w:line="310" w:lineRule="exact"/>
        <w:ind w:left="0" w:right="0" w:firstLine="400"/>
        <w:jc w:val="both"/>
      </w:pPr>
      <w:bookmarkStart w:id="1119" w:name="bookmark1119"/>
      <w:r>
        <w:rPr>
          <w:color w:val="000000"/>
          <w:spacing w:val="0"/>
          <w:w w:val="100"/>
          <w:position w:val="0"/>
        </w:rPr>
        <w:t>（</w:t>
      </w:r>
      <w:bookmarkEnd w:id="1119"/>
      <w:r>
        <w:rPr>
          <w:color w:val="000000"/>
          <w:spacing w:val="0"/>
          <w:w w:val="100"/>
          <w:position w:val="0"/>
        </w:rPr>
        <w:t>二）</w:t>
        <w:tab/>
        <w:t>回购公司股份</w:t>
      </w:r>
    </w:p>
    <w:p>
      <w:pPr>
        <w:pStyle w:val="Style15"/>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因减少注册资本或奖励职工等原因收购本公司股份的，按实际支付的金额作为库存股处理，同时进行备查登记。如果 将回购的股份注销，则将按注销股票面值和注销股数计算的股票面值总额与实际回购所支付的金额之间的差额冲减资本公 积，资本公积不足冲减的，冲减留存收益；如果将回购的股份奖励给本公司职工属于以权益结算的股份支付，于职工行权购</w:t>
        <w:br w:type="page"/>
      </w:r>
      <w:r>
        <w:rPr>
          <w:color w:val="000000"/>
          <w:spacing w:val="0"/>
          <w:w w:val="100"/>
          <w:position w:val="0"/>
        </w:rPr>
        <w:t>买本公司股份收到价款时，转销交付职工的库存股成本和等待期内资本公积（其他资本公积）累计金额，同时，按照其差额 调整资本公积（股本溢价）。</w:t>
      </w:r>
    </w:p>
    <w:p>
      <w:pPr>
        <w:pStyle w:val="Style24"/>
        <w:keepNext/>
        <w:keepLines/>
        <w:widowControl w:val="0"/>
        <w:shd w:val="clear" w:color="auto" w:fill="auto"/>
        <w:bidi w:val="0"/>
        <w:spacing w:before="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4</w:t>
      </w:r>
      <w:bookmarkEnd w:id="1122"/>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120"/>
      <w:bookmarkEnd w:id="1121"/>
      <w:bookmarkEnd w:id="1123"/>
    </w:p>
    <w:p>
      <w:pPr>
        <w:pStyle w:val="Style92"/>
        <w:keepNext/>
        <w:keepLines/>
        <w:widowControl w:val="0"/>
        <w:shd w:val="clear" w:color="auto" w:fill="auto"/>
        <w:bidi w:val="0"/>
        <w:spacing w:before="0" w:after="360" w:line="240" w:lineRule="auto"/>
        <w:ind w:left="0" w:right="0" w:firstLine="0"/>
        <w:jc w:val="both"/>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24"/>
      <w:bookmarkEnd w:id="1125"/>
      <w:bookmarkEnd w:id="1127"/>
    </w:p>
    <w:p>
      <w:pPr>
        <w:pStyle w:val="Style21"/>
        <w:keepNext w:val="0"/>
        <w:keepLines w:val="0"/>
        <w:widowControl w:val="0"/>
        <w:shd w:val="clear" w:color="auto" w:fill="auto"/>
        <w:bidi w:val="0"/>
        <w:spacing w:before="0" w:after="0" w:line="240" w:lineRule="auto"/>
        <w:ind w:left="5" w:right="0" w:firstLine="0"/>
        <w:jc w:val="left"/>
      </w:pPr>
      <w:r>
        <w:rPr>
          <w:b w:val="0"/>
          <w:bCs w:val="0"/>
          <w:color w:val="000000"/>
          <w:spacing w:val="0"/>
          <w:w w:val="100"/>
          <w:position w:val="0"/>
        </w:rPr>
        <w:t>”适用口不适用</w:t>
      </w:r>
    </w:p>
    <w:tbl>
      <w:tblPr>
        <w:tblOverlap w:val="never"/>
        <w:jc w:val="center"/>
        <w:tblLayout w:type="fixed"/>
      </w:tblPr>
      <w:tblGrid>
        <w:gridCol w:w="2832"/>
        <w:gridCol w:w="1248"/>
        <w:gridCol w:w="550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执行经修订的《企业会计准则第 </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 （以下简称新租赁准则）。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非自主变更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执行财政部于</w:t>
            </w:r>
            <w:r>
              <w:rPr>
                <w:rFonts w:ascii="Times New Roman" w:eastAsia="Times New Roman" w:hAnsi="Times New Roman" w:cs="Times New Roman"/>
                <w:color w:val="000000"/>
                <w:spacing w:val="0"/>
                <w:w w:val="100"/>
                <w:position w:val="0"/>
              </w:rPr>
              <w:t>2021</w:t>
            </w:r>
            <w:r>
              <w:rPr>
                <w:color w:val="000000"/>
                <w:spacing w:val="0"/>
                <w:w w:val="100"/>
                <w:position w:val="0"/>
              </w:rPr>
              <w:t>年度颁布的 《企业会计准则解释第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非自主变更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2021</w:t>
            </w:r>
            <w:r>
              <w:rPr>
                <w:color w:val="000000"/>
                <w:spacing w:val="0"/>
                <w:w w:val="100"/>
                <w:position w:val="0"/>
              </w:rPr>
              <w:t>年度颁布的《企业会 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号》，该项会计政策变更对公司财务报表无影响。</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执行财政部颁布的《企业会计准 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 管理相关列报”规定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非自主变更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日起执行财政部颁布的《企业会计准则解释 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号》“关于资金集中管理相关列报”规定，该项会计政策变更 对公司财务报表无影响。</w:t>
            </w:r>
          </w:p>
        </w:tc>
      </w:tr>
    </w:tbl>
    <w:p>
      <w:pPr>
        <w:pStyle w:val="Style21"/>
        <w:keepNext w:val="0"/>
        <w:keepLines w:val="0"/>
        <w:widowControl w:val="0"/>
        <w:shd w:val="clear" w:color="auto" w:fill="auto"/>
        <w:tabs>
          <w:tab w:pos="778" w:val="left"/>
        </w:tabs>
        <w:bidi w:val="0"/>
        <w:spacing w:before="0" w:after="100" w:line="240" w:lineRule="auto"/>
        <w:ind w:left="427" w:right="0" w:firstLine="0"/>
        <w:jc w:val="left"/>
      </w:pPr>
      <w:r>
        <w:rPr>
          <w:b w:val="0"/>
          <w:bCs w:val="0"/>
          <w:color w:val="000000"/>
          <w:spacing w:val="0"/>
          <w:w w:val="100"/>
          <w:position w:val="0"/>
          <w:sz w:val="18"/>
          <w:szCs w:val="18"/>
        </w:rPr>
        <w:t>（1）</w:t>
        <w:tab/>
      </w:r>
      <w:r>
        <w:rPr>
          <w:b w:val="0"/>
          <w:bCs w:val="0"/>
          <w:color w:val="000000"/>
          <w:spacing w:val="0"/>
          <w:w w:val="100"/>
          <w:position w:val="0"/>
        </w:rPr>
        <w:t>对于首次执行日前已存在的合同，公司选择不重新评估其是否为租赁或者包含租赁。</w:t>
      </w:r>
    </w:p>
    <w:p>
      <w:pPr>
        <w:pStyle w:val="Style21"/>
        <w:keepNext w:val="0"/>
        <w:keepLines w:val="0"/>
        <w:widowControl w:val="0"/>
        <w:shd w:val="clear" w:color="auto" w:fill="auto"/>
        <w:tabs>
          <w:tab w:pos="754" w:val="left"/>
        </w:tabs>
        <w:bidi w:val="0"/>
        <w:spacing w:before="0" w:after="0" w:line="240" w:lineRule="auto"/>
        <w:ind w:left="427" w:right="0" w:firstLine="0"/>
        <w:jc w:val="left"/>
      </w:pPr>
      <w:r>
        <w:rPr>
          <w:b w:val="0"/>
          <w:bCs w:val="0"/>
          <w:color w:val="000000"/>
          <w:spacing w:val="0"/>
          <w:w w:val="100"/>
          <w:position w:val="0"/>
          <w:sz w:val="18"/>
          <w:szCs w:val="18"/>
        </w:rPr>
        <w:t>（2）</w:t>
        <w:tab/>
      </w:r>
      <w:r>
        <w:rPr>
          <w:b w:val="0"/>
          <w:bCs w:val="0"/>
          <w:color w:val="000000"/>
          <w:spacing w:val="0"/>
          <w:w w:val="100"/>
          <w:position w:val="0"/>
        </w:rPr>
        <w:t>对本公司作为承租人的租赁合同，公司根据首次执行日执行新租赁准则与原准则的累计影响数调整本报告期期初</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留存收益及财务报表其他相关项目金额，对可比期间信息不予调整。具体处理如下：</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对于首次执行日前的融资租赁，公司在首次执行日按照融资租入资产和应付融资租赁款的原账面价值，分别计量使用 权资产和租赁负债。</w:t>
      </w:r>
    </w:p>
    <w:p>
      <w:pPr>
        <w:pStyle w:val="Style1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对于首次执行日前的经营租赁，公司在首次执行日根据剩余租赁付款额按首次执行日公司增量借款利率折现的现值计</w:t>
      </w:r>
    </w:p>
    <w:p>
      <w:pPr>
        <w:pStyle w:val="Style21"/>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量租赁负债，按照与租赁负债相等的金额，并根据预付租金进行必要调整计量使用权资产。</w:t>
      </w:r>
    </w:p>
    <w:p>
      <w:pPr>
        <w:pStyle w:val="Style21"/>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rPr>
        <w:t>在首次执行日，公司按照长期资产减值的规定，对使用权资产进行减值测试并进行相应会计处理。</w:t>
      </w:r>
    </w:p>
    <w:p>
      <w:pPr>
        <w:pStyle w:val="Style21"/>
        <w:keepNext w:val="0"/>
        <w:keepLines w:val="0"/>
        <w:widowControl w:val="0"/>
        <w:shd w:val="clear" w:color="auto" w:fill="auto"/>
        <w:bidi w:val="0"/>
        <w:spacing w:before="0" w:after="100" w:line="240" w:lineRule="auto"/>
        <w:ind w:left="0" w:right="0" w:firstLine="0"/>
        <w:jc w:val="left"/>
      </w:pPr>
      <w:r>
        <w:rPr>
          <w:b w:val="0"/>
          <w:bCs w:val="0"/>
          <w:color w:val="000000"/>
          <w:spacing w:val="0"/>
          <w:w w:val="100"/>
          <w:position w:val="0"/>
          <w:sz w:val="18"/>
          <w:szCs w:val="18"/>
        </w:rPr>
        <w:t>1）</w:t>
      </w:r>
      <w:r>
        <w:rPr>
          <w:b w:val="0"/>
          <w:bCs w:val="0"/>
          <w:color w:val="000000"/>
          <w:spacing w:val="0"/>
          <w:w w:val="100"/>
          <w:position w:val="0"/>
        </w:rPr>
        <w:t>执行新租赁准则对公司</w:t>
      </w:r>
      <w:r>
        <w:rPr>
          <w:b w:val="0"/>
          <w:bCs w:val="0"/>
          <w:color w:val="000000"/>
          <w:spacing w:val="0"/>
          <w:w w:val="100"/>
          <w:position w:val="0"/>
          <w:sz w:val="18"/>
          <w:szCs w:val="18"/>
        </w:rPr>
        <w:t>2021</w:t>
      </w:r>
      <w:r>
        <w:rPr>
          <w:b w:val="0"/>
          <w:bCs w:val="0"/>
          <w:color w:val="000000"/>
          <w:spacing w:val="0"/>
          <w:w w:val="100"/>
          <w:position w:val="0"/>
        </w:rPr>
        <w:t>年</w:t>
      </w:r>
      <w:r>
        <w:rPr>
          <w:b w:val="0"/>
          <w:bCs w:val="0"/>
          <w:color w:val="000000"/>
          <w:spacing w:val="0"/>
          <w:w w:val="100"/>
          <w:position w:val="0"/>
          <w:sz w:val="18"/>
          <w:szCs w:val="18"/>
        </w:rPr>
        <w:t>1</w:t>
      </w:r>
      <w:r>
        <w:rPr>
          <w:b w:val="0"/>
          <w:bCs w:val="0"/>
          <w:color w:val="000000"/>
          <w:spacing w:val="0"/>
          <w:w w:val="100"/>
          <w:position w:val="0"/>
        </w:rPr>
        <w:t>月</w:t>
      </w:r>
      <w:r>
        <w:rPr>
          <w:b w:val="0"/>
          <w:bCs w:val="0"/>
          <w:color w:val="000000"/>
          <w:spacing w:val="0"/>
          <w:w w:val="100"/>
          <w:position w:val="0"/>
          <w:sz w:val="18"/>
          <w:szCs w:val="18"/>
        </w:rPr>
        <w:t>1</w:t>
      </w:r>
      <w:r>
        <w:rPr>
          <w:b w:val="0"/>
          <w:bCs w:val="0"/>
          <w:color w:val="000000"/>
          <w:spacing w:val="0"/>
          <w:w w:val="100"/>
          <w:position w:val="0"/>
        </w:rPr>
        <w:t>日财务报表的主要影响如下：</w:t>
      </w:r>
    </w:p>
    <w:tbl>
      <w:tblPr>
        <w:tblOverlap w:val="never"/>
        <w:jc w:val="left"/>
        <w:tblLayout w:type="fixed"/>
      </w:tblPr>
      <w:tblGrid>
        <w:gridCol w:w="2664"/>
        <w:gridCol w:w="1982"/>
        <w:gridCol w:w="1747"/>
        <w:gridCol w:w="2141"/>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新租赁准则 调整影响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41,038, </w:t>
            </w:r>
            <w:r>
              <w:rPr>
                <w:color w:val="000000"/>
                <w:spacing w:val="0"/>
                <w:w w:val="100"/>
                <w:position w:val="0"/>
                <w:sz w:val="18"/>
                <w:szCs w:val="18"/>
              </w:rPr>
              <w:t xml:space="preserve">194.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-787, 262.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40,250,931.88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8"/>
                <w:szCs w:val="18"/>
              </w:rPr>
              <w:t xml:space="preserve">6, 349, </w:t>
            </w:r>
            <w:r>
              <w:rPr>
                <w:color w:val="000000"/>
                <w:spacing w:val="0"/>
                <w:w w:val="100"/>
                <w:position w:val="0"/>
                <w:sz w:val="18"/>
                <w:szCs w:val="18"/>
              </w:rPr>
              <w:t xml:space="preserve">649.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-593, 532.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5,756,117.04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13,805,871.10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13,805,871.10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6,022,737.86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6,022,737.86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6,402,338.51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6,402,338.51</w:t>
            </w:r>
          </w:p>
        </w:tc>
      </w:tr>
    </w:tbl>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w:t>
      </w: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年度财务报表中披露的重大经营租赁中尚未支付的最低租赁付款额为</w:t>
      </w:r>
      <w:r>
        <w:rPr>
          <w:rFonts w:ascii="Times New Roman" w:eastAsia="Times New Roman" w:hAnsi="Times New Roman" w:cs="Times New Roman"/>
          <w:color w:val="000000"/>
          <w:spacing w:val="0"/>
          <w:w w:val="100"/>
          <w:position w:val="0"/>
        </w:rPr>
        <w:t>0</w:t>
      </w:r>
      <w:r>
        <w:rPr>
          <w:color w:val="000000"/>
          <w:spacing w:val="0"/>
          <w:w w:val="100"/>
          <w:position w:val="0"/>
        </w:rPr>
        <w:t>元，将其按首次执行日增量借款利 率折现的现值为</w:t>
      </w:r>
      <w:r>
        <w:rPr>
          <w:rFonts w:ascii="Times New Roman" w:eastAsia="Times New Roman" w:hAnsi="Times New Roman" w:cs="Times New Roman"/>
          <w:color w:val="000000"/>
          <w:spacing w:val="0"/>
          <w:w w:val="100"/>
          <w:position w:val="0"/>
        </w:rPr>
        <w:t>0</w:t>
      </w:r>
      <w:r>
        <w:rPr>
          <w:color w:val="000000"/>
          <w:spacing w:val="0"/>
          <w:w w:val="100"/>
          <w:position w:val="0"/>
        </w:rPr>
        <w:t>元，折现后的金额与首次执行日计入资产负债表的与原经营租赁相关的租赁负债的差额为</w:t>
      </w:r>
      <w:r>
        <w:rPr>
          <w:color w:val="000000"/>
          <w:spacing w:val="0"/>
          <w:w w:val="100"/>
          <w:position w:val="0"/>
          <w:sz w:val="18"/>
          <w:szCs w:val="18"/>
        </w:rPr>
        <w:t xml:space="preserve">13,805,871.10 </w:t>
      </w:r>
      <w:r>
        <w:rPr>
          <w:color w:val="000000"/>
          <w:spacing w:val="0"/>
          <w:w w:val="100"/>
          <w:position w:val="0"/>
        </w:rPr>
        <w:t>元。</w:t>
      </w:r>
    </w:p>
    <w:p>
      <w:pPr>
        <w:pStyle w:val="Style1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首次执行日计入资产负债表的租赁负债所采用的公司增量借款利率的加权平均值为</w:t>
      </w:r>
      <w:r>
        <w:rPr>
          <w:color w:val="000000"/>
          <w:spacing w:val="0"/>
          <w:w w:val="100"/>
          <w:position w:val="0"/>
          <w:sz w:val="18"/>
          <w:szCs w:val="18"/>
        </w:rPr>
        <w:t xml:space="preserve">4. </w:t>
      </w:r>
      <w:r>
        <w:rPr>
          <w:color w:val="000000"/>
          <w:spacing w:val="0"/>
          <w:w w:val="100"/>
          <w:position w:val="0"/>
          <w:sz w:val="18"/>
          <w:szCs w:val="18"/>
        </w:rPr>
        <w:t>65%</w:t>
      </w:r>
      <w:r>
        <w:rPr>
          <w:color w:val="000000"/>
          <w:spacing w:val="0"/>
          <w:w w:val="100"/>
          <w:position w:val="0"/>
        </w:rPr>
        <w:t>。</w:t>
      </w:r>
    </w:p>
    <w:p>
      <w:pPr>
        <w:pStyle w:val="Style15"/>
        <w:keepNext w:val="0"/>
        <w:keepLines w:val="0"/>
        <w:widowControl w:val="0"/>
        <w:shd w:val="clear" w:color="auto" w:fill="auto"/>
        <w:bidi w:val="0"/>
        <w:spacing w:before="0" w:after="0" w:line="314" w:lineRule="exact"/>
        <w:ind w:left="0" w:right="0" w:firstLine="440"/>
        <w:jc w:val="left"/>
      </w:pPr>
      <w:bookmarkStart w:id="1128" w:name="bookmark1128"/>
      <w:r>
        <w:rPr>
          <w:color w:val="000000"/>
          <w:spacing w:val="0"/>
          <w:w w:val="100"/>
          <w:position w:val="0"/>
          <w:sz w:val="18"/>
          <w:szCs w:val="18"/>
        </w:rPr>
        <w:t>3</w:t>
      </w:r>
      <w:bookmarkEnd w:id="1128"/>
      <w:r>
        <w:rPr>
          <w:color w:val="000000"/>
          <w:spacing w:val="0"/>
          <w:w w:val="100"/>
          <w:position w:val="0"/>
          <w:sz w:val="18"/>
          <w:szCs w:val="18"/>
        </w:rPr>
        <w:t>）</w:t>
      </w:r>
      <w:r>
        <w:rPr>
          <w:color w:val="000000"/>
          <w:spacing w:val="0"/>
          <w:w w:val="100"/>
          <w:position w:val="0"/>
        </w:rPr>
        <w:t>对首次执行日前的经营租赁采用的简化处理</w:t>
      </w:r>
    </w:p>
    <w:p>
      <w:pPr>
        <w:pStyle w:val="Style15"/>
        <w:keepNext w:val="0"/>
        <w:keepLines w:val="0"/>
        <w:widowControl w:val="0"/>
        <w:numPr>
          <w:ilvl w:val="0"/>
          <w:numId w:val="29"/>
        </w:numPr>
        <w:shd w:val="clear" w:color="auto" w:fill="auto"/>
        <w:tabs>
          <w:tab w:pos="813" w:val="left"/>
        </w:tabs>
        <w:bidi w:val="0"/>
        <w:spacing w:before="0" w:after="0" w:line="314" w:lineRule="exact"/>
        <w:ind w:left="0" w:right="0" w:firstLine="440"/>
        <w:jc w:val="left"/>
      </w:pPr>
      <w:bookmarkStart w:id="1129" w:name="bookmark1129"/>
      <w:bookmarkEnd w:id="1129"/>
      <w:r>
        <w:rPr>
          <w:color w:val="000000"/>
          <w:spacing w:val="0"/>
          <w:w w:val="100"/>
          <w:position w:val="0"/>
        </w:rPr>
        <w:t>对于首次执行日后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个月内完成的租赁合同，公司采用简化方法，不确认使用权资产和租赁负债；</w:t>
      </w:r>
    </w:p>
    <w:p>
      <w:pPr>
        <w:pStyle w:val="Style15"/>
        <w:keepNext w:val="0"/>
        <w:keepLines w:val="0"/>
        <w:widowControl w:val="0"/>
        <w:numPr>
          <w:ilvl w:val="0"/>
          <w:numId w:val="29"/>
        </w:numPr>
        <w:shd w:val="clear" w:color="auto" w:fill="auto"/>
        <w:tabs>
          <w:tab w:pos="813" w:val="left"/>
        </w:tabs>
        <w:bidi w:val="0"/>
        <w:spacing w:before="0" w:after="0" w:line="314" w:lineRule="exact"/>
        <w:ind w:left="0" w:right="0" w:firstLine="440"/>
        <w:jc w:val="left"/>
      </w:pPr>
      <w:bookmarkStart w:id="1130" w:name="bookmark1130"/>
      <w:bookmarkEnd w:id="1130"/>
      <w:r>
        <w:rPr>
          <w:color w:val="000000"/>
          <w:spacing w:val="0"/>
          <w:w w:val="100"/>
          <w:position w:val="0"/>
        </w:rPr>
        <w:t>公司在计量租赁负债时，对于租入固定资产等具有相似特征的租赁合同采用同一折现率；</w:t>
      </w:r>
    </w:p>
    <w:p>
      <w:pPr>
        <w:pStyle w:val="Style15"/>
        <w:keepNext w:val="0"/>
        <w:keepLines w:val="0"/>
        <w:widowControl w:val="0"/>
        <w:numPr>
          <w:ilvl w:val="0"/>
          <w:numId w:val="29"/>
        </w:numPr>
        <w:shd w:val="clear" w:color="auto" w:fill="auto"/>
        <w:tabs>
          <w:tab w:pos="813" w:val="left"/>
        </w:tabs>
        <w:bidi w:val="0"/>
        <w:spacing w:before="0" w:after="220" w:line="314" w:lineRule="exact"/>
        <w:ind w:left="0" w:right="0" w:firstLine="440"/>
        <w:jc w:val="left"/>
      </w:pPr>
      <w:bookmarkStart w:id="1131" w:name="bookmark1131"/>
      <w:bookmarkEnd w:id="1131"/>
      <w:r>
        <w:rPr>
          <w:color w:val="000000"/>
          <w:spacing w:val="0"/>
          <w:w w:val="100"/>
          <w:position w:val="0"/>
        </w:rPr>
        <w:t>使用权资产的计量不包含初始直接费用；</w:t>
      </w:r>
    </w:p>
    <w:p>
      <w:pPr>
        <w:pStyle w:val="Style15"/>
        <w:keepNext w:val="0"/>
        <w:keepLines w:val="0"/>
        <w:widowControl w:val="0"/>
        <w:numPr>
          <w:ilvl w:val="0"/>
          <w:numId w:val="29"/>
        </w:numPr>
        <w:shd w:val="clear" w:color="auto" w:fill="auto"/>
        <w:tabs>
          <w:tab w:pos="813" w:val="left"/>
        </w:tabs>
        <w:bidi w:val="0"/>
        <w:spacing w:before="0" w:after="0" w:line="319" w:lineRule="exact"/>
        <w:ind w:left="0" w:right="0" w:firstLine="440"/>
        <w:jc w:val="both"/>
      </w:pPr>
      <w:bookmarkStart w:id="1132" w:name="bookmark1132"/>
      <w:bookmarkEnd w:id="1132"/>
      <w:r>
        <w:rPr>
          <w:color w:val="000000"/>
          <w:spacing w:val="0"/>
          <w:w w:val="100"/>
          <w:position w:val="0"/>
        </w:rPr>
        <w:t>公司根据首次执行日前续租选择权或终止租赁选择权的实际行权及其他最新情况确定租赁期；</w:t>
      </w:r>
    </w:p>
    <w:p>
      <w:pPr>
        <w:pStyle w:val="Style15"/>
        <w:keepNext w:val="0"/>
        <w:keepLines w:val="0"/>
        <w:widowControl w:val="0"/>
        <w:numPr>
          <w:ilvl w:val="0"/>
          <w:numId w:val="29"/>
        </w:numPr>
        <w:shd w:val="clear" w:color="auto" w:fill="auto"/>
        <w:tabs>
          <w:tab w:pos="757" w:val="left"/>
        </w:tabs>
        <w:bidi w:val="0"/>
        <w:spacing w:before="0" w:after="0" w:line="319" w:lineRule="exact"/>
        <w:ind w:left="0" w:right="0" w:firstLine="440"/>
        <w:jc w:val="both"/>
      </w:pPr>
      <w:bookmarkStart w:id="1133" w:name="bookmark1133"/>
      <w:bookmarkEnd w:id="1133"/>
      <w:r>
        <w:rPr>
          <w:color w:val="000000"/>
          <w:spacing w:val="0"/>
          <w:w w:val="100"/>
          <w:position w:val="0"/>
        </w:rPr>
        <w:t>作为使用权资产减值测试的替代，公司根据《企业会计准则第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 日前是否为亏损合同，并根据首次执行日前计入资产负债表日的亏损准备金额调整使用权资产；</w:t>
      </w:r>
    </w:p>
    <w:p>
      <w:pPr>
        <w:pStyle w:val="Style15"/>
        <w:keepNext w:val="0"/>
        <w:keepLines w:val="0"/>
        <w:widowControl w:val="0"/>
        <w:numPr>
          <w:ilvl w:val="0"/>
          <w:numId w:val="29"/>
        </w:numPr>
        <w:shd w:val="clear" w:color="auto" w:fill="auto"/>
        <w:tabs>
          <w:tab w:pos="813" w:val="left"/>
        </w:tabs>
        <w:bidi w:val="0"/>
        <w:spacing w:before="0" w:after="0" w:line="319" w:lineRule="exact"/>
        <w:ind w:left="0" w:right="0" w:firstLine="440"/>
        <w:jc w:val="both"/>
      </w:pPr>
      <w:bookmarkStart w:id="1134" w:name="bookmark1134"/>
      <w:bookmarkEnd w:id="1134"/>
      <w:r>
        <w:rPr>
          <w:color w:val="000000"/>
          <w:spacing w:val="0"/>
          <w:w w:val="100"/>
          <w:position w:val="0"/>
        </w:rPr>
        <w:t>首次执行日前发生租赁变更的，公司根据租赁变更的最终安排进行会计处理。</w:t>
      </w:r>
    </w:p>
    <w:p>
      <w:pPr>
        <w:pStyle w:val="Style15"/>
        <w:keepNext w:val="0"/>
        <w:keepLines w:val="0"/>
        <w:widowControl w:val="0"/>
        <w:shd w:val="clear" w:color="auto" w:fill="auto"/>
        <w:bidi w:val="0"/>
        <w:spacing w:before="0" w:after="0" w:line="319" w:lineRule="exact"/>
        <w:ind w:left="0" w:right="0" w:firstLine="440"/>
        <w:jc w:val="both"/>
      </w:pPr>
      <w:r>
        <w:rPr>
          <w:color w:val="000000"/>
          <w:spacing w:val="0"/>
          <w:w w:val="100"/>
          <w:position w:val="0"/>
        </w:rPr>
        <w:t>上述简化处理对公司财务报表无显著影响。</w:t>
      </w:r>
    </w:p>
    <w:p>
      <w:pPr>
        <w:pStyle w:val="Style15"/>
        <w:keepNext w:val="0"/>
        <w:keepLines w:val="0"/>
        <w:widowControl w:val="0"/>
        <w:shd w:val="clear" w:color="auto" w:fill="auto"/>
        <w:tabs>
          <w:tab w:pos="958" w:val="left"/>
        </w:tabs>
        <w:bidi w:val="0"/>
        <w:spacing w:before="0" w:after="0" w:line="319" w:lineRule="exact"/>
        <w:ind w:left="0" w:right="0" w:firstLine="440"/>
        <w:jc w:val="both"/>
      </w:pPr>
      <w:bookmarkStart w:id="1135" w:name="bookmark1135"/>
      <w:r>
        <w:rPr>
          <w:color w:val="000000"/>
          <w:spacing w:val="0"/>
          <w:w w:val="100"/>
          <w:position w:val="0"/>
          <w:sz w:val="18"/>
          <w:szCs w:val="18"/>
        </w:rPr>
        <w:t>（</w:t>
      </w:r>
      <w:bookmarkEnd w:id="1135"/>
      <w:r>
        <w:rPr>
          <w:color w:val="000000"/>
          <w:spacing w:val="0"/>
          <w:w w:val="100"/>
          <w:position w:val="0"/>
          <w:sz w:val="18"/>
          <w:szCs w:val="18"/>
        </w:rPr>
        <w:t>3）</w:t>
        <w:tab/>
      </w:r>
      <w:r>
        <w:rPr>
          <w:color w:val="000000"/>
          <w:spacing w:val="0"/>
          <w:w w:val="100"/>
          <w:position w:val="0"/>
        </w:rPr>
        <w:t>对首次执行日前已存在的低价值资产经营租赁合同，公司采用简化方法，不确认使用权资产和租赁负债，自首次 执行日起按照新租赁准则进行会计处理。</w:t>
      </w:r>
    </w:p>
    <w:p>
      <w:pPr>
        <w:pStyle w:val="Style15"/>
        <w:keepNext w:val="0"/>
        <w:keepLines w:val="0"/>
        <w:widowControl w:val="0"/>
        <w:shd w:val="clear" w:color="auto" w:fill="auto"/>
        <w:tabs>
          <w:tab w:pos="885" w:val="left"/>
        </w:tabs>
        <w:bidi w:val="0"/>
        <w:spacing w:before="0" w:after="360" w:line="319" w:lineRule="exact"/>
        <w:ind w:left="0" w:right="0" w:firstLine="440"/>
        <w:jc w:val="both"/>
      </w:pPr>
      <w:bookmarkStart w:id="1136" w:name="bookmark1136"/>
      <w:r>
        <w:rPr>
          <w:color w:val="000000"/>
          <w:spacing w:val="0"/>
          <w:w w:val="100"/>
          <w:position w:val="0"/>
          <w:sz w:val="18"/>
          <w:szCs w:val="18"/>
        </w:rPr>
        <w:t>（</w:t>
      </w:r>
      <w:bookmarkEnd w:id="1136"/>
      <w:r>
        <w:rPr>
          <w:color w:val="000000"/>
          <w:spacing w:val="0"/>
          <w:w w:val="100"/>
          <w:position w:val="0"/>
          <w:sz w:val="18"/>
          <w:szCs w:val="18"/>
        </w:rPr>
        <w:t>4）</w:t>
        <w:tab/>
      </w:r>
      <w:r>
        <w:rPr>
          <w:color w:val="000000"/>
          <w:spacing w:val="0"/>
          <w:w w:val="100"/>
          <w:position w:val="0"/>
        </w:rPr>
        <w:t>对公司作为出租人的租赁合同，自首次执行日起按照新租赁准则进行会计处理。</w:t>
      </w:r>
    </w:p>
    <w:p>
      <w:pPr>
        <w:pStyle w:val="Style92"/>
        <w:keepNext/>
        <w:keepLines/>
        <w:widowControl w:val="0"/>
        <w:shd w:val="clear" w:color="auto" w:fill="auto"/>
        <w:tabs>
          <w:tab w:pos="493" w:val="left"/>
        </w:tabs>
        <w:bidi w:val="0"/>
        <w:spacing w:before="0" w:line="240" w:lineRule="auto"/>
        <w:ind w:left="0" w:right="0" w:firstLine="0"/>
        <w:jc w:val="both"/>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37"/>
      <w:bookmarkEnd w:id="1138"/>
      <w:bookmarkEnd w:id="1140"/>
    </w:p>
    <w:p>
      <w:pPr>
        <w:pStyle w:val="Style15"/>
        <w:keepNext w:val="0"/>
        <w:keepLines w:val="0"/>
        <w:widowControl w:val="0"/>
        <w:shd w:val="clear" w:color="auto" w:fill="auto"/>
        <w:bidi w:val="0"/>
        <w:spacing w:before="0" w:after="360" w:line="319" w:lineRule="exact"/>
        <w:ind w:left="0" w:right="0" w:firstLine="0"/>
        <w:jc w:val="both"/>
      </w:pPr>
      <w:r>
        <w:rPr>
          <w:color w:val="000000"/>
          <w:spacing w:val="0"/>
          <w:w w:val="100"/>
          <w:position w:val="0"/>
        </w:rPr>
        <w:t>口适用”不适用</w:t>
      </w:r>
    </w:p>
    <w:p>
      <w:pPr>
        <w:pStyle w:val="Style92"/>
        <w:keepNext/>
        <w:keepLines/>
        <w:widowControl w:val="0"/>
        <w:shd w:val="clear" w:color="auto" w:fill="auto"/>
        <w:tabs>
          <w:tab w:pos="493" w:val="left"/>
        </w:tabs>
        <w:bidi w:val="0"/>
        <w:spacing w:before="0" w:line="240" w:lineRule="auto"/>
        <w:ind w:left="0" w:right="0" w:firstLine="0"/>
        <w:jc w:val="both"/>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41"/>
      <w:bookmarkEnd w:id="1142"/>
      <w:bookmarkEnd w:id="1144"/>
    </w:p>
    <w:p>
      <w:pPr>
        <w:pStyle w:val="Style15"/>
        <w:keepNext w:val="0"/>
        <w:keepLines w:val="0"/>
        <w:widowControl w:val="0"/>
        <w:shd w:val="clear" w:color="auto" w:fill="auto"/>
        <w:bidi w:val="0"/>
        <w:spacing w:before="0" w:after="0" w:line="319" w:lineRule="exact"/>
        <w:ind w:left="0" w:right="0" w:firstLine="0"/>
        <w:jc w:val="both"/>
      </w:pPr>
      <w:r>
        <w:rPr>
          <w:color w:val="000000"/>
          <w:spacing w:val="0"/>
          <w:w w:val="100"/>
          <w:position w:val="0"/>
        </w:rPr>
        <w:t>”适用口不适用</w:t>
      </w:r>
    </w:p>
    <w:p>
      <w:pPr>
        <w:pStyle w:val="Style15"/>
        <w:keepNext w:val="0"/>
        <w:keepLines w:val="0"/>
        <w:widowControl w:val="0"/>
        <w:shd w:val="clear" w:color="auto" w:fill="auto"/>
        <w:bidi w:val="0"/>
        <w:spacing w:before="0" w:after="0" w:line="319" w:lineRule="exact"/>
        <w:ind w:left="0" w:right="0" w:firstLine="0"/>
        <w:jc w:val="both"/>
      </w:pPr>
      <w:r>
        <w:rPr>
          <w:color w:val="000000"/>
          <w:spacing w:val="0"/>
          <w:w w:val="100"/>
          <w:position w:val="0"/>
        </w:rPr>
        <w:t>是否需要调整年初资产负债表科目</w:t>
      </w:r>
    </w:p>
    <w:p>
      <w:pPr>
        <w:pStyle w:val="Style15"/>
        <w:keepNext w:val="0"/>
        <w:keepLines w:val="0"/>
        <w:widowControl w:val="0"/>
        <w:shd w:val="clear" w:color="auto" w:fill="auto"/>
        <w:bidi w:val="0"/>
        <w:spacing w:before="0" w:after="0" w:line="319" w:lineRule="exact"/>
        <w:ind w:left="0" w:right="0" w:firstLine="0"/>
        <w:jc w:val="both"/>
      </w:pPr>
      <w:r>
        <w:rPr>
          <w:color w:val="000000"/>
          <w:spacing w:val="0"/>
          <w:w w:val="100"/>
          <w:position w:val="0"/>
        </w:rPr>
        <w:t>”是□否</w:t>
      </w:r>
    </w:p>
    <w:p>
      <w:pPr>
        <w:pStyle w:val="Style15"/>
        <w:keepNext w:val="0"/>
        <w:keepLines w:val="0"/>
        <w:widowControl w:val="0"/>
        <w:shd w:val="clear" w:color="auto" w:fill="auto"/>
        <w:bidi w:val="0"/>
        <w:spacing w:before="0" w:after="160" w:line="319" w:lineRule="exact"/>
        <w:ind w:left="0" w:right="0" w:firstLine="0"/>
        <w:jc w:val="both"/>
      </w:pPr>
      <w:r>
        <w:rPr>
          <w:color w:val="000000"/>
          <w:spacing w:val="0"/>
          <w:w w:val="100"/>
          <w:position w:val="0"/>
        </w:rPr>
        <w:t>合并资产负债表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1,583,947,190.00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1,583,947,190.00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183,782,347.10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183,782,347.10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509,200.00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845,393,504.86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845,393,504.86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41,038,194.50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40,250,931.88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-787,262.62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48,876,156.41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48,876,156.41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325,549,827.64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325,549,827.64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80,101,496.22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80,101,496.22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6,349,649.15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5,756,117.04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-593,532.11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3,116,798,565.88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3,115,417,771.15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-1,380,794.73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195,061,930.06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195,061,930.06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3,026,058.92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3,026,058.92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289,489,166.84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289,489,166.84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24,399,935.79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24,399,935.79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13,805,871.10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13,805,871.10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228,706,096.60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228,706,096.60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60,560,242.04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60,560,242.04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1,097,627,251.00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1,097,627,251.00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58,450,549.19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58,450,549.19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17,608,944.84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17,608,944.84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2,132,330,175.28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2,146,136,046.38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13,805,871.10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5,249,128,741.16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5,261,553,817.53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12,425,076.37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163,116,981.94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163,116,981.94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21,461,750.91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21,461,750.91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338,245,518.48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338,245,518.48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253,298,004.18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253,298,004.18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64,291,729.71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64,291,729.71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71,022,910.48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71,022,910.48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127,304,979.75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127,304,979.75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6,022,737.86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6,022,737.86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24,714,144.56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24,714,144.56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1,068,456,020.01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1,074,478,757.87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6,022,737.86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6,402,338.51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6,402,338.51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3,827,434.56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3,827,434.56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3,905,669.27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10,308,007.78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6,402,338.51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1,072,361,689.28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1,084,786,765.65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12,425,076.37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1,192,608,104.00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1,192,608,104.00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1,874,198,888.85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1,874,198,888.85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72,288,076.50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72,288,076.50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104,788,595.44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104,788,595.44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1,040,345,102.34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1,040,345,102.34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4,139,652,614.13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4,139,652,614.13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37,114,437.75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37,114,437.75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4,176,767,051.88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4,176,767,051.88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5,249,128,741.16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5,261,553,817.53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12,425,076.37</w:t>
            </w:r>
          </w:p>
        </w:tc>
      </w:tr>
    </w:tbl>
    <w:p>
      <w:pPr>
        <w:pStyle w:val="Style15"/>
        <w:keepNext w:val="0"/>
        <w:keepLines w:val="0"/>
        <w:widowControl w:val="0"/>
        <w:shd w:val="clear" w:color="auto" w:fill="auto"/>
        <w:bidi w:val="0"/>
        <w:spacing w:before="0" w:after="0" w:line="316" w:lineRule="exact"/>
        <w:ind w:left="0" w:right="0" w:firstLine="0"/>
        <w:jc w:val="both"/>
      </w:pPr>
      <w:r>
        <w:rPr>
          <w:color w:val="000000"/>
          <w:spacing w:val="0"/>
          <w:w w:val="100"/>
          <w:position w:val="0"/>
        </w:rPr>
        <w:t>调整情况说明</w:t>
      </w:r>
    </w:p>
    <w:p>
      <w:pPr>
        <w:pStyle w:val="Style15"/>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日（以下称首次执行日）起执行经修订的《企业会计准则第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p>
      <w:pPr>
        <w:pStyle w:val="Style15"/>
        <w:keepNext w:val="0"/>
        <w:keepLines w:val="0"/>
        <w:widowControl w:val="0"/>
        <w:shd w:val="clear" w:color="auto" w:fill="auto"/>
        <w:tabs>
          <w:tab w:pos="885" w:val="left"/>
        </w:tabs>
        <w:bidi w:val="0"/>
        <w:spacing w:before="0" w:after="0" w:line="316" w:lineRule="exact"/>
        <w:ind w:left="0" w:right="0" w:firstLine="440"/>
        <w:jc w:val="left"/>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1</w:t>
      </w:r>
      <w:r>
        <w:rPr>
          <w:color w:val="000000"/>
          <w:spacing w:val="0"/>
          <w:w w:val="100"/>
          <w:position w:val="0"/>
        </w:rPr>
        <w:t>）</w:t>
        <w:tab/>
        <w:t>对于首次执行日前已存在的合同，公司选择不重新评估其是否为租赁或者包含租赁。</w:t>
      </w:r>
    </w:p>
    <w:p>
      <w:pPr>
        <w:pStyle w:val="Style15"/>
        <w:keepNext w:val="0"/>
        <w:keepLines w:val="0"/>
        <w:widowControl w:val="0"/>
        <w:shd w:val="clear" w:color="auto" w:fill="auto"/>
        <w:tabs>
          <w:tab w:pos="958" w:val="left"/>
        </w:tabs>
        <w:bidi w:val="0"/>
        <w:spacing w:before="0" w:after="0" w:line="316" w:lineRule="exact"/>
        <w:ind w:left="0" w:right="0" w:firstLine="44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rPr>
        <w:t>2</w:t>
      </w:r>
      <w:r>
        <w:rPr>
          <w:color w:val="000000"/>
          <w:spacing w:val="0"/>
          <w:w w:val="100"/>
          <w:position w:val="0"/>
        </w:rPr>
        <w:t>）</w:t>
        <w:tab/>
        <w:t>对本公司作为承租人的租赁合同，公司根据首次执行日执行新租赁准则与原准则的累计影响数调整本报告期期 初留存收益及财务报表其他相关项目金额，对可比期间信息不予调整。具体处理如下：</w:t>
      </w:r>
    </w:p>
    <w:p>
      <w:pPr>
        <w:pStyle w:val="Style1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对于首次执行日前的融资租赁，公司在首次执行日按照融资租入资产和应付融资租赁款的原账面价值，分别计量使用 权资产和租赁负债。</w:t>
      </w:r>
    </w:p>
    <w:p>
      <w:pPr>
        <w:pStyle w:val="Style1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对于首次执行日前的经营租赁，公司在首次执行日根据剩余租赁付款额按首次执行日公司增量借款利率折现的现值计 量租赁负债，按照与租赁负债相等的金额，并根据预付租金进行必要调整计量使用权资产。</w:t>
      </w:r>
    </w:p>
    <w:p>
      <w:pPr>
        <w:pStyle w:val="Style15"/>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在首次执行日，公司对使用权资产进行减值测试并进行相应会计处理。</w:t>
      </w:r>
    </w:p>
    <w:p>
      <w:pPr>
        <w:pStyle w:val="Style1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年度财务报表中披露的重大经营租赁中尚未支付的最低租赁付款额为</w:t>
      </w:r>
      <w:r>
        <w:rPr>
          <w:rFonts w:ascii="Times New Roman" w:eastAsia="Times New Roman" w:hAnsi="Times New Roman" w:cs="Times New Roman"/>
          <w:color w:val="000000"/>
          <w:spacing w:val="0"/>
          <w:w w:val="100"/>
          <w:position w:val="0"/>
        </w:rPr>
        <w:t>0</w:t>
      </w:r>
      <w:r>
        <w:rPr>
          <w:color w:val="000000"/>
          <w:spacing w:val="0"/>
          <w:w w:val="100"/>
          <w:position w:val="0"/>
        </w:rPr>
        <w:t>元，将其按首次执行日增量借款利率 折现的现值为</w:t>
      </w:r>
      <w:r>
        <w:rPr>
          <w:rFonts w:ascii="Times New Roman" w:eastAsia="Times New Roman" w:hAnsi="Times New Roman" w:cs="Times New Roman"/>
          <w:color w:val="000000"/>
          <w:spacing w:val="0"/>
          <w:w w:val="100"/>
          <w:position w:val="0"/>
        </w:rPr>
        <w:t>0</w:t>
      </w:r>
      <w:r>
        <w:rPr>
          <w:color w:val="000000"/>
          <w:spacing w:val="0"/>
          <w:w w:val="100"/>
          <w:position w:val="0"/>
        </w:rPr>
        <w:t>元，折现后的金额与首次执行日计入资产负债表的与原经营租赁相关的租赁负债的差额为</w:t>
      </w:r>
      <w:r>
        <w:rPr>
          <w:rFonts w:ascii="Times New Roman" w:eastAsia="Times New Roman" w:hAnsi="Times New Roman" w:cs="Times New Roman"/>
          <w:color w:val="000000"/>
          <w:spacing w:val="0"/>
          <w:w w:val="100"/>
          <w:position w:val="0"/>
        </w:rPr>
        <w:t>13,805,871.10</w:t>
      </w:r>
      <w:r>
        <w:rPr>
          <w:color w:val="000000"/>
          <w:spacing w:val="0"/>
          <w:w w:val="100"/>
          <w:position w:val="0"/>
        </w:rPr>
        <w:t>元。</w:t>
      </w:r>
    </w:p>
    <w:p>
      <w:pPr>
        <w:pStyle w:val="Style15"/>
        <w:keepNext w:val="0"/>
        <w:keepLines w:val="0"/>
        <w:widowControl w:val="0"/>
        <w:shd w:val="clear" w:color="auto" w:fill="auto"/>
        <w:bidi w:val="0"/>
        <w:spacing w:before="0" w:after="0" w:line="316" w:lineRule="exact"/>
        <w:ind w:left="0" w:right="0" w:firstLine="440"/>
        <w:jc w:val="left"/>
      </w:pPr>
      <w:r>
        <w:rPr>
          <w:color w:val="000000"/>
          <w:spacing w:val="0"/>
          <w:w w:val="100"/>
          <w:position w:val="0"/>
        </w:rPr>
        <w:t>首次执行日计入资产负债表的租赁负债所采用的公司增量借款利率的加权平均值为</w:t>
      </w:r>
      <w:r>
        <w:rPr>
          <w:rFonts w:ascii="Times New Roman" w:eastAsia="Times New Roman" w:hAnsi="Times New Roman" w:cs="Times New Roman"/>
          <w:color w:val="000000"/>
          <w:spacing w:val="0"/>
          <w:w w:val="100"/>
          <w:position w:val="0"/>
        </w:rPr>
        <w:t>4.65%</w:t>
      </w:r>
      <w:r>
        <w:rPr>
          <w:color w:val="000000"/>
          <w:spacing w:val="0"/>
          <w:w w:val="100"/>
          <w:position w:val="0"/>
        </w:rPr>
        <w:t>。</w:t>
      </w:r>
    </w:p>
    <w:p>
      <w:pPr>
        <w:pStyle w:val="Style15"/>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对首次执行日前的经营租赁采用的简化处理</w:t>
      </w:r>
    </w:p>
    <w:p>
      <w:pPr>
        <w:pStyle w:val="Style15"/>
        <w:keepNext w:val="0"/>
        <w:keepLines w:val="0"/>
        <w:widowControl w:val="0"/>
        <w:numPr>
          <w:ilvl w:val="0"/>
          <w:numId w:val="31"/>
        </w:numPr>
        <w:shd w:val="clear" w:color="auto" w:fill="auto"/>
        <w:tabs>
          <w:tab w:pos="813" w:val="left"/>
        </w:tabs>
        <w:bidi w:val="0"/>
        <w:spacing w:before="0" w:after="0" w:line="316" w:lineRule="exact"/>
        <w:ind w:left="0" w:right="0" w:firstLine="440"/>
        <w:jc w:val="left"/>
      </w:pPr>
      <w:bookmarkStart w:id="1147" w:name="bookmark1147"/>
      <w:bookmarkEnd w:id="1147"/>
      <w:r>
        <w:rPr>
          <w:color w:val="000000"/>
          <w:spacing w:val="0"/>
          <w:w w:val="100"/>
          <w:position w:val="0"/>
        </w:rPr>
        <w:t>对于首次执行日后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个月内完成的租赁合同，公司采用简化方法，不确认使用权资产和租赁负债；</w:t>
      </w:r>
    </w:p>
    <w:p>
      <w:pPr>
        <w:pStyle w:val="Style15"/>
        <w:keepNext w:val="0"/>
        <w:keepLines w:val="0"/>
        <w:widowControl w:val="0"/>
        <w:numPr>
          <w:ilvl w:val="0"/>
          <w:numId w:val="31"/>
        </w:numPr>
        <w:shd w:val="clear" w:color="auto" w:fill="auto"/>
        <w:tabs>
          <w:tab w:pos="813" w:val="left"/>
        </w:tabs>
        <w:bidi w:val="0"/>
        <w:spacing w:before="0" w:after="0" w:line="316" w:lineRule="exact"/>
        <w:ind w:left="0" w:right="0" w:firstLine="440"/>
        <w:jc w:val="left"/>
      </w:pPr>
      <w:bookmarkStart w:id="1148" w:name="bookmark1148"/>
      <w:bookmarkEnd w:id="1148"/>
      <w:r>
        <w:rPr>
          <w:color w:val="000000"/>
          <w:spacing w:val="0"/>
          <w:w w:val="100"/>
          <w:position w:val="0"/>
        </w:rPr>
        <w:t>公司在计量租赁负债时，对于租入固定资产等具有相似特征的租赁合同采用同一折现率；</w:t>
      </w:r>
    </w:p>
    <w:p>
      <w:pPr>
        <w:pStyle w:val="Style15"/>
        <w:keepNext w:val="0"/>
        <w:keepLines w:val="0"/>
        <w:widowControl w:val="0"/>
        <w:numPr>
          <w:ilvl w:val="0"/>
          <w:numId w:val="31"/>
        </w:numPr>
        <w:shd w:val="clear" w:color="auto" w:fill="auto"/>
        <w:tabs>
          <w:tab w:pos="813" w:val="left"/>
        </w:tabs>
        <w:bidi w:val="0"/>
        <w:spacing w:before="0" w:after="0" w:line="316" w:lineRule="exact"/>
        <w:ind w:left="0" w:right="0" w:firstLine="440"/>
        <w:jc w:val="left"/>
      </w:pPr>
      <w:bookmarkStart w:id="1149" w:name="bookmark1149"/>
      <w:bookmarkEnd w:id="1149"/>
      <w:r>
        <w:rPr>
          <w:color w:val="000000"/>
          <w:spacing w:val="0"/>
          <w:w w:val="100"/>
          <w:position w:val="0"/>
        </w:rPr>
        <w:t>使用权资产的计量不包含初始直接费用；</w:t>
      </w:r>
    </w:p>
    <w:p>
      <w:pPr>
        <w:pStyle w:val="Style15"/>
        <w:keepNext w:val="0"/>
        <w:keepLines w:val="0"/>
        <w:widowControl w:val="0"/>
        <w:numPr>
          <w:ilvl w:val="0"/>
          <w:numId w:val="31"/>
        </w:numPr>
        <w:shd w:val="clear" w:color="auto" w:fill="auto"/>
        <w:tabs>
          <w:tab w:pos="813" w:val="left"/>
        </w:tabs>
        <w:bidi w:val="0"/>
        <w:spacing w:before="0" w:after="0" w:line="316" w:lineRule="exact"/>
        <w:ind w:left="0" w:right="0" w:firstLine="440"/>
        <w:jc w:val="left"/>
      </w:pPr>
      <w:bookmarkStart w:id="1150" w:name="bookmark1150"/>
      <w:bookmarkEnd w:id="1150"/>
      <w:r>
        <w:rPr>
          <w:color w:val="000000"/>
          <w:spacing w:val="0"/>
          <w:w w:val="100"/>
          <w:position w:val="0"/>
        </w:rPr>
        <w:t>公司根据首次执行日前续租选择权或终止租赁选择权的实际行权及其他最新情况确定租赁期；</w:t>
      </w:r>
    </w:p>
    <w:p>
      <w:pPr>
        <w:pStyle w:val="Style15"/>
        <w:keepNext w:val="0"/>
        <w:keepLines w:val="0"/>
        <w:widowControl w:val="0"/>
        <w:numPr>
          <w:ilvl w:val="0"/>
          <w:numId w:val="31"/>
        </w:numPr>
        <w:shd w:val="clear" w:color="auto" w:fill="auto"/>
        <w:tabs>
          <w:tab w:pos="757" w:val="left"/>
        </w:tabs>
        <w:bidi w:val="0"/>
        <w:spacing w:before="0" w:after="0" w:line="316" w:lineRule="exact"/>
        <w:ind w:left="0" w:right="0" w:firstLine="440"/>
        <w:jc w:val="both"/>
      </w:pPr>
      <w:bookmarkStart w:id="1151" w:name="bookmark1151"/>
      <w:bookmarkEnd w:id="1151"/>
      <w:r>
        <w:rPr>
          <w:color w:val="000000"/>
          <w:spacing w:val="0"/>
          <w:w w:val="100"/>
          <w:position w:val="0"/>
        </w:rPr>
        <w:t>作为使用权资产减值测试的替代，公司根据《企业会计准则第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 日前是否为亏损合同，并根据首次执行日前计入资产负债表日的亏损准备金额调整使用权资产；</w:t>
      </w:r>
      <w:r>
        <w:br w:type="page"/>
      </w:r>
    </w:p>
    <w:p>
      <w:pPr>
        <w:pStyle w:val="Style15"/>
        <w:keepNext w:val="0"/>
        <w:keepLines w:val="0"/>
        <w:widowControl w:val="0"/>
        <w:numPr>
          <w:ilvl w:val="0"/>
          <w:numId w:val="31"/>
        </w:numPr>
        <w:shd w:val="clear" w:color="auto" w:fill="auto"/>
        <w:bidi w:val="0"/>
        <w:spacing w:before="0" w:after="140" w:line="240" w:lineRule="auto"/>
        <w:ind w:left="0" w:right="0" w:firstLine="420"/>
        <w:jc w:val="left"/>
      </w:pPr>
      <w:bookmarkStart w:id="1152" w:name="bookmark1152"/>
      <w:bookmarkEnd w:id="1152"/>
      <w:r>
        <w:rPr>
          <w:color w:val="000000"/>
          <w:spacing w:val="0"/>
          <w:w w:val="100"/>
          <w:position w:val="0"/>
        </w:rPr>
        <w:t>首次执行日前发生租赁变更的，公司根据租赁变更的最终安排进行会计处理。</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1,149,518,159.23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1,149,518,159.23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183,782,347.10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183,782,347.10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509,200.00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670,694,376.58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670,694,376.58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29,962,354.03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29,175,091.41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-787,262.62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63,568,390.93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63,568,390.93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265,465,958.04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265,465,958.04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78,921,148.99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78,921,148.99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2,443,421,934.90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2,442,634,672.28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-787,262.62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1,875,686,378.32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1,875,686,378.32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202,204,877.10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202,204,877.10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9,005,985.70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9,005,985.70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12,238,459.79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12,238,459.79</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203,809,512.13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203,809,512.13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58,808,455.39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58,808,455.39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731,747.08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731,747.08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14,263,842.56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14,263,842.56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2,521,910,798.28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2,534,149,258.07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12,238,459.79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4,965,332,733.18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4,976,783,930.35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11,451,197.17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142,090,169.44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142,090,169.44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16,715,633.41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16,715,633.41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320,269,226.94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320,269,226.94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206,169,985.21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206,169,985.21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42,293,506.65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42,293,506.65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48,701,214.57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48,701,214.57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138,133,018.36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138,133,018.36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5,135,243.66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5,135,243.66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20,227,665.65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20,227,665.65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939,600,420.23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944,735,663.89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5,135,243.66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6,315,953.51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6,315,953.51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2,556,334.56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2,556,334.56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2,634,569.27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8,950,522.78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6,315,953.51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942,234,989.50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953,686,186.67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11,451,197.17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1,192,608,104.00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1,192,608,104.00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1,981,647,790.57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1,981,647,790.57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72,288,076.50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72,288,076.50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104,788,595.44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104,788,595.44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816,341,330.17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816,341,330.17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4,023,097,743.68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4,023,097,743.68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4,965,332,733.18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4,976,783,930.35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11,451,197.17</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调整情况说明</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日（以下称首次执行日）起执行经修订的《企业会计准则第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w:t>
      </w:r>
    </w:p>
    <w:p>
      <w:pPr>
        <w:pStyle w:val="Style15"/>
        <w:keepNext w:val="0"/>
        <w:keepLines w:val="0"/>
        <w:widowControl w:val="0"/>
        <w:shd w:val="clear" w:color="auto" w:fill="auto"/>
        <w:tabs>
          <w:tab w:pos="820" w:val="left"/>
        </w:tabs>
        <w:bidi w:val="0"/>
        <w:spacing w:before="0" w:after="0" w:line="315" w:lineRule="exact"/>
        <w:ind w:left="0" w:right="0"/>
        <w:jc w:val="both"/>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rPr>
        <w:t>1</w:t>
      </w:r>
      <w:r>
        <w:rPr>
          <w:color w:val="000000"/>
          <w:spacing w:val="0"/>
          <w:w w:val="100"/>
          <w:position w:val="0"/>
        </w:rPr>
        <w:t>）</w:t>
        <w:tab/>
        <w:t>对于首次执行日前已存在的合同，公司选择不重新评估其是否为租赁或者包含租赁。</w:t>
      </w:r>
    </w:p>
    <w:p>
      <w:pPr>
        <w:pStyle w:val="Style15"/>
        <w:keepNext w:val="0"/>
        <w:keepLines w:val="0"/>
        <w:widowControl w:val="0"/>
        <w:shd w:val="clear" w:color="auto" w:fill="auto"/>
        <w:tabs>
          <w:tab w:pos="882" w:val="left"/>
        </w:tabs>
        <w:bidi w:val="0"/>
        <w:spacing w:before="0" w:after="0" w:line="315" w:lineRule="exact"/>
        <w:ind w:left="0" w:right="0"/>
        <w:jc w:val="both"/>
      </w:pPr>
      <w:bookmarkStart w:id="1154" w:name="bookmark1154"/>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w:t>
        <w:tab/>
        <w:t>对本公司作为承租人的租赁合同，公司根据首次执行日执行新租赁准则与原准则的累计影响数调整本报告期期初 留存收益及财务报表其他相关项目金额，对可比期间信息不予调整。具体处理如下：</w:t>
      </w:r>
    </w:p>
    <w:p>
      <w:pPr>
        <w:pStyle w:val="Style15"/>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对于首次执行日前的融资租赁，公司在首次执行日按照融资租入资产和应付融资租赁款的原账面价值，分别计量使用权资产 和租赁负债。</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对于首次执行日前的经营租赁，公司在首次执行日根据剩余租赁付款额按首次执行日公司增量借款利率折现的现值计量 租赁负债，按照与租赁负债相等的金额，并根据预付租金进行必要调整计量使用权资产。</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在首次执行日，公司对使用权资产进行减值测试并进行相应会计处理。</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年度财务报表中披露的重大经营租赁中尚未支付的最低租赁付款额为</w:t>
      </w:r>
      <w:r>
        <w:rPr>
          <w:rFonts w:ascii="Times New Roman" w:eastAsia="Times New Roman" w:hAnsi="Times New Roman" w:cs="Times New Roman"/>
          <w:color w:val="000000"/>
          <w:spacing w:val="0"/>
          <w:w w:val="100"/>
          <w:position w:val="0"/>
        </w:rPr>
        <w:t>0</w:t>
      </w:r>
      <w:r>
        <w:rPr>
          <w:color w:val="000000"/>
          <w:spacing w:val="0"/>
          <w:w w:val="100"/>
          <w:position w:val="0"/>
        </w:rPr>
        <w:t>元，将其按首次执行日增量借款利率 折现的现值为</w:t>
      </w:r>
      <w:r>
        <w:rPr>
          <w:rFonts w:ascii="Times New Roman" w:eastAsia="Times New Roman" w:hAnsi="Times New Roman" w:cs="Times New Roman"/>
          <w:color w:val="000000"/>
          <w:spacing w:val="0"/>
          <w:w w:val="100"/>
          <w:position w:val="0"/>
        </w:rPr>
        <w:t>0</w:t>
      </w:r>
      <w:r>
        <w:rPr>
          <w:color w:val="000000"/>
          <w:spacing w:val="0"/>
          <w:w w:val="100"/>
          <w:position w:val="0"/>
        </w:rPr>
        <w:t>元，折现后的金额与首次执行日计入资产负债表的与原经营租赁相关的租赁负债的差额为</w:t>
      </w:r>
      <w:r>
        <w:rPr>
          <w:rFonts w:ascii="Times New Roman" w:eastAsia="Times New Roman" w:hAnsi="Times New Roman" w:cs="Times New Roman"/>
          <w:color w:val="000000"/>
          <w:spacing w:val="0"/>
          <w:w w:val="100"/>
          <w:position w:val="0"/>
        </w:rPr>
        <w:t>12,238,459.79</w:t>
      </w:r>
      <w:r>
        <w:rPr>
          <w:color w:val="000000"/>
          <w:spacing w:val="0"/>
          <w:w w:val="100"/>
          <w:position w:val="0"/>
        </w:rPr>
        <w:t>元。 首次执行日计入资产负债表的租赁负债所采用的公司增量借款利率的加权平均值为</w:t>
      </w:r>
      <w:r>
        <w:rPr>
          <w:rFonts w:ascii="Times New Roman" w:eastAsia="Times New Roman" w:hAnsi="Times New Roman" w:cs="Times New Roman"/>
          <w:color w:val="000000"/>
          <w:spacing w:val="0"/>
          <w:w w:val="100"/>
          <w:position w:val="0"/>
        </w:rPr>
        <w:t>4.65%</w:t>
      </w:r>
      <w:r>
        <w:rPr>
          <w:color w:val="000000"/>
          <w:spacing w:val="0"/>
          <w:w w:val="100"/>
          <w:position w:val="0"/>
        </w:rPr>
        <w:t>。</w:t>
      </w:r>
    </w:p>
    <w:p>
      <w:pPr>
        <w:pStyle w:val="Style15"/>
        <w:keepNext w:val="0"/>
        <w:keepLines w:val="0"/>
        <w:widowControl w:val="0"/>
        <w:shd w:val="clear" w:color="auto" w:fill="auto"/>
        <w:bidi w:val="0"/>
        <w:spacing w:before="0" w:after="0" w:line="315" w:lineRule="exact"/>
        <w:ind w:left="0" w:right="0"/>
        <w:jc w:val="both"/>
      </w:pPr>
      <w:r>
        <w:rPr>
          <w:color w:val="000000"/>
          <w:spacing w:val="0"/>
          <w:w w:val="100"/>
          <w:position w:val="0"/>
        </w:rPr>
        <w:t>对首次执行日前的经营租赁采用的简化处理</w:t>
      </w:r>
    </w:p>
    <w:p>
      <w:pPr>
        <w:pStyle w:val="Style15"/>
        <w:keepNext w:val="0"/>
        <w:keepLines w:val="0"/>
        <w:widowControl w:val="0"/>
        <w:numPr>
          <w:ilvl w:val="0"/>
          <w:numId w:val="33"/>
        </w:numPr>
        <w:shd w:val="clear" w:color="auto" w:fill="auto"/>
        <w:tabs>
          <w:tab w:pos="753" w:val="left"/>
        </w:tabs>
        <w:bidi w:val="0"/>
        <w:spacing w:before="0" w:after="0" w:line="315" w:lineRule="exact"/>
        <w:ind w:left="0" w:right="0"/>
        <w:jc w:val="both"/>
      </w:pPr>
      <w:bookmarkStart w:id="1155" w:name="bookmark1155"/>
      <w:bookmarkEnd w:id="1155"/>
      <w:r>
        <w:rPr>
          <w:color w:val="000000"/>
          <w:spacing w:val="0"/>
          <w:w w:val="100"/>
          <w:position w:val="0"/>
        </w:rPr>
        <w:t>对于首次执行日后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个月内完成的租赁合同，公司采用简化方法，不确认使用权资产和租赁负债；</w:t>
      </w:r>
    </w:p>
    <w:p>
      <w:pPr>
        <w:pStyle w:val="Style15"/>
        <w:keepNext w:val="0"/>
        <w:keepLines w:val="0"/>
        <w:widowControl w:val="0"/>
        <w:numPr>
          <w:ilvl w:val="0"/>
          <w:numId w:val="33"/>
        </w:numPr>
        <w:shd w:val="clear" w:color="auto" w:fill="auto"/>
        <w:tabs>
          <w:tab w:pos="753" w:val="left"/>
        </w:tabs>
        <w:bidi w:val="0"/>
        <w:spacing w:before="0" w:after="0" w:line="315" w:lineRule="exact"/>
        <w:ind w:left="0" w:right="0"/>
        <w:jc w:val="both"/>
      </w:pPr>
      <w:bookmarkStart w:id="1156" w:name="bookmark1156"/>
      <w:bookmarkEnd w:id="1156"/>
      <w:r>
        <w:rPr>
          <w:color w:val="000000"/>
          <w:spacing w:val="0"/>
          <w:w w:val="100"/>
          <w:position w:val="0"/>
        </w:rPr>
        <w:t>公司在计量租赁负债时，对于租入固定资产等具有相似特征的租赁合同采用同一折现率；</w:t>
      </w:r>
    </w:p>
    <w:p>
      <w:pPr>
        <w:pStyle w:val="Style15"/>
        <w:keepNext w:val="0"/>
        <w:keepLines w:val="0"/>
        <w:widowControl w:val="0"/>
        <w:numPr>
          <w:ilvl w:val="0"/>
          <w:numId w:val="33"/>
        </w:numPr>
        <w:shd w:val="clear" w:color="auto" w:fill="auto"/>
        <w:tabs>
          <w:tab w:pos="753" w:val="left"/>
        </w:tabs>
        <w:bidi w:val="0"/>
        <w:spacing w:before="0" w:after="0" w:line="315" w:lineRule="exact"/>
        <w:ind w:left="0" w:right="0"/>
        <w:jc w:val="both"/>
      </w:pPr>
      <w:bookmarkStart w:id="1157" w:name="bookmark1157"/>
      <w:bookmarkEnd w:id="1157"/>
      <w:r>
        <w:rPr>
          <w:color w:val="000000"/>
          <w:spacing w:val="0"/>
          <w:w w:val="100"/>
          <w:position w:val="0"/>
        </w:rPr>
        <w:t>使用权资产的计量不包含初始直接费用；</w:t>
      </w:r>
    </w:p>
    <w:p>
      <w:pPr>
        <w:pStyle w:val="Style15"/>
        <w:keepNext w:val="0"/>
        <w:keepLines w:val="0"/>
        <w:widowControl w:val="0"/>
        <w:numPr>
          <w:ilvl w:val="0"/>
          <w:numId w:val="33"/>
        </w:numPr>
        <w:shd w:val="clear" w:color="auto" w:fill="auto"/>
        <w:tabs>
          <w:tab w:pos="753" w:val="left"/>
        </w:tabs>
        <w:bidi w:val="0"/>
        <w:spacing w:before="0" w:after="0" w:line="315" w:lineRule="exact"/>
        <w:ind w:left="0" w:right="0"/>
        <w:jc w:val="both"/>
      </w:pPr>
      <w:bookmarkStart w:id="1158" w:name="bookmark1158"/>
      <w:bookmarkEnd w:id="1158"/>
      <w:r>
        <w:rPr>
          <w:color w:val="000000"/>
          <w:spacing w:val="0"/>
          <w:w w:val="100"/>
          <w:position w:val="0"/>
        </w:rPr>
        <w:t>公司根据首次执行日前续租选择权或终止租赁选择权的实际行权及其他最新情况确定租赁期；</w:t>
      </w:r>
    </w:p>
    <w:p>
      <w:pPr>
        <w:pStyle w:val="Style15"/>
        <w:keepNext w:val="0"/>
        <w:keepLines w:val="0"/>
        <w:widowControl w:val="0"/>
        <w:numPr>
          <w:ilvl w:val="0"/>
          <w:numId w:val="33"/>
        </w:numPr>
        <w:shd w:val="clear" w:color="auto" w:fill="auto"/>
        <w:tabs>
          <w:tab w:pos="699" w:val="left"/>
        </w:tabs>
        <w:bidi w:val="0"/>
        <w:spacing w:before="0" w:after="0" w:line="315" w:lineRule="exact"/>
        <w:ind w:left="0" w:right="0"/>
        <w:jc w:val="both"/>
      </w:pPr>
      <w:bookmarkStart w:id="1159" w:name="bookmark1159"/>
      <w:bookmarkEnd w:id="1159"/>
      <w:r>
        <w:rPr>
          <w:color w:val="000000"/>
          <w:spacing w:val="0"/>
          <w:w w:val="100"/>
          <w:position w:val="0"/>
        </w:rPr>
        <w:t>作为使用权资产减值测试的替代，公司根据《企业会计准则第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 日前是否为亏损合同，并根据首次执行日前计入资产负债表日的亏损准备金额调整使用权资产；</w:t>
      </w:r>
    </w:p>
    <w:p>
      <w:pPr>
        <w:pStyle w:val="Style15"/>
        <w:keepNext w:val="0"/>
        <w:keepLines w:val="0"/>
        <w:widowControl w:val="0"/>
        <w:numPr>
          <w:ilvl w:val="0"/>
          <w:numId w:val="33"/>
        </w:numPr>
        <w:shd w:val="clear" w:color="auto" w:fill="auto"/>
        <w:bidi w:val="0"/>
        <w:spacing w:before="0" w:after="360" w:line="240" w:lineRule="auto"/>
        <w:ind w:left="0" w:right="0"/>
        <w:jc w:val="both"/>
      </w:pPr>
      <w:bookmarkStart w:id="1160" w:name="bookmark1160"/>
      <w:bookmarkEnd w:id="1160"/>
      <w:r>
        <w:rPr>
          <w:color w:val="000000"/>
          <w:spacing w:val="0"/>
          <w:w w:val="100"/>
          <w:position w:val="0"/>
        </w:rPr>
        <w:t>首次执行日前发生租赁变更的，公司根据租赁变更的最终安排进行会计处理。</w:t>
      </w:r>
    </w:p>
    <w:p>
      <w:pPr>
        <w:pStyle w:val="Style92"/>
        <w:keepNext/>
        <w:keepLines/>
        <w:widowControl w:val="0"/>
        <w:shd w:val="clear" w:color="auto" w:fill="auto"/>
        <w:tabs>
          <w:tab w:pos="493" w:val="left"/>
        </w:tabs>
        <w:bidi w:val="0"/>
        <w:spacing w:before="0" w:after="36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shd w:val="clear" w:color="auto" w:fill="FFFFFF"/>
        </w:rPr>
        <w:t>（</w:t>
      </w:r>
      <w:bookmarkEnd w:id="116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61"/>
      <w:bookmarkEnd w:id="1162"/>
      <w:bookmarkEnd w:id="1164"/>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4</w:t>
      </w:r>
      <w:bookmarkEnd w:id="116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65"/>
      <w:bookmarkEnd w:id="1166"/>
      <w:bookmarkEnd w:id="1168"/>
    </w:p>
    <w:p>
      <w:pPr>
        <w:pStyle w:val="Style19"/>
        <w:keepNext/>
        <w:keepLines/>
        <w:widowControl w:val="0"/>
        <w:shd w:val="clear" w:color="auto" w:fill="auto"/>
        <w:bidi w:val="0"/>
        <w:spacing w:before="0" w:after="30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sz w:val="24"/>
          <w:szCs w:val="24"/>
        </w:rPr>
        <w:t>六</w:t>
      </w:r>
      <w:bookmarkEnd w:id="1171"/>
      <w:r>
        <w:rPr>
          <w:color w:val="000000"/>
          <w:spacing w:val="0"/>
          <w:w w:val="100"/>
          <w:position w:val="0"/>
          <w:sz w:val="24"/>
          <w:szCs w:val="24"/>
        </w:rPr>
        <w:t>、税项</w:t>
      </w:r>
      <w:bookmarkEnd w:id="1169"/>
      <w:bookmarkEnd w:id="1170"/>
      <w:bookmarkEnd w:id="1172"/>
    </w:p>
    <w:p>
      <w:pPr>
        <w:pStyle w:val="Style24"/>
        <w:keepNext/>
        <w:keepLines/>
        <w:widowControl w:val="0"/>
        <w:shd w:val="clear" w:color="auto" w:fill="auto"/>
        <w:bidi w:val="0"/>
        <w:spacing w:before="0" w:after="30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color w:val="000000"/>
          <w:spacing w:val="0"/>
          <w:w w:val="100"/>
          <w:position w:val="0"/>
        </w:rPr>
        <w:t>、主要税种及税率</w:t>
      </w:r>
      <w:bookmarkEnd w:id="1173"/>
      <w:bookmarkEnd w:id="1174"/>
      <w:bookmarkEnd w:id="1176"/>
    </w:p>
    <w:tbl>
      <w:tblPr>
        <w:tblOverlap w:val="never"/>
        <w:jc w:val="center"/>
        <w:tblLayout w:type="fixed"/>
      </w:tblPr>
      <w:tblGrid>
        <w:gridCol w:w="1560"/>
        <w:gridCol w:w="5318"/>
        <w:gridCol w:w="27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以按税法规定计算的销售货物和应税劳务收入为基础计算销项税 额，扣除当期允许抵扣的进项税额后，差额部分为应交增值税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30%</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 计征的，按租金收入的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存在不同企业所得税税率纳税主体的，披露情况说明</w:t>
      </w:r>
    </w:p>
    <w:tbl>
      <w:tblPr>
        <w:tblOverlap w:val="never"/>
        <w:jc w:val="center"/>
        <w:tblLayout w:type="fixed"/>
      </w:tblPr>
      <w:tblGrid>
        <w:gridCol w:w="8261"/>
        <w:gridCol w:w="13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广东中拓信息技术有限公司、杭州慧康物联网科技有限公司、杭州卓腾信息技术有限公司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新疆创什信息科技有限公司、苏州创业亿康信息科技有限公司、重庆创易康软件有限公司、天津创津科 技有限公司、创业软件南京有限公司、中山市杭创科技有限公司、杭州惟勤科技有限公司、杭州合美物 业管理有限公司、杭州美诺泰科科技有限公司、浙江医康数据科技研究院有限公司、广州粤湾慧康科技 有限公司、浙江百利医药有限公司、自贡市杭创科技有限公司、北京童康医疗信息技术有限公司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color w:val="000000"/>
          <w:spacing w:val="0"/>
          <w:w w:val="100"/>
          <w:position w:val="0"/>
        </w:rPr>
        <w:t>、税收优惠</w:t>
      </w:r>
      <w:bookmarkEnd w:id="1177"/>
      <w:bookmarkEnd w:id="1178"/>
      <w:bookmarkEnd w:id="1180"/>
    </w:p>
    <w:p>
      <w:pPr>
        <w:pStyle w:val="Style15"/>
        <w:keepNext w:val="0"/>
        <w:keepLines w:val="0"/>
        <w:widowControl w:val="0"/>
        <w:shd w:val="clear" w:color="auto" w:fill="auto"/>
        <w:bidi w:val="0"/>
        <w:spacing w:before="0" w:after="0" w:line="315" w:lineRule="exact"/>
        <w:ind w:left="0" w:right="0" w:firstLine="420"/>
        <w:jc w:val="both"/>
      </w:pPr>
      <w:bookmarkStart w:id="1181" w:name="bookmark1181"/>
      <w:r>
        <w:rPr>
          <w:rFonts w:ascii="Times New Roman" w:eastAsia="Times New Roman" w:hAnsi="Times New Roman" w:cs="Times New Roman"/>
          <w:color w:val="000000"/>
          <w:spacing w:val="0"/>
          <w:w w:val="100"/>
          <w:position w:val="0"/>
        </w:rPr>
        <w:t>1</w:t>
      </w:r>
      <w:bookmarkEnd w:id="1181"/>
      <w:r>
        <w:rPr>
          <w:color w:val="000000"/>
          <w:spacing w:val="0"/>
          <w:w w:val="100"/>
          <w:position w:val="0"/>
        </w:rPr>
        <w:t>、 根据财政部、国家税务总局《关于软件产品增值税政策的通知》（财税〔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号），本公司、杭州惟勤科技 有限公司、广东中拓信息技术有限公司、杭州慧康物联网科技有限公司、杭州美诺泰科科技有限公司和杭州卓腾信息技术有 限公司软件产品销售增值税实际税负超过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部分享受即征即退税收优惠政策。</w:t>
      </w:r>
    </w:p>
    <w:p>
      <w:pPr>
        <w:pStyle w:val="Style15"/>
        <w:keepNext w:val="0"/>
        <w:keepLines w:val="0"/>
        <w:widowControl w:val="0"/>
        <w:shd w:val="clear" w:color="auto" w:fill="auto"/>
        <w:bidi w:val="0"/>
        <w:spacing w:before="0" w:after="0" w:line="315" w:lineRule="exact"/>
        <w:ind w:left="0" w:right="0" w:firstLine="420"/>
        <w:jc w:val="both"/>
      </w:pPr>
      <w:bookmarkStart w:id="1182" w:name="bookmark1182"/>
      <w:r>
        <w:rPr>
          <w:rFonts w:ascii="Times New Roman" w:eastAsia="Times New Roman" w:hAnsi="Times New Roman" w:cs="Times New Roman"/>
          <w:color w:val="000000"/>
          <w:spacing w:val="0"/>
          <w:w w:val="100"/>
          <w:position w:val="0"/>
        </w:rPr>
        <w:t>2</w:t>
      </w:r>
      <w:bookmarkEnd w:id="1182"/>
      <w:r>
        <w:rPr>
          <w:color w:val="000000"/>
          <w:spacing w:val="0"/>
          <w:w w:val="100"/>
          <w:position w:val="0"/>
        </w:rPr>
        <w:t>、 根据财政部、国家税务总局《关于全面推开营业税改征增值税试点的通知》（财税〔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号）的规定，本公司、 创业软件南京有限公司和杭州美诺泰科科技有限公司从事技术转让、技术开发业务和与之相关的技术咨询、技术服务业务取 得的收入免缴增值税。</w:t>
      </w:r>
    </w:p>
    <w:p>
      <w:pPr>
        <w:pStyle w:val="Style15"/>
        <w:keepNext w:val="0"/>
        <w:keepLines w:val="0"/>
        <w:widowControl w:val="0"/>
        <w:shd w:val="clear" w:color="auto" w:fill="auto"/>
        <w:tabs>
          <w:tab w:pos="771" w:val="left"/>
        </w:tabs>
        <w:bidi w:val="0"/>
        <w:spacing w:before="0" w:after="0" w:line="315" w:lineRule="exact"/>
        <w:ind w:left="0" w:right="0" w:firstLine="420"/>
        <w:jc w:val="both"/>
      </w:pPr>
      <w:bookmarkStart w:id="1183" w:name="bookmark1183"/>
      <w:r>
        <w:rPr>
          <w:rFonts w:ascii="Times New Roman" w:eastAsia="Times New Roman" w:hAnsi="Times New Roman" w:cs="Times New Roman"/>
          <w:color w:val="000000"/>
          <w:spacing w:val="0"/>
          <w:w w:val="100"/>
          <w:position w:val="0"/>
        </w:rPr>
        <w:t>3</w:t>
      </w:r>
      <w:bookmarkEnd w:id="1183"/>
      <w:r>
        <w:rPr>
          <w:color w:val="000000"/>
          <w:spacing w:val="0"/>
          <w:w w:val="100"/>
          <w:position w:val="0"/>
        </w:rPr>
        <w:t>、</w:t>
        <w:tab/>
        <w:t>根据浙江省科学技术厅、浙江省财政厅、国家税务总局浙江省税务局于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日联合颁发的《高新技术企业 证书》，本公司被认定为高新技术企业，根据《中华人民共和国企业所得税法》规定，本公司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年企业所得税享受高新技 </w:t>
      </w:r>
      <w:r>
        <w:rPr>
          <w:color w:val="000000"/>
          <w:spacing w:val="0"/>
          <w:w w:val="100"/>
          <w:position w:val="0"/>
        </w:rPr>
        <w:t>术企业税收优惠政策，减按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的税率计缴企业所得税。另外，根据财政部、国家税务总局《关于进一步鼓励软件产业和集 成电路产业发展企业所得税政策的通知》（财税〔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号）的规定</w:t>
      </w:r>
      <w:r>
        <w:rPr>
          <w:color w:val="000000"/>
          <w:spacing w:val="0"/>
          <w:w w:val="100"/>
          <w:position w:val="0"/>
        </w:rPr>
        <w:t>，</w:t>
      </w:r>
      <w:r>
        <w:rPr>
          <w:color w:val="000000"/>
          <w:spacing w:val="0"/>
          <w:w w:val="100"/>
          <w:position w:val="0"/>
        </w:rPr>
        <w:t>本公司预计可以通过</w:t>
      </w:r>
      <w:r>
        <w:rPr>
          <w:rFonts w:ascii="Times New Roman" w:eastAsia="Times New Roman" w:hAnsi="Times New Roman" w:cs="Times New Roman"/>
          <w:color w:val="000000"/>
          <w:spacing w:val="0"/>
          <w:w w:val="100"/>
          <w:position w:val="0"/>
        </w:rPr>
        <w:t>2021</w:t>
      </w:r>
      <w:r>
        <w:rPr>
          <w:color w:val="000000"/>
          <w:spacing w:val="0"/>
          <w:w w:val="100"/>
          <w:position w:val="0"/>
        </w:rPr>
        <w:t>年国家规划布局内重点软 件企业认定，故</w:t>
      </w:r>
      <w:r>
        <w:rPr>
          <w:rFonts w:ascii="Times New Roman" w:eastAsia="Times New Roman" w:hAnsi="Times New Roman" w:cs="Times New Roman"/>
          <w:color w:val="000000"/>
          <w:spacing w:val="0"/>
          <w:w w:val="100"/>
          <w:position w:val="0"/>
        </w:rPr>
        <w:t>2021</w:t>
      </w:r>
      <w:r>
        <w:rPr>
          <w:color w:val="000000"/>
          <w:spacing w:val="0"/>
          <w:w w:val="100"/>
          <w:position w:val="0"/>
        </w:rPr>
        <w:t>年暂减按</w:t>
      </w:r>
      <w:r>
        <w:rPr>
          <w:rFonts w:ascii="Times New Roman" w:eastAsia="Times New Roman" w:hAnsi="Times New Roman" w:cs="Times New Roman"/>
          <w:color w:val="000000"/>
          <w:spacing w:val="0"/>
          <w:w w:val="100"/>
          <w:position w:val="0"/>
        </w:rPr>
        <w:t>10%</w:t>
      </w:r>
      <w:r>
        <w:rPr>
          <w:color w:val="000000"/>
          <w:spacing w:val="0"/>
          <w:w w:val="100"/>
          <w:position w:val="0"/>
        </w:rPr>
        <w:t>的税率计缴企业所得税。</w:t>
      </w:r>
    </w:p>
    <w:p>
      <w:pPr>
        <w:pStyle w:val="Style15"/>
        <w:keepNext w:val="0"/>
        <w:keepLines w:val="0"/>
        <w:widowControl w:val="0"/>
        <w:shd w:val="clear" w:color="auto" w:fill="auto"/>
        <w:tabs>
          <w:tab w:pos="709" w:val="left"/>
        </w:tabs>
        <w:bidi w:val="0"/>
        <w:spacing w:before="0" w:after="0" w:line="313" w:lineRule="exact"/>
        <w:ind w:left="0" w:right="0" w:firstLine="440"/>
        <w:jc w:val="both"/>
      </w:pPr>
      <w:bookmarkStart w:id="1184" w:name="bookmark1184"/>
      <w:r>
        <w:rPr>
          <w:rFonts w:ascii="Times New Roman" w:eastAsia="Times New Roman" w:hAnsi="Times New Roman" w:cs="Times New Roman"/>
          <w:color w:val="000000"/>
          <w:spacing w:val="0"/>
          <w:w w:val="100"/>
          <w:position w:val="0"/>
        </w:rPr>
        <w:t>4</w:t>
      </w:r>
      <w:bookmarkEnd w:id="1184"/>
      <w:r>
        <w:rPr>
          <w:color w:val="000000"/>
          <w:spacing w:val="0"/>
          <w:w w:val="100"/>
          <w:position w:val="0"/>
        </w:rPr>
        <w:t>、</w:t>
        <w:tab/>
        <w:t>根据浙江省科学技术厅、浙江省财政厅、国家税务总局浙江省税务局于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日联合颁发的《高新技术企业 证书》，杭州慧康物联网科技有限公司和杭州卓腾信息技术有限公司分别被认定为高新技术企业，根据《中华人民共和国企 业所得税法》规定，杭州慧康物联网科技有限公司和杭州卓腾信息技术有限公司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年企业所得税享受高新技术企业税收优 惠政策，减按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5"/>
        <w:keepNext w:val="0"/>
        <w:keepLines w:val="0"/>
        <w:widowControl w:val="0"/>
        <w:shd w:val="clear" w:color="auto" w:fill="auto"/>
        <w:tabs>
          <w:tab w:pos="719" w:val="left"/>
        </w:tabs>
        <w:bidi w:val="0"/>
        <w:spacing w:before="0" w:after="0" w:line="313" w:lineRule="exact"/>
        <w:ind w:left="0" w:right="0" w:firstLine="440"/>
        <w:jc w:val="both"/>
      </w:pPr>
      <w:bookmarkStart w:id="1185" w:name="bookmark1185"/>
      <w:r>
        <w:rPr>
          <w:rFonts w:ascii="Times New Roman" w:eastAsia="Times New Roman" w:hAnsi="Times New Roman" w:cs="Times New Roman"/>
          <w:color w:val="000000"/>
          <w:spacing w:val="0"/>
          <w:w w:val="100"/>
          <w:position w:val="0"/>
        </w:rPr>
        <w:t>5</w:t>
      </w:r>
      <w:bookmarkEnd w:id="1185"/>
      <w:r>
        <w:rPr>
          <w:color w:val="000000"/>
          <w:spacing w:val="0"/>
          <w:w w:val="100"/>
          <w:position w:val="0"/>
        </w:rPr>
        <w:t>、</w:t>
        <w:tab/>
        <w:t>根据广东省科学技术厅、广东省财政厅、国家税务总局广东省税务局于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日联合颁发的《高新技术企业 证书》，广东中拓信息技术有限公司被认定为高新技术企业，根据《中华人民共和国企业所得税法》规定，广东中拓信息技 术有限公司</w:t>
      </w:r>
      <w:r>
        <w:rPr>
          <w:rFonts w:ascii="Times New Roman" w:eastAsia="Times New Roman" w:hAnsi="Times New Roman" w:cs="Times New Roman"/>
          <w:color w:val="000000"/>
          <w:spacing w:val="0"/>
          <w:w w:val="100"/>
          <w:position w:val="0"/>
        </w:rPr>
        <w:t>2021</w:t>
      </w:r>
      <w:r>
        <w:rPr>
          <w:color w:val="000000"/>
          <w:spacing w:val="0"/>
          <w:w w:val="100"/>
          <w:position w:val="0"/>
        </w:rPr>
        <w:t>年企业所得税享受高新技术企业税收优惠政策，减按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5"/>
        <w:keepNext w:val="0"/>
        <w:keepLines w:val="0"/>
        <w:widowControl w:val="0"/>
        <w:shd w:val="clear" w:color="auto" w:fill="auto"/>
        <w:bidi w:val="0"/>
        <w:spacing w:before="0" w:after="0" w:line="313" w:lineRule="exact"/>
        <w:ind w:left="0" w:right="0" w:firstLine="440"/>
        <w:jc w:val="both"/>
      </w:pPr>
      <w:bookmarkStart w:id="1186" w:name="bookmark1186"/>
      <w:r>
        <w:rPr>
          <w:rFonts w:ascii="Times New Roman" w:eastAsia="Times New Roman" w:hAnsi="Times New Roman" w:cs="Times New Roman"/>
          <w:color w:val="000000"/>
          <w:spacing w:val="0"/>
          <w:w w:val="100"/>
          <w:position w:val="0"/>
        </w:rPr>
        <w:t>6</w:t>
      </w:r>
      <w:bookmarkEnd w:id="1186"/>
      <w:r>
        <w:rPr>
          <w:color w:val="000000"/>
          <w:spacing w:val="0"/>
          <w:w w:val="100"/>
          <w:position w:val="0"/>
        </w:rPr>
        <w:t>、 根据财政部、国家税务总局《关于实施小微企业和个体工商户所得税优惠政策的通知》（财税〔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号）、国 家税务总局《关于落实支持小型微利企业和个体工商户发展所得税优惠政策有关事项的公告》（国家税务总局公告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 </w:t>
      </w:r>
      <w:r>
        <w:rPr>
          <w:rFonts w:ascii="Times New Roman" w:eastAsia="Times New Roman" w:hAnsi="Times New Roman" w:cs="Times New Roman"/>
          <w:color w:val="000000"/>
          <w:spacing w:val="0"/>
          <w:w w:val="100"/>
          <w:position w:val="0"/>
        </w:rPr>
        <w:t>8</w:t>
      </w:r>
      <w:r>
        <w:rPr>
          <w:color w:val="000000"/>
          <w:spacing w:val="0"/>
          <w:w w:val="100"/>
          <w:position w:val="0"/>
        </w:rPr>
        <w:t>号）有关规定，子公司新疆创什信息科技有限公司、苏州创业亿康信息科技有限公司、重庆创易康软件有限公司、天津创 津科技有限公司、创业软件南京有限公司、中山市杭创科技有限公司、杭州惟勤科技有限公司、杭州合美物业管理有限公司、 杭州泰科科技有限公司、浙江医康数据科技研究院有限公司、广州粤湾慧康科技有限公司、浙江百利医药有限公司、自贡市 杭创科技有限公司和北京童康医疗信息技术有限公司符合小型微利企业条件，</w:t>
      </w:r>
      <w:r>
        <w:rPr>
          <w:rFonts w:ascii="Times New Roman" w:eastAsia="Times New Roman" w:hAnsi="Times New Roman" w:cs="Times New Roman"/>
          <w:color w:val="000000"/>
          <w:spacing w:val="0"/>
          <w:w w:val="100"/>
          <w:position w:val="0"/>
        </w:rPr>
        <w:t>2021</w:t>
      </w:r>
      <w:r>
        <w:rPr>
          <w:color w:val="000000"/>
          <w:spacing w:val="0"/>
          <w:w w:val="100"/>
          <w:position w:val="0"/>
        </w:rPr>
        <w:t>年度企业年应纳税所得额不超过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 的部分，减按</w:t>
      </w:r>
      <w:r>
        <w:rPr>
          <w:rFonts w:ascii="Times New Roman" w:eastAsia="Times New Roman" w:hAnsi="Times New Roman" w:cs="Times New Roman"/>
          <w:color w:val="000000"/>
          <w:spacing w:val="0"/>
          <w:w w:val="100"/>
          <w:position w:val="0"/>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 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15"/>
        <w:keepNext w:val="0"/>
        <w:keepLines w:val="0"/>
        <w:widowControl w:val="0"/>
        <w:shd w:val="clear" w:color="auto" w:fill="auto"/>
        <w:tabs>
          <w:tab w:pos="714" w:val="left"/>
        </w:tabs>
        <w:bidi w:val="0"/>
        <w:spacing w:before="0" w:after="300" w:line="313" w:lineRule="exact"/>
        <w:ind w:left="0" w:right="0" w:firstLine="440"/>
        <w:jc w:val="both"/>
      </w:pPr>
      <w:bookmarkStart w:id="1187" w:name="bookmark1187"/>
      <w:r>
        <w:rPr>
          <w:rFonts w:ascii="Times New Roman" w:eastAsia="Times New Roman" w:hAnsi="Times New Roman" w:cs="Times New Roman"/>
          <w:color w:val="000000"/>
          <w:spacing w:val="0"/>
          <w:w w:val="100"/>
          <w:position w:val="0"/>
        </w:rPr>
        <w:t>7</w:t>
      </w:r>
      <w:bookmarkEnd w:id="1187"/>
      <w:r>
        <w:rPr>
          <w:color w:val="000000"/>
          <w:spacing w:val="0"/>
          <w:w w:val="100"/>
          <w:position w:val="0"/>
        </w:rPr>
        <w:t>、</w:t>
        <w:tab/>
        <w:t>根据财政部、税务总局、海关总署公告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 服务业纳税人按照当期可抵扣进项税额加计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，抵减应纳税额。本期，杭州慧康物联网科技有限公司、杭州慧康互联科技 有限公司、浙江百利医药有限公司、北京童康医疗信息技术有限公司符合上述规定条件，享受进项税额加计抵减政策。</w:t>
      </w:r>
    </w:p>
    <w:p>
      <w:pPr>
        <w:pStyle w:val="Style15"/>
        <w:keepNext w:val="0"/>
        <w:keepLines w:val="0"/>
        <w:widowControl w:val="0"/>
        <w:shd w:val="clear" w:color="auto" w:fill="auto"/>
        <w:bidi w:val="0"/>
        <w:spacing w:before="0" w:after="360" w:line="360"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 公司本期软件产品增值税即征即退金额详见财务报告合并财务报表项目注释政府补助之说明。</w:t>
      </w:r>
    </w:p>
    <w:p>
      <w:pPr>
        <w:pStyle w:val="Style24"/>
        <w:keepNext/>
        <w:keepLines/>
        <w:widowControl w:val="0"/>
        <w:shd w:val="clear" w:color="auto" w:fill="auto"/>
        <w:bidi w:val="0"/>
        <w:spacing w:before="0" w:line="240" w:lineRule="auto"/>
        <w:ind w:left="0" w:right="0" w:firstLine="0"/>
        <w:jc w:val="both"/>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3</w:t>
      </w:r>
      <w:bookmarkEnd w:id="1190"/>
      <w:r>
        <w:rPr>
          <w:color w:val="000000"/>
          <w:spacing w:val="0"/>
          <w:w w:val="100"/>
          <w:position w:val="0"/>
        </w:rPr>
        <w:t>、其他</w:t>
      </w:r>
      <w:bookmarkEnd w:id="1188"/>
      <w:bookmarkEnd w:id="1189"/>
      <w:bookmarkEnd w:id="1191"/>
    </w:p>
    <w:p>
      <w:pPr>
        <w:pStyle w:val="Style19"/>
        <w:keepNext/>
        <w:keepLines/>
        <w:widowControl w:val="0"/>
        <w:shd w:val="clear" w:color="auto" w:fill="auto"/>
        <w:bidi w:val="0"/>
        <w:spacing w:before="0" w:after="300" w:line="240" w:lineRule="auto"/>
        <w:ind w:left="0" w:right="0" w:firstLine="0"/>
        <w:jc w:val="both"/>
      </w:pPr>
      <w:bookmarkStart w:id="1192" w:name="bookmark1192"/>
      <w:bookmarkStart w:id="1193" w:name="bookmark1193"/>
      <w:bookmarkStart w:id="1194" w:name="bookmark1194"/>
      <w:bookmarkStart w:id="1195" w:name="bookmark1195"/>
      <w:r>
        <w:rPr>
          <w:color w:val="000000"/>
          <w:spacing w:val="0"/>
          <w:w w:val="100"/>
          <w:position w:val="0"/>
          <w:sz w:val="24"/>
          <w:szCs w:val="24"/>
        </w:rPr>
        <w:t>七</w:t>
      </w:r>
      <w:bookmarkEnd w:id="1194"/>
      <w:r>
        <w:rPr>
          <w:color w:val="000000"/>
          <w:spacing w:val="0"/>
          <w:w w:val="100"/>
          <w:position w:val="0"/>
          <w:sz w:val="24"/>
          <w:szCs w:val="24"/>
        </w:rPr>
        <w:t>、合并财务报表项目注释</w:t>
      </w:r>
      <w:bookmarkEnd w:id="1192"/>
      <w:bookmarkEnd w:id="1193"/>
      <w:bookmarkEnd w:id="1195"/>
    </w:p>
    <w:p>
      <w:pPr>
        <w:pStyle w:val="Style24"/>
        <w:keepNext/>
        <w:keepLines/>
        <w:widowControl w:val="0"/>
        <w:shd w:val="clear" w:color="auto" w:fill="auto"/>
        <w:bidi w:val="0"/>
        <w:spacing w:before="0" w:line="240" w:lineRule="auto"/>
        <w:ind w:left="0" w:right="0" w:firstLine="0"/>
        <w:jc w:val="both"/>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color w:val="000000"/>
          <w:spacing w:val="0"/>
          <w:w w:val="100"/>
          <w:position w:val="0"/>
        </w:rPr>
        <w:t>、货币资金</w:t>
      </w:r>
      <w:bookmarkEnd w:id="1196"/>
      <w:bookmarkEnd w:id="1197"/>
      <w:bookmarkEnd w:id="119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159,299.06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1,613,513,543.76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1,579,822,458.10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5,541,383.93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3,965,432.84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1,619,154,719.36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1,583,947,190.00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5,541,383.93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3,965,432.84</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99" w:line="1" w:lineRule="exact"/>
      </w:pPr>
    </w:p>
    <w:p>
      <w:pPr>
        <w:pStyle w:val="Style15"/>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期末银行存款中包含大额存单</w:t>
      </w:r>
      <w:r>
        <w:rPr>
          <w:rFonts w:ascii="Times New Roman" w:eastAsia="Times New Roman" w:hAnsi="Times New Roman" w:cs="Times New Roman"/>
          <w:color w:val="000000"/>
          <w:spacing w:val="0"/>
          <w:w w:val="100"/>
          <w:position w:val="0"/>
        </w:rPr>
        <w:t>500,000,000.00</w:t>
      </w:r>
      <w:r>
        <w:rPr>
          <w:color w:val="000000"/>
          <w:spacing w:val="0"/>
          <w:w w:val="100"/>
          <w:position w:val="0"/>
        </w:rPr>
        <w:t>元。</w:t>
      </w:r>
      <w:r>
        <w:br w:type="page"/>
      </w:r>
    </w:p>
    <w:p>
      <w:pPr>
        <w:pStyle w:val="Style24"/>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bookmarkEnd w:id="1202"/>
      <w:r>
        <w:rPr>
          <w:color w:val="000000"/>
          <w:spacing w:val="0"/>
          <w:w w:val="100"/>
          <w:position w:val="0"/>
        </w:rPr>
        <w:t>、交易性金融资产</w:t>
      </w:r>
      <w:bookmarkEnd w:id="1200"/>
      <w:bookmarkEnd w:id="1201"/>
      <w:bookmarkEnd w:id="120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183,782,347.10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183,782,347.10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183,782,347.10</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3</w:t>
      </w:r>
      <w:bookmarkEnd w:id="1206"/>
      <w:r>
        <w:rPr>
          <w:color w:val="000000"/>
          <w:spacing w:val="0"/>
          <w:w w:val="100"/>
          <w:position w:val="0"/>
        </w:rPr>
        <w:t>、衍生金融资产</w:t>
      </w:r>
      <w:bookmarkEnd w:id="1204"/>
      <w:bookmarkEnd w:id="1205"/>
      <w:bookmarkEnd w:id="120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4</w:t>
      </w:r>
      <w:bookmarkEnd w:id="1210"/>
      <w:r>
        <w:rPr>
          <w:color w:val="000000"/>
          <w:spacing w:val="0"/>
          <w:w w:val="100"/>
          <w:position w:val="0"/>
        </w:rPr>
        <w:t>、应收票据</w:t>
      </w:r>
      <w:bookmarkEnd w:id="1208"/>
      <w:bookmarkEnd w:id="1209"/>
      <w:bookmarkEnd w:id="1211"/>
    </w:p>
    <w:p>
      <w:pPr>
        <w:pStyle w:val="Style92"/>
        <w:keepNext/>
        <w:keepLines/>
        <w:widowControl w:val="0"/>
        <w:shd w:val="clear" w:color="auto" w:fill="auto"/>
        <w:bidi w:val="0"/>
        <w:spacing w:before="0" w:after="36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12"/>
      <w:bookmarkEnd w:id="1213"/>
      <w:bookmarkEnd w:id="121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256,500.00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256,500.00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509,200.00</w:t>
            </w:r>
          </w:p>
        </w:tc>
      </w:tr>
    </w:tbl>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7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270,00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13,500.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256,50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536,00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26,800.0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509,20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270,00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13,500.</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256,50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536,00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26,800.0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509,20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w:t>
      </w:r>
    </w:p>
    <w:p>
      <w:pPr>
        <w:widowControl w:val="0"/>
        <w:spacing w:line="1" w:lineRule="exact"/>
      </w:pPr>
      <w:r>
        <w:br w:type="page"/>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按组合计提坏账准备：</w:t>
      </w:r>
      <w:r>
        <w:rPr>
          <w:rFonts w:ascii="Times New Roman" w:eastAsia="Times New Roman" w:hAnsi="Times New Roman" w:cs="Times New Roman"/>
          <w:b w:val="0"/>
          <w:bCs w:val="0"/>
          <w:color w:val="000000"/>
          <w:spacing w:val="0"/>
          <w:w w:val="100"/>
          <w:position w:val="0"/>
        </w:rPr>
        <w:t>13500.00</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13,500.00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15"/>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如是按照预期信用损失一般模型计提应收票据坏账准备，请参照其他应收款的披露方式披露坏账准备的相关信息: 口适用”不适用</w:t>
      </w:r>
    </w:p>
    <w:p>
      <w:pPr>
        <w:pStyle w:val="Style92"/>
        <w:keepNext/>
        <w:keepLines/>
        <w:widowControl w:val="0"/>
        <w:numPr>
          <w:ilvl w:val="0"/>
          <w:numId w:val="35"/>
        </w:numPr>
        <w:shd w:val="clear" w:color="auto" w:fill="auto"/>
        <w:bidi w:val="0"/>
        <w:spacing w:before="0" w:after="260" w:line="240" w:lineRule="auto"/>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本期计提、收回或转回的坏账准备情况</w:t>
      </w:r>
      <w:bookmarkEnd w:id="1216"/>
      <w:bookmarkEnd w:id="1217"/>
      <w:bookmarkEnd w:id="1219"/>
    </w:p>
    <w:p>
      <w:pPr>
        <w:pStyle w:val="Style15"/>
        <w:keepNext w:val="0"/>
        <w:keepLines w:val="0"/>
        <w:widowControl w:val="0"/>
        <w:shd w:val="clear" w:color="auto" w:fill="auto"/>
        <w:bidi w:val="0"/>
        <w:spacing w:before="0" w:after="100" w:line="346" w:lineRule="exact"/>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13,500.00</w:t>
            </w:r>
          </w:p>
        </w:tc>
      </w:tr>
    </w:tbl>
    <w:p>
      <w:pPr>
        <w:pStyle w:val="Style1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其中本期坏账准备收回或转回金额重要的: 口适用”不适用</w:t>
      </w:r>
    </w:p>
    <w:p>
      <w:pPr>
        <w:pStyle w:val="Style92"/>
        <w:keepNext/>
        <w:keepLines/>
        <w:widowControl w:val="0"/>
        <w:numPr>
          <w:ilvl w:val="0"/>
          <w:numId w:val="35"/>
        </w:numPr>
        <w:shd w:val="clear" w:color="auto" w:fill="auto"/>
        <w:bidi w:val="0"/>
        <w:spacing w:before="0" w:after="36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期末公司已质押的应收票据</w:t>
      </w:r>
      <w:bookmarkEnd w:id="1220"/>
      <w:bookmarkEnd w:id="1221"/>
      <w:bookmarkEnd w:id="1223"/>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99" w:line="1" w:lineRule="exact"/>
      </w:pPr>
    </w:p>
    <w:p>
      <w:pPr>
        <w:pStyle w:val="Style92"/>
        <w:keepNext/>
        <w:keepLines/>
        <w:widowControl w:val="0"/>
        <w:numPr>
          <w:ilvl w:val="0"/>
          <w:numId w:val="35"/>
        </w:numPr>
        <w:shd w:val="clear" w:color="auto" w:fill="auto"/>
        <w:bidi w:val="0"/>
        <w:spacing w:before="0" w:after="36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期末公司已背书或贴现且在资产负债表日尚未到期的应收票据</w:t>
      </w:r>
      <w:bookmarkEnd w:id="1224"/>
      <w:bookmarkEnd w:id="1225"/>
      <w:bookmarkEnd w:id="1227"/>
    </w:p>
    <w:p>
      <w:pPr>
        <w:pStyle w:val="Style15"/>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39" w:line="1" w:lineRule="exact"/>
      </w:pPr>
    </w:p>
    <w:p>
      <w:pPr>
        <w:pStyle w:val="Style92"/>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28"/>
      <w:bookmarkEnd w:id="1229"/>
      <w:bookmarkEnd w:id="1231"/>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92"/>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32"/>
      <w:bookmarkEnd w:id="1233"/>
      <w:bookmarkEnd w:id="123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应收票据核销说明:</w:t>
      </w:r>
    </w:p>
    <w:p>
      <w:pPr>
        <w:pStyle w:val="Style24"/>
        <w:keepNext/>
        <w:keepLines/>
        <w:widowControl w:val="0"/>
        <w:shd w:val="clear" w:color="auto" w:fill="auto"/>
        <w:bidi w:val="0"/>
        <w:spacing w:before="0" w:after="34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5</w:t>
      </w:r>
      <w:bookmarkEnd w:id="1238"/>
      <w:r>
        <w:rPr>
          <w:color w:val="000000"/>
          <w:spacing w:val="0"/>
          <w:w w:val="100"/>
          <w:position w:val="0"/>
        </w:rPr>
        <w:t>、应收账款</w:t>
      </w:r>
      <w:bookmarkEnd w:id="1236"/>
      <w:bookmarkEnd w:id="1237"/>
      <w:bookmarkEnd w:id="1239"/>
    </w:p>
    <w:p>
      <w:pPr>
        <w:pStyle w:val="Style92"/>
        <w:keepNext/>
        <w:keepLines/>
        <w:widowControl w:val="0"/>
        <w:shd w:val="clear" w:color="auto" w:fill="auto"/>
        <w:bidi w:val="0"/>
        <w:spacing w:before="0" w:after="340" w:line="240" w:lineRule="auto"/>
        <w:ind w:left="0" w:right="0" w:firstLine="0"/>
        <w:jc w:val="both"/>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40"/>
      <w:bookmarkEnd w:id="1241"/>
      <w:bookmarkEnd w:id="124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585,15</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585,15</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621,58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621,58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1,477,7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70,279.</w:t>
            </w:r>
          </w:p>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99.96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226,91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7,466.3</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15.36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1,250,8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52,813.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1,002,3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21,579.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156,92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8,074.3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845,393,</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1,478,3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55,434.</w:t>
            </w:r>
          </w:p>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227,50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2,621.0</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15.39</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1,250,8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52,813.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1,002,9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43,166.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157,54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9,662.1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845,393,</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504.86</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w:t>
      </w:r>
      <w:r>
        <w:rPr>
          <w:rFonts w:ascii="Times New Roman" w:eastAsia="Times New Roman" w:hAnsi="Times New Roman" w:cs="Times New Roman"/>
          <w:b w:val="0"/>
          <w:bCs w:val="0"/>
          <w:color w:val="000000"/>
          <w:spacing w:val="0"/>
          <w:w w:val="100"/>
          <w:position w:val="0"/>
        </w:rPr>
        <w:t>585,154.72</w:t>
      </w:r>
    </w:p>
    <w:p>
      <w:pPr>
        <w:widowControl w:val="0"/>
        <w:spacing w:after="79" w:line="1" w:lineRule="exact"/>
      </w:pPr>
    </w:p>
    <w:p>
      <w:pPr>
        <w:pStyle w:val="Style1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杭州萧山恒福医院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585,154.72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585,154.72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与该公司涉及诉讼， 预计款项很可能无法 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585,154.72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585,154.72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按组合计提坏账准备：</w:t>
      </w:r>
      <w:r>
        <w:rPr>
          <w:rFonts w:ascii="Times New Roman" w:eastAsia="Times New Roman" w:hAnsi="Times New Roman" w:cs="Times New Roman"/>
          <w:b w:val="0"/>
          <w:bCs w:val="0"/>
          <w:color w:val="000000"/>
          <w:spacing w:val="0"/>
          <w:w w:val="100"/>
          <w:position w:val="0"/>
        </w:rPr>
        <w:t>226,917,466.37</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926,373,225.36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46,318,661.27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329,896,835.48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65,979,367.10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111,267,120.26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33,380,136.08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48,361,065.13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24,180,532.57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24,066,320.64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19,253,056.51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37,805,712.84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37,805,712.84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1,477,770,279.71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226,917,466.37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bl>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320" w:line="312" w:lineRule="exact"/>
        <w:ind w:left="0" w:right="0"/>
        <w:jc w:val="left"/>
      </w:pPr>
      <w:r>
        <w:rPr>
          <w:color w:val="000000"/>
          <w:spacing w:val="0"/>
          <w:w w:val="100"/>
          <w:position w:val="0"/>
        </w:rPr>
        <w:t>参考历史信用损失经验，结合当前状况以及对未来经济状况的预测，编制应收账款账龄与整个存续期预期信用损失率对 照表，计算预期信用损失。</w:t>
      </w:r>
    </w:p>
    <w:p>
      <w:pPr>
        <w:pStyle w:val="Style1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926,373,225.36</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329,901,883.48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111,277,000.26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110,803,325.33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48,931,291.85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24,066,320.64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37,805,712.84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1,478,355,434.43</w:t>
            </w:r>
          </w:p>
        </w:tc>
      </w:tr>
    </w:tbl>
    <w:p>
      <w:pPr>
        <w:pStyle w:val="Style21"/>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公司需遵守《深圳证券交易所上市公司自律监管指引第</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号</w:t>
      </w:r>
      <w:r>
        <w:rPr>
          <w:b w:val="0"/>
          <w:bCs w:val="0"/>
          <w:color w:val="000000"/>
          <w:spacing w:val="0"/>
          <w:w w:val="100"/>
          <w:position w:val="0"/>
        </w:rPr>
        <w:t>一一</w:t>
      </w:r>
      <w:r>
        <w:rPr>
          <w:b w:val="0"/>
          <w:bCs w:val="0"/>
          <w:color w:val="000000"/>
          <w:spacing w:val="0"/>
          <w:w w:val="100"/>
          <w:position w:val="0"/>
        </w:rPr>
        <w:t>行业信息披露》中的“软件与信息技术服务业”的披露要求</w:t>
      </w:r>
    </w:p>
    <w:p>
      <w:pPr>
        <w:widowControl w:val="0"/>
        <w:spacing w:after="339" w:line="1" w:lineRule="exact"/>
      </w:pPr>
    </w:p>
    <w:p>
      <w:pPr>
        <w:pStyle w:val="Style92"/>
        <w:keepNext/>
        <w:keepLines/>
        <w:widowControl w:val="0"/>
        <w:shd w:val="clear" w:color="auto" w:fill="auto"/>
        <w:bidi w:val="0"/>
        <w:spacing w:before="0" w:after="380" w:line="240" w:lineRule="auto"/>
        <w:ind w:left="0" w:right="0" w:firstLine="0"/>
        <w:jc w:val="both"/>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44"/>
      <w:bookmarkEnd w:id="1245"/>
      <w:bookmarkEnd w:id="1247"/>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621,587.72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585,154.72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156,928,074.38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73,992,531.36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155,572.15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3,816,666.85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-342,044.67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226,917,466.37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157,549,662.10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73,992,531.36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119,139.15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3,816,666.85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-342,044.67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227,502,621.09</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92"/>
        <w:keepNext/>
        <w:keepLines/>
        <w:widowControl w:val="0"/>
        <w:shd w:val="clear" w:color="auto" w:fill="auto"/>
        <w:bidi w:val="0"/>
        <w:spacing w:before="0" w:after="380" w:line="240" w:lineRule="auto"/>
        <w:ind w:left="0" w:right="0" w:firstLine="0"/>
        <w:jc w:val="both"/>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48"/>
      <w:bookmarkEnd w:id="1249"/>
      <w:bookmarkEnd w:id="125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3,816,666.85</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其中重要的应收账款核销情况:</w:t>
      </w:r>
    </w:p>
    <w:p>
      <w:pPr>
        <w:widowControl w:val="0"/>
        <w:spacing w:after="99" w:line="1" w:lineRule="exact"/>
      </w:pPr>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92"/>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52"/>
      <w:bookmarkEnd w:id="1253"/>
      <w:bookmarkEnd w:id="1255"/>
    </w:p>
    <w:p>
      <w:pPr>
        <w:pStyle w:val="Style15"/>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73,310,951.01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3,665,547.55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44,180,422.06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2,745,633.21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40,339,463.44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4,794,589.73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33,721,000.13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3,460,795.50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30,330,741.00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1,516,537.05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221,882,577.64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92"/>
        <w:keepNext/>
        <w:keepLines/>
        <w:widowControl w:val="0"/>
        <w:numPr>
          <w:ilvl w:val="0"/>
          <w:numId w:val="35"/>
        </w:numPr>
        <w:shd w:val="clear" w:color="auto" w:fill="auto"/>
        <w:tabs>
          <w:tab w:pos="493" w:val="left"/>
        </w:tabs>
        <w:bidi w:val="0"/>
        <w:spacing w:before="0" w:after="320" w:line="240" w:lineRule="auto"/>
        <w:ind w:left="0" w:right="0" w:firstLine="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因金融资产转移而终止确认的应收账款</w:t>
      </w:r>
      <w:bookmarkEnd w:id="1256"/>
      <w:bookmarkEnd w:id="1257"/>
      <w:bookmarkEnd w:id="1259"/>
    </w:p>
    <w:p>
      <w:pPr>
        <w:pStyle w:val="Style92"/>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转移应收账款且继续涉入形成的资产、负债金额</w:t>
      </w:r>
      <w:bookmarkEnd w:id="1260"/>
      <w:bookmarkEnd w:id="1261"/>
      <w:bookmarkEnd w:id="1263"/>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6</w:t>
      </w:r>
      <w:bookmarkEnd w:id="1266"/>
      <w:r>
        <w:rPr>
          <w:color w:val="000000"/>
          <w:spacing w:val="0"/>
          <w:w w:val="100"/>
          <w:position w:val="0"/>
        </w:rPr>
        <w:t>、应收款项融资</w:t>
      </w:r>
      <w:bookmarkEnd w:id="1264"/>
      <w:bookmarkEnd w:id="1265"/>
      <w:bookmarkEnd w:id="126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1,251,000.00</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92"/>
        <w:keepNext/>
        <w:keepLines/>
        <w:widowControl w:val="0"/>
        <w:shd w:val="clear" w:color="auto" w:fill="auto"/>
        <w:bidi w:val="0"/>
        <w:spacing w:before="0" w:after="120" w:line="240" w:lineRule="auto"/>
        <w:ind w:left="0" w:right="0" w:firstLine="380"/>
        <w:jc w:val="left"/>
        <w:rPr>
          <w:sz w:val="18"/>
          <w:szCs w:val="18"/>
        </w:rPr>
      </w:pPr>
      <w:bookmarkStart w:id="1268" w:name="bookmark1268"/>
      <w:bookmarkStart w:id="1269" w:name="bookmark1269"/>
      <w:bookmarkStart w:id="1270" w:name="bookmark1270"/>
      <w:r>
        <w:rPr>
          <w:b w:val="0"/>
          <w:bCs w:val="0"/>
          <w:color w:val="000000"/>
          <w:spacing w:val="0"/>
          <w:w w:val="100"/>
          <w:position w:val="0"/>
          <w:sz w:val="18"/>
          <w:szCs w:val="18"/>
        </w:rPr>
        <w:t>(2)</w:t>
      </w:r>
      <w:r>
        <w:rPr>
          <w:b w:val="0"/>
          <w:bCs w:val="0"/>
          <w:color w:val="000000"/>
          <w:spacing w:val="0"/>
          <w:w w:val="100"/>
          <w:position w:val="0"/>
          <w:sz w:val="18"/>
          <w:szCs w:val="18"/>
        </w:rPr>
        <w:t>期末公司已背书或贴现且在资产负债表日尚未到期的应收款项融资情况</w:t>
      </w:r>
      <w:bookmarkEnd w:id="1268"/>
      <w:bookmarkEnd w:id="1269"/>
      <w:bookmarkEnd w:id="1270"/>
    </w:p>
    <w:tbl>
      <w:tblPr>
        <w:tblOverlap w:val="never"/>
        <w:jc w:val="center"/>
        <w:tblLayout w:type="fixed"/>
      </w:tblPr>
      <w:tblGrid>
        <w:gridCol w:w="5434"/>
        <w:gridCol w:w="2222"/>
      </w:tblGrid>
      <w:tr>
        <w:trPr>
          <w:trHeight w:val="4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w:t>
            </w:r>
          </w:p>
        </w:tc>
      </w:tr>
      <w:tr>
        <w:trPr>
          <w:trHeight w:val="288" w:hRule="exact"/>
        </w:trPr>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确认金额</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8, </w:t>
            </w:r>
            <w:r>
              <w:rPr>
                <w:color w:val="000000"/>
                <w:spacing w:val="0"/>
                <w:w w:val="100"/>
                <w:position w:val="0"/>
                <w:sz w:val="18"/>
                <w:szCs w:val="18"/>
              </w:rPr>
              <w:t>390,103.20</w:t>
            </w:r>
          </w:p>
        </w:tc>
      </w:tr>
      <w:tr>
        <w:trPr>
          <w:trHeight w:val="4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18"/>
                <w:szCs w:val="18"/>
              </w:rPr>
              <w:t xml:space="preserve">8, </w:t>
            </w:r>
            <w:r>
              <w:rPr>
                <w:color w:val="000000"/>
                <w:spacing w:val="0"/>
                <w:w w:val="100"/>
                <w:position w:val="0"/>
                <w:sz w:val="18"/>
                <w:szCs w:val="18"/>
              </w:rPr>
              <w:t>390,103.20</w:t>
            </w:r>
          </w:p>
        </w:tc>
      </w:tr>
    </w:tbl>
    <w:p>
      <w:pPr>
        <w:pStyle w:val="Style15"/>
        <w:keepNext w:val="0"/>
        <w:keepLines w:val="0"/>
        <w:widowControl w:val="0"/>
        <w:shd w:val="clear" w:color="auto" w:fill="auto"/>
        <w:bidi w:val="0"/>
        <w:spacing w:before="0" w:after="120" w:line="307" w:lineRule="exact"/>
        <w:ind w:left="0" w:right="0"/>
        <w:jc w:val="left"/>
      </w:pPr>
      <w:r>
        <w:rPr>
          <w:color w:val="000000"/>
          <w:spacing w:val="0"/>
          <w:w w:val="100"/>
          <w:position w:val="0"/>
        </w:rPr>
        <w:t>银行承兑汇票的承兑人是商业银行，由于商业银行具有较高的信用，银行承兑汇票到期不获支付的可能性较低，故本公 司将已背书或贴现的银行承兑汇票予以终止确认。但如果该等票据到期不获支付，依据《票据法》之规定，公司仍将对持票 人承担连带责任。</w:t>
      </w:r>
      <w:r>
        <w:br w:type="page"/>
      </w:r>
    </w:p>
    <w:p>
      <w:pPr>
        <w:pStyle w:val="Style24"/>
        <w:keepNext/>
        <w:keepLines/>
        <w:widowControl w:val="0"/>
        <w:shd w:val="clear" w:color="auto" w:fill="auto"/>
        <w:bidi w:val="0"/>
        <w:spacing w:before="0" w:after="34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7</w:t>
      </w:r>
      <w:bookmarkEnd w:id="1273"/>
      <w:r>
        <w:rPr>
          <w:color w:val="000000"/>
          <w:spacing w:val="0"/>
          <w:w w:val="100"/>
          <w:position w:val="0"/>
        </w:rPr>
        <w:t>、预付款项</w:t>
      </w:r>
      <w:bookmarkEnd w:id="1271"/>
      <w:bookmarkEnd w:id="1272"/>
      <w:bookmarkEnd w:id="1274"/>
    </w:p>
    <w:p>
      <w:pPr>
        <w:pStyle w:val="Style92"/>
        <w:keepNext/>
        <w:keepLines/>
        <w:widowControl w:val="0"/>
        <w:shd w:val="clear" w:color="auto" w:fill="auto"/>
        <w:bidi w:val="0"/>
        <w:spacing w:before="0" w:after="34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75"/>
      <w:bookmarkEnd w:id="1276"/>
      <w:bookmarkEnd w:id="1278"/>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12,008,903.59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31,936,489.02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6,346,599.72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4,523,206.22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2,362,516.64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1,489,147.49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2,244,910.81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2,302,089.15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22,962,930.76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40,250,931.88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92"/>
        <w:keepNext/>
        <w:keepLines/>
        <w:widowControl w:val="0"/>
        <w:shd w:val="clear" w:color="auto" w:fill="auto"/>
        <w:bidi w:val="0"/>
        <w:spacing w:before="0" w:after="34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79"/>
      <w:bookmarkEnd w:id="1280"/>
      <w:bookmarkEnd w:id="1282"/>
    </w:p>
    <w:p>
      <w:pPr>
        <w:pStyle w:val="Style15"/>
        <w:keepNext w:val="0"/>
        <w:keepLines w:val="0"/>
        <w:widowControl w:val="0"/>
        <w:shd w:val="clear" w:color="auto" w:fill="auto"/>
        <w:bidi w:val="0"/>
        <w:spacing w:before="0" w:after="140" w:line="240" w:lineRule="auto"/>
        <w:ind w:left="0" w:right="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rPr>
        <w:t>5</w:t>
      </w:r>
      <w:r>
        <w:rPr>
          <w:color w:val="000000"/>
          <w:spacing w:val="0"/>
          <w:w w:val="100"/>
          <w:position w:val="0"/>
        </w:rPr>
        <w:t>名的预付款项合计数为</w:t>
      </w:r>
      <w:r>
        <w:rPr>
          <w:rFonts w:ascii="Times New Roman" w:eastAsia="Times New Roman" w:hAnsi="Times New Roman" w:cs="Times New Roman"/>
          <w:color w:val="000000"/>
          <w:spacing w:val="0"/>
          <w:w w:val="100"/>
          <w:position w:val="0"/>
        </w:rPr>
        <w:t>5,119,067.49</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rPr>
        <w:t>22.29%</w:t>
      </w:r>
      <w:r>
        <w:rPr>
          <w:color w:val="000000"/>
          <w:spacing w:val="0"/>
          <w:w w:val="100"/>
          <w:position w:val="0"/>
        </w:rPr>
        <w:t>。</w:t>
      </w:r>
    </w:p>
    <w:p>
      <w:pPr>
        <w:pStyle w:val="Style1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40" w:line="240" w:lineRule="auto"/>
        <w:ind w:left="0" w:right="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w:t>
      </w:r>
      <w:r>
        <w:rPr>
          <w:rFonts w:ascii="Times New Roman" w:eastAsia="Times New Roman" w:hAnsi="Times New Roman" w:cs="Times New Roman"/>
          <w:color w:val="000000"/>
          <w:spacing w:val="0"/>
          <w:w w:val="100"/>
          <w:position w:val="0"/>
        </w:rPr>
        <w:t>“</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rPr>
        <w:t>”</w:t>
      </w:r>
      <w:r>
        <w:rPr>
          <w:color w:val="000000"/>
          <w:spacing w:val="0"/>
          <w:w w:val="100"/>
          <w:position w:val="0"/>
        </w:rPr>
        <w:t>之说明</w:t>
      </w:r>
    </w:p>
    <w:p>
      <w:pPr>
        <w:pStyle w:val="Style24"/>
        <w:keepNext/>
        <w:keepLines/>
        <w:widowControl w:val="0"/>
        <w:shd w:val="clear" w:color="auto" w:fill="auto"/>
        <w:bidi w:val="0"/>
        <w:spacing w:before="0" w:after="34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8</w:t>
      </w:r>
      <w:bookmarkEnd w:id="1285"/>
      <w:r>
        <w:rPr>
          <w:color w:val="000000"/>
          <w:spacing w:val="0"/>
          <w:w w:val="100"/>
          <w:position w:val="0"/>
        </w:rPr>
        <w:t>、其他应收款</w:t>
      </w:r>
      <w:bookmarkEnd w:id="1283"/>
      <w:bookmarkEnd w:id="1284"/>
      <w:bookmarkEnd w:id="1286"/>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58,601,699.50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48,876,156.41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58,601,699.50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48,876,156.41</w:t>
            </w:r>
          </w:p>
        </w:tc>
      </w:tr>
    </w:tbl>
    <w:p>
      <w:pPr>
        <w:widowControl w:val="0"/>
        <w:spacing w:after="339" w:line="1" w:lineRule="exact"/>
      </w:pPr>
    </w:p>
    <w:p>
      <w:pPr>
        <w:pStyle w:val="Style92"/>
        <w:keepNext/>
        <w:keepLines/>
        <w:widowControl w:val="0"/>
        <w:shd w:val="clear" w:color="auto" w:fill="auto"/>
        <w:bidi w:val="0"/>
        <w:spacing w:before="0" w:after="340" w:line="240" w:lineRule="auto"/>
        <w:ind w:left="0" w:right="0" w:firstLine="0"/>
        <w:jc w:val="both"/>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287"/>
      <w:bookmarkEnd w:id="1288"/>
      <w:bookmarkEnd w:id="1290"/>
    </w:p>
    <w:p>
      <w:pPr>
        <w:pStyle w:val="Style115"/>
        <w:keepNext/>
        <w:keepLines/>
        <w:widowControl w:val="0"/>
        <w:shd w:val="clear" w:color="auto" w:fill="auto"/>
        <w:bidi w:val="0"/>
        <w:spacing w:before="0" w:after="340" w:line="240" w:lineRule="auto"/>
        <w:ind w:left="0" w:right="0" w:firstLine="0"/>
        <w:jc w:val="both"/>
        <w:rPr>
          <w:sz w:val="20"/>
          <w:szCs w:val="20"/>
        </w:rPr>
      </w:pPr>
      <w:bookmarkStart w:id="1291" w:name="bookmark1291"/>
      <w:bookmarkStart w:id="1292" w:name="bookmark1292"/>
      <w:bookmarkStart w:id="1293" w:name="bookmark1293"/>
      <w:bookmarkStart w:id="1294" w:name="bookmark1294"/>
      <w:r>
        <w:rPr>
          <w:rFonts w:ascii="Times New Roman" w:eastAsia="Times New Roman" w:hAnsi="Times New Roman" w:cs="Times New Roman"/>
          <w:b/>
          <w:bCs/>
          <w:color w:val="000000"/>
          <w:spacing w:val="0"/>
          <w:w w:val="100"/>
          <w:position w:val="0"/>
          <w:sz w:val="20"/>
          <w:szCs w:val="20"/>
        </w:rPr>
        <w:t>1</w:t>
      </w:r>
      <w:bookmarkEnd w:id="1293"/>
      <w:r>
        <w:rPr>
          <w:b/>
          <w:bCs/>
          <w:color w:val="000000"/>
          <w:spacing w:val="0"/>
          <w:w w:val="100"/>
          <w:position w:val="0"/>
          <w:sz w:val="20"/>
          <w:szCs w:val="20"/>
        </w:rPr>
        <w:t>）应收利息分类</w:t>
      </w:r>
      <w:bookmarkEnd w:id="1291"/>
      <w:bookmarkEnd w:id="1292"/>
      <w:bookmarkEnd w:id="1294"/>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115"/>
        <w:keepNext/>
        <w:keepLines/>
        <w:widowControl w:val="0"/>
        <w:shd w:val="clear" w:color="auto" w:fill="auto"/>
        <w:bidi w:val="0"/>
        <w:spacing w:before="0" w:after="340" w:line="240" w:lineRule="auto"/>
        <w:ind w:left="0" w:right="0" w:firstLine="0"/>
        <w:jc w:val="both"/>
        <w:rPr>
          <w:sz w:val="20"/>
          <w:szCs w:val="20"/>
        </w:rPr>
      </w:pPr>
      <w:bookmarkStart w:id="1295" w:name="bookmark1295"/>
      <w:bookmarkStart w:id="1296" w:name="bookmark1296"/>
      <w:bookmarkStart w:id="1297" w:name="bookmark1297"/>
      <w:bookmarkStart w:id="1298" w:name="bookmark1298"/>
      <w:r>
        <w:rPr>
          <w:rFonts w:ascii="Times New Roman" w:eastAsia="Times New Roman" w:hAnsi="Times New Roman" w:cs="Times New Roman"/>
          <w:b/>
          <w:bCs/>
          <w:color w:val="000000"/>
          <w:spacing w:val="0"/>
          <w:w w:val="100"/>
          <w:position w:val="0"/>
          <w:sz w:val="20"/>
          <w:szCs w:val="20"/>
        </w:rPr>
        <w:t>2</w:t>
      </w:r>
      <w:bookmarkEnd w:id="1297"/>
      <w:r>
        <w:rPr>
          <w:b/>
          <w:bCs/>
          <w:color w:val="000000"/>
          <w:spacing w:val="0"/>
          <w:w w:val="100"/>
          <w:position w:val="0"/>
          <w:sz w:val="20"/>
          <w:szCs w:val="20"/>
        </w:rPr>
        <w:t>）重要逾期利息</w:t>
      </w:r>
      <w:bookmarkEnd w:id="1295"/>
      <w:bookmarkEnd w:id="1296"/>
      <w:bookmarkEnd w:id="1298"/>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115"/>
        <w:keepNext/>
        <w:keepLines/>
        <w:widowControl w:val="0"/>
        <w:shd w:val="clear" w:color="auto" w:fill="auto"/>
        <w:bidi w:val="0"/>
        <w:spacing w:before="0" w:after="340" w:line="240" w:lineRule="auto"/>
        <w:ind w:left="0" w:right="0" w:firstLine="0"/>
        <w:jc w:val="left"/>
        <w:rPr>
          <w:sz w:val="20"/>
          <w:szCs w:val="20"/>
        </w:rPr>
      </w:pPr>
      <w:bookmarkStart w:id="1299" w:name="bookmark1299"/>
      <w:bookmarkStart w:id="1300" w:name="bookmark1300"/>
      <w:bookmarkStart w:id="1301" w:name="bookmark1301"/>
      <w:bookmarkStart w:id="1302" w:name="bookmark1302"/>
      <w:r>
        <w:rPr>
          <w:rFonts w:ascii="Times New Roman" w:eastAsia="Times New Roman" w:hAnsi="Times New Roman" w:cs="Times New Roman"/>
          <w:b/>
          <w:bCs/>
          <w:color w:val="000000"/>
          <w:spacing w:val="0"/>
          <w:w w:val="100"/>
          <w:position w:val="0"/>
          <w:sz w:val="20"/>
          <w:szCs w:val="20"/>
        </w:rPr>
        <w:t>3</w:t>
      </w:r>
      <w:bookmarkEnd w:id="1301"/>
      <w:r>
        <w:rPr>
          <w:b/>
          <w:bCs/>
          <w:color w:val="000000"/>
          <w:spacing w:val="0"/>
          <w:w w:val="100"/>
          <w:position w:val="0"/>
          <w:sz w:val="20"/>
          <w:szCs w:val="20"/>
        </w:rPr>
        <w:t>）坏账准备计提情况</w:t>
      </w:r>
      <w:bookmarkEnd w:id="1299"/>
      <w:bookmarkEnd w:id="1300"/>
      <w:bookmarkEnd w:id="1302"/>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92"/>
        <w:keepNext/>
        <w:keepLines/>
        <w:widowControl w:val="0"/>
        <w:shd w:val="clear" w:color="auto" w:fill="auto"/>
        <w:bidi w:val="0"/>
        <w:spacing w:before="0" w:after="340" w:line="240" w:lineRule="auto"/>
        <w:ind w:left="0" w:right="0" w:firstLine="0"/>
        <w:jc w:val="both"/>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03"/>
      <w:bookmarkEnd w:id="1304"/>
      <w:bookmarkEnd w:id="1306"/>
    </w:p>
    <w:p>
      <w:pPr>
        <w:pStyle w:val="Style115"/>
        <w:keepNext/>
        <w:keepLines/>
        <w:widowControl w:val="0"/>
        <w:shd w:val="clear" w:color="auto" w:fill="auto"/>
        <w:bidi w:val="0"/>
        <w:spacing w:before="0" w:after="340" w:line="240" w:lineRule="auto"/>
        <w:ind w:left="0" w:right="0" w:firstLine="0"/>
        <w:jc w:val="both"/>
        <w:rPr>
          <w:sz w:val="20"/>
          <w:szCs w:val="20"/>
        </w:rPr>
      </w:pPr>
      <w:bookmarkStart w:id="1307" w:name="bookmark1307"/>
      <w:bookmarkStart w:id="1308" w:name="bookmark1308"/>
      <w:bookmarkStart w:id="1309" w:name="bookmark1309"/>
      <w:bookmarkStart w:id="1310" w:name="bookmark1310"/>
      <w:r>
        <w:rPr>
          <w:rFonts w:ascii="Times New Roman" w:eastAsia="Times New Roman" w:hAnsi="Times New Roman" w:cs="Times New Roman"/>
          <w:b/>
          <w:bCs/>
          <w:color w:val="000000"/>
          <w:spacing w:val="0"/>
          <w:w w:val="100"/>
          <w:position w:val="0"/>
          <w:sz w:val="20"/>
          <w:szCs w:val="20"/>
        </w:rPr>
        <w:t>1</w:t>
      </w:r>
      <w:bookmarkEnd w:id="1309"/>
      <w:r>
        <w:rPr>
          <w:b/>
          <w:bCs/>
          <w:color w:val="000000"/>
          <w:spacing w:val="0"/>
          <w:w w:val="100"/>
          <w:position w:val="0"/>
          <w:sz w:val="20"/>
          <w:szCs w:val="20"/>
        </w:rPr>
        <w:t>）应收股利分类</w:t>
      </w:r>
      <w:bookmarkEnd w:id="1307"/>
      <w:bookmarkEnd w:id="1308"/>
      <w:bookmarkEnd w:id="1310"/>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115"/>
        <w:keepNext/>
        <w:keepLines/>
        <w:widowControl w:val="0"/>
        <w:shd w:val="clear" w:color="auto" w:fill="auto"/>
        <w:bidi w:val="0"/>
        <w:spacing w:before="0" w:after="340" w:line="240" w:lineRule="auto"/>
        <w:ind w:left="0" w:right="0" w:firstLine="0"/>
        <w:jc w:val="left"/>
        <w:rPr>
          <w:sz w:val="20"/>
          <w:szCs w:val="20"/>
        </w:rPr>
      </w:pPr>
      <w:bookmarkStart w:id="1311" w:name="bookmark1311"/>
      <w:bookmarkStart w:id="1312" w:name="bookmark1312"/>
      <w:bookmarkStart w:id="1313" w:name="bookmark1313"/>
      <w:bookmarkStart w:id="1314" w:name="bookmark1314"/>
      <w:r>
        <w:rPr>
          <w:rFonts w:ascii="Times New Roman" w:eastAsia="Times New Roman" w:hAnsi="Times New Roman" w:cs="Times New Roman"/>
          <w:b/>
          <w:bCs/>
          <w:color w:val="000000"/>
          <w:spacing w:val="0"/>
          <w:w w:val="100"/>
          <w:position w:val="0"/>
          <w:sz w:val="20"/>
          <w:szCs w:val="20"/>
        </w:rPr>
        <w:t>2</w:t>
      </w:r>
      <w:bookmarkEnd w:id="1313"/>
      <w:r>
        <w:rPr>
          <w:b/>
          <w:bCs/>
          <w:color w:val="000000"/>
          <w:spacing w:val="0"/>
          <w:w w:val="100"/>
          <w:position w:val="0"/>
          <w:sz w:val="20"/>
          <w:szCs w:val="20"/>
        </w:rPr>
        <w:t>）重要的账龄超过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年的应收股利</w:t>
      </w:r>
      <w:bookmarkEnd w:id="1311"/>
      <w:bookmarkEnd w:id="1312"/>
      <w:bookmarkEnd w:id="1314"/>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115"/>
        <w:keepNext/>
        <w:keepLines/>
        <w:widowControl w:val="0"/>
        <w:shd w:val="clear" w:color="auto" w:fill="auto"/>
        <w:bidi w:val="0"/>
        <w:spacing w:before="0" w:after="340" w:line="240" w:lineRule="auto"/>
        <w:ind w:left="0" w:right="0" w:firstLine="0"/>
        <w:jc w:val="left"/>
        <w:rPr>
          <w:sz w:val="20"/>
          <w:szCs w:val="20"/>
        </w:rPr>
      </w:pPr>
      <w:bookmarkStart w:id="1315" w:name="bookmark1315"/>
      <w:bookmarkStart w:id="1316" w:name="bookmark1316"/>
      <w:bookmarkStart w:id="1317" w:name="bookmark1317"/>
      <w:bookmarkStart w:id="1318" w:name="bookmark1318"/>
      <w:r>
        <w:rPr>
          <w:rFonts w:ascii="Times New Roman" w:eastAsia="Times New Roman" w:hAnsi="Times New Roman" w:cs="Times New Roman"/>
          <w:b/>
          <w:bCs/>
          <w:color w:val="000000"/>
          <w:spacing w:val="0"/>
          <w:w w:val="100"/>
          <w:position w:val="0"/>
          <w:sz w:val="20"/>
          <w:szCs w:val="20"/>
        </w:rPr>
        <w:t>3</w:t>
      </w:r>
      <w:bookmarkEnd w:id="1317"/>
      <w:r>
        <w:rPr>
          <w:b/>
          <w:bCs/>
          <w:color w:val="000000"/>
          <w:spacing w:val="0"/>
          <w:w w:val="100"/>
          <w:position w:val="0"/>
          <w:sz w:val="20"/>
          <w:szCs w:val="20"/>
        </w:rPr>
        <w:t>）坏账准备计提情况</w:t>
      </w:r>
      <w:bookmarkEnd w:id="1315"/>
      <w:bookmarkEnd w:id="1316"/>
      <w:bookmarkEnd w:id="131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92"/>
        <w:keepNext/>
        <w:keepLines/>
        <w:widowControl w:val="0"/>
        <w:shd w:val="clear" w:color="auto" w:fill="auto"/>
        <w:bidi w:val="0"/>
        <w:spacing w:before="0" w:after="34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19"/>
      <w:bookmarkEnd w:id="1320"/>
      <w:bookmarkEnd w:id="1322"/>
    </w:p>
    <w:p>
      <w:pPr>
        <w:pStyle w:val="Style115"/>
        <w:keepNext/>
        <w:keepLines/>
        <w:widowControl w:val="0"/>
        <w:shd w:val="clear" w:color="auto" w:fill="auto"/>
        <w:bidi w:val="0"/>
        <w:spacing w:before="0" w:after="340" w:line="240" w:lineRule="auto"/>
        <w:ind w:left="0" w:right="0" w:firstLine="0"/>
        <w:jc w:val="left"/>
        <w:rPr>
          <w:sz w:val="20"/>
          <w:szCs w:val="20"/>
        </w:rPr>
      </w:pPr>
      <w:bookmarkStart w:id="1323" w:name="bookmark1323"/>
      <w:bookmarkStart w:id="1324" w:name="bookmark1324"/>
      <w:bookmarkStart w:id="1325" w:name="bookmark1325"/>
      <w:bookmarkStart w:id="1326" w:name="bookmark1326"/>
      <w:r>
        <w:rPr>
          <w:rFonts w:ascii="Times New Roman" w:eastAsia="Times New Roman" w:hAnsi="Times New Roman" w:cs="Times New Roman"/>
          <w:b/>
          <w:bCs/>
          <w:color w:val="000000"/>
          <w:spacing w:val="0"/>
          <w:w w:val="100"/>
          <w:position w:val="0"/>
          <w:sz w:val="20"/>
          <w:szCs w:val="20"/>
        </w:rPr>
        <w:t>1</w:t>
      </w:r>
      <w:bookmarkEnd w:id="1325"/>
      <w:r>
        <w:rPr>
          <w:b/>
          <w:bCs/>
          <w:color w:val="000000"/>
          <w:spacing w:val="0"/>
          <w:w w:val="100"/>
          <w:position w:val="0"/>
          <w:sz w:val="20"/>
          <w:szCs w:val="20"/>
        </w:rPr>
        <w:t>）其他应收款按款项性质分类情况</w:t>
      </w:r>
      <w:bookmarkEnd w:id="1323"/>
      <w:bookmarkEnd w:id="1324"/>
      <w:bookmarkEnd w:id="1326"/>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67,669,861.30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60,146,949.87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4,272,263.17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3,086,871.02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7,388,128.93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5,759,101.01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81,830,253.40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68,992,921.90</w:t>
            </w:r>
          </w:p>
        </w:tc>
      </w:tr>
    </w:tbl>
    <w:p>
      <w:pPr>
        <w:widowControl w:val="0"/>
        <w:spacing w:after="339" w:line="1" w:lineRule="exact"/>
      </w:pPr>
    </w:p>
    <w:p>
      <w:pPr>
        <w:pStyle w:val="Style115"/>
        <w:keepNext/>
        <w:keepLines/>
        <w:widowControl w:val="0"/>
        <w:shd w:val="clear" w:color="auto" w:fill="auto"/>
        <w:bidi w:val="0"/>
        <w:spacing w:before="0" w:after="340" w:line="240" w:lineRule="auto"/>
        <w:ind w:left="0" w:right="0" w:firstLine="0"/>
        <w:jc w:val="left"/>
        <w:rPr>
          <w:sz w:val="20"/>
          <w:szCs w:val="20"/>
        </w:rPr>
      </w:pPr>
      <w:bookmarkStart w:id="1327" w:name="bookmark1327"/>
      <w:bookmarkStart w:id="1328" w:name="bookmark1328"/>
      <w:bookmarkStart w:id="1329" w:name="bookmark1329"/>
      <w:bookmarkStart w:id="1330" w:name="bookmark1330"/>
      <w:r>
        <w:rPr>
          <w:rFonts w:ascii="Times New Roman" w:eastAsia="Times New Roman" w:hAnsi="Times New Roman" w:cs="Times New Roman"/>
          <w:b/>
          <w:bCs/>
          <w:color w:val="000000"/>
          <w:spacing w:val="0"/>
          <w:w w:val="100"/>
          <w:position w:val="0"/>
          <w:sz w:val="20"/>
          <w:szCs w:val="20"/>
        </w:rPr>
        <w:t>2</w:t>
      </w:r>
      <w:bookmarkEnd w:id="1329"/>
      <w:r>
        <w:rPr>
          <w:b/>
          <w:bCs/>
          <w:color w:val="000000"/>
          <w:spacing w:val="0"/>
          <w:w w:val="100"/>
          <w:position w:val="0"/>
          <w:sz w:val="20"/>
          <w:szCs w:val="20"/>
        </w:rPr>
        <w:t>）坏账准备计提情况</w:t>
      </w:r>
      <w:bookmarkEnd w:id="1327"/>
      <w:bookmarkEnd w:id="1328"/>
      <w:bookmarkEnd w:id="1330"/>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1,289,541.28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3,721,207.89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15,106,016.32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20,116,765.49</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-758,645.01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758,645.01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-3,034,219.42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3,034,219.42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1,039,985.09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1,621,944.35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-1,759,069.67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902,859.77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5,495.00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9,192.72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9,192.72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85,655.23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-32,997.80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2,159,968.93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2,212,626.36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1,656,536.59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3,034,580.03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18,537,437.28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23,228,553.90</w:t>
            </w:r>
          </w:p>
        </w:tc>
      </w:tr>
    </w:tbl>
    <w:p>
      <w:pPr>
        <w:pStyle w:val="Style15"/>
        <w:keepNext w:val="0"/>
        <w:keepLines w:val="0"/>
        <w:widowControl w:val="0"/>
        <w:shd w:val="clear" w:color="auto" w:fill="auto"/>
        <w:bidi w:val="0"/>
        <w:spacing w:before="0" w:after="0" w:line="346" w:lineRule="exact"/>
        <w:ind w:left="0" w:right="0" w:firstLine="0"/>
        <w:jc w:val="left"/>
      </w:pPr>
      <w:r>
        <w:rPr>
          <w:color w:val="000000"/>
          <w:spacing w:val="0"/>
          <w:w w:val="100"/>
          <w:position w:val="0"/>
        </w:rPr>
        <w:t>损失准备本期变动金额重大的账面余额变动情况 口适用”不适用</w:t>
      </w:r>
    </w:p>
    <w:p>
      <w:pPr>
        <w:pStyle w:val="Style1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33,130,731.78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15,172,900.13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15,171,097.08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18,355,524.41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7,485,741.81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3,132,726.76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7,737,055.84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81,830,253.40</w:t>
            </w:r>
          </w:p>
        </w:tc>
      </w:tr>
    </w:tbl>
    <w:p>
      <w:pPr>
        <w:widowControl w:val="0"/>
        <w:spacing w:after="299" w:line="1" w:lineRule="exact"/>
      </w:pPr>
    </w:p>
    <w:p>
      <w:pPr>
        <w:pStyle w:val="Style115"/>
        <w:keepNext/>
        <w:keepLines/>
        <w:widowControl w:val="0"/>
        <w:shd w:val="clear" w:color="auto" w:fill="auto"/>
        <w:bidi w:val="0"/>
        <w:spacing w:before="0" w:after="380" w:line="240" w:lineRule="auto"/>
        <w:ind w:left="0" w:right="0" w:firstLine="0"/>
        <w:jc w:val="left"/>
        <w:rPr>
          <w:sz w:val="20"/>
          <w:szCs w:val="20"/>
        </w:rPr>
      </w:pPr>
      <w:bookmarkStart w:id="1331" w:name="bookmark1331"/>
      <w:bookmarkStart w:id="1332" w:name="bookmark1332"/>
      <w:bookmarkStart w:id="1333" w:name="bookmark1333"/>
      <w:bookmarkStart w:id="1334" w:name="bookmark1334"/>
      <w:r>
        <w:rPr>
          <w:rFonts w:ascii="Times New Roman" w:eastAsia="Times New Roman" w:hAnsi="Times New Roman" w:cs="Times New Roman"/>
          <w:b/>
          <w:bCs/>
          <w:color w:val="000000"/>
          <w:spacing w:val="0"/>
          <w:w w:val="100"/>
          <w:position w:val="0"/>
          <w:sz w:val="20"/>
          <w:szCs w:val="20"/>
        </w:rPr>
        <w:t>3</w:t>
      </w:r>
      <w:bookmarkEnd w:id="1333"/>
      <w:r>
        <w:rPr>
          <w:b/>
          <w:bCs/>
          <w:color w:val="000000"/>
          <w:spacing w:val="0"/>
          <w:w w:val="100"/>
          <w:position w:val="0"/>
          <w:sz w:val="20"/>
          <w:szCs w:val="20"/>
        </w:rPr>
        <w:t>）本期计提、收回或转回的坏账准备情况</w:t>
      </w:r>
      <w:bookmarkEnd w:id="1331"/>
      <w:bookmarkEnd w:id="1332"/>
      <w:bookmarkEnd w:id="1334"/>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20,116,765.</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902,859.77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5,495.00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9,192.72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2,212,626.36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23,228,553.90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20,116,765.</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902,859.77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5,495.00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9,192.72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2,212,626.36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23,228,553.90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其中本期坏账准备转回或收回金额重要的:</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115"/>
        <w:keepNext/>
        <w:keepLines/>
        <w:widowControl w:val="0"/>
        <w:shd w:val="clear" w:color="auto" w:fill="auto"/>
        <w:bidi w:val="0"/>
        <w:spacing w:before="0" w:after="360" w:line="240" w:lineRule="auto"/>
        <w:ind w:left="0" w:right="0" w:firstLine="0"/>
        <w:jc w:val="left"/>
        <w:rPr>
          <w:sz w:val="20"/>
          <w:szCs w:val="20"/>
        </w:rPr>
      </w:pPr>
      <w:bookmarkStart w:id="1335" w:name="bookmark1335"/>
      <w:bookmarkStart w:id="1336" w:name="bookmark1336"/>
      <w:bookmarkStart w:id="1337" w:name="bookmark1337"/>
      <w:bookmarkStart w:id="1338" w:name="bookmark1338"/>
      <w:r>
        <w:rPr>
          <w:rFonts w:ascii="Times New Roman" w:eastAsia="Times New Roman" w:hAnsi="Times New Roman" w:cs="Times New Roman"/>
          <w:b/>
          <w:bCs/>
          <w:color w:val="000000"/>
          <w:spacing w:val="0"/>
          <w:w w:val="100"/>
          <w:position w:val="0"/>
          <w:sz w:val="20"/>
          <w:szCs w:val="20"/>
        </w:rPr>
        <w:t>4</w:t>
      </w:r>
      <w:bookmarkEnd w:id="1337"/>
      <w:r>
        <w:rPr>
          <w:b/>
          <w:bCs/>
          <w:color w:val="000000"/>
          <w:spacing w:val="0"/>
          <w:w w:val="100"/>
          <w:position w:val="0"/>
          <w:sz w:val="20"/>
          <w:szCs w:val="20"/>
        </w:rPr>
        <w:t>）本期实际核销的其他应收款情况</w:t>
      </w:r>
      <w:bookmarkEnd w:id="1335"/>
      <w:bookmarkEnd w:id="1336"/>
      <w:bookmarkEnd w:id="1338"/>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9,192.72</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其中重要的其他应收款核销情况:</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98"/>
        <w:gridCol w:w="1594"/>
        <w:gridCol w:w="1598"/>
        <w:gridCol w:w="1594"/>
        <w:gridCol w:w="1594"/>
        <w:gridCol w:w="165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r>
        <w:trPr>
          <w:trHeight w:val="1632"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60" w:line="240" w:lineRule="auto"/>
              <w:ind w:left="0" w:right="0" w:firstLine="0"/>
              <w:jc w:val="left"/>
              <w:rPr>
                <w:sz w:val="20"/>
                <w:szCs w:val="20"/>
              </w:rPr>
            </w:pPr>
            <w:bookmarkStart w:id="1339" w:name="bookmark133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339"/>
          </w:p>
          <w:p>
            <w:pPr>
              <w:pStyle w:val="Style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福建医科大学附 属协和医院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7,367,787.75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2,210,336.33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盐城市第一人民 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3,016,000.00 </w:t>
            </w:r>
            <w:r>
              <w:rPr>
                <w:color w:val="000000"/>
                <w:spacing w:val="0"/>
                <w:w w:val="100"/>
                <w:position w:val="0"/>
              </w:rPr>
              <w:t>元、</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2,479,000.00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646,600.00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朗致集团江西医 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2,000,000.00 </w:t>
            </w:r>
            <w:r>
              <w:rPr>
                <w:color w:val="000000"/>
                <w:spacing w:val="0"/>
                <w:w w:val="100"/>
                <w:position w:val="0"/>
              </w:rPr>
              <w:t>元、</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1,000,000.00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长寿健康保险股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盐城市第二人民 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101,500.00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19,992,787.75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5,658,436.33</w:t>
            </w:r>
          </w:p>
        </w:tc>
      </w:tr>
    </w:tbl>
    <w:p>
      <w:pPr>
        <w:widowControl w:val="0"/>
        <w:spacing w:after="299" w:line="1" w:lineRule="exact"/>
      </w:pPr>
    </w:p>
    <w:p>
      <w:pPr>
        <w:pStyle w:val="Style115"/>
        <w:keepNext/>
        <w:keepLines/>
        <w:widowControl w:val="0"/>
        <w:shd w:val="clear" w:color="auto" w:fill="auto"/>
        <w:bidi w:val="0"/>
        <w:spacing w:before="0" w:after="360" w:line="240" w:lineRule="auto"/>
        <w:ind w:left="0" w:right="0" w:firstLine="0"/>
        <w:jc w:val="left"/>
        <w:rPr>
          <w:sz w:val="20"/>
          <w:szCs w:val="20"/>
        </w:rPr>
      </w:pPr>
      <w:bookmarkStart w:id="1340" w:name="bookmark1340"/>
      <w:bookmarkStart w:id="1341" w:name="bookmark1341"/>
      <w:bookmarkStart w:id="1342" w:name="bookmark1342"/>
      <w:bookmarkStart w:id="1343" w:name="bookmark1343"/>
      <w:r>
        <w:rPr>
          <w:rFonts w:ascii="Times New Roman" w:eastAsia="Times New Roman" w:hAnsi="Times New Roman" w:cs="Times New Roman"/>
          <w:b/>
          <w:bCs/>
          <w:color w:val="000000"/>
          <w:spacing w:val="0"/>
          <w:w w:val="100"/>
          <w:position w:val="0"/>
          <w:sz w:val="20"/>
          <w:szCs w:val="20"/>
        </w:rPr>
        <w:t>6</w:t>
      </w:r>
      <w:bookmarkEnd w:id="1342"/>
      <w:r>
        <w:rPr>
          <w:b/>
          <w:bCs/>
          <w:color w:val="000000"/>
          <w:spacing w:val="0"/>
          <w:w w:val="100"/>
          <w:position w:val="0"/>
          <w:sz w:val="20"/>
          <w:szCs w:val="20"/>
        </w:rPr>
        <w:t>）涉及政府补助的应收款项</w:t>
      </w:r>
      <w:bookmarkEnd w:id="1340"/>
      <w:bookmarkEnd w:id="1341"/>
      <w:bookmarkEnd w:id="134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pStyle w:val="Style115"/>
        <w:keepNext/>
        <w:keepLines/>
        <w:widowControl w:val="0"/>
        <w:shd w:val="clear" w:color="auto" w:fill="auto"/>
        <w:tabs>
          <w:tab w:pos="392" w:val="left"/>
        </w:tabs>
        <w:bidi w:val="0"/>
        <w:spacing w:before="0" w:after="340" w:line="240" w:lineRule="auto"/>
        <w:ind w:left="0" w:right="0" w:firstLine="0"/>
        <w:jc w:val="left"/>
        <w:rPr>
          <w:sz w:val="20"/>
          <w:szCs w:val="20"/>
        </w:rPr>
      </w:pPr>
      <w:bookmarkStart w:id="1344" w:name="bookmark1344"/>
      <w:bookmarkStart w:id="1345" w:name="bookmark1345"/>
      <w:bookmarkStart w:id="1346" w:name="bookmark1346"/>
      <w:bookmarkStart w:id="1347" w:name="bookmark1347"/>
      <w:r>
        <w:rPr>
          <w:rFonts w:ascii="Times New Roman" w:eastAsia="Times New Roman" w:hAnsi="Times New Roman" w:cs="Times New Roman"/>
          <w:b/>
          <w:bCs/>
          <w:color w:val="000000"/>
          <w:spacing w:val="0"/>
          <w:w w:val="100"/>
          <w:position w:val="0"/>
          <w:sz w:val="20"/>
          <w:szCs w:val="20"/>
        </w:rPr>
        <w:t>7</w:t>
      </w:r>
      <w:bookmarkEnd w:id="1346"/>
      <w:r>
        <w:rPr>
          <w:b/>
          <w:bCs/>
          <w:color w:val="000000"/>
          <w:spacing w:val="0"/>
          <w:w w:val="100"/>
          <w:position w:val="0"/>
          <w:sz w:val="20"/>
          <w:szCs w:val="20"/>
        </w:rPr>
        <w:t>）</w:t>
        <w:tab/>
        <w:t>因金融资产转移而终止确认的其他应收款</w:t>
      </w:r>
      <w:bookmarkEnd w:id="1344"/>
      <w:bookmarkEnd w:id="1345"/>
      <w:bookmarkEnd w:id="1347"/>
    </w:p>
    <w:p>
      <w:pPr>
        <w:pStyle w:val="Style115"/>
        <w:keepNext/>
        <w:keepLines/>
        <w:widowControl w:val="0"/>
        <w:shd w:val="clear" w:color="auto" w:fill="auto"/>
        <w:tabs>
          <w:tab w:pos="397" w:val="left"/>
        </w:tabs>
        <w:bidi w:val="0"/>
        <w:spacing w:before="0" w:after="340" w:line="240" w:lineRule="auto"/>
        <w:ind w:left="0" w:right="0" w:firstLine="0"/>
        <w:jc w:val="left"/>
        <w:rPr>
          <w:sz w:val="20"/>
          <w:szCs w:val="20"/>
        </w:rPr>
      </w:pPr>
      <w:bookmarkStart w:id="1348" w:name="bookmark1348"/>
      <w:bookmarkStart w:id="1349" w:name="bookmark1349"/>
      <w:bookmarkStart w:id="1350" w:name="bookmark1350"/>
      <w:bookmarkStart w:id="1351" w:name="bookmark1351"/>
      <w:r>
        <w:rPr>
          <w:rFonts w:ascii="Times New Roman" w:eastAsia="Times New Roman" w:hAnsi="Times New Roman" w:cs="Times New Roman"/>
          <w:b/>
          <w:bCs/>
          <w:color w:val="000000"/>
          <w:spacing w:val="0"/>
          <w:w w:val="100"/>
          <w:position w:val="0"/>
          <w:sz w:val="20"/>
          <w:szCs w:val="20"/>
        </w:rPr>
        <w:t>8</w:t>
      </w:r>
      <w:bookmarkEnd w:id="1350"/>
      <w:r>
        <w:rPr>
          <w:b/>
          <w:bCs/>
          <w:color w:val="000000"/>
          <w:spacing w:val="0"/>
          <w:w w:val="100"/>
          <w:position w:val="0"/>
          <w:sz w:val="20"/>
          <w:szCs w:val="20"/>
        </w:rPr>
        <w:t>）</w:t>
        <w:tab/>
        <w:t>转移其他应收款且继续涉入形成的资产、负债金额</w:t>
      </w:r>
      <w:bookmarkEnd w:id="1348"/>
      <w:bookmarkEnd w:id="1349"/>
      <w:bookmarkEnd w:id="1351"/>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4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9</w:t>
      </w:r>
      <w:bookmarkEnd w:id="1354"/>
      <w:r>
        <w:rPr>
          <w:color w:val="000000"/>
          <w:spacing w:val="0"/>
          <w:w w:val="100"/>
          <w:position w:val="0"/>
        </w:rPr>
        <w:t>、存货</w:t>
      </w:r>
      <w:bookmarkEnd w:id="1352"/>
      <w:bookmarkEnd w:id="1353"/>
      <w:bookmarkEnd w:id="1355"/>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p>
    <w:p>
      <w:pPr>
        <w:pStyle w:val="Style92"/>
        <w:keepNext/>
        <w:keepLines/>
        <w:widowControl w:val="0"/>
        <w:shd w:val="clear" w:color="auto" w:fill="auto"/>
        <w:bidi w:val="0"/>
        <w:spacing w:before="0" w:after="34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56"/>
      <w:bookmarkEnd w:id="1357"/>
      <w:bookmarkEnd w:id="135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或合同履约成</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14,614,487.92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14,614,487.92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117,171,571.79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1,723,916.81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115,447,654.98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171,569,889.18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1,427,503.59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170,142,385.59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12,034,733.17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12,034,733.17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13,560,212.42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13,560,212.42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113,022,630.43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113,022,630.43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127,232,741.71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127,232,741.71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242,228,935.39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1,723,916.81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240,505,018.58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326,977,331.23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1,427,503.59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325,549,827.64</w:t>
            </w:r>
          </w:p>
        </w:tc>
      </w:tr>
    </w:tbl>
    <w:p>
      <w:pPr>
        <w:widowControl w:val="0"/>
        <w:spacing w:after="339" w:line="1" w:lineRule="exact"/>
      </w:pPr>
    </w:p>
    <w:p>
      <w:pPr>
        <w:pStyle w:val="Style92"/>
        <w:keepNext/>
        <w:keepLines/>
        <w:widowControl w:val="0"/>
        <w:shd w:val="clear" w:color="auto" w:fill="auto"/>
        <w:bidi w:val="0"/>
        <w:spacing w:before="0" w:after="34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60"/>
      <w:bookmarkEnd w:id="1361"/>
      <w:bookmarkEnd w:id="136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1,427,503.59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1,519,333.11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1,222,919.89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1,723,916.81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1,427,503.59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1,519,333.11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1,222,919.89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1,723,916.81</w:t>
            </w:r>
          </w:p>
        </w:tc>
      </w:tr>
    </w:tbl>
    <w:p>
      <w:pPr>
        <w:widowControl w:val="0"/>
        <w:spacing w:after="339" w:line="1" w:lineRule="exact"/>
      </w:pPr>
    </w:p>
    <w:p>
      <w:pPr>
        <w:pStyle w:val="Style92"/>
        <w:keepNext/>
        <w:keepLines/>
        <w:widowControl w:val="0"/>
        <w:shd w:val="clear" w:color="auto" w:fill="auto"/>
        <w:tabs>
          <w:tab w:pos="493" w:val="left"/>
        </w:tabs>
        <w:bidi w:val="0"/>
        <w:spacing w:before="0" w:after="34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64"/>
      <w:bookmarkEnd w:id="1365"/>
      <w:bookmarkEnd w:id="1367"/>
    </w:p>
    <w:p>
      <w:pPr>
        <w:pStyle w:val="Style92"/>
        <w:keepNext/>
        <w:keepLines/>
        <w:widowControl w:val="0"/>
        <w:shd w:val="clear" w:color="auto" w:fill="auto"/>
        <w:tabs>
          <w:tab w:pos="493" w:val="left"/>
        </w:tabs>
        <w:bidi w:val="0"/>
        <w:spacing w:before="0" w:after="34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w:t>
      </w:r>
      <w:bookmarkEnd w:id="137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68"/>
      <w:bookmarkEnd w:id="1369"/>
      <w:bookmarkEnd w:id="1371"/>
    </w:p>
    <w:p>
      <w:pPr>
        <w:pStyle w:val="Style24"/>
        <w:keepNext/>
        <w:keepLines/>
        <w:widowControl w:val="0"/>
        <w:shd w:val="clear" w:color="auto" w:fill="auto"/>
        <w:bidi w:val="0"/>
        <w:spacing w:before="0" w:after="34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1</w:t>
      </w:r>
      <w:bookmarkEnd w:id="137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72"/>
      <w:bookmarkEnd w:id="1373"/>
      <w:bookmarkEnd w:id="1375"/>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3720"/>
        <w:gridCol w:w="372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footnotePr>
            <w:pos w:val="pageBottom"/>
            <w:numFmt w:val="decimal"/>
            <w:numRestart w:val="continuous"/>
          </w:footnotePr>
          <w:pgSz w:w="11900" w:h="16840"/>
          <w:pgMar w:top="1211" w:right="1061" w:bottom="1439" w:left="1062" w:header="0" w:footer="3" w:gutter="0"/>
          <w:cols w:space="720"/>
          <w:noEndnote/>
          <w:rtlGutter w:val="0"/>
          <w:docGrid w:linePitch="360"/>
        </w:sectPr>
      </w:pPr>
    </w:p>
    <w:p>
      <w:pPr>
        <w:widowControl w:val="0"/>
        <w:spacing w:after="339" w:line="1" w:lineRule="exact"/>
      </w:pPr>
    </w:p>
    <w:tbl>
      <w:tblPr>
        <w:tblOverlap w:val="never"/>
        <w:jc w:val="center"/>
        <w:tblLayout w:type="fixed"/>
      </w:tblPr>
      <w:tblGrid>
        <w:gridCol w:w="2136"/>
        <w:gridCol w:w="1200"/>
        <w:gridCol w:w="1325"/>
        <w:gridCol w:w="1195"/>
        <w:gridCol w:w="1200"/>
        <w:gridCol w:w="1195"/>
        <w:gridCol w:w="133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153,747,569.</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10,805,161.50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142,942,407.</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85,146,103.9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5,044,607.70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80,101,496.22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153,747,569.</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10,805,161.50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142,942,407.</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85,146,103.9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5,044,607.70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80,101,496.22</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合同资产的账面价值在本期内发生的重大变动金额和原因:</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15"/>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参考历史信用损失经验，结合当前状况以及对未来经济状况的预测，编制合同资产账龄与整个存续期预期信用损失率对 照表，计算预期信用损失。</w:t>
      </w:r>
    </w:p>
    <w:p>
      <w:pPr>
        <w:pStyle w:val="Style15"/>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本期合同资产计提减值准备情况</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5,760,553.80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5,760,553.80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359" w:line="1" w:lineRule="exact"/>
      </w:pPr>
    </w:p>
    <w:p>
      <w:pPr>
        <w:pStyle w:val="Style24"/>
        <w:keepNext/>
        <w:keepLines/>
        <w:widowControl w:val="0"/>
        <w:shd w:val="clear" w:color="auto" w:fill="auto"/>
        <w:bidi w:val="0"/>
        <w:spacing w:before="0" w:line="240" w:lineRule="auto"/>
        <w:ind w:left="0" w:right="0" w:firstLine="0"/>
        <w:jc w:val="both"/>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1</w:t>
      </w:r>
      <w:bookmarkEnd w:id="137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76"/>
      <w:bookmarkEnd w:id="1377"/>
      <w:bookmarkEnd w:id="1379"/>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1</w:t>
      </w:r>
      <w:bookmarkEnd w:id="138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80"/>
      <w:bookmarkEnd w:id="1381"/>
      <w:bookmarkEnd w:id="1383"/>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重要的债权投资</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其他债权投资</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359" w:line="1" w:lineRule="exact"/>
      </w:pPr>
    </w:p>
    <w:p>
      <w:pPr>
        <w:pStyle w:val="Style24"/>
        <w:keepNext/>
        <w:keepLines/>
        <w:widowControl w:val="0"/>
        <w:shd w:val="clear" w:color="auto" w:fill="auto"/>
        <w:bidi w:val="0"/>
        <w:spacing w:before="0" w:after="10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1</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84"/>
      <w:bookmarkEnd w:id="1385"/>
      <w:bookmarkEnd w:id="1387"/>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253,198.69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4,020,036.04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1,059,017.75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563,330.92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677,063.25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34,383.54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850,913.15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5,756,117.04</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日）差异详见“重要会计政策和会计估计变更”之说明</w:t>
      </w:r>
    </w:p>
    <w:p>
      <w:pPr>
        <w:pStyle w:val="Style24"/>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1</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88"/>
      <w:bookmarkEnd w:id="1389"/>
      <w:bookmarkEnd w:id="139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15,000,000.00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重要的债权投资</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减值准备计提情况</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失（已发生信用减值）</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5"/>
        <w:keepNext w:val="0"/>
        <w:keepLines w:val="0"/>
        <w:widowControl w:val="0"/>
        <w:shd w:val="clear" w:color="auto" w:fill="auto"/>
        <w:bidi w:val="0"/>
        <w:spacing w:before="0" w:after="0" w:line="346" w:lineRule="exact"/>
        <w:ind w:left="0" w:right="0" w:firstLine="0"/>
        <w:jc w:val="left"/>
      </w:pPr>
      <w:r>
        <w:rPr>
          <w:color w:val="000000"/>
          <w:spacing w:val="0"/>
          <w:w w:val="100"/>
          <w:position w:val="0"/>
        </w:rPr>
        <w:t>损失准备本期变动金额重大的账面余额变动情况 口适用”不适用</w:t>
      </w:r>
    </w:p>
    <w:p>
      <w:pPr>
        <w:pStyle w:val="Style15"/>
        <w:keepNext w:val="0"/>
        <w:keepLines w:val="0"/>
        <w:widowControl w:val="0"/>
        <w:shd w:val="clear" w:color="auto" w:fill="auto"/>
        <w:bidi w:val="0"/>
        <w:spacing w:before="0" w:after="40" w:line="346" w:lineRule="exact"/>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公司作为有限合伙人于</w:t>
      </w:r>
      <w:r>
        <w:rPr>
          <w:rFonts w:ascii="Times New Roman" w:eastAsia="Times New Roman" w:hAnsi="Times New Roman" w:cs="Times New Roman"/>
          <w:color w:val="000000"/>
          <w:spacing w:val="0"/>
          <w:w w:val="100"/>
          <w:position w:val="0"/>
        </w:rPr>
        <w:t>2016</w:t>
      </w:r>
      <w:r>
        <w:rPr>
          <w:color w:val="000000"/>
          <w:spacing w:val="0"/>
          <w:w w:val="100"/>
          <w:position w:val="0"/>
        </w:rPr>
        <w:t>年对义乌钱塘体育文化投资合伙企业（有限合伙）进行投资，约定每年可以获得</w:t>
      </w:r>
      <w:r>
        <w:rPr>
          <w:rFonts w:ascii="Times New Roman" w:eastAsia="Times New Roman" w:hAnsi="Times New Roman" w:cs="Times New Roman"/>
          <w:color w:val="000000"/>
          <w:spacing w:val="0"/>
          <w:w w:val="100"/>
          <w:position w:val="0"/>
        </w:rPr>
        <w:t>4.75%</w:t>
      </w:r>
      <w:r>
        <w:rPr>
          <w:color w:val="000000"/>
          <w:spacing w:val="0"/>
          <w:w w:val="100"/>
          <w:position w:val="0"/>
        </w:rPr>
        <w:t>的固 定回报，投资三年后进入退出期。</w:t>
      </w:r>
    </w:p>
    <w:p>
      <w:pPr>
        <w:pStyle w:val="Style15"/>
        <w:keepNext w:val="0"/>
        <w:keepLines w:val="0"/>
        <w:widowControl w:val="0"/>
        <w:shd w:val="clear" w:color="auto" w:fill="auto"/>
        <w:bidi w:val="0"/>
        <w:spacing w:before="0" w:after="360" w:line="317" w:lineRule="exact"/>
        <w:ind w:left="0" w:right="0" w:firstLine="40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月，公司和其他合伙人与银江科技集团有限公司、银江资本有限公司、王辉签订《义乌钱塘体育文化投资合伙 企业（有限合伙）企业份额转让协议之补充协议》，约定</w:t>
      </w:r>
      <w:r>
        <w:rPr>
          <w:rFonts w:ascii="Times New Roman" w:eastAsia="Times New Roman" w:hAnsi="Times New Roman" w:cs="Times New Roman"/>
          <w:color w:val="000000"/>
          <w:spacing w:val="0"/>
          <w:w w:val="100"/>
          <w:position w:val="0"/>
        </w:rPr>
        <w:t>2022</w:t>
      </w:r>
      <w:r>
        <w:rPr>
          <w:color w:val="000000"/>
          <w:spacing w:val="0"/>
          <w:w w:val="100"/>
          <w:position w:val="0"/>
        </w:rPr>
        <w:t>年公司分期收回上述投资。</w:t>
      </w:r>
    </w:p>
    <w:p>
      <w:pPr>
        <w:pStyle w:val="Style24"/>
        <w:keepNext/>
        <w:keepLines/>
        <w:widowControl w:val="0"/>
        <w:shd w:val="clear" w:color="auto" w:fill="auto"/>
        <w:bidi w:val="0"/>
        <w:spacing w:before="0" w:after="24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bookmarkEnd w:id="139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92"/>
      <w:bookmarkEnd w:id="1393"/>
      <w:bookmarkEnd w:id="1395"/>
      <w:r>
        <w:br w:type="page"/>
      </w:r>
    </w:p>
    <w:tbl>
      <w:tblPr>
        <w:tblOverlap w:val="never"/>
        <w:jc w:val="center"/>
        <w:tblLayout w:type="fixed"/>
      </w:tblPr>
      <w:tblGrid>
        <w:gridCol w:w="1301"/>
        <w:gridCol w:w="1037"/>
        <w:gridCol w:w="1032"/>
        <w:gridCol w:w="1037"/>
        <w:gridCol w:w="1032"/>
        <w:gridCol w:w="1037"/>
        <w:gridCol w:w="1032"/>
        <w:gridCol w:w="1032"/>
        <w:gridCol w:w="1042"/>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累计公允 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累计在其 他综合收 益中确认 的损失准 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重要的其他债权投资</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减值准备计提情况</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失（已发生信用减值）</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损失准备本期变动金额重大的账面余额变动情况</w:t>
      </w:r>
    </w:p>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口适用”不适用 </w:t>
      </w: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1</w:t>
      </w:r>
      <w:bookmarkEnd w:id="139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96"/>
      <w:bookmarkEnd w:id="1397"/>
      <w:bookmarkEnd w:id="1399"/>
    </w:p>
    <w:p>
      <w:pPr>
        <w:pStyle w:val="Style92"/>
        <w:keepNext/>
        <w:keepLines/>
        <w:widowControl w:val="0"/>
        <w:shd w:val="clear" w:color="auto" w:fill="auto"/>
        <w:bidi w:val="0"/>
        <w:spacing w:before="0" w:after="36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00"/>
      <w:bookmarkEnd w:id="1401"/>
      <w:bookmarkEnd w:id="140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坏账准备减值情况</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失（已发生信用减值）</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5"/>
        <w:keepNext w:val="0"/>
        <w:keepLines w:val="0"/>
        <w:widowControl w:val="0"/>
        <w:shd w:val="clear" w:color="auto" w:fill="auto"/>
        <w:bidi w:val="0"/>
        <w:spacing w:before="0" w:after="120" w:line="365" w:lineRule="exact"/>
        <w:ind w:left="0" w:right="0" w:firstLine="0"/>
        <w:jc w:val="left"/>
      </w:pPr>
      <w:r>
        <w:rPr>
          <w:color w:val="000000"/>
          <w:spacing w:val="0"/>
          <w:w w:val="100"/>
          <w:position w:val="0"/>
        </w:rPr>
        <w:t>损失准备本期变动金额重大的账面余额变动情况 口适用”不适用</w:t>
      </w:r>
      <w:r>
        <w:br w:type="page"/>
      </w:r>
    </w:p>
    <w:p>
      <w:pPr>
        <w:pStyle w:val="Style92"/>
        <w:keepNext/>
        <w:keepLines/>
        <w:widowControl w:val="0"/>
        <w:shd w:val="clear" w:color="auto" w:fill="auto"/>
        <w:tabs>
          <w:tab w:pos="493" w:val="left"/>
        </w:tabs>
        <w:bidi w:val="0"/>
        <w:spacing w:before="0" w:after="36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04"/>
      <w:bookmarkEnd w:id="1405"/>
      <w:bookmarkEnd w:id="1407"/>
    </w:p>
    <w:p>
      <w:pPr>
        <w:pStyle w:val="Style92"/>
        <w:keepNext/>
        <w:keepLines/>
        <w:widowControl w:val="0"/>
        <w:shd w:val="clear" w:color="auto" w:fill="auto"/>
        <w:tabs>
          <w:tab w:pos="493" w:val="left"/>
        </w:tabs>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color w:val="000000"/>
          <w:spacing w:val="0"/>
          <w:w w:val="100"/>
          <w:position w:val="0"/>
        </w:rPr>
        <w:t>（</w:t>
      </w:r>
      <w:bookmarkEnd w:id="141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08"/>
      <w:bookmarkEnd w:id="1409"/>
      <w:bookmarkEnd w:id="1411"/>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1</w:t>
      </w:r>
      <w:bookmarkEnd w:id="141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12"/>
      <w:bookmarkEnd w:id="1413"/>
      <w:bookmarkEnd w:id="141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期初余</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额（账 面价 值）</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期末余</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额（账 面价 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浙江创 源环境 科技股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52,982,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3,162,0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-141,95</w:t>
            </w:r>
          </w:p>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56,003,</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135.06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浙江大 健康产 业股权 投资基 金（有 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39,216,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3,325,6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-4,424,</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38,117,</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700.13</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杭州安 丰创健 创业投 资合伙 企业</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46,726,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366,89</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47,093, 689.86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索信息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426,64</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-98,217</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328,43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Odin</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Health</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11,679,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376,97</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12,056,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892.35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虹润风 云（上 海）医 疗管理 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14,619, </w:t>
            </w:r>
            <w:r>
              <w:rPr>
                <w:rFonts w:ascii="Times New Roman" w:eastAsia="Times New Roman" w:hAnsi="Times New Roman" w:cs="Times New Roman"/>
                <w:color w:val="000000"/>
                <w:spacing w:val="0"/>
                <w:w w:val="100"/>
                <w:position w:val="0"/>
              </w:rPr>
              <w:t>548.03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-1,476.</w:t>
            </w:r>
          </w:p>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14,618, 072.03</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绍兴市 上虞区 安丰康 元创业 投资合 伙企业 （有限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29,409,</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-275,29</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29,134,</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369.48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清数码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27,733,</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2,960,4</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398,01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31,091, 830.93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温州城 市智慧 健康有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2,940,0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-534,94</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2,405,0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浙江一 山智慧 医疗研 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12,000,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60"/>
              <w:jc w:val="both"/>
            </w:pPr>
            <w:r>
              <w:rPr>
                <w:rFonts w:ascii="Times New Roman" w:eastAsia="Times New Roman" w:hAnsi="Times New Roman" w:cs="Times New Roman"/>
                <w:color w:val="000000"/>
                <w:spacing w:val="0"/>
                <w:w w:val="100"/>
                <w:position w:val="0"/>
              </w:rPr>
              <w:t>-2,016, 530.77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9,983,4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195,06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1,930.0</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42,673,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7,265,6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-141,95</w:t>
            </w:r>
          </w:p>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-4,424,</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398,01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240,83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2,641.9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195,06</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1,930.0</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42,673,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7,265,6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-141,95</w:t>
            </w:r>
          </w:p>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-4,424,</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398,01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240,83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2,641.9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15"/>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根据公司与杭州营润股权投资合伙企业（有限合伙）（以下简称营润投资）签订的《关于杭州梅清数码科技有限公司 股权投资协议》（以下简称梅清数码），公司将持有梅清数码</w:t>
      </w:r>
      <w:r>
        <w:rPr>
          <w:rFonts w:ascii="Times New Roman" w:eastAsia="Times New Roman" w:hAnsi="Times New Roman" w:cs="Times New Roman"/>
          <w:color w:val="000000"/>
          <w:spacing w:val="0"/>
          <w:w w:val="100"/>
          <w:position w:val="0"/>
        </w:rPr>
        <w:t>27%</w:t>
      </w:r>
      <w:r>
        <w:rPr>
          <w:color w:val="000000"/>
          <w:spacing w:val="0"/>
          <w:w w:val="100"/>
          <w:position w:val="0"/>
        </w:rPr>
        <w:t>的股权以</w:t>
      </w:r>
      <w:r>
        <w:rPr>
          <w:rFonts w:ascii="Times New Roman" w:eastAsia="Times New Roman" w:hAnsi="Times New Roman" w:cs="Times New Roman"/>
          <w:color w:val="000000"/>
          <w:spacing w:val="0"/>
          <w:w w:val="100"/>
          <w:position w:val="0"/>
        </w:rPr>
        <w:t>3,120.00</w:t>
      </w:r>
      <w:r>
        <w:rPr>
          <w:color w:val="000000"/>
          <w:spacing w:val="0"/>
          <w:w w:val="100"/>
          <w:position w:val="0"/>
        </w:rPr>
        <w:t>万元的价格转让给营润投资。股权转让 后，公司持有梅清数码</w:t>
      </w:r>
      <w:r>
        <w:rPr>
          <w:rFonts w:ascii="Times New Roman" w:eastAsia="Times New Roman" w:hAnsi="Times New Roman" w:cs="Times New Roman"/>
          <w:color w:val="000000"/>
          <w:spacing w:val="0"/>
          <w:w w:val="100"/>
          <w:position w:val="0"/>
        </w:rPr>
        <w:t>24%</w:t>
      </w:r>
      <w:r>
        <w:rPr>
          <w:color w:val="000000"/>
          <w:spacing w:val="0"/>
          <w:w w:val="100"/>
          <w:position w:val="0"/>
        </w:rPr>
        <w:t>的股权。截至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日，公司已收取全部股权转让款并办妥相应的财产权交接手续，丧失 对其的实质控制权，自此，本公司不再控制梅清数码，梅清数码变更为本公司联营企业。</w:t>
      </w:r>
    </w:p>
    <w:p>
      <w:pPr>
        <w:pStyle w:val="Style24"/>
        <w:keepNext/>
        <w:keepLines/>
        <w:widowControl w:val="0"/>
        <w:shd w:val="clear" w:color="auto" w:fill="auto"/>
        <w:bidi w:val="0"/>
        <w:spacing w:before="0" w:after="1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1</w:t>
      </w:r>
      <w:bookmarkEnd w:id="141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16"/>
      <w:bookmarkEnd w:id="1417"/>
      <w:bookmarkEnd w:id="1419"/>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上海卫生信息工程技术研究中心有限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杭州吾桐树信息科技有限公司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杭州中福投资管理有限公司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浙江未来社区开发运营集团有限公司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12,400,000.00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分项披露本期非交易性权益工具投资</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价值计量且其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变动计入其他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综合收益的原</w:t>
            </w:r>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上海卫生信息 工程技术研究 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为非交易性权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杭州吾桐树信 息科技有限公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为非交易性权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杭州中福投资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为非交易性权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浙江未来社区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开发运营集团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为非交易性权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益工具投资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20"/>
      <w:bookmarkEnd w:id="1421"/>
      <w:bookmarkEnd w:id="142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杭州安丰上盈创业投资合伙企业（有限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浙江浙商产融股权投资基金合伙企业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合肥弘博润泽股权投资合伙企业（有限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19,618,099.88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129,618,099.88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130,000,000.00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r>
        <w:br w:type="page"/>
      </w:r>
    </w:p>
    <w:p>
      <w:pPr>
        <w:pStyle w:val="Style24"/>
        <w:keepNext/>
        <w:keepLines/>
        <w:widowControl w:val="0"/>
        <w:shd w:val="clear" w:color="auto" w:fill="auto"/>
        <w:bidi w:val="0"/>
        <w:spacing w:before="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24"/>
      <w:bookmarkEnd w:id="1425"/>
      <w:bookmarkEnd w:id="1427"/>
    </w:p>
    <w:p>
      <w:pPr>
        <w:pStyle w:val="Style92"/>
        <w:keepNext/>
        <w:keepLines/>
        <w:widowControl w:val="0"/>
        <w:numPr>
          <w:ilvl w:val="0"/>
          <w:numId w:val="37"/>
        </w:numPr>
        <w:shd w:val="clear" w:color="auto" w:fill="auto"/>
        <w:bidi w:val="0"/>
        <w:spacing w:before="0" w:after="360" w:line="240" w:lineRule="auto"/>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采用成本计量模式的投资性房地产</w:t>
      </w:r>
      <w:bookmarkEnd w:id="1428"/>
      <w:bookmarkEnd w:id="1429"/>
      <w:bookmarkEnd w:id="1431"/>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4,669,984.15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4,669,984.15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4,669,984.15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4,669,984.15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1,643,925.23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1,643,925.23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221,925.24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221,925.24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221,925.24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221,925.24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1,865,850.47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1,865,850.47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2,804,133.68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2,804,133.68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3,026,058.92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3,026,058.92</w:t>
            </w:r>
          </w:p>
        </w:tc>
      </w:tr>
    </w:tbl>
    <w:p>
      <w:pPr>
        <w:widowControl w:val="0"/>
        <w:spacing w:after="299" w:line="1" w:lineRule="exact"/>
      </w:pPr>
    </w:p>
    <w:p>
      <w:pPr>
        <w:pStyle w:val="Style92"/>
        <w:keepNext/>
        <w:keepLines/>
        <w:widowControl w:val="0"/>
        <w:shd w:val="clear" w:color="auto" w:fill="auto"/>
        <w:tabs>
          <w:tab w:pos="493" w:val="left"/>
        </w:tabs>
        <w:bidi w:val="0"/>
        <w:spacing w:before="0" w:after="360" w:line="240" w:lineRule="auto"/>
        <w:ind w:left="0" w:right="0" w:firstLine="0"/>
        <w:jc w:val="both"/>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32"/>
      <w:bookmarkEnd w:id="1433"/>
      <w:bookmarkEnd w:id="1435"/>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92"/>
        <w:keepNext/>
        <w:keepLines/>
        <w:widowControl w:val="0"/>
        <w:shd w:val="clear" w:color="auto" w:fill="auto"/>
        <w:tabs>
          <w:tab w:pos="493" w:val="left"/>
        </w:tabs>
        <w:bidi w:val="0"/>
        <w:spacing w:before="0" w:after="360" w:line="240" w:lineRule="auto"/>
        <w:ind w:left="0" w:right="0" w:firstLine="0"/>
        <w:jc w:val="both"/>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36"/>
      <w:bookmarkEnd w:id="1437"/>
      <w:bookmarkEnd w:id="1439"/>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bookmarkEnd w:id="144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40"/>
      <w:bookmarkEnd w:id="1441"/>
      <w:bookmarkEnd w:id="144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267,749,317.91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289,489,166.84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267,749,317.91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289,489,166.84</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both"/>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44"/>
      <w:bookmarkEnd w:id="1445"/>
      <w:bookmarkEnd w:id="1447"/>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308,148,000.11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6,361,870.19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35,447,780.05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43,160,542.42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393,118,192.77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1,317,781.73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653,874.61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4,264,172.40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8,466,370.86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14,702,199.60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653,874.61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3,127,078.39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7,750,210.67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11,531,163.67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440,366.97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440,366.97</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877,414.76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1,137,094.01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716,160.19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2,730,668.96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10,775,657.60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7,015,744.80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3,167,805.83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3,809,179.05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24,768,387.28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10,775,657.60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1,313,571.16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1,304,066.78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13,393,295.54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7,015,744.80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1,854,234.67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2,505,112.27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11,375,091.74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298,690,124.24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36,544,146.62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47,817,734.23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383,052,005.09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54,074,775.42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1,993,871.70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21,204,941.23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26,355,437.58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103,629,025.93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9,610,263.40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156,331.84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3,494,790.26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6,831,690.57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20,093,076.07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9,224,749.30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156,331.84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2,828,765.76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6,473,824.67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18,683,671.57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 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385,514.10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666,024.50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357,865.90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1,409,404.50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1,454,428.48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2,150,203.54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2,087,194.48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2,727,588.32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8,419,414.82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1,454,428.48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1,204,647.62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1,238,892.58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3,897,968.68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2,150,203.54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882,546.86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1,488,695.74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4,521,446.14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62,230,610.34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22,612,537.01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30,459,539.83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115,302,687.18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236,459,513.90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13,931,609.61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17,358,194.40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267,749,317.91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254,073,224.69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4,367,998.49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14,242,838.82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16,805,104.84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289,489,166.84</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48"/>
      <w:bookmarkEnd w:id="1449"/>
      <w:bookmarkEnd w:id="1451"/>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52"/>
      <w:bookmarkEnd w:id="1453"/>
      <w:bookmarkEnd w:id="145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23,922,989.72</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56"/>
      <w:bookmarkEnd w:id="1457"/>
      <w:bookmarkEnd w:id="145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1,000,435.60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正在办理相关手续</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92"/>
        <w:keepNext/>
        <w:keepLines/>
        <w:widowControl w:val="0"/>
        <w:shd w:val="clear" w:color="auto" w:fill="auto"/>
        <w:bidi w:val="0"/>
        <w:spacing w:before="0" w:after="360" w:line="240" w:lineRule="auto"/>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w:t>
      </w:r>
      <w:bookmarkEnd w:id="146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60"/>
      <w:bookmarkEnd w:id="1461"/>
      <w:bookmarkEnd w:id="146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64"/>
      <w:bookmarkEnd w:id="1465"/>
      <w:bookmarkEnd w:id="146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82,574,891.28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24,399,935.79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82,574,891.28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24,399,935.79</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68"/>
      <w:bookmarkEnd w:id="1469"/>
      <w:bookmarkEnd w:id="147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4104"/>
        <w:gridCol w:w="410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智慧健康科技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产品产业化基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82,574,891.28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82,574,891.28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9,005,985.70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9,005,985.70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15,393,950.09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15,393,950.09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82,574,891.28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82,574,891.28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24,399,935.79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24,399,935.79</w:t>
            </w:r>
          </w:p>
        </w:tc>
      </w:tr>
    </w:tbl>
    <w:p>
      <w:pPr>
        <w:widowControl w:val="0"/>
        <w:spacing w:after="299" w:line="1" w:lineRule="exact"/>
      </w:pPr>
    </w:p>
    <w:p>
      <w:pPr>
        <w:pStyle w:val="Style92"/>
        <w:keepNext/>
        <w:keepLines/>
        <w:widowControl w:val="0"/>
        <w:shd w:val="clear" w:color="auto" w:fill="auto"/>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72"/>
      <w:bookmarkEnd w:id="1473"/>
      <w:bookmarkEnd w:id="1475"/>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60"/>
              <w:jc w:val="both"/>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16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18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智慧 健康 科技 产品 产业 化基 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348,79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73,568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,905.5</w:t>
            </w:r>
          </w:p>
          <w:p>
            <w:pPr>
              <w:pStyle w:val="Style2"/>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82,574 ,891.2 8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23.67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零星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15,393 ,950.0 9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2,167,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440,36</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17,121 ,429.2 5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348,79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24,399 ,935.7 9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75,736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,751.7</w:t>
            </w:r>
          </w:p>
          <w:p>
            <w:pPr>
              <w:pStyle w:val="Style2"/>
              <w:keepNext w:val="0"/>
              <w:keepLines w:val="0"/>
              <w:widowControl w:val="0"/>
              <w:shd w:val="clear" w:color="auto" w:fill="auto"/>
              <w:bidi w:val="0"/>
              <w:spacing w:before="0" w:after="80" w:line="240" w:lineRule="auto"/>
              <w:ind w:left="0" w:right="0" w:firstLine="54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440,36</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17,121 ,429.2 5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82,574 ,891.2 8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92"/>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76"/>
      <w:bookmarkEnd w:id="1477"/>
      <w:bookmarkEnd w:id="1479"/>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pStyle w:val="Style15"/>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其他减少包括</w:t>
      </w:r>
      <w:r>
        <w:rPr>
          <w:rFonts w:ascii="Times New Roman" w:eastAsia="Times New Roman" w:hAnsi="Times New Roman" w:cs="Times New Roman"/>
          <w:color w:val="000000"/>
          <w:spacing w:val="0"/>
          <w:w w:val="100"/>
          <w:position w:val="0"/>
        </w:rPr>
        <w:t>1</w:t>
      </w:r>
      <w:r>
        <w:rPr>
          <w:color w:val="000000"/>
          <w:spacing w:val="0"/>
          <w:w w:val="100"/>
          <w:position w:val="0"/>
        </w:rPr>
        <w:t>）合并范围减少</w:t>
      </w:r>
      <w:r>
        <w:rPr>
          <w:rFonts w:ascii="Times New Roman" w:eastAsia="Times New Roman" w:hAnsi="Times New Roman" w:cs="Times New Roman"/>
          <w:color w:val="000000"/>
          <w:spacing w:val="0"/>
          <w:w w:val="100"/>
          <w:position w:val="0"/>
        </w:rPr>
        <w:t>8,885,229.25</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年，本公司之子公司海南省汇亿互联网医疗科技有限公司因业 务变化，与海南生态软件园集团有限公司协商终止购房协议，并退还已支付购房款（未完成装修），相应转出原确认的在建 工程</w:t>
      </w:r>
      <w:r>
        <w:rPr>
          <w:rFonts w:ascii="Times New Roman" w:eastAsia="Times New Roman" w:hAnsi="Times New Roman" w:cs="Times New Roman"/>
          <w:color w:val="000000"/>
          <w:spacing w:val="0"/>
          <w:w w:val="100"/>
          <w:position w:val="0"/>
        </w:rPr>
        <w:t>8,236,200.00</w:t>
      </w:r>
      <w:r>
        <w:rPr>
          <w:color w:val="000000"/>
          <w:spacing w:val="0"/>
          <w:w w:val="100"/>
          <w:position w:val="0"/>
        </w:rPr>
        <w:t>元。</w:t>
      </w:r>
      <w:r>
        <w:br w:type="page"/>
      </w:r>
    </w:p>
    <w:p>
      <w:pPr>
        <w:pStyle w:val="Style92"/>
        <w:keepNext/>
        <w:keepLines/>
        <w:widowControl w:val="0"/>
        <w:numPr>
          <w:ilvl w:val="0"/>
          <w:numId w:val="39"/>
        </w:numPr>
        <w:shd w:val="clear" w:color="auto" w:fill="auto"/>
        <w:bidi w:val="0"/>
        <w:spacing w:before="0" w:after="36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工程物资</w:t>
      </w:r>
      <w:bookmarkEnd w:id="1480"/>
      <w:bookmarkEnd w:id="1481"/>
      <w:bookmarkEnd w:id="148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tabs>
          <w:tab w:pos="483" w:val="left"/>
        </w:tabs>
        <w:bidi w:val="0"/>
        <w:spacing w:before="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bookmarkEnd w:id="148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84"/>
      <w:bookmarkEnd w:id="1485"/>
      <w:bookmarkEnd w:id="1487"/>
    </w:p>
    <w:p>
      <w:pPr>
        <w:pStyle w:val="Style92"/>
        <w:keepNext/>
        <w:keepLines/>
        <w:widowControl w:val="0"/>
        <w:numPr>
          <w:ilvl w:val="0"/>
          <w:numId w:val="41"/>
        </w:numPr>
        <w:shd w:val="clear" w:color="auto" w:fill="auto"/>
        <w:tabs>
          <w:tab w:pos="493" w:val="left"/>
        </w:tabs>
        <w:bidi w:val="0"/>
        <w:spacing w:before="0" w:after="360" w:line="240"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采用成本计量模式的生产性生物资产</w:t>
      </w:r>
      <w:bookmarkEnd w:id="1488"/>
      <w:bookmarkEnd w:id="1489"/>
      <w:bookmarkEnd w:id="1491"/>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92"/>
        <w:keepNext/>
        <w:keepLines/>
        <w:widowControl w:val="0"/>
        <w:numPr>
          <w:ilvl w:val="0"/>
          <w:numId w:val="41"/>
        </w:numPr>
        <w:shd w:val="clear" w:color="auto" w:fill="auto"/>
        <w:tabs>
          <w:tab w:pos="493" w:val="left"/>
        </w:tabs>
        <w:bidi w:val="0"/>
        <w:spacing w:before="0" w:after="360" w:line="240" w:lineRule="auto"/>
        <w:ind w:left="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采用公允价值计量模式的生产性生物资产</w:t>
      </w:r>
      <w:bookmarkEnd w:id="1492"/>
      <w:bookmarkEnd w:id="1493"/>
      <w:bookmarkEnd w:id="1495"/>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4"/>
        <w:keepNext/>
        <w:keepLines/>
        <w:widowControl w:val="0"/>
        <w:shd w:val="clear" w:color="auto" w:fill="auto"/>
        <w:tabs>
          <w:tab w:pos="483" w:val="left"/>
        </w:tabs>
        <w:bidi w:val="0"/>
        <w:spacing w:before="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96"/>
      <w:bookmarkEnd w:id="1497"/>
      <w:bookmarkEnd w:id="1499"/>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4"/>
        <w:keepNext/>
        <w:keepLines/>
        <w:widowControl w:val="0"/>
        <w:shd w:val="clear" w:color="auto" w:fill="auto"/>
        <w:tabs>
          <w:tab w:pos="483" w:val="left"/>
        </w:tabs>
        <w:bidi w:val="0"/>
        <w:spacing w:before="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bookmarkEnd w:id="150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00"/>
      <w:bookmarkEnd w:id="1501"/>
      <w:bookmarkEnd w:id="150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13,805,871.10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13,805,871.10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9,585,787.73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9,585,787.73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4,618,133.98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4,618,133.98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4,967,653.75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4,967,653.75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23,391,658.83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23,391,658.83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8,856,140.50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8,856,140.50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7,913,583.41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7,913,583.41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942,557.09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942,557.09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8,856,140.50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8,856,140.50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14,535,518.33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14,535,518.33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13,805,871.10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13,805,871.10</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10"/>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期初数与上年年末数</w:t>
      </w: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31</w:t>
      </w:r>
      <w:r>
        <w:rPr>
          <w:b w:val="0"/>
          <w:bCs w:val="0"/>
          <w:color w:val="000000"/>
          <w:spacing w:val="0"/>
          <w:w w:val="100"/>
          <w:position w:val="0"/>
        </w:rPr>
        <w:t>日）差异详见“重要会计政策和会计估计变更”之说明。</w:t>
      </w:r>
    </w:p>
    <w:p>
      <w:pPr>
        <w:pStyle w:val="Style24"/>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bookmarkEnd w:id="150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04"/>
      <w:bookmarkEnd w:id="1505"/>
      <w:bookmarkEnd w:id="1507"/>
    </w:p>
    <w:p>
      <w:pPr>
        <w:pStyle w:val="Style92"/>
        <w:keepNext/>
        <w:keepLines/>
        <w:widowControl w:val="0"/>
        <w:shd w:val="clear" w:color="auto" w:fill="auto"/>
        <w:bidi w:val="0"/>
        <w:spacing w:before="0" w:after="36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08"/>
      <w:bookmarkEnd w:id="1509"/>
      <w:bookmarkEnd w:id="151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特许经营权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14,401,428.16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201,298,897.21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67,533,966.69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285,534,292.06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90,279,935.07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90,279,935.07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9,633,776.96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9,633,776.96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80,646,158.11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80,646,158.11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1,915,542.56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1,915,542.56</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 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1,915,542.56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1,915,542.56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14,401,428.16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289,663,289.72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67,533,966.69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373,898,684.57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608,677.93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422,500.16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48,480,837.65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7,316,179.72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56,828,195.46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288,028.20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30,175,807.69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6,753,396.87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37,447,232.80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288,028.20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30,175,807.69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6,753,396.87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37,447,232.80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436,037.49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436,037.49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 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436,037.49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436,037.49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896,706.13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652,500.20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78,220,607.85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14,069,576.59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93,839,390.77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13,504,722.03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1,647,499.80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211,442,681.87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53,464,390.10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280,059,293.80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13,792,750.23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1,877,499.84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152,818,059.56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60,217,786.97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228,706,096.60</w:t>
            </w:r>
          </w:p>
        </w:tc>
      </w:tr>
    </w:tbl>
    <w:p>
      <w:pPr>
        <w:widowControl w:val="0"/>
        <w:spacing w:after="3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62.19%</w:t>
      </w:r>
      <w:r>
        <w:rPr>
          <w:color w:val="000000"/>
          <w:spacing w:val="0"/>
          <w:w w:val="100"/>
          <w:position w:val="0"/>
        </w:rPr>
        <w:t>。</w:t>
      </w:r>
    </w:p>
    <w:p>
      <w:pPr>
        <w:pStyle w:val="Style92"/>
        <w:keepNext/>
        <w:keepLines/>
        <w:widowControl w:val="0"/>
        <w:shd w:val="clear" w:color="auto" w:fill="auto"/>
        <w:bidi w:val="0"/>
        <w:spacing w:before="0" w:after="36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12"/>
      <w:bookmarkEnd w:id="1513"/>
      <w:bookmarkEnd w:id="151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bookmarkEnd w:id="151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16"/>
      <w:bookmarkEnd w:id="1517"/>
      <w:bookmarkEnd w:id="151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60,560,242</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128,312,71</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80,646,158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108,226,80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60,560,242</w:t>
            </w:r>
          </w:p>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128,312,71</w:t>
            </w:r>
          </w:p>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80,646,158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108,226,80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39" w:line="1" w:lineRule="exact"/>
      </w:pPr>
    </w:p>
    <w:p>
      <w:pPr>
        <w:pStyle w:val="Style1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期末开发支出包括多态智联大型医疗机构（集团）管理信息系统、创业基础门户平台、医院信息平台、创业</w:t>
      </w:r>
      <w:r>
        <w:rPr>
          <w:rFonts w:ascii="Times New Roman" w:eastAsia="Times New Roman" w:hAnsi="Times New Roman" w:cs="Times New Roman"/>
          <w:color w:val="000000"/>
          <w:spacing w:val="0"/>
          <w:w w:val="100"/>
          <w:position w:val="0"/>
        </w:rPr>
        <w:t>B/S</w:t>
      </w:r>
      <w:r>
        <w:rPr>
          <w:color w:val="000000"/>
          <w:spacing w:val="0"/>
          <w:w w:val="100"/>
          <w:position w:val="0"/>
        </w:rPr>
        <w:t>版病历 质控系统等多项软件系统的开发。上述软件系统尚处于开发阶段，具有良好的应用前景，预期能给企业带来经济效益。</w:t>
      </w:r>
    </w:p>
    <w:p>
      <w:pPr>
        <w:pStyle w:val="Style24"/>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2</w:t>
      </w:r>
      <w:bookmarkEnd w:id="1522"/>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520"/>
      <w:bookmarkEnd w:id="1521"/>
      <w:bookmarkEnd w:id="1523"/>
    </w:p>
    <w:p>
      <w:pPr>
        <w:pStyle w:val="Style92"/>
        <w:keepNext/>
        <w:keepLines/>
        <w:widowControl w:val="0"/>
        <w:shd w:val="clear" w:color="auto" w:fill="auto"/>
        <w:bidi w:val="0"/>
        <w:spacing w:before="0" w:after="36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24"/>
      <w:bookmarkEnd w:id="1525"/>
      <w:bookmarkEnd w:id="152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杭州惟勤科技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1,121,977.72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1,121,977.72</w:t>
            </w: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广东中拓信息 技术有限公司 和中山市蓝天 电脑有限公司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19,965,281.29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19,965,281.29</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杭州慧康物联 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1,021,541,839.</w:t>
            </w:r>
          </w:p>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1,021,541,839.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杭州卓腾信息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15,989,472.27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15,989,472.27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杭州梅清数码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14,733,850.83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14,733,850.83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杭州美诺泰科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34,652,019.35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34,652,019.35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1,108,004,441.</w:t>
            </w:r>
          </w:p>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14,733,850.83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1,093,270,590.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bl>
    <w:p>
      <w:pPr>
        <w:widowControl w:val="0"/>
        <w:spacing w:after="299" w:line="1" w:lineRule="exact"/>
      </w:pPr>
    </w:p>
    <w:p>
      <w:pPr>
        <w:pStyle w:val="Style92"/>
        <w:keepNext/>
        <w:keepLines/>
        <w:widowControl w:val="0"/>
        <w:numPr>
          <w:ilvl w:val="0"/>
          <w:numId w:val="37"/>
        </w:numPr>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商誉减值准备</w:t>
      </w:r>
      <w:bookmarkEnd w:id="1528"/>
      <w:bookmarkEnd w:id="1529"/>
      <w:bookmarkEnd w:id="153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称或形成商誉</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杭州美诺泰科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9,255,212.31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2,696,112.67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11,951,324.98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杭州惟勤科技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1,121,977.72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1,121,977.72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杭州慧康物联 网科技有限公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10,900,799.98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10,900,799.98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10,377,190.03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13,596,912.65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23,974,102.68</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rPr>
        <w:t>商誉所在资产组或资产组组合的相关信息</w:t>
      </w:r>
    </w:p>
    <w:tbl>
      <w:tblPr>
        <w:tblOverlap w:val="never"/>
        <w:jc w:val="center"/>
        <w:tblLayout w:type="fixed"/>
      </w:tblPr>
      <w:tblGrid>
        <w:gridCol w:w="4680"/>
        <w:gridCol w:w="1459"/>
        <w:gridCol w:w="1853"/>
        <w:gridCol w:w="1685"/>
      </w:tblGrid>
      <w:tr>
        <w:trPr>
          <w:trHeight w:val="7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333333"/>
                <w:spacing w:val="0"/>
                <w:w w:val="100"/>
                <w:position w:val="0"/>
              </w:rPr>
              <w:t>资产组或资产组组合的构成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卓腾信息资产组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中拓信息和蓝天电脑 资产组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慧康物联网资产组</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29,636,604.10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16,565,527.70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163,358,960.41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分摊至本资产组或资产组组合的商誉账面价值及分摊方 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17,987,931.45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24,956,601.61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1,021,541,839.57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47,624,535.55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41,522,129.31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1,184,900,799.98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资产组或资产组组合是否与购买日、以前年度商誉减值测 试时所确定的资产组或资产组组合一致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是</w:t>
            </w:r>
          </w:p>
        </w:tc>
      </w:tr>
    </w:tbl>
    <w:p>
      <w:pPr>
        <w:widowControl w:val="0"/>
        <w:spacing w:after="159" w:line="1" w:lineRule="exact"/>
      </w:pPr>
    </w:p>
    <w:p>
      <w:pPr>
        <w:pStyle w:val="Style21"/>
        <w:keepNext w:val="0"/>
        <w:keepLines w:val="0"/>
        <w:widowControl w:val="0"/>
        <w:shd w:val="clear" w:color="auto" w:fill="auto"/>
        <w:bidi w:val="0"/>
        <w:spacing w:before="0" w:after="0" w:line="240" w:lineRule="auto"/>
        <w:ind w:left="470" w:right="0" w:firstLine="0"/>
        <w:jc w:val="left"/>
      </w:pPr>
      <w:r>
        <w:rPr>
          <w:b w:val="0"/>
          <w:bCs w:val="0"/>
          <w:color w:val="000000"/>
          <w:spacing w:val="0"/>
          <w:w w:val="100"/>
          <w:position w:val="0"/>
        </w:rPr>
        <w:t>(续上表)</w:t>
      </w:r>
    </w:p>
    <w:tbl>
      <w:tblPr>
        <w:tblOverlap w:val="never"/>
        <w:jc w:val="left"/>
        <w:tblLayout w:type="fixed"/>
      </w:tblPr>
      <w:tblGrid>
        <w:gridCol w:w="4637"/>
        <w:gridCol w:w="1517"/>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333333"/>
                <w:spacing w:val="0"/>
                <w:w w:val="100"/>
                <w:position w:val="0"/>
              </w:rPr>
              <w:t>资产组或资产组组合的构成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美诺泰科资产组</w:t>
            </w:r>
          </w:p>
        </w:tc>
      </w:tr>
    </w:tbl>
    <w:tbl>
      <w:tblPr>
        <w:tblOverlap w:val="never"/>
        <w:jc w:val="left"/>
        <w:tblLayout w:type="fixed"/>
      </w:tblPr>
      <w:tblGrid>
        <w:gridCol w:w="4637"/>
        <w:gridCol w:w="1517"/>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22,006,189.00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分摊至本资产组或资产组组合的商誉账面价值及分摊方 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58,689,923.67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包含商誉的资产组的账面价值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80,696,112.67</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资产组或资产组组合是否与购买日、以前年度商誉减值测 试时所确定的资产组或资产组组合一致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1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1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期末，公司对杭州卓腾信息技术有限公司、广东中拓信息技术有限公司和中山市蓝天电脑有限公司、杭州慧康物联网科 技有限公司、杭州美诺泰科科技有限公司的商誉进行了减值测试。商誉的可收回金额按照上述公司的预计未来现金流量的现 值计算，其预计现金流量根据公司</w:t>
      </w:r>
      <w:r>
        <w:rPr>
          <w:rFonts w:ascii="Times New Roman" w:eastAsia="Times New Roman" w:hAnsi="Times New Roman" w:cs="Times New Roman"/>
          <w:color w:val="000000"/>
          <w:spacing w:val="0"/>
          <w:w w:val="100"/>
          <w:position w:val="0"/>
        </w:rPr>
        <w:t>5</w:t>
      </w:r>
      <w:r>
        <w:rPr>
          <w:color w:val="000000"/>
          <w:spacing w:val="0"/>
          <w:w w:val="100"/>
          <w:position w:val="0"/>
        </w:rPr>
        <w:t>年期现金流量预测为基础，现金流量预测使用的折现率为</w:t>
      </w:r>
      <w:r>
        <w:rPr>
          <w:rFonts w:ascii="Times New Roman" w:eastAsia="Times New Roman" w:hAnsi="Times New Roman" w:cs="Times New Roman"/>
          <w:color w:val="000000"/>
          <w:spacing w:val="0"/>
          <w:w w:val="100"/>
          <w:position w:val="0"/>
        </w:rPr>
        <w:t xml:space="preserve">12.00%-13.60% </w:t>
      </w:r>
      <w:r>
        <w:rPr>
          <w:color w:val="000000"/>
          <w:spacing w:val="0"/>
          <w:w w:val="100"/>
          <w:position w:val="0"/>
        </w:rPr>
        <w:t>（杭州卓腾信息 技术有限公司折现率为</w:t>
      </w:r>
      <w:r>
        <w:rPr>
          <w:rFonts w:ascii="Times New Roman" w:eastAsia="Times New Roman" w:hAnsi="Times New Roman" w:cs="Times New Roman"/>
          <w:color w:val="000000"/>
          <w:spacing w:val="0"/>
          <w:w w:val="100"/>
          <w:position w:val="0"/>
        </w:rPr>
        <w:t>12.00%</w:t>
      </w:r>
      <w:r>
        <w:rPr>
          <w:color w:val="000000"/>
          <w:spacing w:val="0"/>
          <w:w w:val="100"/>
          <w:position w:val="0"/>
        </w:rPr>
        <w:t>、广东中拓信息技术有限公司和中山市蓝天电脑有限公司折现率为</w:t>
      </w:r>
      <w:r>
        <w:rPr>
          <w:rFonts w:ascii="Times New Roman" w:eastAsia="Times New Roman" w:hAnsi="Times New Roman" w:cs="Times New Roman"/>
          <w:color w:val="000000"/>
          <w:spacing w:val="0"/>
          <w:w w:val="100"/>
          <w:position w:val="0"/>
        </w:rPr>
        <w:t>12.50%</w:t>
      </w:r>
      <w:r>
        <w:rPr>
          <w:color w:val="000000"/>
          <w:spacing w:val="0"/>
          <w:w w:val="100"/>
          <w:position w:val="0"/>
        </w:rPr>
        <w:t>、杭州慧康物联网 科技有限公司折现率为</w:t>
      </w:r>
      <w:r>
        <w:rPr>
          <w:rFonts w:ascii="Times New Roman" w:eastAsia="Times New Roman" w:hAnsi="Times New Roman" w:cs="Times New Roman"/>
          <w:color w:val="000000"/>
          <w:spacing w:val="0"/>
          <w:w w:val="100"/>
          <w:position w:val="0"/>
        </w:rPr>
        <w:t>13.25%</w:t>
      </w:r>
      <w:r>
        <w:rPr>
          <w:color w:val="000000"/>
          <w:spacing w:val="0"/>
          <w:w w:val="100"/>
          <w:position w:val="0"/>
        </w:rPr>
        <w:t>、杭州美诺泰科科技有限公司折现率为</w:t>
      </w:r>
      <w:r>
        <w:rPr>
          <w:rFonts w:ascii="Times New Roman" w:eastAsia="Times New Roman" w:hAnsi="Times New Roman" w:cs="Times New Roman"/>
          <w:color w:val="000000"/>
          <w:spacing w:val="0"/>
          <w:w w:val="100"/>
          <w:position w:val="0"/>
        </w:rPr>
        <w:t>13.60%</w:t>
      </w:r>
      <w:r>
        <w:rPr>
          <w:color w:val="000000"/>
          <w:spacing w:val="0"/>
          <w:w w:val="100"/>
          <w:position w:val="0"/>
        </w:rPr>
        <w:t>），根据历史实际经营数据、行业发展趋势、 预期收入增长率、毛利率等指标编制预测未来</w:t>
      </w:r>
      <w:r>
        <w:rPr>
          <w:rFonts w:ascii="Times New Roman" w:eastAsia="Times New Roman" w:hAnsi="Times New Roman" w:cs="Times New Roman"/>
          <w:color w:val="000000"/>
          <w:spacing w:val="0"/>
          <w:w w:val="100"/>
          <w:position w:val="0"/>
        </w:rPr>
        <w:t>5</w:t>
      </w:r>
      <w:r>
        <w:rPr>
          <w:color w:val="000000"/>
          <w:spacing w:val="0"/>
          <w:w w:val="100"/>
          <w:position w:val="0"/>
        </w:rPr>
        <w:t>年现金流量，预测期以后的现金流量维持不变。</w:t>
      </w:r>
    </w:p>
    <w:p>
      <w:pPr>
        <w:pStyle w:val="Style15"/>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减值测试中采用的其他关键数据包括：产品预计售价、销量、生产成本及其他相关费用。公司根据历史经验及对市场发 展的预测确定上述关键数据。公司采用的折现率是反映当前市场货币时间价值和相关资产组特定风险的税前利率。</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商誉减值测试的影响</w:t>
      </w:r>
    </w:p>
    <w:p>
      <w:pPr>
        <w:pStyle w:val="Style1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根据公司聘请的坤元资产评估公司出具的《评估报告》（坤元评报〔</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171</w:t>
      </w:r>
      <w:r>
        <w:rPr>
          <w:color w:val="000000"/>
          <w:spacing w:val="0"/>
          <w:w w:val="100"/>
          <w:position w:val="0"/>
        </w:rPr>
        <w:t>号）、（坤元评报〔</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172</w:t>
      </w:r>
      <w:r>
        <w:rPr>
          <w:color w:val="000000"/>
          <w:spacing w:val="0"/>
          <w:w w:val="100"/>
          <w:position w:val="0"/>
        </w:rPr>
        <w:t>号）、</w:t>
      </w:r>
    </w:p>
    <w:p>
      <w:pPr>
        <w:pStyle w:val="Style15"/>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（坤元评报〔</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169</w:t>
      </w:r>
      <w:r>
        <w:rPr>
          <w:color w:val="000000"/>
          <w:spacing w:val="0"/>
          <w:w w:val="100"/>
          <w:position w:val="0"/>
        </w:rPr>
        <w:t>号）和（坤元评报〔</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170</w:t>
      </w:r>
      <w:r>
        <w:rPr>
          <w:color w:val="000000"/>
          <w:spacing w:val="0"/>
          <w:w w:val="100"/>
          <w:position w:val="0"/>
        </w:rPr>
        <w:t>号），包含对杭州卓腾信息技术有限公司商誉的资产组可收回金额 为</w:t>
      </w:r>
      <w:r>
        <w:rPr>
          <w:rFonts w:ascii="Times New Roman" w:eastAsia="Times New Roman" w:hAnsi="Times New Roman" w:cs="Times New Roman"/>
          <w:color w:val="000000"/>
          <w:spacing w:val="0"/>
          <w:w w:val="100"/>
          <w:position w:val="0"/>
        </w:rPr>
        <w:t>62,000,000.00</w:t>
      </w:r>
      <w:r>
        <w:rPr>
          <w:color w:val="000000"/>
          <w:spacing w:val="0"/>
          <w:w w:val="100"/>
          <w:position w:val="0"/>
        </w:rPr>
        <w:t>元，账面价值</w:t>
      </w:r>
      <w:r>
        <w:rPr>
          <w:rFonts w:ascii="Times New Roman" w:eastAsia="Times New Roman" w:hAnsi="Times New Roman" w:cs="Times New Roman"/>
          <w:color w:val="000000"/>
          <w:spacing w:val="0"/>
          <w:w w:val="100"/>
          <w:position w:val="0"/>
        </w:rPr>
        <w:t>47,624,535.55</w:t>
      </w:r>
      <w:r>
        <w:rPr>
          <w:color w:val="000000"/>
          <w:spacing w:val="0"/>
          <w:w w:val="100"/>
          <w:position w:val="0"/>
        </w:rPr>
        <w:t>元，商誉并未出现减值损失；包含对广东中拓信息技术有限公司和中山市蓝天 电脑有限公司商誉的资产组可收回金额为</w:t>
      </w:r>
      <w:r>
        <w:rPr>
          <w:rFonts w:ascii="Times New Roman" w:eastAsia="Times New Roman" w:hAnsi="Times New Roman" w:cs="Times New Roman"/>
          <w:color w:val="000000"/>
          <w:spacing w:val="0"/>
          <w:w w:val="100"/>
          <w:position w:val="0"/>
        </w:rPr>
        <w:t>76,000,000.00</w:t>
      </w:r>
      <w:r>
        <w:rPr>
          <w:color w:val="000000"/>
          <w:spacing w:val="0"/>
          <w:w w:val="100"/>
          <w:position w:val="0"/>
        </w:rPr>
        <w:t>元，账面价值</w:t>
      </w:r>
      <w:r>
        <w:rPr>
          <w:rFonts w:ascii="Times New Roman" w:eastAsia="Times New Roman" w:hAnsi="Times New Roman" w:cs="Times New Roman"/>
          <w:color w:val="000000"/>
          <w:spacing w:val="0"/>
          <w:w w:val="100"/>
          <w:position w:val="0"/>
        </w:rPr>
        <w:t>41,522,129.31</w:t>
      </w:r>
      <w:r>
        <w:rPr>
          <w:color w:val="000000"/>
          <w:spacing w:val="0"/>
          <w:w w:val="100"/>
          <w:position w:val="0"/>
        </w:rPr>
        <w:t>元，商誉并未出现减值损失；包含对杭 州慧康物联网科技有限公司商誉的资产组可收回金额为</w:t>
      </w:r>
      <w:r>
        <w:rPr>
          <w:rFonts w:ascii="Times New Roman" w:eastAsia="Times New Roman" w:hAnsi="Times New Roman" w:cs="Times New Roman"/>
          <w:color w:val="000000"/>
          <w:spacing w:val="0"/>
          <w:w w:val="100"/>
          <w:position w:val="0"/>
        </w:rPr>
        <w:t>1,174,000,000.00</w:t>
      </w:r>
      <w:r>
        <w:rPr>
          <w:color w:val="000000"/>
          <w:spacing w:val="0"/>
          <w:w w:val="100"/>
          <w:position w:val="0"/>
        </w:rPr>
        <w:t>元，账面价值</w:t>
      </w:r>
      <w:r>
        <w:rPr>
          <w:rFonts w:ascii="Times New Roman" w:eastAsia="Times New Roman" w:hAnsi="Times New Roman" w:cs="Times New Roman"/>
          <w:color w:val="000000"/>
          <w:spacing w:val="0"/>
          <w:w w:val="100"/>
          <w:position w:val="0"/>
        </w:rPr>
        <w:t>1,184,900,799.98</w:t>
      </w:r>
      <w:r>
        <w:rPr>
          <w:color w:val="000000"/>
          <w:spacing w:val="0"/>
          <w:w w:val="100"/>
          <w:position w:val="0"/>
        </w:rPr>
        <w:t>元，本期应确认商誉 减值损失</w:t>
      </w:r>
      <w:r>
        <w:rPr>
          <w:rFonts w:ascii="Times New Roman" w:eastAsia="Times New Roman" w:hAnsi="Times New Roman" w:cs="Times New Roman"/>
          <w:color w:val="000000"/>
          <w:spacing w:val="0"/>
          <w:w w:val="100"/>
          <w:position w:val="0"/>
        </w:rPr>
        <w:t>10,900,799.98</w:t>
      </w:r>
      <w:r>
        <w:rPr>
          <w:color w:val="000000"/>
          <w:spacing w:val="0"/>
          <w:w w:val="100"/>
          <w:position w:val="0"/>
        </w:rPr>
        <w:t>元，其中归属于本公司应确认的商誉减值损失</w:t>
      </w:r>
      <w:r>
        <w:rPr>
          <w:rFonts w:ascii="Times New Roman" w:eastAsia="Times New Roman" w:hAnsi="Times New Roman" w:cs="Times New Roman"/>
          <w:color w:val="000000"/>
          <w:spacing w:val="0"/>
          <w:w w:val="100"/>
          <w:position w:val="0"/>
        </w:rPr>
        <w:t>10,900,799.98</w:t>
      </w:r>
      <w:r>
        <w:rPr>
          <w:color w:val="000000"/>
          <w:spacing w:val="0"/>
          <w:w w:val="100"/>
          <w:position w:val="0"/>
        </w:rPr>
        <w:t>元；包含对杭州美诺泰科科技有限公司 的资产组可收回金额为</w:t>
      </w:r>
      <w:r>
        <w:rPr>
          <w:rFonts w:ascii="Times New Roman" w:eastAsia="Times New Roman" w:hAnsi="Times New Roman" w:cs="Times New Roman"/>
          <w:color w:val="000000"/>
          <w:spacing w:val="0"/>
          <w:w w:val="100"/>
          <w:position w:val="0"/>
        </w:rPr>
        <w:t>78,000,000.00</w:t>
      </w:r>
      <w:r>
        <w:rPr>
          <w:color w:val="000000"/>
          <w:spacing w:val="0"/>
          <w:w w:val="100"/>
          <w:position w:val="0"/>
        </w:rPr>
        <w:t>元，账面价值</w:t>
      </w:r>
      <w:r>
        <w:rPr>
          <w:rFonts w:ascii="Times New Roman" w:eastAsia="Times New Roman" w:hAnsi="Times New Roman" w:cs="Times New Roman"/>
          <w:color w:val="000000"/>
          <w:spacing w:val="0"/>
          <w:w w:val="100"/>
          <w:position w:val="0"/>
        </w:rPr>
        <w:t>80,696,112.67</w:t>
      </w:r>
      <w:r>
        <w:rPr>
          <w:color w:val="000000"/>
          <w:spacing w:val="0"/>
          <w:w w:val="100"/>
          <w:position w:val="0"/>
        </w:rPr>
        <w:t>元，本期应确认商誉减值损失</w:t>
      </w:r>
      <w:r>
        <w:rPr>
          <w:rFonts w:ascii="Times New Roman" w:eastAsia="Times New Roman" w:hAnsi="Times New Roman" w:cs="Times New Roman"/>
          <w:color w:val="000000"/>
          <w:spacing w:val="0"/>
          <w:w w:val="100"/>
          <w:position w:val="0"/>
        </w:rPr>
        <w:t>2,696,112.67</w:t>
      </w:r>
      <w:r>
        <w:rPr>
          <w:color w:val="000000"/>
          <w:spacing w:val="0"/>
          <w:w w:val="100"/>
          <w:position w:val="0"/>
        </w:rPr>
        <w:t>元，其中归属 于本公司应确认的商誉减值损失</w:t>
      </w:r>
      <w:r>
        <w:rPr>
          <w:rFonts w:ascii="Times New Roman" w:eastAsia="Times New Roman" w:hAnsi="Times New Roman" w:cs="Times New Roman"/>
          <w:color w:val="000000"/>
          <w:spacing w:val="0"/>
          <w:w w:val="100"/>
          <w:position w:val="0"/>
        </w:rPr>
        <w:t>2,696,112.67</w:t>
      </w:r>
      <w:r>
        <w:rPr>
          <w:color w:val="000000"/>
          <w:spacing w:val="0"/>
          <w:w w:val="100"/>
          <w:position w:val="0"/>
        </w:rPr>
        <w:t>元。其他说明</w:t>
      </w:r>
    </w:p>
    <w:p>
      <w:pPr>
        <w:pStyle w:val="Style24"/>
        <w:keepNext/>
        <w:keepLines/>
        <w:widowControl w:val="0"/>
        <w:shd w:val="clear" w:color="auto" w:fill="auto"/>
        <w:bidi w:val="0"/>
        <w:spacing w:before="0" w:line="240" w:lineRule="auto"/>
        <w:ind w:left="0" w:right="0" w:firstLine="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2</w:t>
      </w:r>
      <w:bookmarkEnd w:id="153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32"/>
      <w:bookmarkEnd w:id="1533"/>
      <w:bookmarkEnd w:id="153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租入固定资产改 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2,053,821.41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1,662,812.64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679,466.52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1,362,782.52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1,674,385.01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医院投放设备摊 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27,601,579.53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2,501,626.35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2,018,975.80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28,084,230.08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28,795,148.25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4,754,717.00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11,636,118.59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21,913,746.66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58,450,549.19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8,919,155.99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14,334,560.91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29,447,012.60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23,588,131.67</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15"/>
        <w:keepNext w:val="0"/>
        <w:keepLines w:val="0"/>
        <w:widowControl w:val="0"/>
        <w:shd w:val="clear" w:color="auto" w:fill="auto"/>
        <w:bidi w:val="0"/>
        <w:spacing w:before="0" w:after="360" w:line="307" w:lineRule="exact"/>
        <w:ind w:left="0" w:right="0" w:firstLine="520"/>
        <w:jc w:val="both"/>
      </w:pPr>
      <w:r>
        <w:rPr>
          <w:color w:val="000000"/>
          <w:spacing w:val="0"/>
          <w:w w:val="100"/>
          <w:position w:val="0"/>
        </w:rPr>
        <w:t>本公司之全资子公司慧康物联网于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月与冲电气实业（深圳）有限公司（以下简称冲电气）签订合同总金额（含 税）为</w:t>
      </w:r>
      <w:r>
        <w:rPr>
          <w:rFonts w:ascii="Times New Roman" w:eastAsia="Times New Roman" w:hAnsi="Times New Roman" w:cs="Times New Roman"/>
          <w:color w:val="000000"/>
          <w:spacing w:val="0"/>
          <w:w w:val="100"/>
          <w:position w:val="0"/>
        </w:rPr>
        <w:t>3,561.00</w:t>
      </w:r>
      <w:r>
        <w:rPr>
          <w:color w:val="000000"/>
          <w:spacing w:val="0"/>
          <w:w w:val="100"/>
          <w:position w:val="0"/>
        </w:rPr>
        <w:t>万元的《维护总代理合同》，后于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月签订补充协议，合同金额（含税）增加</w:t>
      </w:r>
      <w:r>
        <w:rPr>
          <w:rFonts w:ascii="Times New Roman" w:eastAsia="Times New Roman" w:hAnsi="Times New Roman" w:cs="Times New Roman"/>
          <w:color w:val="000000"/>
          <w:spacing w:val="0"/>
          <w:w w:val="100"/>
          <w:position w:val="0"/>
        </w:rPr>
        <w:t>504.00</w:t>
      </w:r>
      <w:r>
        <w:rPr>
          <w:color w:val="000000"/>
          <w:spacing w:val="0"/>
          <w:w w:val="100"/>
          <w:position w:val="0"/>
        </w:rPr>
        <w:t>万元。慧康物联网</w:t>
        <w:br w:type="page"/>
      </w:r>
      <w:r>
        <w:rPr>
          <w:color w:val="000000"/>
          <w:spacing w:val="0"/>
          <w:w w:val="100"/>
          <w:position w:val="0"/>
        </w:rPr>
        <w:t>在合同约定的范围和期间内作为冲电气的国内总代理为其销售的</w:t>
      </w:r>
      <w:r>
        <w:rPr>
          <w:rFonts w:ascii="Times New Roman" w:eastAsia="Times New Roman" w:hAnsi="Times New Roman" w:cs="Times New Roman"/>
          <w:color w:val="000000"/>
          <w:spacing w:val="0"/>
          <w:w w:val="100"/>
          <w:position w:val="0"/>
        </w:rPr>
        <w:t>ATM</w:t>
      </w:r>
      <w:r>
        <w:rPr>
          <w:color w:val="000000"/>
          <w:spacing w:val="0"/>
          <w:w w:val="100"/>
          <w:position w:val="0"/>
        </w:rPr>
        <w:t>机提供有偿维护支持。</w:t>
      </w:r>
    </w:p>
    <w:p>
      <w:pPr>
        <w:pStyle w:val="Style24"/>
        <w:keepNext/>
        <w:keepLines/>
        <w:widowControl w:val="0"/>
        <w:shd w:val="clear" w:color="auto" w:fill="auto"/>
        <w:bidi w:val="0"/>
        <w:spacing w:before="0" w:after="30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3</w:t>
      </w:r>
      <w:bookmarkEnd w:id="153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36"/>
      <w:bookmarkEnd w:id="1537"/>
      <w:bookmarkEnd w:id="1539"/>
    </w:p>
    <w:p>
      <w:pPr>
        <w:pStyle w:val="Style92"/>
        <w:keepNext/>
        <w:keepLines/>
        <w:widowControl w:val="0"/>
        <w:shd w:val="clear" w:color="auto" w:fill="auto"/>
        <w:bidi w:val="0"/>
        <w:spacing w:before="0" w:after="36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40"/>
      <w:bookmarkEnd w:id="1541"/>
      <w:bookmarkEnd w:id="154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240,045,199.40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24,559,260.70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164,048,573.39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16,789,354.73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1,686,610.50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168,661.05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6,589,626.08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819,590.11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 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381,900.12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38,190.01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242,113,710.02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24,766,111.76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170,638,199.47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17,608,944.84</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44"/>
      <w:bookmarkEnd w:id="1545"/>
      <w:bookmarkEnd w:id="154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782,347.10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78,234.71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782,347.10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78,234.71</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48"/>
      <w:bookmarkEnd w:id="1549"/>
      <w:bookmarkEnd w:id="155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24,766,111.76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17,608,944.84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78,234.71</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52"/>
      <w:bookmarkEnd w:id="1553"/>
      <w:bookmarkEnd w:id="155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47,202,656.58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30,493,955.52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47,202,656.58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30,493,955.52</w:t>
            </w:r>
          </w:p>
        </w:tc>
      </w:tr>
    </w:tbl>
    <w:p>
      <w:pPr>
        <w:spacing w:lineRule="exact" w:line="1"/>
        <w:rPr>
          <w:sz w:val="2"/>
          <w:szCs w:val="2"/>
        </w:rPr>
      </w:pPr>
      <w:r>
        <w:br w:type="page"/>
      </w:r>
    </w:p>
    <w:p>
      <w:pPr>
        <w:pStyle w:val="Style92"/>
        <w:keepNext/>
        <w:keepLines/>
        <w:widowControl w:val="0"/>
        <w:shd w:val="clear" w:color="auto" w:fill="auto"/>
        <w:bidi w:val="0"/>
        <w:spacing w:before="0" w:after="36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56"/>
      <w:bookmarkEnd w:id="1557"/>
      <w:bookmarkEnd w:id="155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3</w:t>
      </w:r>
      <w:bookmarkEnd w:id="156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60"/>
      <w:bookmarkEnd w:id="1561"/>
      <w:bookmarkEnd w:id="156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3</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64"/>
      <w:bookmarkEnd w:id="1565"/>
      <w:bookmarkEnd w:id="1567"/>
    </w:p>
    <w:p>
      <w:pPr>
        <w:pStyle w:val="Style92"/>
        <w:keepNext/>
        <w:keepLines/>
        <w:widowControl w:val="0"/>
        <w:shd w:val="clear" w:color="auto" w:fill="auto"/>
        <w:bidi w:val="0"/>
        <w:spacing w:before="0" w:after="36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68"/>
      <w:bookmarkEnd w:id="1569"/>
      <w:bookmarkEnd w:id="157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163,000,000.00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116,981.94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163,116,981.94</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92"/>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72"/>
      <w:bookmarkEnd w:id="1573"/>
      <w:bookmarkEnd w:id="1575"/>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76"/>
      <w:bookmarkEnd w:id="1577"/>
      <w:bookmarkEnd w:id="157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3</w:t>
      </w:r>
      <w:bookmarkEnd w:id="158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80"/>
      <w:bookmarkEnd w:id="1581"/>
      <w:bookmarkEnd w:id="158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3</w:t>
      </w:r>
      <w:bookmarkEnd w:id="158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84"/>
      <w:bookmarkEnd w:id="1585"/>
      <w:bookmarkEnd w:id="158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40,421,476.90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21,461,750.91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40,421,476.90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21,461,750.91</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keepLines/>
        <w:widowControl w:val="0"/>
        <w:shd w:val="clear" w:color="auto" w:fill="auto"/>
        <w:bidi w:val="0"/>
        <w:spacing w:before="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88"/>
      <w:bookmarkEnd w:id="1589"/>
      <w:bookmarkEnd w:id="1591"/>
    </w:p>
    <w:p>
      <w:pPr>
        <w:pStyle w:val="Style92"/>
        <w:keepNext/>
        <w:keepLines/>
        <w:widowControl w:val="0"/>
        <w:shd w:val="clear" w:color="auto" w:fill="auto"/>
        <w:bidi w:val="0"/>
        <w:spacing w:before="0" w:after="360" w:line="240" w:lineRule="auto"/>
        <w:ind w:left="0" w:right="0" w:firstLine="0"/>
        <w:jc w:val="both"/>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92"/>
      <w:bookmarkEnd w:id="1593"/>
      <w:bookmarkEnd w:id="159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433,088,299.55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304,751,043.52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43,841,219.00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10,942,991.41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7,447,543.95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22,551,483.55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484,377,062.50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338,245,518.48</w:t>
            </w:r>
          </w:p>
        </w:tc>
      </w:tr>
    </w:tbl>
    <w:p>
      <w:pPr>
        <w:widowControl w:val="0"/>
        <w:spacing w:after="359" w:line="1" w:lineRule="exact"/>
      </w:pPr>
    </w:p>
    <w:p>
      <w:pPr>
        <w:pStyle w:val="Style92"/>
        <w:keepNext/>
        <w:keepLines/>
        <w:widowControl w:val="0"/>
        <w:shd w:val="clear" w:color="auto" w:fill="auto"/>
        <w:bidi w:val="0"/>
        <w:spacing w:before="0" w:after="360" w:line="240" w:lineRule="auto"/>
        <w:ind w:left="0" w:right="0" w:firstLine="0"/>
        <w:jc w:val="both"/>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96"/>
      <w:bookmarkEnd w:id="1597"/>
      <w:bookmarkEnd w:id="159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3</w:t>
      </w:r>
      <w:bookmarkEnd w:id="160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00"/>
      <w:bookmarkEnd w:id="1601"/>
      <w:bookmarkEnd w:id="1603"/>
    </w:p>
    <w:p>
      <w:pPr>
        <w:pStyle w:val="Style92"/>
        <w:keepNext/>
        <w:keepLines/>
        <w:widowControl w:val="0"/>
        <w:shd w:val="clear" w:color="auto" w:fill="auto"/>
        <w:bidi w:val="0"/>
        <w:spacing w:before="0" w:after="360" w:line="240" w:lineRule="auto"/>
        <w:ind w:left="0" w:right="0" w:firstLine="0"/>
        <w:jc w:val="both"/>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604"/>
      <w:bookmarkEnd w:id="1605"/>
      <w:bookmarkEnd w:id="1607"/>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20,520,000.00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207,543.48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20,727,543.48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both"/>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08"/>
      <w:bookmarkEnd w:id="1609"/>
      <w:bookmarkEnd w:id="161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3</w:t>
      </w:r>
      <w:bookmarkEnd w:id="161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12"/>
      <w:bookmarkEnd w:id="1613"/>
      <w:bookmarkEnd w:id="161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154,468,303.65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253,298,004.18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154,468,303.65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253,298,004.18</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报告期内账面价值发生重大变动的金额和原因</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3</w:t>
      </w:r>
      <w:bookmarkEnd w:id="161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16"/>
      <w:bookmarkEnd w:id="1617"/>
      <w:bookmarkEnd w:id="1619"/>
    </w:p>
    <w:p>
      <w:pPr>
        <w:pStyle w:val="Style92"/>
        <w:keepNext/>
        <w:keepLines/>
        <w:widowControl w:val="0"/>
        <w:shd w:val="clear" w:color="auto" w:fill="auto"/>
        <w:bidi w:val="0"/>
        <w:spacing w:before="0" w:after="360" w:line="240" w:lineRule="auto"/>
        <w:ind w:left="0" w:right="0" w:firstLine="0"/>
        <w:jc w:val="both"/>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620"/>
      <w:bookmarkEnd w:id="1621"/>
      <w:bookmarkEnd w:id="162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62,294,404.50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621,645,134.82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628,164,649.51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55,774,889.81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1,997,325.21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40,382,323.12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40,210,136.15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2,169,512.18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655,641.94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655,641.94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64,291,729.71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662,683,099.88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669,030,427.60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57,944,401.99</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both"/>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24"/>
      <w:bookmarkEnd w:id="1625"/>
      <w:bookmarkEnd w:id="162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60,276,559.07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531,465,023.80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537,758,313.59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53,983,269.28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34,342,933.96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34,342,933.96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1,419,227.99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24,901,386.40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24,823,820.85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1,496,793.54</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1,394,676.79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23,568,028.08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23,501,278.95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1,461,425.92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680,406.66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669,869.74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31,015.92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652,951.66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652,672.16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232,618.60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29,146,450.29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29,273,267.69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105,801.20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365,998.84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1,789,340.37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1,966,313.42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189,025.79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62,294,404.50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621,645,134.82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628,164,649.51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55,774,889.81</w:t>
            </w:r>
          </w:p>
        </w:tc>
      </w:tr>
    </w:tbl>
    <w:p>
      <w:pPr>
        <w:widowControl w:val="0"/>
        <w:spacing w:after="299" w:line="1" w:lineRule="exact"/>
      </w:pPr>
    </w:p>
    <w:p>
      <w:pPr>
        <w:pStyle w:val="Style92"/>
        <w:keepNext/>
        <w:keepLines/>
        <w:widowControl w:val="0"/>
        <w:numPr>
          <w:ilvl w:val="0"/>
          <w:numId w:val="37"/>
        </w:numPr>
        <w:shd w:val="clear" w:color="auto" w:fill="auto"/>
        <w:bidi w:val="0"/>
        <w:spacing w:before="0" w:after="360" w:line="240" w:lineRule="auto"/>
        <w:ind w:left="0" w:right="0" w:firstLine="0"/>
        <w:jc w:val="left"/>
      </w:pPr>
      <w:bookmarkStart w:id="1628" w:name="bookmark1628"/>
      <w:bookmarkStart w:id="1629" w:name="bookmark1629"/>
      <w:bookmarkStart w:id="1630" w:name="bookmark1630"/>
      <w:bookmarkStart w:id="1631" w:name="bookmark1631"/>
      <w:bookmarkEnd w:id="1630"/>
      <w:r>
        <w:rPr>
          <w:color w:val="000000"/>
          <w:spacing w:val="0"/>
          <w:w w:val="100"/>
          <w:position w:val="0"/>
        </w:rPr>
        <w:t>设定提存计划列示</w:t>
      </w:r>
      <w:bookmarkEnd w:id="1628"/>
      <w:bookmarkEnd w:id="1629"/>
      <w:bookmarkEnd w:id="163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1,916,092.12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39,104,095.22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38,929,368.15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2,090,819.19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1,278,227.90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1,280,768.00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78,692.99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1,997,325.21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40,382,323.12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40,210,136.15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2,169,512.18</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32"/>
      <w:bookmarkEnd w:id="1633"/>
      <w:bookmarkEnd w:id="163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96,472,469.59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38,463,680.83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26,117,321.91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15,909,906.57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1,599,313.02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5,731,752.69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10,487,555.71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5,470,727.06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4,511,987.22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2,369,248.29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2,996,252.02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1,567,024.26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1,333,887.14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1,285,110.98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47,490.80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225,459.80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143,704,547.95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71,022,910.48</w:t>
            </w:r>
          </w:p>
        </w:tc>
      </w:tr>
    </w:tbl>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9" w:right="1072" w:bottom="1497" w:left="1056" w:header="0" w:footer="3" w:gutter="0"/>
          <w:cols w:space="720"/>
          <w:noEndnote/>
          <w:rtlGutter w:val="0"/>
          <w:docGrid w:linePitch="360"/>
        </w:sectPr>
      </w:pPr>
      <w:r>
        <w:rPr>
          <w:b w:val="0"/>
          <w:bCs w:val="0"/>
          <w:color w:val="000000"/>
          <w:spacing w:val="0"/>
          <w:w w:val="100"/>
          <w:position w:val="0"/>
        </w:rPr>
        <w:t>其他说明：</w:t>
      </w:r>
    </w:p>
    <w:p>
      <w:pPr>
        <w:pStyle w:val="Style24"/>
        <w:keepNext/>
        <w:keepLines/>
        <w:widowControl w:val="0"/>
        <w:shd w:val="clear" w:color="auto" w:fill="auto"/>
        <w:bidi w:val="0"/>
        <w:spacing w:before="460" w:after="34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36"/>
      <w:bookmarkEnd w:id="1637"/>
      <w:bookmarkEnd w:id="163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77,134,604.64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127,304,979.75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77,134,604.64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127,304,979.75</w:t>
            </w:r>
          </w:p>
        </w:tc>
      </w:tr>
    </w:tbl>
    <w:p>
      <w:pPr>
        <w:widowControl w:val="0"/>
        <w:spacing w:after="339" w:line="1" w:lineRule="exact"/>
      </w:pPr>
    </w:p>
    <w:p>
      <w:pPr>
        <w:pStyle w:val="Style92"/>
        <w:keepNext/>
        <w:keepLines/>
        <w:widowControl w:val="0"/>
        <w:shd w:val="clear" w:color="auto" w:fill="auto"/>
        <w:bidi w:val="0"/>
        <w:spacing w:before="0" w:after="34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40"/>
      <w:bookmarkEnd w:id="1641"/>
      <w:bookmarkEnd w:id="164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92"/>
        <w:keepNext/>
        <w:keepLines/>
        <w:widowControl w:val="0"/>
        <w:shd w:val="clear" w:color="auto" w:fill="auto"/>
        <w:bidi w:val="0"/>
        <w:spacing w:before="0" w:after="34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44"/>
      <w:bookmarkEnd w:id="1645"/>
      <w:bookmarkEnd w:id="164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92"/>
        <w:keepNext/>
        <w:keepLines/>
        <w:widowControl w:val="0"/>
        <w:shd w:val="clear" w:color="auto" w:fill="auto"/>
        <w:bidi w:val="0"/>
        <w:spacing w:before="0" w:after="34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48"/>
      <w:bookmarkEnd w:id="1649"/>
      <w:bookmarkEnd w:id="1651"/>
    </w:p>
    <w:p>
      <w:pPr>
        <w:pStyle w:val="Style115"/>
        <w:keepNext/>
        <w:keepLines/>
        <w:widowControl w:val="0"/>
        <w:shd w:val="clear" w:color="auto" w:fill="auto"/>
        <w:bidi w:val="0"/>
        <w:spacing w:before="0" w:after="340" w:line="240" w:lineRule="auto"/>
        <w:ind w:left="0" w:right="0" w:firstLine="0"/>
        <w:jc w:val="left"/>
        <w:rPr>
          <w:sz w:val="20"/>
          <w:szCs w:val="20"/>
        </w:rPr>
      </w:pPr>
      <w:bookmarkStart w:id="1652" w:name="bookmark1652"/>
      <w:bookmarkStart w:id="1653" w:name="bookmark1653"/>
      <w:bookmarkStart w:id="1654" w:name="bookmark1654"/>
      <w:bookmarkStart w:id="1655" w:name="bookmark1655"/>
      <w:r>
        <w:rPr>
          <w:rFonts w:ascii="Times New Roman" w:eastAsia="Times New Roman" w:hAnsi="Times New Roman" w:cs="Times New Roman"/>
          <w:b/>
          <w:bCs/>
          <w:color w:val="000000"/>
          <w:spacing w:val="0"/>
          <w:w w:val="100"/>
          <w:position w:val="0"/>
          <w:sz w:val="20"/>
          <w:szCs w:val="20"/>
        </w:rPr>
        <w:t>1</w:t>
      </w:r>
      <w:bookmarkEnd w:id="1654"/>
      <w:r>
        <w:rPr>
          <w:b/>
          <w:bCs/>
          <w:color w:val="000000"/>
          <w:spacing w:val="0"/>
          <w:w w:val="100"/>
          <w:position w:val="0"/>
          <w:sz w:val="20"/>
          <w:szCs w:val="20"/>
        </w:rPr>
        <w:t>）按款项性质列示其他应付款</w:t>
      </w:r>
      <w:bookmarkEnd w:id="1652"/>
      <w:bookmarkEnd w:id="1653"/>
      <w:bookmarkEnd w:id="165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12,473,539.08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19,132,691.10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5,626,855.13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8,280,332.59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34,032,849.50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71,210,441.50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5,480,000.00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4,658,000.00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8,266,300.00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11,255,060.93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9,023,514.56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77,134,604.64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127,304,979.75</w:t>
            </w:r>
          </w:p>
        </w:tc>
      </w:tr>
    </w:tbl>
    <w:p>
      <w:pPr>
        <w:widowControl w:val="0"/>
        <w:spacing w:after="339" w:line="1" w:lineRule="exact"/>
      </w:pPr>
    </w:p>
    <w:p>
      <w:pPr>
        <w:pStyle w:val="Style115"/>
        <w:keepNext/>
        <w:keepLines/>
        <w:widowControl w:val="0"/>
        <w:shd w:val="clear" w:color="auto" w:fill="auto"/>
        <w:bidi w:val="0"/>
        <w:spacing w:before="0" w:after="340" w:line="240" w:lineRule="auto"/>
        <w:ind w:left="0" w:right="0" w:firstLine="0"/>
        <w:jc w:val="left"/>
        <w:rPr>
          <w:sz w:val="20"/>
          <w:szCs w:val="20"/>
        </w:rPr>
      </w:pPr>
      <w:bookmarkStart w:id="1656" w:name="bookmark1656"/>
      <w:bookmarkStart w:id="1657" w:name="bookmark1657"/>
      <w:bookmarkStart w:id="1658" w:name="bookmark1658"/>
      <w:bookmarkStart w:id="1659" w:name="bookmark1659"/>
      <w:r>
        <w:rPr>
          <w:rFonts w:ascii="Times New Roman" w:eastAsia="Times New Roman" w:hAnsi="Times New Roman" w:cs="Times New Roman"/>
          <w:b/>
          <w:bCs/>
          <w:color w:val="000000"/>
          <w:spacing w:val="0"/>
          <w:w w:val="100"/>
          <w:position w:val="0"/>
          <w:sz w:val="20"/>
          <w:szCs w:val="20"/>
        </w:rPr>
        <w:t>2</w:t>
      </w:r>
      <w:bookmarkEnd w:id="1658"/>
      <w:r>
        <w:rPr>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年的重要其他应付款</w:t>
      </w:r>
      <w:bookmarkEnd w:id="1656"/>
      <w:bookmarkEnd w:id="1657"/>
      <w:bookmarkEnd w:id="1659"/>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1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其他说明</w:t>
      </w:r>
    </w:p>
    <w:p>
      <w:pPr>
        <w:pStyle w:val="Style15"/>
        <w:keepNext w:val="0"/>
        <w:keepLines w:val="0"/>
        <w:widowControl w:val="0"/>
        <w:shd w:val="clear" w:color="auto" w:fill="auto"/>
        <w:tabs>
          <w:tab w:pos="440" w:val="left"/>
        </w:tabs>
        <w:bidi w:val="0"/>
        <w:spacing w:before="0" w:after="0" w:line="310" w:lineRule="exact"/>
        <w:ind w:left="0" w:right="0" w:firstLine="0"/>
        <w:jc w:val="both"/>
      </w:pPr>
      <w:bookmarkStart w:id="1660" w:name="bookmark1660"/>
      <w:r>
        <w:rPr>
          <w:color w:val="000000"/>
          <w:spacing w:val="0"/>
          <w:w w:val="100"/>
          <w:position w:val="0"/>
        </w:rPr>
        <w:t>（</w:t>
      </w:r>
      <w:bookmarkEnd w:id="1660"/>
      <w:r>
        <w:rPr>
          <w:rFonts w:ascii="Times New Roman" w:eastAsia="Times New Roman" w:hAnsi="Times New Roman" w:cs="Times New Roman"/>
          <w:color w:val="000000"/>
          <w:spacing w:val="0"/>
          <w:w w:val="100"/>
          <w:position w:val="0"/>
        </w:rPr>
        <w:t>1</w:t>
      </w:r>
      <w:r>
        <w:rPr>
          <w:color w:val="000000"/>
          <w:spacing w:val="0"/>
          <w:w w:val="100"/>
          <w:position w:val="0"/>
        </w:rPr>
        <w:t>）</w:t>
        <w:tab/>
        <w:t>限制性股票回购义务具体情况详见库存股之说明。</w:t>
      </w:r>
    </w:p>
    <w:p>
      <w:pPr>
        <w:pStyle w:val="Style15"/>
        <w:keepNext w:val="0"/>
        <w:keepLines w:val="0"/>
        <w:widowControl w:val="0"/>
        <w:shd w:val="clear" w:color="auto" w:fill="auto"/>
        <w:tabs>
          <w:tab w:pos="555" w:val="left"/>
        </w:tabs>
        <w:bidi w:val="0"/>
        <w:spacing w:before="0" w:after="360" w:line="310" w:lineRule="exact"/>
        <w:ind w:left="0" w:right="0" w:firstLine="0"/>
        <w:jc w:val="both"/>
      </w:pPr>
      <w:bookmarkStart w:id="1661" w:name="bookmark1661"/>
      <w:r>
        <w:rPr>
          <w:color w:val="000000"/>
          <w:spacing w:val="0"/>
          <w:w w:val="100"/>
          <w:position w:val="0"/>
        </w:rPr>
        <w:t>（</w:t>
      </w:r>
      <w:bookmarkEnd w:id="1661"/>
      <w:r>
        <w:rPr>
          <w:rFonts w:ascii="Times New Roman" w:eastAsia="Times New Roman" w:hAnsi="Times New Roman" w:cs="Times New Roman"/>
          <w:color w:val="000000"/>
          <w:spacing w:val="0"/>
          <w:w w:val="100"/>
          <w:position w:val="0"/>
        </w:rPr>
        <w:t>2</w:t>
      </w:r>
      <w:r>
        <w:rPr>
          <w:color w:val="000000"/>
          <w:spacing w:val="0"/>
          <w:w w:val="100"/>
          <w:position w:val="0"/>
        </w:rPr>
        <w:t>）</w:t>
        <w:tab/>
        <w:t>应付股权款包括</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年收购广东中拓信息技术有限公司和中山市蓝天电脑有限公司</w:t>
      </w:r>
      <w:r>
        <w:rPr>
          <w:rFonts w:ascii="Times New Roman" w:eastAsia="Times New Roman" w:hAnsi="Times New Roman" w:cs="Times New Roman"/>
          <w:color w:val="000000"/>
          <w:spacing w:val="0"/>
          <w:w w:val="100"/>
          <w:position w:val="0"/>
        </w:rPr>
        <w:t>20.00%</w:t>
      </w:r>
      <w:r>
        <w:rPr>
          <w:color w:val="000000"/>
          <w:spacing w:val="0"/>
          <w:w w:val="100"/>
          <w:position w:val="0"/>
        </w:rPr>
        <w:t xml:space="preserve">股权的剩余股权款 </w:t>
      </w:r>
      <w:r>
        <w:rPr>
          <w:rFonts w:ascii="Times New Roman" w:eastAsia="Times New Roman" w:hAnsi="Times New Roman" w:cs="Times New Roman"/>
          <w:color w:val="000000"/>
          <w:spacing w:val="0"/>
          <w:w w:val="100"/>
          <w:position w:val="0"/>
        </w:rPr>
        <w:t>5,000,000.00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）本公司之子公司杭州慧康互联科技有限公司收购嘉兴市博雅达医药有限公司</w:t>
      </w:r>
      <w:r>
        <w:rPr>
          <w:rFonts w:ascii="Times New Roman" w:eastAsia="Times New Roman" w:hAnsi="Times New Roman" w:cs="Times New Roman"/>
          <w:color w:val="000000"/>
          <w:spacing w:val="0"/>
          <w:w w:val="100"/>
          <w:position w:val="0"/>
        </w:rPr>
        <w:t>51.00%</w:t>
      </w:r>
      <w:r>
        <w:rPr>
          <w:color w:val="000000"/>
          <w:spacing w:val="0"/>
          <w:w w:val="100"/>
          <w:position w:val="0"/>
        </w:rPr>
        <w:t xml:space="preserve">股权的剩余股权款 </w:t>
      </w:r>
      <w:r>
        <w:rPr>
          <w:rFonts w:ascii="Times New Roman" w:eastAsia="Times New Roman" w:hAnsi="Times New Roman" w:cs="Times New Roman"/>
          <w:color w:val="000000"/>
          <w:spacing w:val="0"/>
          <w:w w:val="100"/>
          <w:position w:val="0"/>
        </w:rPr>
        <w:t>3,266,300.00</w:t>
      </w:r>
      <w:r>
        <w:rPr>
          <w:color w:val="000000"/>
          <w:spacing w:val="0"/>
          <w:w w:val="100"/>
          <w:position w:val="0"/>
        </w:rPr>
        <w:t>元。</w:t>
      </w:r>
    </w:p>
    <w:p>
      <w:pPr>
        <w:pStyle w:val="Style24"/>
        <w:keepNext/>
        <w:keepLines/>
        <w:widowControl w:val="0"/>
        <w:shd w:val="clear" w:color="auto" w:fill="auto"/>
        <w:bidi w:val="0"/>
        <w:spacing w:before="0" w:after="280" w:line="240" w:lineRule="auto"/>
        <w:ind w:left="0" w:right="0" w:firstLine="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4</w:t>
      </w:r>
      <w:bookmarkEnd w:id="166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62"/>
      <w:bookmarkEnd w:id="1663"/>
      <w:bookmarkEnd w:id="1665"/>
    </w:p>
    <w:p>
      <w:pPr>
        <w:pStyle w:val="Style15"/>
        <w:keepNext w:val="0"/>
        <w:keepLines w:val="0"/>
        <w:widowControl w:val="0"/>
        <w:shd w:val="clear" w:color="auto" w:fill="auto"/>
        <w:bidi w:val="0"/>
        <w:spacing w:before="0" w:after="80" w:line="310"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4</w:t>
      </w:r>
      <w:bookmarkEnd w:id="166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66"/>
      <w:bookmarkEnd w:id="1667"/>
      <w:bookmarkEnd w:id="166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6,914,513.82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6,022,737.86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6,914,513.82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6,022,737.86</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日）差异详见“重要会计政策和会计估计变更”之说明。</w:t>
      </w:r>
    </w:p>
    <w:p>
      <w:pPr>
        <w:pStyle w:val="Style24"/>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4</w:t>
      </w:r>
      <w:bookmarkEnd w:id="167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70"/>
      <w:bookmarkEnd w:id="1671"/>
      <w:bookmarkEnd w:id="167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15,273,816.42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24,714,144.56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15,273,816.42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24,714,144.56</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短期应付债券的增减变动:</w:t>
      </w:r>
    </w:p>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24"/>
        <w:keepNext/>
        <w:keepLines/>
        <w:widowControl w:val="0"/>
        <w:shd w:val="clear" w:color="auto" w:fill="auto"/>
        <w:bidi w:val="0"/>
        <w:spacing w:before="0" w:after="340" w:line="240" w:lineRule="auto"/>
        <w:ind w:left="0" w:right="0" w:firstLine="0"/>
        <w:jc w:val="both"/>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4</w:t>
      </w:r>
      <w:bookmarkEnd w:id="167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74"/>
      <w:bookmarkEnd w:id="1675"/>
      <w:bookmarkEnd w:id="1677"/>
    </w:p>
    <w:p>
      <w:pPr>
        <w:pStyle w:val="Style92"/>
        <w:keepNext/>
        <w:keepLines/>
        <w:widowControl w:val="0"/>
        <w:shd w:val="clear" w:color="auto" w:fill="auto"/>
        <w:bidi w:val="0"/>
        <w:spacing w:before="0" w:after="380" w:line="240" w:lineRule="auto"/>
        <w:ind w:left="0" w:right="0" w:firstLine="0"/>
        <w:jc w:val="both"/>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78"/>
      <w:bookmarkEnd w:id="1679"/>
      <w:bookmarkEnd w:id="1681"/>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长期借款分类的说明：</w:t>
      </w:r>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其他说明，包括利率区间：</w:t>
      </w:r>
    </w:p>
    <w:p>
      <w:pPr>
        <w:pStyle w:val="Style24"/>
        <w:keepNext/>
        <w:keepLines/>
        <w:widowControl w:val="0"/>
        <w:shd w:val="clear" w:color="auto" w:fill="auto"/>
        <w:bidi w:val="0"/>
        <w:spacing w:before="0" w:after="340" w:line="240" w:lineRule="auto"/>
        <w:ind w:left="0" w:right="0" w:firstLine="0"/>
        <w:jc w:val="both"/>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4</w:t>
      </w:r>
      <w:bookmarkEnd w:id="1684"/>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82"/>
      <w:bookmarkEnd w:id="1683"/>
      <w:bookmarkEnd w:id="1685"/>
    </w:p>
    <w:p>
      <w:pPr>
        <w:pStyle w:val="Style92"/>
        <w:keepNext/>
        <w:keepLines/>
        <w:widowControl w:val="0"/>
        <w:shd w:val="clear" w:color="auto" w:fill="auto"/>
        <w:bidi w:val="0"/>
        <w:spacing w:before="0" w:after="340" w:line="240" w:lineRule="auto"/>
        <w:ind w:left="0" w:right="0" w:firstLine="0"/>
        <w:jc w:val="both"/>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86"/>
      <w:bookmarkEnd w:id="1687"/>
      <w:bookmarkEnd w:id="1689"/>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92"/>
        <w:keepNext/>
        <w:keepLines/>
        <w:widowControl w:val="0"/>
        <w:shd w:val="clear" w:color="auto" w:fill="auto"/>
        <w:bidi w:val="0"/>
        <w:spacing w:before="0" w:after="340" w:line="240" w:lineRule="auto"/>
        <w:ind w:left="0" w:right="0" w:firstLine="0"/>
        <w:jc w:val="both"/>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90"/>
      <w:bookmarkEnd w:id="1691"/>
      <w:bookmarkEnd w:id="169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92"/>
        <w:keepNext/>
        <w:keepLines/>
        <w:widowControl w:val="0"/>
        <w:shd w:val="clear" w:color="auto" w:fill="auto"/>
        <w:tabs>
          <w:tab w:pos="493" w:val="left"/>
        </w:tabs>
        <w:bidi w:val="0"/>
        <w:spacing w:before="0" w:after="340" w:line="240" w:lineRule="auto"/>
        <w:ind w:left="0" w:right="0" w:firstLine="0"/>
        <w:jc w:val="both"/>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94"/>
      <w:bookmarkEnd w:id="1695"/>
      <w:bookmarkEnd w:id="1697"/>
    </w:p>
    <w:p>
      <w:pPr>
        <w:pStyle w:val="Style92"/>
        <w:keepNext/>
        <w:keepLines/>
        <w:widowControl w:val="0"/>
        <w:shd w:val="clear" w:color="auto" w:fill="auto"/>
        <w:tabs>
          <w:tab w:pos="493" w:val="left"/>
        </w:tabs>
        <w:bidi w:val="0"/>
        <w:spacing w:before="0" w:after="380" w:line="240" w:lineRule="auto"/>
        <w:ind w:left="0" w:right="0" w:firstLine="0"/>
        <w:jc w:val="both"/>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98"/>
      <w:bookmarkEnd w:id="1699"/>
      <w:bookmarkEnd w:id="1701"/>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期末发行在外的优先股、永续债等其他金融工具基本情况</w:t>
      </w: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期末发行在外的优先股、永续债等金融工具变动情况表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其他金融工具划分为金融负债的依据说明</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after="340" w:line="240" w:lineRule="auto"/>
        <w:ind w:left="0" w:right="0" w:firstLine="0"/>
        <w:jc w:val="both"/>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4</w:t>
      </w:r>
      <w:bookmarkEnd w:id="1704"/>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02"/>
      <w:bookmarkEnd w:id="1703"/>
      <w:bookmarkEnd w:id="1705"/>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7,057,580.21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6,632,541.12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-245,636.16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-230,202.61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6,811,944.05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6,402,338.51</w:t>
            </w: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期初数与上年年末数（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日）差异详见“重要会计政策和会计估计变更”之说明。</w:t>
      </w:r>
    </w:p>
    <w:p>
      <w:pPr>
        <w:pStyle w:val="Style24"/>
        <w:keepNext/>
        <w:keepLines/>
        <w:widowControl w:val="0"/>
        <w:shd w:val="clear" w:color="auto" w:fill="auto"/>
        <w:bidi w:val="0"/>
        <w:spacing w:before="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4</w:t>
      </w:r>
      <w:bookmarkEnd w:id="1708"/>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06"/>
      <w:bookmarkEnd w:id="1707"/>
      <w:bookmarkEnd w:id="170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92"/>
        <w:keepNext/>
        <w:keepLines/>
        <w:widowControl w:val="0"/>
        <w:shd w:val="clear" w:color="auto" w:fill="auto"/>
        <w:bidi w:val="0"/>
        <w:spacing w:before="0" w:after="36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710"/>
      <w:bookmarkEnd w:id="1711"/>
      <w:bookmarkEnd w:id="1713"/>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92"/>
        <w:keepNext/>
        <w:keepLines/>
        <w:widowControl w:val="0"/>
        <w:shd w:val="clear" w:color="auto" w:fill="auto"/>
        <w:bidi w:val="0"/>
        <w:spacing w:before="0" w:after="360" w:line="240" w:lineRule="auto"/>
        <w:ind w:left="0" w:right="0" w:firstLine="0"/>
        <w:jc w:val="both"/>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714"/>
      <w:bookmarkEnd w:id="1715"/>
      <w:bookmarkEnd w:id="1717"/>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4</w:t>
      </w:r>
      <w:bookmarkEnd w:id="1720"/>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18"/>
      <w:bookmarkEnd w:id="1719"/>
      <w:bookmarkEnd w:id="1721"/>
    </w:p>
    <w:p>
      <w:pPr>
        <w:pStyle w:val="Style92"/>
        <w:keepNext/>
        <w:keepLines/>
        <w:widowControl w:val="0"/>
        <w:shd w:val="clear" w:color="auto" w:fill="auto"/>
        <w:bidi w:val="0"/>
        <w:spacing w:before="0" w:after="36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22"/>
      <w:bookmarkEnd w:id="1723"/>
      <w:bookmarkEnd w:id="1725"/>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92"/>
        <w:keepNext/>
        <w:keepLines/>
        <w:widowControl w:val="0"/>
        <w:shd w:val="clear" w:color="auto" w:fill="auto"/>
        <w:bidi w:val="0"/>
        <w:spacing w:before="0" w:after="36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726"/>
      <w:bookmarkEnd w:id="1727"/>
      <w:bookmarkEnd w:id="1729"/>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设定受益计划净负债（净资产）</w:t>
      </w:r>
    </w:p>
    <w:p>
      <w:pPr>
        <w:widowControl w:val="0"/>
        <w:spacing w:line="1" w:lineRule="exact"/>
      </w:pPr>
      <w:r>
        <w:br w:type="page"/>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5</w:t>
      </w:r>
      <w:bookmarkEnd w:id="173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30"/>
      <w:bookmarkEnd w:id="1731"/>
      <w:bookmarkEnd w:id="1733"/>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24"/>
        <w:keepNext/>
        <w:keepLines/>
        <w:widowControl w:val="0"/>
        <w:shd w:val="clear" w:color="auto" w:fill="auto"/>
        <w:bidi w:val="0"/>
        <w:spacing w:before="0" w:line="240" w:lineRule="auto"/>
        <w:ind w:left="0" w:right="0" w:firstLine="0"/>
        <w:jc w:val="both"/>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34"/>
      <w:bookmarkEnd w:id="1735"/>
      <w:bookmarkEnd w:id="173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3,827,434.56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1,327,016.36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2,500,418.20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政府给予的无偿 补助</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3,827,434.56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1,327,016.36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2,500,418.20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涉及政府补助的项目:</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18"/>
        <w:gridCol w:w="1248"/>
        <w:gridCol w:w="1013"/>
        <w:gridCol w:w="1008"/>
        <w:gridCol w:w="1013"/>
        <w:gridCol w:w="1008"/>
        <w:gridCol w:w="1008"/>
        <w:gridCol w:w="1248"/>
        <w:gridCol w:w="1018"/>
      </w:tblGrid>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140" w:right="0" w:firstLine="0"/>
              <w:jc w:val="left"/>
            </w:pPr>
            <w:r>
              <w:rPr>
                <w:color w:val="000000"/>
                <w:spacing w:val="0"/>
                <w:w w:val="100"/>
                <w:position w:val="0"/>
              </w:rPr>
              <w:t>本期新增 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营业外收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其他收益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本期冲减</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成本费用</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创业智慧 医疗软件 生产基地 建设工程 开工奖励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1,324,800.00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创业智慧 医疗软件 生产基地 建设工程 竣工奖励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1,231,534.56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1,204,418.20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基于电子 健康档案 的智能社 区医疗服 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基于有源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298,800.00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w:t>
            </w:r>
          </w:p>
        </w:tc>
      </w:tr>
    </w:tbl>
    <w:p>
      <w:pPr>
        <w:widowControl w:val="0"/>
        <w:spacing w:line="1" w:lineRule="exact"/>
      </w:pPr>
    </w:p>
    <w:tbl>
      <w:tblPr>
        <w:tblOverlap w:val="never"/>
        <w:jc w:val="center"/>
        <w:tblLayout w:type="fixed"/>
      </w:tblPr>
      <w:tblGrid>
        <w:gridCol w:w="1018"/>
        <w:gridCol w:w="1248"/>
        <w:gridCol w:w="1013"/>
        <w:gridCol w:w="1008"/>
        <w:gridCol w:w="1013"/>
        <w:gridCol w:w="1008"/>
        <w:gridCol w:w="1008"/>
        <w:gridCol w:w="1248"/>
        <w:gridCol w:w="1018"/>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射频识别</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技术</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RFID</w:t>
            </w:r>
            <w:r>
              <w:rPr>
                <w:color w:val="000000"/>
                <w:spacing w:val="0"/>
                <w:w w:val="100"/>
                <w:position w:val="0"/>
              </w:rPr>
              <w:t>）</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婴儿智能</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防盗系统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医用胶片 扩产及医 用隔离面 罩改造项 目补助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9,307.50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362,992.5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339" w:line="1" w:lineRule="exact"/>
      </w:pPr>
    </w:p>
    <w:p>
      <w:pPr>
        <w:pStyle w:val="Style24"/>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5</w:t>
      </w:r>
      <w:bookmarkEnd w:id="174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38"/>
      <w:bookmarkEnd w:id="1739"/>
      <w:bookmarkEnd w:id="1741"/>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5</w:t>
      </w:r>
      <w:bookmarkEnd w:id="1744"/>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742"/>
      <w:bookmarkEnd w:id="1743"/>
      <w:bookmarkEnd w:id="174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1,192,608,10</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357,643,313.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-463,725.00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357,179,588.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1,549,787,69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15"/>
        <w:keepNext w:val="0"/>
        <w:keepLines w:val="0"/>
        <w:widowControl w:val="0"/>
        <w:shd w:val="clear" w:color="auto" w:fill="auto"/>
        <w:tabs>
          <w:tab w:pos="896" w:val="left"/>
        </w:tabs>
        <w:bidi w:val="0"/>
        <w:spacing w:before="0" w:after="0" w:line="322" w:lineRule="exact"/>
        <w:ind w:left="0" w:right="0"/>
        <w:jc w:val="both"/>
      </w:pPr>
      <w:bookmarkStart w:id="1746" w:name="bookmark1746"/>
      <w:r>
        <w:rPr>
          <w:color w:val="000000"/>
          <w:spacing w:val="0"/>
          <w:w w:val="100"/>
          <w:position w:val="0"/>
        </w:rPr>
        <w:t>（</w:t>
      </w:r>
      <w:bookmarkEnd w:id="1746"/>
      <w:r>
        <w:rPr>
          <w:rFonts w:ascii="Times New Roman" w:eastAsia="Times New Roman" w:hAnsi="Times New Roman" w:cs="Times New Roman"/>
          <w:color w:val="000000"/>
          <w:spacing w:val="0"/>
          <w:w w:val="100"/>
          <w:position w:val="0"/>
        </w:rPr>
        <w:t>1</w:t>
      </w:r>
      <w:r>
        <w:rPr>
          <w:color w:val="000000"/>
          <w:spacing w:val="0"/>
          <w:w w:val="100"/>
          <w:position w:val="0"/>
        </w:rPr>
        <w:t>）</w:t>
        <w:tab/>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年度股东大会决议和修改后章程规定，公司以资本公积金向全体股东转增股本</w:t>
      </w:r>
      <w:r>
        <w:rPr>
          <w:rFonts w:ascii="Times New Roman" w:eastAsia="Times New Roman" w:hAnsi="Times New Roman" w:cs="Times New Roman"/>
          <w:color w:val="000000"/>
          <w:spacing w:val="0"/>
          <w:w w:val="100"/>
          <w:position w:val="0"/>
        </w:rPr>
        <w:t>357,643,313</w:t>
      </w:r>
      <w:r>
        <w:rPr>
          <w:color w:val="000000"/>
          <w:spacing w:val="0"/>
          <w:w w:val="100"/>
          <w:position w:val="0"/>
        </w:rPr>
        <w:t>股。上述 增资事项业经天健会计师事务所（特殊普通合伙）审验，并由其于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日出具了《验资报告》（天健验〔</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492 </w:t>
      </w:r>
      <w:r>
        <w:rPr>
          <w:color w:val="000000"/>
          <w:spacing w:val="0"/>
          <w:w w:val="100"/>
          <w:position w:val="0"/>
        </w:rPr>
        <w:t>号）。</w:t>
      </w:r>
    </w:p>
    <w:p>
      <w:pPr>
        <w:pStyle w:val="Style15"/>
        <w:keepNext w:val="0"/>
        <w:keepLines w:val="0"/>
        <w:widowControl w:val="0"/>
        <w:shd w:val="clear" w:color="auto" w:fill="auto"/>
        <w:tabs>
          <w:tab w:pos="906" w:val="left"/>
        </w:tabs>
        <w:bidi w:val="0"/>
        <w:spacing w:before="0" w:after="340" w:line="317" w:lineRule="exact"/>
        <w:ind w:left="0" w:right="0"/>
        <w:jc w:val="both"/>
      </w:pPr>
      <w:bookmarkStart w:id="1747" w:name="bookmark1747"/>
      <w:r>
        <w:rPr>
          <w:color w:val="000000"/>
          <w:spacing w:val="0"/>
          <w:w w:val="100"/>
          <w:position w:val="0"/>
        </w:rPr>
        <w:t>（</w:t>
      </w:r>
      <w:bookmarkEnd w:id="1747"/>
      <w:r>
        <w:rPr>
          <w:rFonts w:ascii="Times New Roman" w:eastAsia="Times New Roman" w:hAnsi="Times New Roman" w:cs="Times New Roman"/>
          <w:color w:val="000000"/>
          <w:spacing w:val="0"/>
          <w:w w:val="100"/>
          <w:position w:val="0"/>
        </w:rPr>
        <w:t>2</w:t>
      </w:r>
      <w:r>
        <w:rPr>
          <w:color w:val="000000"/>
          <w:spacing w:val="0"/>
          <w:w w:val="100"/>
          <w:position w:val="0"/>
        </w:rPr>
        <w:t>）</w:t>
        <w:tab/>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年第三次临时股东大会授权并经第六届董事会第二十八次会议决议、</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年第四次临时股东大会、 </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年度股东大会决议和修改后章程规定，公司以货币资金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,573,106.98</w:t>
      </w:r>
      <w:r>
        <w:rPr>
          <w:color w:val="000000"/>
          <w:spacing w:val="0"/>
          <w:w w:val="100"/>
          <w:position w:val="0"/>
        </w:rPr>
        <w:t>元回购并注销已授予陈少昂等</w:t>
      </w:r>
      <w:r>
        <w:rPr>
          <w:rFonts w:ascii="Times New Roman" w:eastAsia="Times New Roman" w:hAnsi="Times New Roman" w:cs="Times New Roman"/>
          <w:color w:val="000000"/>
          <w:spacing w:val="0"/>
          <w:w w:val="100"/>
          <w:position w:val="0"/>
        </w:rPr>
        <w:t>18</w:t>
      </w:r>
      <w:r>
        <w:rPr>
          <w:color w:val="000000"/>
          <w:spacing w:val="0"/>
          <w:w w:val="100"/>
          <w:position w:val="0"/>
        </w:rPr>
        <w:t>位自然人但尚未解 锁的限制性人民币普通股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463,725</w:t>
      </w:r>
      <w:r>
        <w:rPr>
          <w:color w:val="000000"/>
          <w:spacing w:val="0"/>
          <w:w w:val="100"/>
          <w:position w:val="0"/>
        </w:rPr>
        <w:t>股，相应减少股本</w:t>
      </w:r>
      <w:r>
        <w:rPr>
          <w:rFonts w:ascii="Times New Roman" w:eastAsia="Times New Roman" w:hAnsi="Times New Roman" w:cs="Times New Roman"/>
          <w:color w:val="000000"/>
          <w:spacing w:val="0"/>
          <w:w w:val="100"/>
          <w:position w:val="0"/>
        </w:rPr>
        <w:t>463,725.00</w:t>
      </w:r>
      <w:r>
        <w:rPr>
          <w:color w:val="000000"/>
          <w:spacing w:val="0"/>
          <w:w w:val="100"/>
          <w:position w:val="0"/>
        </w:rPr>
        <w:t>元，减少资本公积（股本溢价）</w:t>
      </w:r>
      <w:r>
        <w:rPr>
          <w:rFonts w:ascii="Times New Roman" w:eastAsia="Times New Roman" w:hAnsi="Times New Roman" w:cs="Times New Roman"/>
          <w:color w:val="000000"/>
          <w:spacing w:val="0"/>
          <w:w w:val="100"/>
          <w:position w:val="0"/>
        </w:rPr>
        <w:t>2,109,381.98</w:t>
      </w:r>
      <w:r>
        <w:rPr>
          <w:color w:val="000000"/>
          <w:spacing w:val="0"/>
          <w:w w:val="100"/>
          <w:position w:val="0"/>
        </w:rPr>
        <w:t>元。上述 减资事项业经天健会计师事务所（特殊普通合伙）审验，并由其于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日出具了《验资报告》（天健验〔</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293 </w:t>
      </w:r>
      <w:r>
        <w:rPr>
          <w:color w:val="000000"/>
          <w:spacing w:val="0"/>
          <w:w w:val="100"/>
          <w:position w:val="0"/>
        </w:rPr>
        <w:t>号）。</w:t>
      </w:r>
    </w:p>
    <w:p>
      <w:pPr>
        <w:pStyle w:val="Style24"/>
        <w:keepNext/>
        <w:keepLines/>
        <w:widowControl w:val="0"/>
        <w:shd w:val="clear" w:color="auto" w:fill="auto"/>
        <w:bidi w:val="0"/>
        <w:spacing w:before="0" w:after="34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5</w:t>
      </w:r>
      <w:bookmarkEnd w:id="175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48"/>
      <w:bookmarkEnd w:id="1749"/>
      <w:bookmarkEnd w:id="1751"/>
    </w:p>
    <w:p>
      <w:pPr>
        <w:pStyle w:val="Style92"/>
        <w:keepNext/>
        <w:keepLines/>
        <w:widowControl w:val="0"/>
        <w:shd w:val="clear" w:color="auto" w:fill="auto"/>
        <w:tabs>
          <w:tab w:pos="493" w:val="left"/>
        </w:tabs>
        <w:bidi w:val="0"/>
        <w:spacing w:before="0" w:after="34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52"/>
      <w:bookmarkEnd w:id="1753"/>
      <w:bookmarkEnd w:id="1755"/>
    </w:p>
    <w:p>
      <w:pPr>
        <w:pStyle w:val="Style92"/>
        <w:keepNext/>
        <w:keepLines/>
        <w:widowControl w:val="0"/>
        <w:shd w:val="clear" w:color="auto" w:fill="auto"/>
        <w:tabs>
          <w:tab w:pos="493" w:val="left"/>
        </w:tabs>
        <w:bidi w:val="0"/>
        <w:spacing w:before="0" w:after="34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56"/>
      <w:bookmarkEnd w:id="1757"/>
      <w:bookmarkEnd w:id="1759"/>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发行在外</w:t>
            </w:r>
          </w:p>
          <w:p>
            <w:pPr>
              <w:pStyle w:val="Style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的金融工</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5"/>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4"/>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5</w:t>
      </w:r>
      <w:bookmarkEnd w:id="1762"/>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60"/>
      <w:bookmarkEnd w:id="1761"/>
      <w:bookmarkEnd w:id="176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1,834,810,958.13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16,002,598.50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359,813,082.99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1,491,000,473.64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39,387,930.72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10,645,260.93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16,144,553.61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33,888,638.04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1,874,198,888.85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26,647,859.43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375,957,636.60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1,524,889,111.68</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其他说明，包括本期增减变动情况、变动原因说明:</w:t>
      </w:r>
    </w:p>
    <w:p>
      <w:pPr>
        <w:pStyle w:val="Style15"/>
        <w:keepNext w:val="0"/>
        <w:keepLines w:val="0"/>
        <w:widowControl w:val="0"/>
        <w:shd w:val="clear" w:color="auto" w:fill="auto"/>
        <w:tabs>
          <w:tab w:pos="838" w:val="left"/>
        </w:tabs>
        <w:bidi w:val="0"/>
        <w:spacing w:before="0" w:after="0" w:line="312" w:lineRule="exact"/>
        <w:ind w:left="0" w:right="0"/>
        <w:jc w:val="left"/>
      </w:pPr>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1</w:t>
      </w:r>
      <w:r>
        <w:rPr>
          <w:color w:val="000000"/>
          <w:spacing w:val="0"/>
          <w:w w:val="100"/>
          <w:position w:val="0"/>
        </w:rPr>
        <w:t>）</w:t>
        <w:tab/>
        <w:t>资本公积（股本溢价）本期增加</w:t>
      </w:r>
      <w:r>
        <w:rPr>
          <w:rFonts w:ascii="Times New Roman" w:eastAsia="Times New Roman" w:hAnsi="Times New Roman" w:cs="Times New Roman"/>
          <w:color w:val="000000"/>
          <w:spacing w:val="0"/>
          <w:w w:val="100"/>
          <w:position w:val="0"/>
        </w:rPr>
        <w:t>16,002,598.50</w:t>
      </w:r>
      <w:r>
        <w:rPr>
          <w:color w:val="000000"/>
          <w:spacing w:val="0"/>
          <w:w w:val="100"/>
          <w:position w:val="0"/>
        </w:rPr>
        <w:t>元，系本期部分限制性股票已解锁，相应将原确认的对应股份的股 份支付费用</w:t>
      </w:r>
      <w:r>
        <w:rPr>
          <w:rFonts w:ascii="Times New Roman" w:eastAsia="Times New Roman" w:hAnsi="Times New Roman" w:cs="Times New Roman"/>
          <w:color w:val="000000"/>
          <w:spacing w:val="0"/>
          <w:w w:val="100"/>
          <w:position w:val="0"/>
        </w:rPr>
        <w:t>16,002,598.50</w:t>
      </w:r>
      <w:r>
        <w:rPr>
          <w:color w:val="000000"/>
          <w:spacing w:val="0"/>
          <w:w w:val="100"/>
          <w:position w:val="0"/>
        </w:rPr>
        <w:t>元由资本公积（其他资本公积）转入资本公积（股本溢价）；</w:t>
      </w:r>
      <w:bookmarkEnd w:id="1765"/>
    </w:p>
    <w:p>
      <w:pPr>
        <w:pStyle w:val="Style15"/>
        <w:keepNext w:val="0"/>
        <w:keepLines w:val="0"/>
        <w:widowControl w:val="0"/>
        <w:shd w:val="clear" w:color="auto" w:fill="auto"/>
        <w:tabs>
          <w:tab w:pos="843" w:val="left"/>
        </w:tabs>
        <w:bidi w:val="0"/>
        <w:spacing w:before="0" w:after="0" w:line="312" w:lineRule="exact"/>
        <w:ind w:left="0" w:right="0"/>
        <w:jc w:val="left"/>
      </w:pPr>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2</w:t>
      </w:r>
      <w:r>
        <w:rPr>
          <w:color w:val="000000"/>
          <w:spacing w:val="0"/>
          <w:w w:val="100"/>
          <w:position w:val="0"/>
        </w:rPr>
        <w:t>）</w:t>
        <w:tab/>
        <w:t>资本公积（股本溢价）本期减少</w:t>
      </w:r>
      <w:r>
        <w:rPr>
          <w:rFonts w:ascii="Times New Roman" w:eastAsia="Times New Roman" w:hAnsi="Times New Roman" w:cs="Times New Roman"/>
          <w:color w:val="000000"/>
          <w:spacing w:val="0"/>
          <w:w w:val="100"/>
          <w:position w:val="0"/>
        </w:rPr>
        <w:t>359,813,082.99</w:t>
      </w:r>
      <w:r>
        <w:rPr>
          <w:color w:val="000000"/>
          <w:spacing w:val="0"/>
          <w:w w:val="100"/>
          <w:position w:val="0"/>
        </w:rPr>
        <w:t xml:space="preserve">元，包括：①本期资本公积转增股本减少资本公积（股本溢价） </w:t>
      </w:r>
      <w:r>
        <w:rPr>
          <w:rFonts w:ascii="Times New Roman" w:eastAsia="Times New Roman" w:hAnsi="Times New Roman" w:cs="Times New Roman"/>
          <w:color w:val="000000"/>
          <w:spacing w:val="0"/>
          <w:w w:val="100"/>
          <w:position w:val="0"/>
        </w:rPr>
        <w:t>357,643,313.00</w:t>
      </w:r>
      <w:r>
        <w:rPr>
          <w:color w:val="000000"/>
          <w:spacing w:val="0"/>
          <w:w w:val="100"/>
          <w:position w:val="0"/>
        </w:rPr>
        <w:t>元，详见股本之说明；②本期注销尚未解锁的限制性股票减少资本公积（股本溢价）</w:t>
      </w:r>
      <w:r>
        <w:rPr>
          <w:rFonts w:ascii="Times New Roman" w:eastAsia="Times New Roman" w:hAnsi="Times New Roman" w:cs="Times New Roman"/>
          <w:color w:val="000000"/>
          <w:spacing w:val="0"/>
          <w:w w:val="100"/>
          <w:position w:val="0"/>
        </w:rPr>
        <w:t>2,109,381.98</w:t>
      </w:r>
      <w:r>
        <w:rPr>
          <w:color w:val="000000"/>
          <w:spacing w:val="0"/>
          <w:w w:val="100"/>
          <w:position w:val="0"/>
        </w:rPr>
        <w:t>元，详见 股本之说明；③本公司在对原全资子公司杭州慧康互联科技有限公司不丧失控制权的基础上，少数股东新增折价投资，使 得其按照新增持股比例计算应享有自合并日开始持续计算的净资产份额发生变化，相应减少资本公积（股本溢价）</w:t>
      </w:r>
      <w:r>
        <w:rPr>
          <w:rFonts w:ascii="Times New Roman" w:eastAsia="Times New Roman" w:hAnsi="Times New Roman" w:cs="Times New Roman"/>
          <w:color w:val="000000"/>
          <w:spacing w:val="0"/>
          <w:w w:val="100"/>
          <w:position w:val="0"/>
        </w:rPr>
        <w:t xml:space="preserve">60,388.01 </w:t>
      </w:r>
      <w:r>
        <w:rPr>
          <w:color w:val="000000"/>
          <w:spacing w:val="0"/>
          <w:w w:val="100"/>
          <w:position w:val="0"/>
        </w:rPr>
        <w:t>元；</w:t>
      </w:r>
      <w:bookmarkEnd w:id="1767"/>
    </w:p>
    <w:p>
      <w:pPr>
        <w:pStyle w:val="Style15"/>
        <w:keepNext w:val="0"/>
        <w:keepLines w:val="0"/>
        <w:widowControl w:val="0"/>
        <w:shd w:val="clear" w:color="auto" w:fill="auto"/>
        <w:tabs>
          <w:tab w:pos="843" w:val="left"/>
        </w:tabs>
        <w:bidi w:val="0"/>
        <w:spacing w:before="0" w:after="0" w:line="312" w:lineRule="exact"/>
        <w:ind w:left="0" w:right="0"/>
        <w:jc w:val="left"/>
      </w:pPr>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3</w:t>
      </w:r>
      <w:r>
        <w:rPr>
          <w:color w:val="000000"/>
          <w:spacing w:val="0"/>
          <w:w w:val="100"/>
          <w:position w:val="0"/>
        </w:rPr>
        <w:t>）</w:t>
        <w:tab/>
        <w:t>资本公积（其他资本公积）本期增加</w:t>
      </w:r>
      <w:r>
        <w:rPr>
          <w:rFonts w:ascii="Times New Roman" w:eastAsia="Times New Roman" w:hAnsi="Times New Roman" w:cs="Times New Roman"/>
          <w:color w:val="000000"/>
          <w:spacing w:val="0"/>
          <w:w w:val="100"/>
          <w:position w:val="0"/>
        </w:rPr>
        <w:t>10,645,260.93</w:t>
      </w:r>
      <w:r>
        <w:rPr>
          <w:color w:val="000000"/>
          <w:spacing w:val="0"/>
          <w:w w:val="100"/>
          <w:position w:val="0"/>
        </w:rPr>
        <w:t>元，系本期确认的股份支付费用</w:t>
      </w:r>
      <w:r>
        <w:rPr>
          <w:rFonts w:ascii="Times New Roman" w:eastAsia="Times New Roman" w:hAnsi="Times New Roman" w:cs="Times New Roman"/>
          <w:color w:val="000000"/>
          <w:spacing w:val="0"/>
          <w:w w:val="100"/>
          <w:position w:val="0"/>
        </w:rPr>
        <w:t>10,645,260.93</w:t>
      </w:r>
      <w:r>
        <w:rPr>
          <w:color w:val="000000"/>
          <w:spacing w:val="0"/>
          <w:w w:val="100"/>
          <w:position w:val="0"/>
        </w:rPr>
        <w:t>元，详见股份支 付之说明；</w:t>
      </w:r>
      <w:bookmarkEnd w:id="1769"/>
    </w:p>
    <w:p>
      <w:pPr>
        <w:pStyle w:val="Style15"/>
        <w:keepNext w:val="0"/>
        <w:keepLines w:val="0"/>
        <w:widowControl w:val="0"/>
        <w:shd w:val="clear" w:color="auto" w:fill="auto"/>
        <w:tabs>
          <w:tab w:pos="852" w:val="left"/>
        </w:tabs>
        <w:bidi w:val="0"/>
        <w:spacing w:before="0" w:after="360" w:line="312" w:lineRule="exact"/>
        <w:ind w:left="0" w:right="0"/>
        <w:jc w:val="left"/>
      </w:pPr>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4</w:t>
      </w:r>
      <w:r>
        <w:rPr>
          <w:color w:val="000000"/>
          <w:spacing w:val="0"/>
          <w:w w:val="100"/>
          <w:position w:val="0"/>
        </w:rPr>
        <w:t>）</w:t>
        <w:tab/>
        <w:t>资本公积（其他资本公积）本期减少</w:t>
      </w:r>
      <w:r>
        <w:rPr>
          <w:rFonts w:ascii="Times New Roman" w:eastAsia="Times New Roman" w:hAnsi="Times New Roman" w:cs="Times New Roman"/>
          <w:color w:val="000000"/>
          <w:spacing w:val="0"/>
          <w:w w:val="100"/>
          <w:position w:val="0"/>
        </w:rPr>
        <w:t>16,144,553.61</w:t>
      </w:r>
      <w:r>
        <w:rPr>
          <w:color w:val="000000"/>
          <w:spacing w:val="0"/>
          <w:w w:val="100"/>
          <w:position w:val="0"/>
        </w:rPr>
        <w:t>元，包括：①本期部分限制性股票已解锁，相应将原确认的 对应股份的股份支付费用</w:t>
      </w:r>
      <w:r>
        <w:rPr>
          <w:rFonts w:ascii="Times New Roman" w:eastAsia="Times New Roman" w:hAnsi="Times New Roman" w:cs="Times New Roman"/>
          <w:color w:val="000000"/>
          <w:spacing w:val="0"/>
          <w:w w:val="100"/>
          <w:position w:val="0"/>
        </w:rPr>
        <w:t>16,002,598.50</w:t>
      </w:r>
      <w:r>
        <w:rPr>
          <w:color w:val="000000"/>
          <w:spacing w:val="0"/>
          <w:w w:val="100"/>
          <w:position w:val="0"/>
        </w:rPr>
        <w:t xml:space="preserve">元由资本公积（其他资本公积）转入资本公积（股本溢价）；②本公司联营企业浙 江创源环境科技股份有限公司的其他股东折价增资，导致本公司享有的浙江创源环境科技股份有限公司所有者权益份额相应 减少 </w:t>
      </w:r>
      <w:r>
        <w:rPr>
          <w:rFonts w:ascii="Times New Roman" w:eastAsia="Times New Roman" w:hAnsi="Times New Roman" w:cs="Times New Roman"/>
          <w:color w:val="000000"/>
          <w:spacing w:val="0"/>
          <w:w w:val="100"/>
          <w:position w:val="0"/>
        </w:rPr>
        <w:t xml:space="preserve">141,955.11 </w:t>
      </w:r>
      <w:r>
        <w:rPr>
          <w:color w:val="000000"/>
          <w:spacing w:val="0"/>
          <w:w w:val="100"/>
          <w:position w:val="0"/>
        </w:rPr>
        <w:t>元。</w:t>
      </w:r>
      <w:bookmarkEnd w:id="1771"/>
    </w:p>
    <w:p>
      <w:pPr>
        <w:pStyle w:val="Style24"/>
        <w:keepNext/>
        <w:keepLines/>
        <w:widowControl w:val="0"/>
        <w:shd w:val="clear" w:color="auto" w:fill="auto"/>
        <w:bidi w:val="0"/>
        <w:spacing w:before="0" w:line="240" w:lineRule="auto"/>
        <w:ind w:left="0" w:right="0" w:firstLine="380"/>
        <w:jc w:val="left"/>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5</w:t>
      </w:r>
      <w:bookmarkEnd w:id="1774"/>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72"/>
      <w:bookmarkEnd w:id="1773"/>
      <w:bookmarkEnd w:id="177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72,288,076.50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36,994,681.98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35,293,394.52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72,288,076.50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36,994,681.98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35,293,394.52</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其他说明，包括本期增减变动情况、变动原因说明：</w:t>
      </w:r>
    </w:p>
    <w:p>
      <w:pPr>
        <w:pStyle w:val="Style15"/>
        <w:keepNext w:val="0"/>
        <w:keepLines w:val="0"/>
        <w:widowControl w:val="0"/>
        <w:shd w:val="clear" w:color="auto" w:fill="auto"/>
        <w:bidi w:val="0"/>
        <w:spacing w:before="0" w:after="180" w:line="314" w:lineRule="exact"/>
        <w:ind w:left="0" w:right="0"/>
        <w:jc w:val="left"/>
      </w:pPr>
      <w:r>
        <w:rPr>
          <w:color w:val="000000"/>
          <w:spacing w:val="0"/>
          <w:w w:val="100"/>
          <w:position w:val="0"/>
        </w:rPr>
        <w:t>限制性股票回购义务减少</w:t>
      </w:r>
      <w:r>
        <w:rPr>
          <w:rFonts w:ascii="Times New Roman" w:eastAsia="Times New Roman" w:hAnsi="Times New Roman" w:cs="Times New Roman"/>
          <w:color w:val="000000"/>
          <w:spacing w:val="0"/>
          <w:w w:val="100"/>
          <w:position w:val="0"/>
        </w:rPr>
        <w:t>36,994,681.98</w:t>
      </w:r>
      <w:r>
        <w:rPr>
          <w:color w:val="000000"/>
          <w:spacing w:val="0"/>
          <w:w w:val="100"/>
          <w:position w:val="0"/>
        </w:rPr>
        <w:t>元，包括：因本期注销尚未解锁的限制性股票</w:t>
      </w:r>
      <w:r>
        <w:rPr>
          <w:rFonts w:ascii="Times New Roman" w:eastAsia="Times New Roman" w:hAnsi="Times New Roman" w:cs="Times New Roman"/>
          <w:color w:val="000000"/>
          <w:spacing w:val="0"/>
          <w:w w:val="100"/>
          <w:position w:val="0"/>
        </w:rPr>
        <w:t>463,725</w:t>
      </w:r>
      <w:r>
        <w:rPr>
          <w:color w:val="000000"/>
          <w:spacing w:val="0"/>
          <w:w w:val="100"/>
          <w:position w:val="0"/>
        </w:rPr>
        <w:t>股，相应转出</w:t>
      </w:r>
      <w:r>
        <w:rPr>
          <w:rFonts w:ascii="Times New Roman" w:eastAsia="Times New Roman" w:hAnsi="Times New Roman" w:cs="Times New Roman"/>
          <w:color w:val="000000"/>
          <w:spacing w:val="0"/>
          <w:w w:val="100"/>
          <w:position w:val="0"/>
        </w:rPr>
        <w:t xml:space="preserve">2,573,106.98 </w:t>
      </w:r>
      <w:r>
        <w:rPr>
          <w:color w:val="000000"/>
          <w:spacing w:val="0"/>
          <w:w w:val="100"/>
          <w:position w:val="0"/>
        </w:rPr>
        <w:t>元；因本期解锁</w:t>
      </w:r>
      <w:r>
        <w:rPr>
          <w:rFonts w:ascii="Times New Roman" w:eastAsia="Times New Roman" w:hAnsi="Times New Roman" w:cs="Times New Roman"/>
          <w:color w:val="000000"/>
          <w:spacing w:val="0"/>
          <w:w w:val="100"/>
          <w:position w:val="0"/>
        </w:rPr>
        <w:t>7,745,302</w:t>
      </w:r>
      <w:r>
        <w:rPr>
          <w:color w:val="000000"/>
          <w:spacing w:val="0"/>
          <w:w w:val="100"/>
          <w:position w:val="0"/>
        </w:rPr>
        <w:t>股限制性股票，相应转出</w:t>
      </w:r>
      <w:r>
        <w:rPr>
          <w:rFonts w:ascii="Times New Roman" w:eastAsia="Times New Roman" w:hAnsi="Times New Roman" w:cs="Times New Roman"/>
          <w:color w:val="000000"/>
          <w:spacing w:val="0"/>
          <w:w w:val="100"/>
          <w:position w:val="0"/>
        </w:rPr>
        <w:t>34,255,347.25</w:t>
      </w:r>
      <w:r>
        <w:rPr>
          <w:color w:val="000000"/>
          <w:spacing w:val="0"/>
          <w:w w:val="100"/>
          <w:position w:val="0"/>
        </w:rPr>
        <w:t>元；本期分配的期末尚未解锁的限制性股票持有者的现金股 利</w:t>
      </w:r>
      <w:r>
        <w:rPr>
          <w:rFonts w:ascii="Times New Roman" w:eastAsia="Times New Roman" w:hAnsi="Times New Roman" w:cs="Times New Roman"/>
          <w:color w:val="000000"/>
          <w:spacing w:val="0"/>
          <w:w w:val="100"/>
          <w:position w:val="0"/>
        </w:rPr>
        <w:t>166,227.75</w:t>
      </w:r>
      <w:r>
        <w:rPr>
          <w:color w:val="000000"/>
          <w:spacing w:val="0"/>
          <w:w w:val="100"/>
          <w:position w:val="0"/>
        </w:rPr>
        <w:t>元冲减库存股。截至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日，尚有</w:t>
      </w:r>
      <w:r>
        <w:rPr>
          <w:rFonts w:ascii="Times New Roman" w:eastAsia="Times New Roman" w:hAnsi="Times New Roman" w:cs="Times New Roman"/>
          <w:color w:val="000000"/>
          <w:spacing w:val="0"/>
          <w:w w:val="100"/>
          <w:position w:val="0"/>
        </w:rPr>
        <w:t>7,735,553</w:t>
      </w:r>
      <w:r>
        <w:rPr>
          <w:color w:val="000000"/>
          <w:spacing w:val="0"/>
          <w:w w:val="100"/>
          <w:position w:val="0"/>
        </w:rPr>
        <w:t>股限制性股票未解锁，因公司仍负有回购义务，故仍列于 本项目（同时计列其他应付款项目）；尚有</w:t>
      </w:r>
      <w:r>
        <w:rPr>
          <w:rFonts w:ascii="Times New Roman" w:eastAsia="Times New Roman" w:hAnsi="Times New Roman" w:cs="Times New Roman"/>
          <w:color w:val="000000"/>
          <w:spacing w:val="0"/>
          <w:w w:val="100"/>
          <w:position w:val="0"/>
        </w:rPr>
        <w:t>296,400</w:t>
      </w:r>
      <w:r>
        <w:rPr>
          <w:color w:val="000000"/>
          <w:spacing w:val="0"/>
          <w:w w:val="100"/>
          <w:position w:val="0"/>
        </w:rPr>
        <w:t>股已回购但尚未完成股票注销手续。</w:t>
      </w:r>
      <w:r>
        <w:br w:type="page"/>
      </w:r>
    </w:p>
    <w:p>
      <w:pPr>
        <w:pStyle w:val="Style24"/>
        <w:keepNext/>
        <w:keepLines/>
        <w:widowControl w:val="0"/>
        <w:shd w:val="clear" w:color="auto" w:fill="auto"/>
        <w:bidi w:val="0"/>
        <w:spacing w:before="0" w:line="240" w:lineRule="auto"/>
        <w:ind w:left="0" w:right="0" w:firstLine="0"/>
        <w:jc w:val="both"/>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5</w:t>
      </w:r>
      <w:bookmarkEnd w:id="177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76"/>
      <w:bookmarkEnd w:id="1777"/>
      <w:bookmarkEnd w:id="1779"/>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28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本期所</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得税前</w:t>
            </w:r>
          </w:p>
          <w:p>
            <w:pPr>
              <w:pStyle w:val="Style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减：前期计 入其他综 合收益当 期转入损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税后归 属于母 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税后归</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属于少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数股东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4"/>
        <w:keepNext/>
        <w:keepLines/>
        <w:widowControl w:val="0"/>
        <w:shd w:val="clear" w:color="auto" w:fill="auto"/>
        <w:bidi w:val="0"/>
        <w:spacing w:before="0" w:line="240" w:lineRule="auto"/>
        <w:ind w:left="0" w:right="0" w:firstLine="0"/>
        <w:jc w:val="both"/>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5</w:t>
      </w:r>
      <w:bookmarkEnd w:id="1782"/>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80"/>
      <w:bookmarkEnd w:id="1781"/>
      <w:bookmarkEnd w:id="1783"/>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其他说明，包括本期增减变动情况、变动原因说明:</w:t>
      </w:r>
    </w:p>
    <w:p>
      <w:pPr>
        <w:pStyle w:val="Style24"/>
        <w:keepNext/>
        <w:keepLines/>
        <w:widowControl w:val="0"/>
        <w:shd w:val="clear" w:color="auto" w:fill="auto"/>
        <w:bidi w:val="0"/>
        <w:spacing w:before="0" w:line="240" w:lineRule="auto"/>
        <w:ind w:left="0" w:right="0" w:firstLine="0"/>
        <w:jc w:val="both"/>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5</w:t>
      </w:r>
      <w:bookmarkEnd w:id="1786"/>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84"/>
      <w:bookmarkEnd w:id="1785"/>
      <w:bookmarkEnd w:id="178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104,788,595.44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32,740,658.77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137,529,254.21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104,788,595.44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32,740,658.77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137,529,254.21</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盈余公积说明，包括本期增减变动情况、变动原因说明:</w:t>
      </w:r>
    </w:p>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盈余公积本期增加系根据</w:t>
      </w:r>
      <w:r>
        <w:rPr>
          <w:rFonts w:ascii="Times New Roman" w:eastAsia="Times New Roman" w:hAnsi="Times New Roman" w:cs="Times New Roman"/>
          <w:color w:val="000000"/>
          <w:spacing w:val="0"/>
          <w:w w:val="100"/>
          <w:position w:val="0"/>
        </w:rPr>
        <w:t>2021</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rPr>
        <w:t>10%</w:t>
      </w:r>
      <w:r>
        <w:rPr>
          <w:color w:val="000000"/>
          <w:spacing w:val="0"/>
          <w:w w:val="100"/>
          <w:position w:val="0"/>
        </w:rPr>
        <w:t>提取的法定盈余公积。</w:t>
      </w:r>
    </w:p>
    <w:p>
      <w:pPr>
        <w:pStyle w:val="Style24"/>
        <w:keepNext/>
        <w:keepLines/>
        <w:widowControl w:val="0"/>
        <w:shd w:val="clear" w:color="auto" w:fill="auto"/>
        <w:bidi w:val="0"/>
        <w:spacing w:before="0" w:line="240" w:lineRule="auto"/>
        <w:ind w:left="0" w:right="0" w:firstLine="0"/>
        <w:jc w:val="both"/>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6</w:t>
      </w:r>
      <w:bookmarkEnd w:id="1790"/>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88"/>
      <w:bookmarkEnd w:id="1789"/>
      <w:bookmarkEnd w:id="1791"/>
    </w:p>
    <w:p>
      <w:pPr>
        <w:pStyle w:val="Style1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1,040,345,102.34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861,894,675.51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-93,772,477.79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1,040,345,102.34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768,122,197.72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413,039,235.38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332,337,424.49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32,740,658.77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26,889,741.69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35,754,521.37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33,224,778.18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1,384,889,157.58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1,040,345,102.34</w:t>
            </w:r>
          </w:p>
        </w:tc>
      </w:tr>
    </w:tbl>
    <w:p>
      <w:pPr>
        <w:spacing w:lineRule="exact" w:line="1"/>
        <w:rPr>
          <w:sz w:val="2"/>
          <w:szCs w:val="2"/>
        </w:rPr>
      </w:pPr>
      <w:r>
        <w:br w:type="page"/>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5"/>
        <w:keepNext w:val="0"/>
        <w:keepLines w:val="0"/>
        <w:widowControl w:val="0"/>
        <w:shd w:val="clear" w:color="auto" w:fill="auto"/>
        <w:tabs>
          <w:tab w:pos="729" w:val="left"/>
        </w:tabs>
        <w:bidi w:val="0"/>
        <w:spacing w:before="0" w:after="120" w:line="240" w:lineRule="auto"/>
        <w:ind w:left="0" w:right="0"/>
        <w:jc w:val="left"/>
      </w:pPr>
      <w:bookmarkStart w:id="1792" w:name="bookmark1792"/>
      <w:r>
        <w:rPr>
          <w:rFonts w:ascii="Times New Roman" w:eastAsia="Times New Roman" w:hAnsi="Times New Roman" w:cs="Times New Roman"/>
          <w:color w:val="000000"/>
          <w:spacing w:val="0"/>
          <w:w w:val="100"/>
          <w:position w:val="0"/>
        </w:rPr>
        <w:t>1</w:t>
      </w:r>
      <w:bookmarkEnd w:id="1792"/>
      <w:r>
        <w:rPr>
          <w:color w:val="000000"/>
          <w:spacing w:val="0"/>
          <w:w w:val="100"/>
          <w:position w:val="0"/>
        </w:rPr>
        <w:t>）</w:t>
        <w:tab/>
        <w:t>、由于《企业会计准则》及其相关新规定进行追溯调整，影响期初未分配利润元。</w:t>
      </w:r>
    </w:p>
    <w:p>
      <w:pPr>
        <w:pStyle w:val="Style15"/>
        <w:keepNext w:val="0"/>
        <w:keepLines w:val="0"/>
        <w:widowControl w:val="0"/>
        <w:shd w:val="clear" w:color="auto" w:fill="auto"/>
        <w:tabs>
          <w:tab w:pos="748" w:val="left"/>
        </w:tabs>
        <w:bidi w:val="0"/>
        <w:spacing w:before="0" w:after="120" w:line="240" w:lineRule="auto"/>
        <w:ind w:left="0" w:right="0"/>
        <w:jc w:val="left"/>
      </w:pPr>
      <w:bookmarkStart w:id="1793" w:name="bookmark1793"/>
      <w:r>
        <w:rPr>
          <w:rFonts w:ascii="Times New Roman" w:eastAsia="Times New Roman" w:hAnsi="Times New Roman" w:cs="Times New Roman"/>
          <w:color w:val="000000"/>
          <w:spacing w:val="0"/>
          <w:w w:val="100"/>
          <w:position w:val="0"/>
        </w:rPr>
        <w:t>2</w:t>
      </w:r>
      <w:bookmarkEnd w:id="1793"/>
      <w:r>
        <w:rPr>
          <w:color w:val="000000"/>
          <w:spacing w:val="0"/>
          <w:w w:val="100"/>
          <w:position w:val="0"/>
        </w:rPr>
        <w:t>）</w:t>
        <w:tab/>
        <w:t>、由于会计政策变更，影响期初未分配利润元。</w:t>
      </w:r>
    </w:p>
    <w:p>
      <w:pPr>
        <w:pStyle w:val="Style15"/>
        <w:keepNext w:val="0"/>
        <w:keepLines w:val="0"/>
        <w:widowControl w:val="0"/>
        <w:shd w:val="clear" w:color="auto" w:fill="auto"/>
        <w:tabs>
          <w:tab w:pos="748" w:val="left"/>
        </w:tabs>
        <w:bidi w:val="0"/>
        <w:spacing w:before="0" w:after="120" w:line="240" w:lineRule="auto"/>
        <w:ind w:left="0" w:right="0"/>
        <w:jc w:val="left"/>
      </w:pPr>
      <w:bookmarkStart w:id="1794" w:name="bookmark1794"/>
      <w:r>
        <w:rPr>
          <w:rFonts w:ascii="Times New Roman" w:eastAsia="Times New Roman" w:hAnsi="Times New Roman" w:cs="Times New Roman"/>
          <w:color w:val="000000"/>
          <w:spacing w:val="0"/>
          <w:w w:val="100"/>
          <w:position w:val="0"/>
        </w:rPr>
        <w:t>3</w:t>
      </w:r>
      <w:bookmarkEnd w:id="1794"/>
      <w:r>
        <w:rPr>
          <w:color w:val="000000"/>
          <w:spacing w:val="0"/>
          <w:w w:val="100"/>
          <w:position w:val="0"/>
        </w:rPr>
        <w:t>）</w:t>
        <w:tab/>
        <w:t>、由于重大会计差错更正，影响期初未分配利润元。</w:t>
      </w:r>
    </w:p>
    <w:p>
      <w:pPr>
        <w:pStyle w:val="Style15"/>
        <w:keepNext w:val="0"/>
        <w:keepLines w:val="0"/>
        <w:widowControl w:val="0"/>
        <w:shd w:val="clear" w:color="auto" w:fill="auto"/>
        <w:tabs>
          <w:tab w:pos="748" w:val="left"/>
        </w:tabs>
        <w:bidi w:val="0"/>
        <w:spacing w:before="0" w:after="120" w:line="240" w:lineRule="auto"/>
        <w:ind w:left="0" w:right="0"/>
        <w:jc w:val="left"/>
      </w:pPr>
      <w:bookmarkStart w:id="1795" w:name="bookmark1795"/>
      <w:r>
        <w:rPr>
          <w:rFonts w:ascii="Times New Roman" w:eastAsia="Times New Roman" w:hAnsi="Times New Roman" w:cs="Times New Roman"/>
          <w:color w:val="000000"/>
          <w:spacing w:val="0"/>
          <w:w w:val="100"/>
          <w:position w:val="0"/>
        </w:rPr>
        <w:t>4</w:t>
      </w:r>
      <w:bookmarkEnd w:id="1795"/>
      <w:r>
        <w:rPr>
          <w:color w:val="000000"/>
          <w:spacing w:val="0"/>
          <w:w w:val="100"/>
          <w:position w:val="0"/>
        </w:rPr>
        <w:t>）</w:t>
        <w:tab/>
        <w:t>、由于同一控制导致的合并范围变更，影响期初未分配利润元。</w:t>
      </w:r>
    </w:p>
    <w:p>
      <w:pPr>
        <w:pStyle w:val="Style15"/>
        <w:keepNext w:val="0"/>
        <w:keepLines w:val="0"/>
        <w:widowControl w:val="0"/>
        <w:shd w:val="clear" w:color="auto" w:fill="auto"/>
        <w:tabs>
          <w:tab w:pos="748" w:val="left"/>
        </w:tabs>
        <w:bidi w:val="0"/>
        <w:spacing w:before="0" w:after="360" w:line="240" w:lineRule="auto"/>
        <w:ind w:left="0" w:right="0"/>
        <w:jc w:val="left"/>
      </w:pPr>
      <w:bookmarkStart w:id="1796" w:name="bookmark1796"/>
      <w:r>
        <w:rPr>
          <w:rFonts w:ascii="Times New Roman" w:eastAsia="Times New Roman" w:hAnsi="Times New Roman" w:cs="Times New Roman"/>
          <w:color w:val="000000"/>
          <w:spacing w:val="0"/>
          <w:w w:val="100"/>
          <w:position w:val="0"/>
        </w:rPr>
        <w:t>5</w:t>
      </w:r>
      <w:bookmarkEnd w:id="1796"/>
      <w:r>
        <w:rPr>
          <w:color w:val="000000"/>
          <w:spacing w:val="0"/>
          <w:w w:val="100"/>
          <w:position w:val="0"/>
        </w:rPr>
        <w:t>）</w:t>
        <w:tab/>
        <w:t>、其他调整合计影响期初未分配利润元。</w:t>
      </w:r>
    </w:p>
    <w:p>
      <w:pPr>
        <w:pStyle w:val="Style24"/>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97"/>
      <w:bookmarkEnd w:id="1798"/>
      <w:bookmarkEnd w:id="1800"/>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1,895,480,747.85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868,521,969.24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1,630,120,860.09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727,383,534.41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3,496,235.69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816,344.64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2,720,466.34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600,662.35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1,898,976,983.54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869,338,313.88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1,632,841,326.43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727,984,196.76</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765,799,367.62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765,799,367.62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731,511,311.60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731,511,311.60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276,668,617.62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276,668,617.62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124,997,686.70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124,997,686.70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887,610,823.81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887,610,823.81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237,079,282.32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237,079,282.32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190,087,799.39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190,087,799.39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180,046,514.41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180,046,514.41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192,784,372.87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192,784,372.87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211,368,190.74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211,368,190.74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与履约义务相关的信息:</w:t>
      </w:r>
    </w:p>
    <w:p>
      <w:pPr>
        <w:pStyle w:val="Style15"/>
        <w:keepNext w:val="0"/>
        <w:keepLines w:val="0"/>
        <w:widowControl w:val="0"/>
        <w:shd w:val="clear" w:color="auto" w:fill="auto"/>
        <w:tabs>
          <w:tab w:pos="820" w:val="left"/>
        </w:tabs>
        <w:bidi w:val="0"/>
        <w:spacing w:before="0" w:after="0" w:line="312" w:lineRule="exact"/>
        <w:ind w:left="0" w:right="0"/>
        <w:jc w:val="left"/>
      </w:pPr>
      <w:bookmarkStart w:id="1801" w:name="bookmark1801"/>
      <w:r>
        <w:rPr>
          <w:color w:val="000000"/>
          <w:spacing w:val="0"/>
          <w:w w:val="100"/>
          <w:position w:val="0"/>
          <w:sz w:val="18"/>
          <w:szCs w:val="18"/>
        </w:rPr>
        <w:t>（</w:t>
      </w:r>
      <w:bookmarkEnd w:id="1801"/>
      <w:r>
        <w:rPr>
          <w:color w:val="000000"/>
          <w:spacing w:val="0"/>
          <w:w w:val="100"/>
          <w:position w:val="0"/>
          <w:sz w:val="18"/>
          <w:szCs w:val="18"/>
        </w:rPr>
        <w:t>1）</w:t>
        <w:tab/>
      </w:r>
      <w:r>
        <w:rPr>
          <w:color w:val="000000"/>
          <w:spacing w:val="0"/>
          <w:w w:val="100"/>
          <w:position w:val="0"/>
        </w:rPr>
        <w:t>软件销售</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软件销售属于在某一时点履行的履约义务，在公司完成履约义务并由客户确认接受、已收取价款或取得收款权利且相关 的经济利益可能流入时确认收入。</w:t>
      </w:r>
    </w:p>
    <w:p>
      <w:pPr>
        <w:pStyle w:val="Style15"/>
        <w:keepNext w:val="0"/>
        <w:keepLines w:val="0"/>
        <w:widowControl w:val="0"/>
        <w:shd w:val="clear" w:color="auto" w:fill="auto"/>
        <w:tabs>
          <w:tab w:pos="820" w:val="left"/>
        </w:tabs>
        <w:bidi w:val="0"/>
        <w:spacing w:before="0" w:after="0" w:line="312" w:lineRule="exact"/>
        <w:ind w:left="0" w:right="0"/>
        <w:jc w:val="left"/>
      </w:pPr>
      <w:bookmarkStart w:id="1802" w:name="bookmark1802"/>
      <w:r>
        <w:rPr>
          <w:color w:val="000000"/>
          <w:spacing w:val="0"/>
          <w:w w:val="100"/>
          <w:position w:val="0"/>
          <w:sz w:val="18"/>
          <w:szCs w:val="18"/>
        </w:rPr>
        <w:t>（</w:t>
      </w:r>
      <w:bookmarkEnd w:id="1802"/>
      <w:r>
        <w:rPr>
          <w:color w:val="000000"/>
          <w:spacing w:val="0"/>
          <w:w w:val="100"/>
          <w:position w:val="0"/>
          <w:sz w:val="18"/>
          <w:szCs w:val="18"/>
        </w:rPr>
        <w:t>2）</w:t>
        <w:tab/>
      </w:r>
      <w:r>
        <w:rPr>
          <w:color w:val="000000"/>
          <w:spacing w:val="0"/>
          <w:w w:val="100"/>
          <w:position w:val="0"/>
        </w:rPr>
        <w:t>技术服务</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技术服务包括软件开发服务和软硬件维护服务。软件开发服务，属于在某一时点履行的履约义务，在公司完成履约义务 并由客户确认接受、已收取价款或取得收款权利且相关的经济利益可能流入时确认收入。软硬件维护服务属于在某一时段内 履行的履约义务，根据服务期间的时间进度确定提供服务的履约进度，并按履行进度确认收入。</w:t>
      </w:r>
    </w:p>
    <w:p>
      <w:pPr>
        <w:pStyle w:val="Style15"/>
        <w:keepNext w:val="0"/>
        <w:keepLines w:val="0"/>
        <w:widowControl w:val="0"/>
        <w:shd w:val="clear" w:color="auto" w:fill="auto"/>
        <w:tabs>
          <w:tab w:pos="820" w:val="left"/>
        </w:tabs>
        <w:bidi w:val="0"/>
        <w:spacing w:before="0" w:after="0" w:line="312" w:lineRule="exact"/>
        <w:ind w:left="0" w:right="0"/>
        <w:jc w:val="left"/>
      </w:pPr>
      <w:bookmarkStart w:id="1803" w:name="bookmark1803"/>
      <w:r>
        <w:rPr>
          <w:color w:val="000000"/>
          <w:spacing w:val="0"/>
          <w:w w:val="100"/>
          <w:position w:val="0"/>
          <w:sz w:val="18"/>
          <w:szCs w:val="18"/>
        </w:rPr>
        <w:t>（</w:t>
      </w:r>
      <w:bookmarkEnd w:id="1803"/>
      <w:r>
        <w:rPr>
          <w:color w:val="000000"/>
          <w:spacing w:val="0"/>
          <w:w w:val="100"/>
          <w:position w:val="0"/>
          <w:sz w:val="18"/>
          <w:szCs w:val="18"/>
        </w:rPr>
        <w:t>3）</w:t>
        <w:tab/>
      </w:r>
      <w:r>
        <w:rPr>
          <w:color w:val="000000"/>
          <w:spacing w:val="0"/>
          <w:w w:val="100"/>
          <w:position w:val="0"/>
        </w:rPr>
        <w:t>系统集成</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系统集成包括计算机信息设备系统集成业务和智能化网络布线工程集成业务。计算机信息设备系统集成业务属于在某一 时点履行的履约义务，在公司完成履约义务并由客户确认接受、已收取价款或取得收款权利且相关的经济利益可能流入时确 认收入。智能化网络布线工程集成业务属于在某一时段履行的履约义务，根据工程项目的实际进度确定提供服务的履约进度， 并按履约进度确认收入。</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1,564,548,879.15</w:t>
      </w:r>
      <w:r>
        <w:rPr>
          <w:color w:val="000000"/>
          <w:spacing w:val="0"/>
          <w:w w:val="100"/>
          <w:position w:val="0"/>
        </w:rPr>
        <w:t>元。</w:t>
      </w:r>
    </w:p>
    <w:p>
      <w:pPr>
        <w:pStyle w:val="Style1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6</w:t>
      </w:r>
      <w:bookmarkEnd w:id="180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04"/>
      <w:bookmarkEnd w:id="1805"/>
      <w:bookmarkEnd w:id="180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9,389,359.91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7,301,895.37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4,019,575.72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3,138,693.75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2,241,717.10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2,459,193.99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103,690.46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17,620.31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67,892.08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70,760.00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577,260.37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723,179.09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2,679,915.04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2,093,887.11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19,079,410.68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15,805,229.62</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6</w:t>
      </w:r>
      <w:bookmarkEnd w:id="181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08"/>
      <w:bookmarkEnd w:id="1809"/>
      <w:bookmarkEnd w:id="181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61,471,094.35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69,507,247.18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16,744,175.91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18,177,584.34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10,459,138.20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12,699,346.52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39,553,745.97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39,160,325.65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9,061,442.32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10,277,728.58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7,616,495.54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1,891,684.31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2,136,898.63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7,130,488.27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1,157,368.27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605,094.23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4,783,817.86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4,888,073.75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152,984,177.05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164,337,572.83</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6</w:t>
      </w:r>
      <w:bookmarkEnd w:id="181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12"/>
      <w:bookmarkEnd w:id="1813"/>
      <w:bookmarkEnd w:id="181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113,094,530.99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106,931,501.72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20,705,911.87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21,620,419.40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10,715,059.30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9,757,779.68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4,526,555.19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3,866,051.41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16,197,863.20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12,086,545.78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8,369,349.36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6,456,420.67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10,873,736.55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9,553,899.02</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2,970,154.36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4,255,761.88</w:t>
            </w:r>
          </w:p>
        </w:tc>
      </w:tr>
    </w:tbl>
    <w:p>
      <w:pPr>
        <w:widowControl w:val="0"/>
        <w:spacing w:line="1" w:lineRule="exact"/>
      </w:pP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187,453,160.82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174,528,379.56</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6</w:t>
      </w:r>
      <w:bookmarkEnd w:id="181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16"/>
      <w:bookmarkEnd w:id="1817"/>
      <w:bookmarkEnd w:id="181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161,915,668.51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144,163,821.98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28,241,962.87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17,717,634.99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20,212,100.48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15,346,671.78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210,369,731.86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177,228,128.75</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6</w:t>
      </w:r>
      <w:bookmarkEnd w:id="182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20"/>
      <w:bookmarkEnd w:id="1821"/>
      <w:bookmarkEnd w:id="182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1,452,566.62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6,185,964.99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21,356,955.28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9,037,305.16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302,686.37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219,683.45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-19,601,702.29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-2,631,656.72</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6</w:t>
      </w:r>
      <w:bookmarkEnd w:id="182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24"/>
      <w:bookmarkEnd w:id="1825"/>
      <w:bookmarkEnd w:id="182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37,425,544.25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43,823,145.55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43,733.16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82,746.22</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6</w:t>
      </w:r>
      <w:bookmarkEnd w:id="183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28"/>
      <w:bookmarkEnd w:id="1829"/>
      <w:bookmarkEnd w:id="183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7,265,608.27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3,715,145.38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7,866,639.98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2,649,548.08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7,484,648.20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8,162,297.94</w:t>
            </w:r>
          </w:p>
        </w:tc>
      </w:tr>
    </w:tbl>
    <w:p>
      <w:pPr>
        <w:widowControl w:val="0"/>
        <w:spacing w:line="1" w:lineRule="exact"/>
      </w:pPr>
      <w:r>
        <w:br w:type="page"/>
      </w:r>
    </w:p>
    <w:tbl>
      <w:tblPr>
        <w:tblOverlap w:val="never"/>
        <w:jc w:val="center"/>
        <w:tblLayout w:type="fixed"/>
      </w:tblPr>
      <w:tblGrid>
        <w:gridCol w:w="3466"/>
        <w:gridCol w:w="3192"/>
        <w:gridCol w:w="292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丧失控制权后，剩余股权按公允价值重新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6,992,568.86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应收款项融资贴现损失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-127,115.66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-20,615.52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1,060,619.35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65,875.93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-2,913,269.97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30,542,969.00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11,658,981.84</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6</w:t>
      </w:r>
      <w:bookmarkEnd w:id="1834"/>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32"/>
      <w:bookmarkEnd w:id="1833"/>
      <w:bookmarkEnd w:id="183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7</w:t>
      </w:r>
      <w:bookmarkEnd w:id="183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36"/>
      <w:bookmarkEnd w:id="1837"/>
      <w:bookmarkEnd w:id="183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-381,900.12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-381,900.12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782,347.10</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7</w:t>
      </w:r>
      <w:bookmarkEnd w:id="184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40"/>
      <w:bookmarkEnd w:id="1841"/>
      <w:bookmarkEnd w:id="184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-902,859.77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-5,455,389.21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-73,956,098.36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-44,685,294.84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-74,845,658.13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-50,145,424.05</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7</w:t>
      </w:r>
      <w:bookmarkEnd w:id="184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44"/>
      <w:bookmarkEnd w:id="1845"/>
      <w:bookmarkEnd w:id="184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-1,519,333.11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-566,145.46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-13,596,912.65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-5,024,453.23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-5,760,553.80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1,253,109.93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-20,876,799.56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-4,337,488.76</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7</w:t>
      </w:r>
      <w:bookmarkEnd w:id="185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48"/>
      <w:bookmarkEnd w:id="1849"/>
      <w:bookmarkEnd w:id="185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946,919.83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41,309.72</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7</w:t>
      </w:r>
      <w:bookmarkEnd w:id="185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52"/>
      <w:bookmarkEnd w:id="1853"/>
      <w:bookmarkEnd w:id="185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300,000.00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取得子公司投资成本小于取 得的可辨认净资产公允价值 份额的金额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97,808.90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9,035.00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309,035.00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131,488.91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309,035.00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计入当期损益的政府补助:</w:t>
      </w:r>
    </w:p>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上期发生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7</w:t>
      </w:r>
      <w:bookmarkEnd w:id="185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56"/>
      <w:bookmarkEnd w:id="1857"/>
      <w:bookmarkEnd w:id="185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732,897.66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227,969.98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76,896.02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132,167.74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185,010.27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132,167.74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659,063.76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1,145,877.91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659,063.76</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r>
        <w:br w:type="page"/>
      </w:r>
    </w:p>
    <w:p>
      <w:pPr>
        <w:pStyle w:val="Style24"/>
        <w:keepNext/>
        <w:keepLines/>
        <w:widowControl w:val="0"/>
        <w:shd w:val="clear" w:color="auto" w:fill="auto"/>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7</w:t>
      </w:r>
      <w:bookmarkEnd w:id="186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60"/>
      <w:bookmarkEnd w:id="1861"/>
      <w:bookmarkEnd w:id="1863"/>
    </w:p>
    <w:p>
      <w:pPr>
        <w:pStyle w:val="Style92"/>
        <w:keepNext/>
        <w:keepLines/>
        <w:widowControl w:val="0"/>
        <w:shd w:val="clear" w:color="auto" w:fill="auto"/>
        <w:bidi w:val="0"/>
        <w:spacing w:before="0" w:after="360" w:line="240" w:lineRule="auto"/>
        <w:ind w:left="0" w:right="0" w:firstLine="0"/>
        <w:jc w:val="left"/>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64"/>
      <w:bookmarkEnd w:id="1865"/>
      <w:bookmarkEnd w:id="1866"/>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45,298,350.91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44,318,996.90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-7,523,905.46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-4,023,279.49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37,774,445.45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40,295,717.41</w:t>
            </w:r>
          </w:p>
        </w:tc>
      </w:tr>
    </w:tbl>
    <w:p>
      <w:pPr>
        <w:widowControl w:val="0"/>
        <w:spacing w:after="359" w:line="1" w:lineRule="exact"/>
      </w:pPr>
    </w:p>
    <w:p>
      <w:pPr>
        <w:pStyle w:val="Style92"/>
        <w:keepNext/>
        <w:keepLines/>
        <w:widowControl w:val="0"/>
        <w:shd w:val="clear" w:color="auto" w:fill="auto"/>
        <w:bidi w:val="0"/>
        <w:spacing w:before="0" w:after="36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67"/>
      <w:bookmarkEnd w:id="1868"/>
      <w:bookmarkEnd w:id="186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451,923,895.07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45,192,389.51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6,618,203.50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-356,834.68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-726,560.83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-15,241,857.52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-16,981.88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2,306,087.35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37,774,445.45</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tabs>
          <w:tab w:pos="478" w:val="left"/>
        </w:tabs>
        <w:bidi w:val="0"/>
        <w:spacing w:before="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7</w:t>
      </w:r>
      <w:bookmarkEnd w:id="187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70"/>
      <w:bookmarkEnd w:id="1871"/>
      <w:bookmarkEnd w:id="1873"/>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4"/>
        <w:keepNext/>
        <w:keepLines/>
        <w:widowControl w:val="0"/>
        <w:shd w:val="clear" w:color="auto" w:fill="auto"/>
        <w:tabs>
          <w:tab w:pos="478"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7</w:t>
      </w:r>
      <w:bookmarkEnd w:id="187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74"/>
      <w:bookmarkEnd w:id="1875"/>
      <w:bookmarkEnd w:id="1877"/>
    </w:p>
    <w:p>
      <w:pPr>
        <w:pStyle w:val="Style92"/>
        <w:keepNext/>
        <w:keepLines/>
        <w:widowControl w:val="0"/>
        <w:shd w:val="clear" w:color="auto" w:fill="auto"/>
        <w:bidi w:val="0"/>
        <w:spacing w:before="0" w:after="360" w:line="240" w:lineRule="auto"/>
        <w:ind w:left="0" w:right="0" w:firstLine="0"/>
        <w:jc w:val="left"/>
      </w:pPr>
      <w:bookmarkStart w:id="1878" w:name="bookmark1878"/>
      <w:bookmarkStart w:id="1879" w:name="bookmark1879"/>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78"/>
      <w:bookmarkEnd w:id="1879"/>
      <w:bookmarkEnd w:id="1880"/>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5,100,572.51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9,753,837.81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670,534.44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收回不符合现金及现金等价物定义的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3,965,432.84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1,755,354.99</w:t>
            </w:r>
          </w:p>
        </w:tc>
      </w:tr>
    </w:tbl>
    <w:p>
      <w:pPr>
        <w:widowControl w:val="0"/>
        <w:spacing w:line="1" w:lineRule="exact"/>
      </w:pPr>
      <w:r>
        <w:br w:type="page"/>
      </w:r>
    </w:p>
    <w:tbl>
      <w:tblPr>
        <w:tblOverlap w:val="never"/>
        <w:jc w:val="center"/>
        <w:tblLayout w:type="fixed"/>
      </w:tblPr>
      <w:tblGrid>
        <w:gridCol w:w="3192"/>
        <w:gridCol w:w="3192"/>
        <w:gridCol w:w="319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21,356,955.28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9,037,305.16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3,348,923.37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2,602,719.86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352,768.16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1,226,264.38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34,124,652.16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25,046,016.64</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92"/>
        <w:keepNext/>
        <w:keepLines/>
        <w:widowControl w:val="0"/>
        <w:shd w:val="clear" w:color="auto" w:fill="auto"/>
        <w:bidi w:val="0"/>
        <w:spacing w:before="0" w:after="360" w:line="240" w:lineRule="auto"/>
        <w:ind w:left="0" w:right="0" w:firstLine="0"/>
        <w:jc w:val="left"/>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81"/>
      <w:bookmarkEnd w:id="1882"/>
      <w:bookmarkEnd w:id="188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支付不符合现金及现金等价物定义的 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5,541,383.93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3,965,432.84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付现经营费用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185,313,884.76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172,673,453.13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6,170,497.97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8,114,887.96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6,453,633.99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6,453,744.38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203,479,400.65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191,207,518.31</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92"/>
        <w:keepNext/>
        <w:keepLines/>
        <w:widowControl w:val="0"/>
        <w:shd w:val="clear" w:color="auto" w:fill="auto"/>
        <w:bidi w:val="0"/>
        <w:spacing w:before="0" w:after="36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84"/>
      <w:bookmarkEnd w:id="1885"/>
      <w:bookmarkEnd w:id="188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赎回银行短期理财产品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1,784,570,000.00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2,045,800,000.00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购买嘉兴市博雅达医药有限公司股权 时收到的现金净额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3,310,373.20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1,787,880,373.20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2,045,800,000.00</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92"/>
        <w:keepNext/>
        <w:keepLines/>
        <w:widowControl w:val="0"/>
        <w:shd w:val="clear" w:color="auto" w:fill="auto"/>
        <w:bidi w:val="0"/>
        <w:spacing w:before="0" w:after="36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88"/>
      <w:bookmarkEnd w:id="1889"/>
      <w:bookmarkEnd w:id="189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购买银行短期理财产品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1,601,570,000.00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2,228,800,000.00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1,603,570,000.00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2,228,800,000.00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支付的其他与投资活动有关的现金说明:</w:t>
      </w:r>
      <w:r>
        <w:br w:type="page"/>
      </w:r>
    </w:p>
    <w:p>
      <w:pPr>
        <w:pStyle w:val="Style92"/>
        <w:keepNext/>
        <w:keepLines/>
        <w:widowControl w:val="0"/>
        <w:shd w:val="clear" w:color="auto" w:fill="auto"/>
        <w:bidi w:val="0"/>
        <w:spacing w:before="0" w:after="360" w:line="240" w:lineRule="auto"/>
        <w:ind w:left="0" w:right="0" w:firstLine="0"/>
        <w:jc w:val="left"/>
      </w:pPr>
      <w:bookmarkStart w:id="1892" w:name="bookmark1892"/>
      <w:bookmarkStart w:id="1893" w:name="bookmark1893"/>
      <w:bookmarkStart w:id="1894" w:name="bookmark1894"/>
      <w:bookmarkStart w:id="1895" w:name="bookmark1895"/>
      <w:r>
        <w:rPr>
          <w:color w:val="000000"/>
          <w:spacing w:val="0"/>
          <w:w w:val="100"/>
          <w:position w:val="0"/>
        </w:rPr>
        <w:t>（</w:t>
      </w:r>
      <w:bookmarkEnd w:id="189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92"/>
      <w:bookmarkEnd w:id="1893"/>
      <w:bookmarkEnd w:id="189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员工限制性股票激励计划缴入资金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18,194,344.00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股票期权行权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7,053,912.72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25,248,256.72</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92"/>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96"/>
      <w:bookmarkEnd w:id="1897"/>
      <w:bookmarkEnd w:id="189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2,748,007.00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偿还拆借款及利息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2,238,000.00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7,059,363.99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35,380,000.00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7,511,416.33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支付长期租赁款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7,770,588.42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22,756,595.42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50,990,780.32</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支付的其他与筹资活动有关的现金说明:</w:t>
      </w:r>
    </w:p>
    <w:p>
      <w:pPr>
        <w:pStyle w:val="Style15"/>
        <w:keepNext w:val="0"/>
        <w:keepLines w:val="0"/>
        <w:widowControl w:val="0"/>
        <w:shd w:val="clear" w:color="auto" w:fill="auto"/>
        <w:bidi w:val="0"/>
        <w:spacing w:before="0" w:after="360" w:line="307" w:lineRule="exact"/>
        <w:ind w:left="0" w:right="0" w:firstLine="360"/>
        <w:jc w:val="left"/>
      </w:pPr>
      <w:r>
        <w:rPr>
          <w:color w:val="000000"/>
          <w:spacing w:val="0"/>
          <w:w w:val="100"/>
          <w:position w:val="0"/>
        </w:rPr>
        <w:t>收购少数股权价款包含本期支付的公司以前年度收购广东中拓信息技术有限公司少数股东股权款</w:t>
      </w:r>
      <w:r>
        <w:rPr>
          <w:rFonts w:ascii="Times New Roman" w:eastAsia="Times New Roman" w:hAnsi="Times New Roman" w:cs="Times New Roman"/>
          <w:color w:val="000000"/>
          <w:spacing w:val="0"/>
          <w:w w:val="100"/>
          <w:position w:val="0"/>
        </w:rPr>
        <w:t>5,000,000.00</w:t>
      </w:r>
      <w:r>
        <w:rPr>
          <w:color w:val="000000"/>
          <w:spacing w:val="0"/>
          <w:w w:val="100"/>
          <w:position w:val="0"/>
        </w:rPr>
        <w:t>元及收购 杭州卓腾信息技术有限公司少数股东股权款</w:t>
      </w:r>
      <w:r>
        <w:rPr>
          <w:rFonts w:ascii="Times New Roman" w:eastAsia="Times New Roman" w:hAnsi="Times New Roman" w:cs="Times New Roman"/>
          <w:color w:val="000000"/>
          <w:spacing w:val="0"/>
          <w:w w:val="100"/>
          <w:position w:val="0"/>
        </w:rPr>
        <w:t>5,000,000.00</w:t>
      </w:r>
      <w:r>
        <w:rPr>
          <w:color w:val="000000"/>
          <w:spacing w:val="0"/>
          <w:w w:val="100"/>
          <w:position w:val="0"/>
        </w:rPr>
        <w:t>元。</w:t>
      </w:r>
    </w:p>
    <w:p>
      <w:pPr>
        <w:pStyle w:val="Style24"/>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7</w:t>
      </w:r>
      <w:bookmarkEnd w:id="190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00"/>
      <w:bookmarkEnd w:id="1901"/>
      <w:bookmarkEnd w:id="1903"/>
    </w:p>
    <w:p>
      <w:pPr>
        <w:pStyle w:val="Style92"/>
        <w:keepNext/>
        <w:keepLines/>
        <w:widowControl w:val="0"/>
        <w:shd w:val="clear" w:color="auto" w:fill="auto"/>
        <w:bidi w:val="0"/>
        <w:spacing w:before="0" w:after="360" w:line="240" w:lineRule="auto"/>
        <w:ind w:left="0" w:right="0" w:firstLine="0"/>
        <w:jc w:val="left"/>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04"/>
      <w:bookmarkEnd w:id="1905"/>
      <w:bookmarkEnd w:id="1906"/>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414,149,449.62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336,240,903.20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95,722,457.69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54,482,912.81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18,905,596.81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20,001,999.99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7,913,583.41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37,447,232.80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26,656,970.49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14,334,560.91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12,720,391.52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处置固定资产、无形资产和其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-946,919.83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-41,309.72</w:t>
            </w:r>
          </w:p>
        </w:tc>
      </w:tr>
    </w:tbl>
    <w:p>
      <w:pPr>
        <w:widowControl w:val="0"/>
        <w:spacing w:line="1" w:lineRule="exact"/>
      </w:pPr>
      <w:r>
        <w:br w:type="page"/>
      </w:r>
    </w:p>
    <w:tbl>
      <w:tblPr>
        <w:tblOverlap w:val="never"/>
        <w:jc w:val="center"/>
        <w:tblLayout w:type="fixed"/>
      </w:tblPr>
      <w:tblGrid>
        <w:gridCol w:w="3331"/>
        <w:gridCol w:w="3058"/>
        <w:gridCol w:w="319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他长期资产的损失（收益以"一”号填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76,896.02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227,969.98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381,900.12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1,452,566.62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6,185,964.99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-30,670,084.66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-11,679,597.36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-7,445,670.75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-4,101,514.20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78,234.71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62,664,274.37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-67,181,360.01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-549,282,943.00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-273,839,484.20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2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103,098,141.00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141,591,748.07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8,496,305.41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30,765,366.86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176,219,111.83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271,326,850.03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1,613,613,335.43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1,579,981,757.16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1,579,981,757.16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532,125,419.79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33,631,578.27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1,047,856,337.37</w:t>
            </w:r>
          </w:p>
        </w:tc>
      </w:tr>
    </w:tbl>
    <w:p>
      <w:pPr>
        <w:widowControl w:val="0"/>
        <w:spacing w:after="299" w:line="1" w:lineRule="exact"/>
      </w:pPr>
    </w:p>
    <w:p>
      <w:pPr>
        <w:pStyle w:val="Style92"/>
        <w:keepNext/>
        <w:keepLines/>
        <w:widowControl w:val="0"/>
        <w:shd w:val="clear" w:color="auto" w:fill="auto"/>
        <w:bidi w:val="0"/>
        <w:spacing w:before="0" w:after="380" w:line="240" w:lineRule="auto"/>
        <w:ind w:left="0" w:right="0" w:firstLine="0"/>
        <w:jc w:val="left"/>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07"/>
      <w:bookmarkEnd w:id="1908"/>
      <w:bookmarkEnd w:id="190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line="1" w:lineRule="exact"/>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3,273,700.00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嘉兴市博雅达医药有限公司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3,273,700.00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6,584,073.20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嘉兴市博雅达医药有限公司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6,584,073.20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-3,310,373.20</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92"/>
        <w:keepNext/>
        <w:keepLines/>
        <w:widowControl w:val="0"/>
        <w:numPr>
          <w:ilvl w:val="0"/>
          <w:numId w:val="43"/>
        </w:numPr>
        <w:shd w:val="clear" w:color="auto" w:fill="auto"/>
        <w:bidi w:val="0"/>
        <w:spacing w:before="0" w:after="380" w:line="240" w:lineRule="auto"/>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本期收到的处置子公司的现金净额</w:t>
      </w:r>
      <w:bookmarkEnd w:id="1910"/>
      <w:bookmarkEnd w:id="1911"/>
      <w:bookmarkEnd w:id="191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26,200,000.00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杭州梅清数码科技有限公司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26,200,000.00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16,908,134.61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杭州梅清数码科技有限公司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16,908,134.61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9,291,865.39</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92"/>
        <w:keepNext/>
        <w:keepLines/>
        <w:widowControl w:val="0"/>
        <w:numPr>
          <w:ilvl w:val="0"/>
          <w:numId w:val="43"/>
        </w:numPr>
        <w:shd w:val="clear" w:color="auto" w:fill="auto"/>
        <w:bidi w:val="0"/>
        <w:spacing w:before="0" w:after="380" w:line="240" w:lineRule="auto"/>
        <w:ind w:left="0" w:right="0" w:firstLine="0"/>
        <w:jc w:val="left"/>
      </w:pPr>
      <w:bookmarkStart w:id="1914" w:name="bookmark1914"/>
      <w:bookmarkStart w:id="1915" w:name="bookmark1915"/>
      <w:bookmarkStart w:id="1916" w:name="bookmark1916"/>
      <w:bookmarkStart w:id="1917" w:name="bookmark1917"/>
      <w:bookmarkEnd w:id="1916"/>
      <w:r>
        <w:rPr>
          <w:color w:val="000000"/>
          <w:spacing w:val="0"/>
          <w:w w:val="100"/>
          <w:position w:val="0"/>
        </w:rPr>
        <w:t>现金和现金等价物的构成</w:t>
      </w:r>
      <w:bookmarkEnd w:id="1914"/>
      <w:bookmarkEnd w:id="1915"/>
      <w:bookmarkEnd w:id="191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1,613,613,335.43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1,579,981,757.16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159,299.06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1,613,513,543.76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1,579,822,458.10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1,613,613,335.43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1,579,981,757.16</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1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合并现金流量表“期末现金及现金等价物余额”为</w:t>
      </w:r>
      <w:r>
        <w:rPr>
          <w:rFonts w:ascii="Times New Roman" w:eastAsia="Times New Roman" w:hAnsi="Times New Roman" w:cs="Times New Roman"/>
          <w:color w:val="000000"/>
          <w:spacing w:val="0"/>
          <w:w w:val="100"/>
          <w:position w:val="0"/>
        </w:rPr>
        <w:t>1,613,613,335.43</w:t>
      </w:r>
      <w:r>
        <w:rPr>
          <w:color w:val="000000"/>
          <w:spacing w:val="0"/>
          <w:w w:val="100"/>
          <w:position w:val="0"/>
        </w:rPr>
        <w:t xml:space="preserve">元，合并资产负债表“货币资金”期末数为 </w:t>
      </w:r>
      <w:r>
        <w:rPr>
          <w:rFonts w:ascii="Times New Roman" w:eastAsia="Times New Roman" w:hAnsi="Times New Roman" w:cs="Times New Roman"/>
          <w:color w:val="000000"/>
          <w:spacing w:val="0"/>
          <w:w w:val="100"/>
          <w:position w:val="0"/>
        </w:rPr>
        <w:t>1,619,154,719.36</w:t>
      </w:r>
      <w:r>
        <w:rPr>
          <w:color w:val="000000"/>
          <w:spacing w:val="0"/>
          <w:w w:val="100"/>
          <w:position w:val="0"/>
        </w:rPr>
        <w:t>元，差额</w:t>
      </w:r>
      <w:r>
        <w:rPr>
          <w:rFonts w:ascii="Times New Roman" w:eastAsia="Times New Roman" w:hAnsi="Times New Roman" w:cs="Times New Roman"/>
          <w:color w:val="000000"/>
          <w:spacing w:val="0"/>
          <w:w w:val="100"/>
          <w:position w:val="0"/>
        </w:rPr>
        <w:t>5,541,383.93</w:t>
      </w:r>
      <w:r>
        <w:rPr>
          <w:color w:val="000000"/>
          <w:spacing w:val="0"/>
          <w:w w:val="100"/>
          <w:position w:val="0"/>
        </w:rPr>
        <w:t>元，系合并现金流量表“期末现金及现金等价物余额”扣除了不符合现金及现金等价 物标准的其他货币资金</w:t>
      </w:r>
      <w:r>
        <w:rPr>
          <w:rFonts w:ascii="Times New Roman" w:eastAsia="Times New Roman" w:hAnsi="Times New Roman" w:cs="Times New Roman"/>
          <w:color w:val="000000"/>
          <w:spacing w:val="0"/>
          <w:w w:val="100"/>
          <w:position w:val="0"/>
        </w:rPr>
        <w:t>5,541,383.93</w:t>
      </w:r>
      <w:r>
        <w:rPr>
          <w:color w:val="000000"/>
          <w:spacing w:val="0"/>
          <w:w w:val="100"/>
          <w:position w:val="0"/>
        </w:rPr>
        <w:t>元。</w:t>
      </w:r>
    </w:p>
    <w:p>
      <w:pPr>
        <w:pStyle w:val="Style15"/>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合并现金流量表“期初现金及现金等价物余额”为</w:t>
      </w:r>
      <w:r>
        <w:rPr>
          <w:rFonts w:ascii="Times New Roman" w:eastAsia="Times New Roman" w:hAnsi="Times New Roman" w:cs="Times New Roman"/>
          <w:color w:val="000000"/>
          <w:spacing w:val="0"/>
          <w:w w:val="100"/>
          <w:position w:val="0"/>
        </w:rPr>
        <w:t>1,579,981,757.16</w:t>
      </w:r>
      <w:r>
        <w:rPr>
          <w:color w:val="000000"/>
          <w:spacing w:val="0"/>
          <w:w w:val="100"/>
          <w:position w:val="0"/>
        </w:rPr>
        <w:t>元，合并资产负债表“货币资金”期初数为</w:t>
        <w:br w:type="page"/>
      </w:r>
      <w:r>
        <w:rPr>
          <w:rFonts w:ascii="Times New Roman" w:eastAsia="Times New Roman" w:hAnsi="Times New Roman" w:cs="Times New Roman"/>
          <w:color w:val="000000"/>
          <w:spacing w:val="0"/>
          <w:w w:val="100"/>
          <w:position w:val="0"/>
        </w:rPr>
        <w:t>1,583,947,190.00</w:t>
      </w:r>
      <w:r>
        <w:rPr>
          <w:color w:val="000000"/>
          <w:spacing w:val="0"/>
          <w:w w:val="100"/>
          <w:position w:val="0"/>
        </w:rPr>
        <w:t>元，差额</w:t>
      </w:r>
      <w:r>
        <w:rPr>
          <w:rFonts w:ascii="Times New Roman" w:eastAsia="Times New Roman" w:hAnsi="Times New Roman" w:cs="Times New Roman"/>
          <w:color w:val="000000"/>
          <w:spacing w:val="0"/>
          <w:w w:val="100"/>
          <w:position w:val="0"/>
        </w:rPr>
        <w:t>3,965,432.84</w:t>
      </w:r>
      <w:r>
        <w:rPr>
          <w:color w:val="000000"/>
          <w:spacing w:val="0"/>
          <w:w w:val="100"/>
          <w:position w:val="0"/>
        </w:rPr>
        <w:t>元，系合并现金流量表“期初现金及现金等价物余额”扣除了不符合现金及现金等价 物标准的其他货币资金</w:t>
      </w:r>
      <w:r>
        <w:rPr>
          <w:rFonts w:ascii="Times New Roman" w:eastAsia="Times New Roman" w:hAnsi="Times New Roman" w:cs="Times New Roman"/>
          <w:color w:val="000000"/>
          <w:spacing w:val="0"/>
          <w:w w:val="100"/>
          <w:position w:val="0"/>
        </w:rPr>
        <w:t>3,965,432.84</w:t>
      </w:r>
      <w:r>
        <w:rPr>
          <w:color w:val="000000"/>
          <w:spacing w:val="0"/>
          <w:w w:val="100"/>
          <w:position w:val="0"/>
        </w:rPr>
        <w:t>元。</w:t>
      </w:r>
    </w:p>
    <w:p>
      <w:pPr>
        <w:pStyle w:val="Style24"/>
        <w:keepNext/>
        <w:keepLines/>
        <w:widowControl w:val="0"/>
        <w:shd w:val="clear" w:color="auto" w:fill="auto"/>
        <w:tabs>
          <w:tab w:pos="483" w:val="left"/>
        </w:tabs>
        <w:bidi w:val="0"/>
        <w:spacing w:before="0" w:after="26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8</w:t>
      </w:r>
      <w:bookmarkEnd w:id="1920"/>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18"/>
      <w:bookmarkEnd w:id="1919"/>
      <w:bookmarkEnd w:id="1921"/>
    </w:p>
    <w:p>
      <w:pPr>
        <w:pStyle w:val="Style1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说明对上年期末余额进行调整的“其他”项目名称及调整金额等事项：</w:t>
      </w:r>
    </w:p>
    <w:p>
      <w:pPr>
        <w:pStyle w:val="Style24"/>
        <w:keepNext/>
        <w:keepLines/>
        <w:widowControl w:val="0"/>
        <w:shd w:val="clear" w:color="auto" w:fill="auto"/>
        <w:tabs>
          <w:tab w:pos="483" w:val="left"/>
        </w:tabs>
        <w:bidi w:val="0"/>
        <w:spacing w:before="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8</w:t>
      </w:r>
      <w:bookmarkEnd w:id="1924"/>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22"/>
      <w:bookmarkEnd w:id="1923"/>
      <w:bookmarkEnd w:id="192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450"/>
        <w:gridCol w:w="1469"/>
        <w:gridCol w:w="66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5,541,383.93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均系其他货币资金，包括银行承兑汇票保证金</w:t>
            </w:r>
            <w:r>
              <w:rPr>
                <w:rFonts w:ascii="Times New Roman" w:eastAsia="Times New Roman" w:hAnsi="Times New Roman" w:cs="Times New Roman"/>
                <w:color w:val="000000"/>
                <w:spacing w:val="0"/>
                <w:w w:val="100"/>
                <w:position w:val="0"/>
              </w:rPr>
              <w:t>5,479,883.93</w:t>
            </w:r>
            <w:r>
              <w:rPr>
                <w:color w:val="000000"/>
                <w:spacing w:val="0"/>
                <w:w w:val="100"/>
                <w:position w:val="0"/>
              </w:rPr>
              <w:t>元、保函保证金</w:t>
            </w:r>
            <w:r>
              <w:rPr>
                <w:rFonts w:ascii="Times New Roman" w:eastAsia="Times New Roman" w:hAnsi="Times New Roman" w:cs="Times New Roman"/>
                <w:color w:val="000000"/>
                <w:spacing w:val="0"/>
                <w:w w:val="100"/>
                <w:position w:val="0"/>
              </w:rPr>
              <w:t xml:space="preserve">30,000.00 </w:t>
            </w:r>
            <w:r>
              <w:rPr>
                <w:color w:val="000000"/>
                <w:spacing w:val="0"/>
                <w:w w:val="100"/>
                <w:position w:val="0"/>
              </w:rPr>
              <w:t>元及其他保证金</w:t>
            </w:r>
            <w:r>
              <w:rPr>
                <w:rFonts w:ascii="Times New Roman" w:eastAsia="Times New Roman" w:hAnsi="Times New Roman" w:cs="Times New Roman"/>
                <w:color w:val="000000"/>
                <w:spacing w:val="0"/>
                <w:w w:val="100"/>
                <w:position w:val="0"/>
              </w:rPr>
              <w:t>31,500.00</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5,541,383.93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8</w:t>
      </w:r>
      <w:bookmarkEnd w:id="1928"/>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26"/>
      <w:bookmarkEnd w:id="1927"/>
      <w:bookmarkEnd w:id="1929"/>
    </w:p>
    <w:p>
      <w:pPr>
        <w:pStyle w:val="Style92"/>
        <w:keepNext/>
        <w:keepLines/>
        <w:widowControl w:val="0"/>
        <w:shd w:val="clear" w:color="auto" w:fill="auto"/>
        <w:bidi w:val="0"/>
        <w:spacing w:before="0" w:after="360" w:line="240" w:lineRule="auto"/>
        <w:ind w:left="0" w:right="0" w:firstLine="140"/>
        <w:jc w:val="left"/>
      </w:pPr>
      <w:bookmarkStart w:id="1930" w:name="bookmark1930"/>
      <w:bookmarkStart w:id="1931" w:name="bookmark1931"/>
      <w:bookmarkStart w:id="1932" w:name="bookmark1932"/>
      <w:r>
        <w:rPr>
          <w:color w:val="000000"/>
          <w:spacing w:val="0"/>
          <w:w w:val="100"/>
          <w:position w:val="0"/>
        </w:rPr>
        <w:t>⑴外币货币性项目</w:t>
      </w:r>
      <w:bookmarkEnd w:id="1930"/>
      <w:bookmarkEnd w:id="1931"/>
      <w:bookmarkEnd w:id="1932"/>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110"/>
        <w:keepNext w:val="0"/>
        <w:keepLines w:val="0"/>
        <w:widowControl w:val="0"/>
        <w:shd w:val="clear" w:color="auto" w:fill="auto"/>
        <w:bidi w:val="0"/>
        <w:spacing w:before="0" w:after="380" w:line="322" w:lineRule="exact"/>
        <w:ind w:left="0" w:right="0" w:firstLine="0"/>
        <w:jc w:val="left"/>
      </w:pPr>
      <w:bookmarkStart w:id="1933" w:name="bookmark19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33"/>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24"/>
        <w:keepNext/>
        <w:keepLines/>
        <w:widowControl w:val="0"/>
        <w:shd w:val="clear" w:color="auto" w:fill="auto"/>
        <w:tabs>
          <w:tab w:pos="483" w:val="left"/>
        </w:tabs>
        <w:bidi w:val="0"/>
        <w:spacing w:before="0" w:after="380" w:line="322" w:lineRule="exact"/>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8</w:t>
      </w:r>
      <w:bookmarkEnd w:id="193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34"/>
      <w:bookmarkEnd w:id="1935"/>
      <w:bookmarkEnd w:id="1937"/>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4"/>
        <w:keepNext/>
        <w:keepLines/>
        <w:widowControl w:val="0"/>
        <w:shd w:val="clear" w:color="auto" w:fill="auto"/>
        <w:tabs>
          <w:tab w:pos="483" w:val="left"/>
        </w:tabs>
        <w:bidi w:val="0"/>
        <w:spacing w:before="0" w:after="300" w:line="322" w:lineRule="exact"/>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8</w:t>
      </w:r>
      <w:bookmarkEnd w:id="194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38"/>
      <w:bookmarkEnd w:id="1939"/>
      <w:bookmarkEnd w:id="1941"/>
    </w:p>
    <w:p>
      <w:pPr>
        <w:pStyle w:val="Style92"/>
        <w:keepNext/>
        <w:keepLines/>
        <w:widowControl w:val="0"/>
        <w:shd w:val="clear" w:color="auto" w:fill="auto"/>
        <w:bidi w:val="0"/>
        <w:spacing w:before="0" w:after="380" w:line="322" w:lineRule="exact"/>
        <w:ind w:left="0" w:right="0" w:firstLine="0"/>
        <w:jc w:val="left"/>
      </w:pPr>
      <w:bookmarkStart w:id="1942" w:name="bookmark1942"/>
      <w:bookmarkStart w:id="1943" w:name="bookmark1943"/>
      <w:bookmarkStart w:id="1944" w:name="bookmark19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42"/>
      <w:bookmarkEnd w:id="1943"/>
      <w:bookmarkEnd w:id="1944"/>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320"/>
        <w:gridCol w:w="1838"/>
        <w:gridCol w:w="1421"/>
        <w:gridCol w:w="20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30,443,122.29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30,443,122.29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国际级软件名城创建项目区级补助资金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983,049.45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983,049.45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949,900.00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949,900.00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296,853.87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296,853.87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基于电子健康档案的智能社区医疗服务系统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基于有源射频识别技术</w:t>
            </w:r>
            <w:r>
              <w:rPr>
                <w:color w:val="000000"/>
                <w:spacing w:val="0"/>
                <w:w w:val="100"/>
                <w:position w:val="0"/>
              </w:rPr>
              <w:t>(</w:t>
            </w:r>
            <w:r>
              <w:rPr>
                <w:rFonts w:ascii="Times New Roman" w:eastAsia="Times New Roman" w:hAnsi="Times New Roman" w:cs="Times New Roman"/>
                <w:color w:val="000000"/>
                <w:spacing w:val="0"/>
                <w:w w:val="100"/>
                <w:position w:val="0"/>
              </w:rPr>
              <w:t>RFID</w:t>
            </w:r>
            <w:r>
              <w:rPr>
                <w:color w:val="000000"/>
                <w:spacing w:val="0"/>
                <w:w w:val="100"/>
                <w:position w:val="0"/>
              </w:rPr>
              <w:t>)</w:t>
            </w:r>
            <w:r>
              <w:rPr>
                <w:color w:val="000000"/>
                <w:spacing w:val="0"/>
                <w:w w:val="100"/>
                <w:position w:val="0"/>
              </w:rPr>
              <w:t>婴儿智能防盗系统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298,800.00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创业智慧医疗软件生产基地建设工程开工奖励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创业智慧医疗软件生产基地建设工程竣工奖励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医用胶片扩产及医用隔离面罩改造项目补助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9,307.50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830,218.64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830,218.64</w:t>
            </w:r>
          </w:p>
        </w:tc>
      </w:tr>
    </w:tbl>
    <w:p>
      <w:pPr>
        <w:widowControl w:val="0"/>
        <w:spacing w:after="299" w:line="1" w:lineRule="exact"/>
      </w:pPr>
    </w:p>
    <w:p>
      <w:pPr>
        <w:pStyle w:val="Style92"/>
        <w:keepNext/>
        <w:keepLines/>
        <w:widowControl w:val="0"/>
        <w:shd w:val="clear" w:color="auto" w:fill="auto"/>
        <w:bidi w:val="0"/>
        <w:spacing w:before="0" w:after="380" w:line="240" w:lineRule="auto"/>
        <w:ind w:left="0" w:right="0" w:firstLine="0"/>
        <w:jc w:val="left"/>
      </w:pPr>
      <w:bookmarkStart w:id="1945" w:name="bookmark1945"/>
      <w:bookmarkStart w:id="1946" w:name="bookmark1946"/>
      <w:bookmarkStart w:id="1947" w:name="bookmark19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45"/>
      <w:bookmarkEnd w:id="1946"/>
      <w:bookmarkEnd w:id="1947"/>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r>
        <w:br w:type="page"/>
      </w:r>
    </w:p>
    <w:p>
      <w:pPr>
        <w:pStyle w:val="Style24"/>
        <w:keepNext/>
        <w:keepLines/>
        <w:widowControl w:val="0"/>
        <w:shd w:val="clear" w:color="auto" w:fill="auto"/>
        <w:bidi w:val="0"/>
        <w:spacing w:before="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8</w:t>
      </w:r>
      <w:bookmarkEnd w:id="1950"/>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948"/>
      <w:bookmarkEnd w:id="1949"/>
      <w:bookmarkEnd w:id="1951"/>
    </w:p>
    <w:p>
      <w:pPr>
        <w:pStyle w:val="Style19"/>
        <w:keepNext/>
        <w:keepLines/>
        <w:widowControl w:val="0"/>
        <w:shd w:val="clear" w:color="auto" w:fill="auto"/>
        <w:bidi w:val="0"/>
        <w:spacing w:before="0" w:after="36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sz w:val="24"/>
          <w:szCs w:val="24"/>
        </w:rPr>
        <w:t>八</w:t>
      </w:r>
      <w:bookmarkEnd w:id="1954"/>
      <w:r>
        <w:rPr>
          <w:color w:val="000000"/>
          <w:spacing w:val="0"/>
          <w:w w:val="100"/>
          <w:position w:val="0"/>
          <w:sz w:val="24"/>
          <w:szCs w:val="24"/>
        </w:rPr>
        <w:t>、合并范围的变更</w:t>
      </w:r>
      <w:bookmarkEnd w:id="1952"/>
      <w:bookmarkEnd w:id="1953"/>
      <w:bookmarkEnd w:id="1955"/>
    </w:p>
    <w:p>
      <w:pPr>
        <w:pStyle w:val="Style24"/>
        <w:keepNext/>
        <w:keepLines/>
        <w:widowControl w:val="0"/>
        <w:shd w:val="clear" w:color="auto" w:fill="auto"/>
        <w:bidi w:val="0"/>
        <w:spacing w:before="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1</w:t>
      </w:r>
      <w:bookmarkEnd w:id="1958"/>
      <w:r>
        <w:rPr>
          <w:color w:val="000000"/>
          <w:spacing w:val="0"/>
          <w:w w:val="100"/>
          <w:position w:val="0"/>
        </w:rPr>
        <w:t>、非同一控制下企业合并</w:t>
      </w:r>
      <w:bookmarkEnd w:id="1956"/>
      <w:bookmarkEnd w:id="1957"/>
      <w:bookmarkEnd w:id="1959"/>
    </w:p>
    <w:p>
      <w:pPr>
        <w:pStyle w:val="Style92"/>
        <w:keepNext/>
        <w:keepLines/>
        <w:widowControl w:val="0"/>
        <w:shd w:val="clear" w:color="auto" w:fill="auto"/>
        <w:bidi w:val="0"/>
        <w:spacing w:before="0" w:after="360" w:line="240" w:lineRule="auto"/>
        <w:ind w:left="0" w:right="0" w:firstLine="0"/>
        <w:jc w:val="left"/>
      </w:pPr>
      <w:bookmarkStart w:id="1960" w:name="bookmark1960"/>
      <w:bookmarkStart w:id="1961" w:name="bookmark1961"/>
      <w:bookmarkStart w:id="1962" w:name="bookmark19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60"/>
      <w:bookmarkEnd w:id="1961"/>
      <w:bookmarkEnd w:id="1962"/>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股权取得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嘉兴市博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雅达医药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6,540,000.</w:t>
            </w:r>
          </w:p>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取得实际 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20,602,240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-55,555.82</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15"/>
        <w:keepNext w:val="0"/>
        <w:keepLines w:val="0"/>
        <w:widowControl w:val="0"/>
        <w:shd w:val="clear" w:color="auto" w:fill="auto"/>
        <w:bidi w:val="0"/>
        <w:spacing w:before="0" w:after="360" w:line="310" w:lineRule="exact"/>
        <w:ind w:left="0" w:right="0" w:firstLine="440"/>
        <w:jc w:val="left"/>
      </w:pPr>
      <w:r>
        <w:rPr>
          <w:color w:val="000000"/>
          <w:spacing w:val="0"/>
          <w:w w:val="100"/>
          <w:position w:val="0"/>
        </w:rPr>
        <w:t>根据本公司之控股子公司杭州慧康互联科技有限公司（以下简称慧康互联）与嘉兴四之堂健康产业有限公司（以下简 称嘉兴四之堂）、张卓永于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月签署的《关于嘉兴市博雅达医药有限公司股权转让协议》</w:t>
      </w:r>
      <w:r>
        <w:rPr>
          <w:color w:val="000000"/>
          <w:spacing w:val="0"/>
          <w:w w:val="100"/>
          <w:position w:val="0"/>
          <w:sz w:val="18"/>
          <w:szCs w:val="18"/>
        </w:rPr>
        <w:t>，</w:t>
      </w:r>
      <w:r>
        <w:rPr>
          <w:color w:val="000000"/>
          <w:spacing w:val="0"/>
          <w:w w:val="100"/>
          <w:position w:val="0"/>
        </w:rPr>
        <w:t>慧康互联以</w:t>
      </w:r>
      <w:r>
        <w:rPr>
          <w:color w:val="000000"/>
          <w:spacing w:val="0"/>
          <w:w w:val="100"/>
          <w:position w:val="0"/>
          <w:sz w:val="18"/>
          <w:szCs w:val="18"/>
        </w:rPr>
        <w:t xml:space="preserve">6, 540,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元的价格受让嘉兴四之堂和张卓永持有的嘉兴博雅达合计</w:t>
      </w:r>
      <w:r>
        <w:rPr>
          <w:color w:val="000000"/>
          <w:spacing w:val="0"/>
          <w:w w:val="100"/>
          <w:position w:val="0"/>
          <w:sz w:val="18"/>
          <w:szCs w:val="18"/>
        </w:rPr>
        <w:t xml:space="preserve">51. </w:t>
      </w:r>
      <w:r>
        <w:rPr>
          <w:color w:val="000000"/>
          <w:spacing w:val="0"/>
          <w:w w:val="100"/>
          <w:position w:val="0"/>
          <w:sz w:val="18"/>
          <w:szCs w:val="18"/>
        </w:rPr>
        <w:t>00%</w:t>
      </w:r>
      <w:r>
        <w:rPr>
          <w:color w:val="000000"/>
          <w:spacing w:val="0"/>
          <w:w w:val="100"/>
          <w:position w:val="0"/>
        </w:rPr>
        <w:t>的股权。截至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日，慧康互联已支付大部分股权 转让款</w:t>
      </w:r>
      <w:r>
        <w:rPr>
          <w:color w:val="000000"/>
          <w:spacing w:val="0"/>
          <w:w w:val="100"/>
          <w:position w:val="0"/>
          <w:sz w:val="18"/>
          <w:szCs w:val="18"/>
        </w:rPr>
        <w:t xml:space="preserve">3, 273, </w:t>
      </w:r>
      <w:r>
        <w:rPr>
          <w:color w:val="000000"/>
          <w:spacing w:val="0"/>
          <w:w w:val="100"/>
          <w:position w:val="0"/>
          <w:sz w:val="18"/>
          <w:szCs w:val="18"/>
        </w:rPr>
        <w:t xml:space="preserve">700. </w:t>
      </w:r>
      <w:r>
        <w:rPr>
          <w:color w:val="000000"/>
          <w:spacing w:val="0"/>
          <w:w w:val="100"/>
          <w:position w:val="0"/>
          <w:sz w:val="18"/>
          <w:szCs w:val="18"/>
        </w:rPr>
        <w:t>00</w:t>
      </w:r>
      <w:r>
        <w:rPr>
          <w:color w:val="000000"/>
          <w:spacing w:val="0"/>
          <w:w w:val="100"/>
          <w:position w:val="0"/>
        </w:rPr>
        <w:t>元（剩余股权转让款</w:t>
      </w:r>
      <w:r>
        <w:rPr>
          <w:color w:val="000000"/>
          <w:spacing w:val="0"/>
          <w:w w:val="100"/>
          <w:position w:val="0"/>
          <w:sz w:val="18"/>
          <w:szCs w:val="18"/>
        </w:rPr>
        <w:t>3,266,300.00</w:t>
      </w:r>
      <w:r>
        <w:rPr>
          <w:color w:val="000000"/>
          <w:spacing w:val="0"/>
          <w:w w:val="100"/>
          <w:position w:val="0"/>
        </w:rPr>
        <w:t>元）并已办妥股权转让相关工商变更手续，实质控制了嘉兴博雅达， 故自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日起，公司将其纳入合并财务报表范围。</w:t>
      </w:r>
    </w:p>
    <w:p>
      <w:pPr>
        <w:pStyle w:val="Style92"/>
        <w:keepNext/>
        <w:keepLines/>
        <w:widowControl w:val="0"/>
        <w:shd w:val="clear" w:color="auto" w:fill="auto"/>
        <w:bidi w:val="0"/>
        <w:spacing w:before="0" w:after="360" w:line="240" w:lineRule="auto"/>
        <w:ind w:left="0" w:right="0" w:firstLine="0"/>
        <w:jc w:val="left"/>
      </w:pPr>
      <w:bookmarkStart w:id="1963" w:name="bookmark1963"/>
      <w:bookmarkStart w:id="1964" w:name="bookmark1964"/>
      <w:bookmarkStart w:id="1965" w:name="bookmark19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63"/>
      <w:bookmarkEnd w:id="1964"/>
      <w:bookmarkEnd w:id="196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嘉兴市博雅达医药有限公司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6,540,000.00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6,540,000.00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6,540,000.00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大额商誉形成的主要原因：</w:t>
      </w:r>
      <w:r>
        <w:br w:type="page"/>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92"/>
        <w:keepNext/>
        <w:keepLines/>
        <w:widowControl w:val="0"/>
        <w:numPr>
          <w:ilvl w:val="0"/>
          <w:numId w:val="45"/>
        </w:numPr>
        <w:shd w:val="clear" w:color="auto" w:fill="auto"/>
        <w:bidi w:val="0"/>
        <w:spacing w:before="0" w:after="360" w:line="240" w:lineRule="auto"/>
        <w:ind w:left="0" w:right="0" w:firstLine="0"/>
        <w:jc w:val="left"/>
      </w:pPr>
      <w:bookmarkStart w:id="1966" w:name="bookmark1966"/>
      <w:bookmarkStart w:id="1967" w:name="bookmark1967"/>
      <w:bookmarkStart w:id="1968" w:name="bookmark1968"/>
      <w:bookmarkStart w:id="1969" w:name="bookmark1969"/>
      <w:bookmarkEnd w:id="1968"/>
      <w:r>
        <w:rPr>
          <w:color w:val="000000"/>
          <w:spacing w:val="0"/>
          <w:w w:val="100"/>
          <w:position w:val="0"/>
        </w:rPr>
        <w:t>被购买方于购买日可辨认资产、负债</w:t>
      </w:r>
      <w:bookmarkEnd w:id="1966"/>
      <w:bookmarkEnd w:id="1967"/>
      <w:bookmarkEnd w:id="196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嘉兴市博雅达医药有限公司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6,584,073.20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6,584,073.20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14,205,288.77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14,205,288.77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6,926,574.29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4,996,764.31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6,098,318.90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6,098,318.90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14,096,655.43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14,096,655.43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92,421.18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156,872.96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156,872.96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8,634,960.31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8,634,960.31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12,823,529.41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10,893,719.43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6,283,529.41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5,337,922.52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6,540,000.00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5,555,796.91</w:t>
            </w:r>
          </w:p>
        </w:tc>
      </w:tr>
    </w:tbl>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可辨认资产、负债公允价值的确定方法：</w:t>
      </w:r>
    </w:p>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企业合并中承担的被购买方的或有负债：</w:t>
      </w:r>
    </w:p>
    <w:p>
      <w:pPr>
        <w:pStyle w:val="Style1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92"/>
        <w:keepNext/>
        <w:keepLines/>
        <w:widowControl w:val="0"/>
        <w:numPr>
          <w:ilvl w:val="0"/>
          <w:numId w:val="45"/>
        </w:numPr>
        <w:shd w:val="clear" w:color="auto" w:fill="auto"/>
        <w:bidi w:val="0"/>
        <w:spacing w:before="0" w:after="240" w:line="240" w:lineRule="auto"/>
        <w:ind w:left="0" w:right="0" w:firstLine="0"/>
        <w:jc w:val="left"/>
      </w:pPr>
      <w:bookmarkStart w:id="1970" w:name="bookmark1970"/>
      <w:bookmarkStart w:id="1971" w:name="bookmark1971"/>
      <w:bookmarkStart w:id="1972" w:name="bookmark1972"/>
      <w:bookmarkStart w:id="1973" w:name="bookmark1973"/>
      <w:bookmarkEnd w:id="1972"/>
      <w:r>
        <w:rPr>
          <w:color w:val="000000"/>
          <w:spacing w:val="0"/>
          <w:w w:val="100"/>
          <w:position w:val="0"/>
        </w:rPr>
        <w:t>购买日之前持有的股权按照公允价值重新计量产生的利得或损失</w:t>
      </w:r>
      <w:bookmarkEnd w:id="1970"/>
      <w:bookmarkEnd w:id="1971"/>
      <w:bookmarkEnd w:id="1973"/>
    </w:p>
    <w:p>
      <w:pPr>
        <w:pStyle w:val="Style1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是否存在通过多次交易分步实现企业合并且在报告期内取得控制权的交易 口是"否</w:t>
      </w:r>
    </w:p>
    <w:p>
      <w:pPr>
        <w:pStyle w:val="Style92"/>
        <w:keepNext/>
        <w:keepLines/>
        <w:widowControl w:val="0"/>
        <w:shd w:val="clear" w:color="auto" w:fill="auto"/>
        <w:tabs>
          <w:tab w:pos="493" w:val="left"/>
        </w:tabs>
        <w:bidi w:val="0"/>
        <w:spacing w:before="0" w:after="36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74"/>
      <w:bookmarkEnd w:id="1975"/>
      <w:bookmarkEnd w:id="1977"/>
    </w:p>
    <w:p>
      <w:pPr>
        <w:pStyle w:val="Style92"/>
        <w:keepNext/>
        <w:keepLines/>
        <w:widowControl w:val="0"/>
        <w:shd w:val="clear" w:color="auto" w:fill="auto"/>
        <w:tabs>
          <w:tab w:pos="493" w:val="left"/>
        </w:tabs>
        <w:bidi w:val="0"/>
        <w:spacing w:before="0" w:after="36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78"/>
      <w:bookmarkEnd w:id="1979"/>
      <w:bookmarkEnd w:id="1981"/>
    </w:p>
    <w:p>
      <w:pPr>
        <w:pStyle w:val="Style24"/>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2</w:t>
      </w:r>
      <w:bookmarkEnd w:id="1984"/>
      <w:r>
        <w:rPr>
          <w:color w:val="000000"/>
          <w:spacing w:val="0"/>
          <w:w w:val="100"/>
          <w:position w:val="0"/>
        </w:rPr>
        <w:t>、同一控制下企业合并</w:t>
      </w:r>
      <w:bookmarkEnd w:id="1982"/>
      <w:bookmarkEnd w:id="1983"/>
      <w:bookmarkEnd w:id="1985"/>
    </w:p>
    <w:p>
      <w:pPr>
        <w:pStyle w:val="Style92"/>
        <w:keepNext/>
        <w:keepLines/>
        <w:widowControl w:val="0"/>
        <w:shd w:val="clear" w:color="auto" w:fill="auto"/>
        <w:bidi w:val="0"/>
        <w:spacing w:before="0" w:after="360" w:line="240" w:lineRule="auto"/>
        <w:ind w:left="0" w:right="0" w:firstLine="0"/>
        <w:jc w:val="left"/>
      </w:pPr>
      <w:bookmarkStart w:id="1986" w:name="bookmark1986"/>
      <w:bookmarkStart w:id="1987" w:name="bookmark1987"/>
      <w:bookmarkStart w:id="1988" w:name="bookmark19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86"/>
      <w:bookmarkEnd w:id="1987"/>
      <w:bookmarkEnd w:id="1988"/>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构成同一</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控制下企</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业合并的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合并当期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合并当期</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期初至合</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并日被合 并方的净 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比较期间</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被合并方</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92"/>
        <w:keepNext/>
        <w:keepLines/>
        <w:widowControl w:val="0"/>
        <w:shd w:val="clear" w:color="auto" w:fill="auto"/>
        <w:bidi w:val="0"/>
        <w:spacing w:before="0" w:after="360" w:line="240" w:lineRule="auto"/>
        <w:ind w:left="0" w:right="0" w:firstLine="0"/>
        <w:jc w:val="left"/>
      </w:pPr>
      <w:bookmarkStart w:id="1989" w:name="bookmark1989"/>
      <w:bookmarkStart w:id="1990" w:name="bookmark1990"/>
      <w:bookmarkStart w:id="1991" w:name="bookmark19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89"/>
      <w:bookmarkEnd w:id="1990"/>
      <w:bookmarkEnd w:id="199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92"/>
        <w:keepNext/>
        <w:keepLines/>
        <w:widowControl w:val="0"/>
        <w:shd w:val="clear" w:color="auto" w:fill="auto"/>
        <w:bidi w:val="0"/>
        <w:spacing w:before="0" w:after="36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92"/>
      <w:bookmarkEnd w:id="1993"/>
      <w:bookmarkEnd w:id="199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40" w:line="317" w:lineRule="exact"/>
        <w:ind w:left="0" w:right="0" w:firstLine="0"/>
        <w:jc w:val="left"/>
      </w:pPr>
      <w:r>
        <w:rPr>
          <w:color w:val="000000"/>
          <w:spacing w:val="0"/>
          <w:w w:val="100"/>
          <w:position w:val="0"/>
        </w:rPr>
        <w:t>企业合并中承担的被合并方的或有负债：</w:t>
      </w:r>
    </w:p>
    <w:p>
      <w:pPr>
        <w:pStyle w:val="Style1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4"/>
        <w:keepNext/>
        <w:keepLines/>
        <w:widowControl w:val="0"/>
        <w:shd w:val="clear" w:color="auto" w:fill="auto"/>
        <w:tabs>
          <w:tab w:pos="378" w:val="left"/>
        </w:tabs>
        <w:bidi w:val="0"/>
        <w:spacing w:before="0" w:after="260" w:line="240" w:lineRule="auto"/>
        <w:ind w:left="0" w:right="0" w:firstLine="0"/>
        <w:jc w:val="left"/>
      </w:pPr>
      <w:bookmarkStart w:id="1996" w:name="bookmark1996"/>
      <w:bookmarkStart w:id="1997" w:name="bookmark1997"/>
      <w:bookmarkStart w:id="1998" w:name="bookmark1998"/>
      <w:bookmarkStart w:id="1999" w:name="bookmark1999"/>
      <w:r>
        <w:rPr>
          <w:rFonts w:ascii="Times New Roman" w:eastAsia="Times New Roman" w:hAnsi="Times New Roman" w:cs="Times New Roman"/>
          <w:color w:val="000000"/>
          <w:spacing w:val="0"/>
          <w:w w:val="100"/>
          <w:position w:val="0"/>
        </w:rPr>
        <w:t>3</w:t>
      </w:r>
      <w:bookmarkEnd w:id="1998"/>
      <w:r>
        <w:rPr>
          <w:color w:val="000000"/>
          <w:spacing w:val="0"/>
          <w:w w:val="100"/>
          <w:position w:val="0"/>
        </w:rPr>
        <w:t>、</w:t>
        <w:tab/>
        <w:t>反向购买</w:t>
      </w:r>
      <w:bookmarkEnd w:id="1996"/>
      <w:bookmarkEnd w:id="1997"/>
      <w:bookmarkEnd w:id="1999"/>
    </w:p>
    <w:p>
      <w:pPr>
        <w:pStyle w:val="Style1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4"/>
        <w:keepNext/>
        <w:keepLines/>
        <w:widowControl w:val="0"/>
        <w:shd w:val="clear" w:color="auto" w:fill="auto"/>
        <w:tabs>
          <w:tab w:pos="378" w:val="left"/>
        </w:tabs>
        <w:bidi w:val="0"/>
        <w:spacing w:before="0" w:after="260" w:line="240" w:lineRule="auto"/>
        <w:ind w:left="0" w:right="0" w:firstLine="0"/>
        <w:jc w:val="left"/>
      </w:pPr>
      <w:bookmarkStart w:id="2000" w:name="bookmark2000"/>
      <w:bookmarkStart w:id="2001" w:name="bookmark2001"/>
      <w:bookmarkStart w:id="2002" w:name="bookmark2002"/>
      <w:bookmarkStart w:id="2003" w:name="bookmark2003"/>
      <w:r>
        <w:rPr>
          <w:rFonts w:ascii="Times New Roman" w:eastAsia="Times New Roman" w:hAnsi="Times New Roman" w:cs="Times New Roman"/>
          <w:color w:val="000000"/>
          <w:spacing w:val="0"/>
          <w:w w:val="100"/>
          <w:position w:val="0"/>
        </w:rPr>
        <w:t>4</w:t>
      </w:r>
      <w:bookmarkEnd w:id="2002"/>
      <w:r>
        <w:rPr>
          <w:color w:val="000000"/>
          <w:spacing w:val="0"/>
          <w:w w:val="100"/>
          <w:position w:val="0"/>
        </w:rPr>
        <w:t>、</w:t>
        <w:tab/>
        <w:t>处置子公司</w:t>
      </w:r>
      <w:bookmarkEnd w:id="2000"/>
      <w:bookmarkEnd w:id="2001"/>
      <w:bookmarkEnd w:id="2003"/>
    </w:p>
    <w:p>
      <w:pPr>
        <w:pStyle w:val="Style15"/>
        <w:keepNext w:val="0"/>
        <w:keepLines w:val="0"/>
        <w:widowControl w:val="0"/>
        <w:shd w:val="clear" w:color="auto" w:fill="auto"/>
        <w:bidi w:val="0"/>
        <w:spacing w:before="0" w:after="40" w:line="317" w:lineRule="exact"/>
        <w:ind w:left="0" w:right="0" w:firstLine="0"/>
        <w:jc w:val="left"/>
      </w:pPr>
      <w:r>
        <w:rPr>
          <w:color w:val="000000"/>
          <w:spacing w:val="0"/>
          <w:w w:val="100"/>
          <w:position w:val="0"/>
        </w:rPr>
        <w:t>是否存在单次处置对子公司投资即丧失控制权的情形</w:t>
      </w:r>
    </w:p>
    <w:p>
      <w:pPr>
        <w:pStyle w:val="Style1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262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丧失</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丧失</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控制</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60" w:right="0" w:firstLine="20"/>
              <w:jc w:val="both"/>
            </w:pPr>
            <w:r>
              <w:rPr>
                <w:color w:val="000000"/>
                <w:spacing w:val="0"/>
                <w:w w:val="100"/>
                <w:position w:val="0"/>
              </w:rPr>
              <w:t>处置 价款 与处 置投 资对 应的 合并 财务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丧失</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控制</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160" w:right="0" w:firstLine="20"/>
              <w:jc w:val="both"/>
            </w:pPr>
            <w:r>
              <w:rPr>
                <w:color w:val="000000"/>
                <w:spacing w:val="0"/>
                <w:w w:val="100"/>
                <w:position w:val="0"/>
              </w:rPr>
              <w:t>丧失 控制 权之 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180" w:right="0" w:firstLine="0"/>
              <w:jc w:val="both"/>
            </w:pPr>
            <w:r>
              <w:rPr>
                <w:color w:val="000000"/>
                <w:spacing w:val="0"/>
                <w:w w:val="100"/>
                <w:position w:val="0"/>
              </w:rPr>
              <w:t>丧失 控制 权之 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6" w:lineRule="exact"/>
              <w:ind w:left="160" w:right="0" w:firstLine="20"/>
              <w:jc w:val="both"/>
            </w:pPr>
            <w:r>
              <w:rPr>
                <w:color w:val="000000"/>
                <w:spacing w:val="0"/>
                <w:w w:val="100"/>
                <w:position w:val="0"/>
              </w:rPr>
              <w:t>按照 公允 价值 重新 计量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权之 日剩 余股 权公</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与原 子公 司股 权投 资相 关的 其他</w:t>
            </w:r>
          </w:p>
        </w:tc>
      </w:tr>
      <w:tr>
        <w:trPr>
          <w:trHeight w:val="31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司名</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权的</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点的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日剩</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60" w:right="0" w:firstLine="20"/>
              <w:jc w:val="both"/>
            </w:pPr>
            <w:r>
              <w:rPr>
                <w:color w:val="000000"/>
                <w:spacing w:val="0"/>
                <w:w w:val="100"/>
                <w:position w:val="0"/>
              </w:rPr>
              <w:t>余股</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允价</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r>
      <w:tr>
        <w:trPr>
          <w:trHeight w:val="941"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价款</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180"/>
              <w:jc w:val="left"/>
            </w:pPr>
            <w:r>
              <w:rPr>
                <w:color w:val="000000"/>
                <w:spacing w:val="0"/>
                <w:w w:val="100"/>
                <w:position w:val="0"/>
              </w:rPr>
              <w:t>时点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确定</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依据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层面</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享有</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该子</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余股 权的 比例</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60" w:right="0" w:firstLine="20"/>
              <w:jc w:val="both"/>
            </w:pPr>
            <w:r>
              <w:rPr>
                <w:color w:val="000000"/>
                <w:spacing w:val="0"/>
                <w:w w:val="100"/>
                <w:position w:val="0"/>
              </w:rPr>
              <w:t>权的</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账面</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价值</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权的</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公允</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价值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的利</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值的</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确定</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方法</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收益</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转入</w:t>
            </w:r>
          </w:p>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投资</w:t>
            </w:r>
          </w:p>
        </w:tc>
      </w:tr>
      <w:tr>
        <w:trPr>
          <w:trHeight w:val="23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得或</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及主</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要假</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损益</w:t>
            </w:r>
          </w:p>
        </w:tc>
      </w:tr>
      <w:tr>
        <w:trPr>
          <w:trHeight w:val="24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的金</w:t>
            </w: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设</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27,733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梅清</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司办</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,764.4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,333.3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639.98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568.86</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理了</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317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相应 的财 产权 交接 手续， 丧失 对其 的实 质控 制权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根据公司与杭州营润股权投资合伙企业（有限合伙）（以下简称营润投资）签订的《关于杭州梅清数码科技有限公司股 权投资协议》，公司将持有梅清数码</w:t>
      </w:r>
      <w:r>
        <w:rPr>
          <w:rFonts w:ascii="Times New Roman" w:eastAsia="Times New Roman" w:hAnsi="Times New Roman" w:cs="Times New Roman"/>
          <w:color w:val="000000"/>
          <w:spacing w:val="0"/>
          <w:w w:val="100"/>
          <w:position w:val="0"/>
        </w:rPr>
        <w:t>27%</w:t>
      </w:r>
      <w:r>
        <w:rPr>
          <w:color w:val="000000"/>
          <w:spacing w:val="0"/>
          <w:w w:val="100"/>
          <w:position w:val="0"/>
        </w:rPr>
        <w:t>的股权以</w:t>
      </w:r>
      <w:r>
        <w:rPr>
          <w:rFonts w:ascii="Times New Roman" w:eastAsia="Times New Roman" w:hAnsi="Times New Roman" w:cs="Times New Roman"/>
          <w:color w:val="000000"/>
          <w:spacing w:val="0"/>
          <w:w w:val="100"/>
          <w:position w:val="0"/>
        </w:rPr>
        <w:t>3,120.00</w:t>
      </w:r>
      <w:r>
        <w:rPr>
          <w:color w:val="000000"/>
          <w:spacing w:val="0"/>
          <w:w w:val="100"/>
          <w:position w:val="0"/>
        </w:rPr>
        <w:t>万元的价格转让给营润投资。股权转让后，公司持有梅清数码</w:t>
      </w:r>
      <w:r>
        <w:rPr>
          <w:rFonts w:ascii="Times New Roman" w:eastAsia="Times New Roman" w:hAnsi="Times New Roman" w:cs="Times New Roman"/>
          <w:color w:val="000000"/>
          <w:spacing w:val="0"/>
          <w:w w:val="100"/>
          <w:position w:val="0"/>
        </w:rPr>
        <w:t xml:space="preserve">24% </w:t>
      </w:r>
      <w:r>
        <w:rPr>
          <w:color w:val="000000"/>
          <w:spacing w:val="0"/>
          <w:w w:val="100"/>
          <w:position w:val="0"/>
        </w:rPr>
        <w:t>的股权。截至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日，公司已收取全部股权转让款并办妥相应的财产权交接手续，丧失对其的实质控制权，自此， 本公司不再控制梅清数码，梅清数码变更为本公司联营企业。</w:t>
      </w:r>
    </w:p>
    <w:p>
      <w:pPr>
        <w:pStyle w:val="Style15"/>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是否存在通过多次交易分步处置对子公司投资且在本期丧失控制权的情形</w:t>
      </w:r>
    </w:p>
    <w:p>
      <w:pPr>
        <w:pStyle w:val="Style15"/>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口是"否</w:t>
      </w:r>
    </w:p>
    <w:p>
      <w:pPr>
        <w:pStyle w:val="Style24"/>
        <w:keepNext/>
        <w:keepLines/>
        <w:widowControl w:val="0"/>
        <w:shd w:val="clear" w:color="auto" w:fill="auto"/>
        <w:bidi w:val="0"/>
        <w:spacing w:before="0" w:after="320" w:line="240" w:lineRule="auto"/>
        <w:ind w:left="0" w:right="0" w:firstLine="0"/>
        <w:jc w:val="both"/>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5</w:t>
      </w:r>
      <w:bookmarkEnd w:id="2006"/>
      <w:r>
        <w:rPr>
          <w:color w:val="000000"/>
          <w:spacing w:val="0"/>
          <w:w w:val="100"/>
          <w:position w:val="0"/>
        </w:rPr>
        <w:t>、其他原因的合并范围变动</w:t>
      </w:r>
      <w:bookmarkEnd w:id="2004"/>
      <w:bookmarkEnd w:id="2005"/>
      <w:bookmarkEnd w:id="2007"/>
    </w:p>
    <w:p>
      <w:pPr>
        <w:pStyle w:val="Style15"/>
        <w:keepNext w:val="0"/>
        <w:keepLines w:val="0"/>
        <w:widowControl w:val="0"/>
        <w:shd w:val="clear" w:color="auto" w:fill="auto"/>
        <w:bidi w:val="0"/>
        <w:spacing w:before="0" w:after="160" w:line="312" w:lineRule="exact"/>
        <w:ind w:left="0" w:right="0" w:firstLine="0"/>
        <w:jc w:val="both"/>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bidi w:val="0"/>
        <w:spacing w:before="0" w:after="0" w:line="312" w:lineRule="exact"/>
        <w:ind w:left="0" w:right="0" w:firstLine="0"/>
        <w:jc w:val="left"/>
      </w:pPr>
      <w:r>
        <w:rPr>
          <w:b w:val="0"/>
          <w:bCs w:val="0"/>
          <w:color w:val="000000"/>
          <w:spacing w:val="0"/>
          <w:w w:val="100"/>
          <w:position w:val="0"/>
        </w:rPr>
        <w:t>合并范围增加</w:t>
      </w:r>
    </w:p>
    <w:tbl>
      <w:tblPr>
        <w:tblOverlap w:val="never"/>
        <w:jc w:val="center"/>
        <w:tblLayout w:type="fixed"/>
      </w:tblPr>
      <w:tblGrid>
        <w:gridCol w:w="2381"/>
        <w:gridCol w:w="1238"/>
        <w:gridCol w:w="2098"/>
        <w:gridCol w:w="1104"/>
        <w:gridCol w:w="171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天津青创慧康科技有限公司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出资设立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尚未出资</w:t>
            </w:r>
          </w:p>
        </w:tc>
      </w:tr>
    </w:tbl>
    <w:p>
      <w:pPr>
        <w:widowControl w:val="0"/>
        <w:spacing w:after="619" w:line="1" w:lineRule="exact"/>
      </w:pPr>
    </w:p>
    <w:p>
      <w:pPr>
        <w:pStyle w:val="Style24"/>
        <w:keepNext/>
        <w:keepLines/>
        <w:widowControl w:val="0"/>
        <w:shd w:val="clear" w:color="auto" w:fill="auto"/>
        <w:bidi w:val="0"/>
        <w:spacing w:before="0" w:after="320" w:line="240" w:lineRule="auto"/>
        <w:ind w:left="0" w:right="0" w:firstLine="0"/>
        <w:jc w:val="both"/>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6</w:t>
      </w:r>
      <w:bookmarkEnd w:id="2010"/>
      <w:r>
        <w:rPr>
          <w:color w:val="000000"/>
          <w:spacing w:val="0"/>
          <w:w w:val="100"/>
          <w:position w:val="0"/>
        </w:rPr>
        <w:t>、其他</w:t>
      </w:r>
      <w:bookmarkEnd w:id="2008"/>
      <w:bookmarkEnd w:id="2009"/>
      <w:bookmarkEnd w:id="2011"/>
    </w:p>
    <w:p>
      <w:pPr>
        <w:pStyle w:val="Style19"/>
        <w:keepNext/>
        <w:keepLines/>
        <w:widowControl w:val="0"/>
        <w:shd w:val="clear" w:color="auto" w:fill="auto"/>
        <w:bidi w:val="0"/>
        <w:spacing w:before="0" w:after="320" w:line="240" w:lineRule="auto"/>
        <w:ind w:left="0" w:right="0" w:firstLine="0"/>
        <w:jc w:val="both"/>
      </w:pPr>
      <w:bookmarkStart w:id="2012" w:name="bookmark2012"/>
      <w:bookmarkStart w:id="2013" w:name="bookmark2013"/>
      <w:bookmarkStart w:id="2014" w:name="bookmark2014"/>
      <w:bookmarkStart w:id="2015" w:name="bookmark2015"/>
      <w:r>
        <w:rPr>
          <w:color w:val="000000"/>
          <w:spacing w:val="0"/>
          <w:w w:val="100"/>
          <w:position w:val="0"/>
          <w:sz w:val="24"/>
          <w:szCs w:val="24"/>
        </w:rPr>
        <w:t>九</w:t>
      </w:r>
      <w:bookmarkEnd w:id="2014"/>
      <w:r>
        <w:rPr>
          <w:color w:val="000000"/>
          <w:spacing w:val="0"/>
          <w:w w:val="100"/>
          <w:position w:val="0"/>
          <w:sz w:val="24"/>
          <w:szCs w:val="24"/>
        </w:rPr>
        <w:t>、在其他主体中的权益</w:t>
      </w:r>
      <w:bookmarkEnd w:id="2012"/>
      <w:bookmarkEnd w:id="2013"/>
      <w:bookmarkEnd w:id="2015"/>
    </w:p>
    <w:p>
      <w:pPr>
        <w:pStyle w:val="Style24"/>
        <w:keepNext/>
        <w:keepLines/>
        <w:widowControl w:val="0"/>
        <w:shd w:val="clear" w:color="auto" w:fill="auto"/>
        <w:bidi w:val="0"/>
        <w:spacing w:before="0" w:after="320" w:line="240" w:lineRule="auto"/>
        <w:ind w:left="0" w:right="0" w:firstLine="0"/>
        <w:jc w:val="both"/>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1</w:t>
      </w:r>
      <w:bookmarkEnd w:id="2018"/>
      <w:r>
        <w:rPr>
          <w:color w:val="000000"/>
          <w:spacing w:val="0"/>
          <w:w w:val="100"/>
          <w:position w:val="0"/>
        </w:rPr>
        <w:t>、在子公司中的权益</w:t>
      </w:r>
      <w:bookmarkEnd w:id="2016"/>
      <w:bookmarkEnd w:id="2017"/>
      <w:bookmarkEnd w:id="2019"/>
    </w:p>
    <w:p>
      <w:pPr>
        <w:pStyle w:val="Style92"/>
        <w:keepNext/>
        <w:keepLines/>
        <w:widowControl w:val="0"/>
        <w:shd w:val="clear" w:color="auto" w:fill="auto"/>
        <w:bidi w:val="0"/>
        <w:spacing w:before="0" w:after="320" w:line="240" w:lineRule="auto"/>
        <w:ind w:left="0" w:right="0" w:firstLine="0"/>
        <w:jc w:val="both"/>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20"/>
      <w:bookmarkEnd w:id="2021"/>
      <w:bookmarkEnd w:id="2022"/>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苏州创业亿康</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上海创航软件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创业软件南京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新疆创什信息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重庆创易康软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天津创津科技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中山市杭创科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宁海杭创网络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杭州合美物业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浙江医康数据</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科技研究院有</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广州粤湾慧康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自贡市杭创科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杭州慧心健康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海南省汇亿互</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联网医疗科技</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澄迈县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杭州慧康互联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天津青创慧康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杭州联旗科技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杭州惟勤科技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广东中拓信息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中山市蓝天电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杭州慧康物联 网科技有限公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杭州卓腾信息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杭州美诺泰科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浙江百利医药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医药批发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北京童康医疗</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非同一控制下 企业合并</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92"/>
        <w:keepNext/>
        <w:keepLines/>
        <w:widowControl w:val="0"/>
        <w:shd w:val="clear" w:color="auto" w:fill="auto"/>
        <w:bidi w:val="0"/>
        <w:spacing w:before="0" w:after="380" w:line="240" w:lineRule="auto"/>
        <w:ind w:left="0" w:right="0" w:firstLine="0"/>
        <w:jc w:val="left"/>
      </w:pPr>
      <w:bookmarkStart w:id="2023" w:name="bookmark2023"/>
      <w:bookmarkStart w:id="2024" w:name="bookmark2024"/>
      <w:bookmarkStart w:id="2025" w:name="bookmark20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023"/>
      <w:bookmarkEnd w:id="2024"/>
      <w:bookmarkEnd w:id="202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92"/>
        <w:keepNext/>
        <w:keepLines/>
        <w:widowControl w:val="0"/>
        <w:shd w:val="clear" w:color="auto" w:fill="auto"/>
        <w:bidi w:val="0"/>
        <w:spacing w:before="0" w:after="380" w:line="240" w:lineRule="auto"/>
        <w:ind w:left="0" w:right="0" w:firstLine="0"/>
        <w:jc w:val="left"/>
      </w:pPr>
      <w:bookmarkStart w:id="2026" w:name="bookmark2026"/>
      <w:bookmarkStart w:id="2027" w:name="bookmark2027"/>
      <w:bookmarkStart w:id="2028" w:name="bookmark2028"/>
      <w:bookmarkStart w:id="2029" w:name="bookmark2029"/>
      <w:r>
        <w:rPr>
          <w:color w:val="000000"/>
          <w:spacing w:val="0"/>
          <w:w w:val="100"/>
          <w:position w:val="0"/>
        </w:rPr>
        <w:t>（</w:t>
      </w:r>
      <w:bookmarkEnd w:id="202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026"/>
      <w:bookmarkEnd w:id="2027"/>
      <w:bookmarkEnd w:id="202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92"/>
        <w:keepNext/>
        <w:keepLines/>
        <w:widowControl w:val="0"/>
        <w:shd w:val="clear" w:color="auto" w:fill="auto"/>
        <w:tabs>
          <w:tab w:pos="493" w:val="left"/>
        </w:tabs>
        <w:bidi w:val="0"/>
        <w:spacing w:before="0" w:after="340" w:line="240" w:lineRule="auto"/>
        <w:ind w:left="0" w:right="0" w:firstLine="0"/>
        <w:jc w:val="left"/>
      </w:pPr>
      <w:bookmarkStart w:id="2030" w:name="bookmark2030"/>
      <w:bookmarkStart w:id="2031" w:name="bookmark2031"/>
      <w:bookmarkStart w:id="2032" w:name="bookmark2032"/>
      <w:bookmarkStart w:id="2033" w:name="bookmark2033"/>
      <w:r>
        <w:rPr>
          <w:color w:val="000000"/>
          <w:spacing w:val="0"/>
          <w:w w:val="100"/>
          <w:position w:val="0"/>
        </w:rPr>
        <w:t>（</w:t>
      </w:r>
      <w:bookmarkEnd w:id="203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030"/>
      <w:bookmarkEnd w:id="2031"/>
      <w:bookmarkEnd w:id="2033"/>
    </w:p>
    <w:p>
      <w:pPr>
        <w:pStyle w:val="Style92"/>
        <w:keepNext/>
        <w:keepLines/>
        <w:widowControl w:val="0"/>
        <w:shd w:val="clear" w:color="auto" w:fill="auto"/>
        <w:tabs>
          <w:tab w:pos="493" w:val="left"/>
        </w:tabs>
        <w:bidi w:val="0"/>
        <w:spacing w:before="0" w:after="340" w:line="240" w:lineRule="auto"/>
        <w:ind w:left="0" w:right="0" w:firstLine="0"/>
        <w:jc w:val="left"/>
      </w:pPr>
      <w:bookmarkStart w:id="2034" w:name="bookmark2034"/>
      <w:bookmarkStart w:id="2035" w:name="bookmark2035"/>
      <w:bookmarkStart w:id="2036" w:name="bookmark2036"/>
      <w:bookmarkStart w:id="2037" w:name="bookmark2037"/>
      <w:r>
        <w:rPr>
          <w:color w:val="000000"/>
          <w:spacing w:val="0"/>
          <w:w w:val="100"/>
          <w:position w:val="0"/>
        </w:rPr>
        <w:t>（</w:t>
      </w:r>
      <w:bookmarkEnd w:id="203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034"/>
      <w:bookmarkEnd w:id="2035"/>
      <w:bookmarkEnd w:id="2037"/>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4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2</w:t>
      </w:r>
      <w:bookmarkEnd w:id="2040"/>
      <w:r>
        <w:rPr>
          <w:color w:val="000000"/>
          <w:spacing w:val="0"/>
          <w:w w:val="100"/>
          <w:position w:val="0"/>
        </w:rPr>
        <w:t>、在子公司的所有者权益份额发生变化且仍控制子公司的交易</w:t>
      </w:r>
      <w:bookmarkEnd w:id="2038"/>
      <w:bookmarkEnd w:id="2039"/>
      <w:bookmarkEnd w:id="2041"/>
    </w:p>
    <w:p>
      <w:pPr>
        <w:pStyle w:val="Style92"/>
        <w:keepNext/>
        <w:keepLines/>
        <w:widowControl w:val="0"/>
        <w:shd w:val="clear" w:color="auto" w:fill="auto"/>
        <w:bidi w:val="0"/>
        <w:spacing w:before="0" w:after="340" w:line="240" w:lineRule="auto"/>
        <w:ind w:left="0" w:right="0" w:firstLine="0"/>
        <w:jc w:val="left"/>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2042"/>
      <w:bookmarkEnd w:id="2043"/>
      <w:bookmarkEnd w:id="2044"/>
    </w:p>
    <w:tbl>
      <w:tblPr>
        <w:tblOverlap w:val="never"/>
        <w:jc w:val="center"/>
        <w:tblLayout w:type="fixed"/>
      </w:tblPr>
      <w:tblGrid>
        <w:gridCol w:w="2549"/>
        <w:gridCol w:w="1718"/>
        <w:gridCol w:w="2126"/>
        <w:gridCol w:w="2141"/>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变动后持股比例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杭州慧康互联科技有限公司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73. </w:t>
            </w:r>
            <w:r>
              <w:rPr>
                <w:color w:val="000000"/>
                <w:spacing w:val="0"/>
                <w:w w:val="100"/>
                <w:position w:val="0"/>
                <w:sz w:val="18"/>
                <w:szCs w:val="18"/>
              </w:rPr>
              <w:t>00%</w:t>
            </w:r>
          </w:p>
        </w:tc>
      </w:tr>
    </w:tbl>
    <w:p>
      <w:pPr>
        <w:widowControl w:val="0"/>
        <w:spacing w:after="619" w:line="1" w:lineRule="exact"/>
      </w:pPr>
    </w:p>
    <w:p>
      <w:pPr>
        <w:pStyle w:val="Style92"/>
        <w:keepNext/>
        <w:keepLines/>
        <w:widowControl w:val="0"/>
        <w:shd w:val="clear" w:color="auto" w:fill="auto"/>
        <w:bidi w:val="0"/>
        <w:spacing w:before="0" w:after="340" w:line="240" w:lineRule="auto"/>
        <w:ind w:left="0" w:right="0" w:firstLine="0"/>
        <w:jc w:val="left"/>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2045"/>
      <w:bookmarkEnd w:id="2046"/>
      <w:bookmarkEnd w:id="204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杭州慧康互联科技有限公司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13,500,000.00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13,500,000.00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13,500,000.00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13,560,388.01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-60,388.01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-60,388.01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15"/>
        <w:keepNext w:val="0"/>
        <w:keepLines w:val="0"/>
        <w:widowControl w:val="0"/>
        <w:shd w:val="clear" w:color="auto" w:fill="auto"/>
        <w:bidi w:val="0"/>
        <w:spacing w:before="0" w:after="340" w:line="31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日，杭州阜兴企业管理合伙企业（有限合伙）（以下简称阜兴合伙）对杭州慧康互联科技有限公司（以下 简称慧康互联）单方增资</w:t>
      </w:r>
      <w:r>
        <w:rPr>
          <w:rFonts w:ascii="Times New Roman" w:eastAsia="Times New Roman" w:hAnsi="Times New Roman" w:cs="Times New Roman"/>
          <w:color w:val="000000"/>
          <w:spacing w:val="0"/>
          <w:w w:val="100"/>
          <w:position w:val="0"/>
        </w:rPr>
        <w:t>1,350.00</w:t>
      </w:r>
      <w:r>
        <w:rPr>
          <w:color w:val="000000"/>
          <w:spacing w:val="0"/>
          <w:w w:val="100"/>
          <w:position w:val="0"/>
        </w:rPr>
        <w:t>万元（</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股），持有慧康互联</w:t>
      </w:r>
      <w:r>
        <w:rPr>
          <w:rFonts w:ascii="Times New Roman" w:eastAsia="Times New Roman" w:hAnsi="Times New Roman" w:cs="Times New Roman"/>
          <w:color w:val="000000"/>
          <w:spacing w:val="0"/>
          <w:w w:val="100"/>
          <w:position w:val="0"/>
        </w:rPr>
        <w:t>27.00%</w:t>
      </w:r>
      <w:r>
        <w:rPr>
          <w:color w:val="000000"/>
          <w:spacing w:val="0"/>
          <w:w w:val="100"/>
          <w:position w:val="0"/>
        </w:rPr>
        <w:t>股份，导致公司对慧康互联持股比例由</w:t>
      </w:r>
      <w:r>
        <w:rPr>
          <w:rFonts w:ascii="Times New Roman" w:eastAsia="Times New Roman" w:hAnsi="Times New Roman" w:cs="Times New Roman"/>
          <w:color w:val="000000"/>
          <w:spacing w:val="0"/>
          <w:w w:val="100"/>
          <w:position w:val="0"/>
        </w:rPr>
        <w:t>100.00%</w:t>
      </w:r>
      <w:r>
        <w:rPr>
          <w:color w:val="000000"/>
          <w:spacing w:val="0"/>
          <w:w w:val="100"/>
          <w:position w:val="0"/>
        </w:rPr>
        <w:t>下降 至</w:t>
      </w:r>
      <w:r>
        <w:rPr>
          <w:rFonts w:ascii="Times New Roman" w:eastAsia="Times New Roman" w:hAnsi="Times New Roman" w:cs="Times New Roman"/>
          <w:color w:val="000000"/>
          <w:spacing w:val="0"/>
          <w:w w:val="100"/>
          <w:position w:val="0"/>
        </w:rPr>
        <w:t>73.00%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日，阜兴合伙实缴</w:t>
      </w:r>
      <w:r>
        <w:rPr>
          <w:rFonts w:ascii="Times New Roman" w:eastAsia="Times New Roman" w:hAnsi="Times New Roman" w:cs="Times New Roman"/>
          <w:color w:val="000000"/>
          <w:spacing w:val="0"/>
          <w:w w:val="100"/>
          <w:position w:val="0"/>
        </w:rPr>
        <w:t>1,252.50</w:t>
      </w:r>
      <w:r>
        <w:rPr>
          <w:color w:val="000000"/>
          <w:spacing w:val="0"/>
          <w:w w:val="100"/>
          <w:position w:val="0"/>
        </w:rPr>
        <w:t>万元。</w:t>
      </w:r>
    </w:p>
    <w:p>
      <w:pPr>
        <w:pStyle w:val="Style24"/>
        <w:keepNext/>
        <w:keepLines/>
        <w:widowControl w:val="0"/>
        <w:shd w:val="clear" w:color="auto" w:fill="auto"/>
        <w:bidi w:val="0"/>
        <w:spacing w:before="0" w:after="34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3</w:t>
      </w:r>
      <w:bookmarkEnd w:id="2050"/>
      <w:r>
        <w:rPr>
          <w:color w:val="000000"/>
          <w:spacing w:val="0"/>
          <w:w w:val="100"/>
          <w:position w:val="0"/>
        </w:rPr>
        <w:t>、在合营安排或联营企业中的权益</w:t>
      </w:r>
      <w:bookmarkEnd w:id="2048"/>
      <w:bookmarkEnd w:id="2049"/>
      <w:bookmarkEnd w:id="2051"/>
    </w:p>
    <w:p>
      <w:pPr>
        <w:pStyle w:val="Style92"/>
        <w:keepNext/>
        <w:keepLines/>
        <w:widowControl w:val="0"/>
        <w:shd w:val="clear" w:color="auto" w:fill="auto"/>
        <w:bidi w:val="0"/>
        <w:spacing w:before="0" w:after="340" w:line="240" w:lineRule="auto"/>
        <w:ind w:left="0" w:right="0" w:firstLine="0"/>
        <w:jc w:val="left"/>
      </w:pPr>
      <w:bookmarkStart w:id="2052" w:name="bookmark2052"/>
      <w:bookmarkStart w:id="2053" w:name="bookmark2053"/>
      <w:bookmarkStart w:id="2054" w:name="bookmark20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52"/>
      <w:bookmarkEnd w:id="2053"/>
      <w:bookmarkEnd w:id="2054"/>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40" w:right="0" w:firstLine="0"/>
              <w:jc w:val="left"/>
            </w:pPr>
            <w:r>
              <w:rPr>
                <w:color w:val="000000"/>
                <w:spacing w:val="0"/>
                <w:w w:val="100"/>
                <w:position w:val="0"/>
              </w:rPr>
              <w:t>对合营企业或 联营企业投资 的会计处理方</w:t>
            </w:r>
          </w:p>
        </w:tc>
      </w:tr>
      <w:tr>
        <w:trPr>
          <w:trHeight w:val="58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浙江创源环境 科技股份有限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环保监测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92"/>
        <w:keepNext/>
        <w:keepLines/>
        <w:widowControl w:val="0"/>
        <w:shd w:val="clear" w:color="auto" w:fill="auto"/>
        <w:tabs>
          <w:tab w:pos="493" w:val="left"/>
        </w:tabs>
        <w:bidi w:val="0"/>
        <w:spacing w:before="0" w:after="360" w:line="240" w:lineRule="auto"/>
        <w:ind w:left="0" w:right="0" w:firstLine="0"/>
        <w:jc w:val="left"/>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2055"/>
      <w:bookmarkEnd w:id="2056"/>
      <w:bookmarkEnd w:id="2058"/>
    </w:p>
    <w:p>
      <w:pPr>
        <w:pStyle w:val="Style92"/>
        <w:keepNext/>
        <w:keepLines/>
        <w:widowControl w:val="0"/>
        <w:shd w:val="clear" w:color="auto" w:fill="auto"/>
        <w:tabs>
          <w:tab w:pos="493" w:val="left"/>
        </w:tabs>
        <w:bidi w:val="0"/>
        <w:spacing w:before="0" w:after="360" w:line="240" w:lineRule="auto"/>
        <w:ind w:left="0" w:right="0" w:firstLine="0"/>
        <w:jc w:val="left"/>
      </w:pPr>
      <w:bookmarkStart w:id="2059" w:name="bookmark2059"/>
      <w:bookmarkStart w:id="2060" w:name="bookmark2060"/>
      <w:bookmarkStart w:id="2061" w:name="bookmark2061"/>
      <w:bookmarkStart w:id="2062" w:name="bookmark2062"/>
      <w:r>
        <w:rPr>
          <w:color w:val="000000"/>
          <w:spacing w:val="0"/>
          <w:w w:val="100"/>
          <w:position w:val="0"/>
        </w:rPr>
        <w:t>（</w:t>
      </w:r>
      <w:bookmarkEnd w:id="2061"/>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2059"/>
      <w:bookmarkEnd w:id="2060"/>
      <w:bookmarkEnd w:id="2062"/>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浙江创源环境科技股份有限公司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浙江创源环境科技股份有限公司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177,223,104.81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142,283,395.70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11,089,326.31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13,252,221.89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188,312,431.12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155,535,617.59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94,705,000.35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64,003,491.50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1,382,063.92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1,382,063.92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96,087,064.27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65,385,555.42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92,225,366.85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90,150,062.17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45,841,422.49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42,821,279.53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56,003,135.06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52,982,992.10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131,852,778.79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121,856,591.06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6,779,238.23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6,187,208.27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6,779,238.23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6,187,208.27</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92"/>
        <w:keepNext/>
        <w:keepLines/>
        <w:widowControl w:val="0"/>
        <w:shd w:val="clear" w:color="auto" w:fill="auto"/>
        <w:bidi w:val="0"/>
        <w:spacing w:before="0" w:after="360" w:line="240" w:lineRule="auto"/>
        <w:ind w:left="0" w:right="0" w:firstLine="0"/>
        <w:jc w:val="left"/>
      </w:pPr>
      <w:bookmarkStart w:id="2063" w:name="bookmark2063"/>
      <w:bookmarkStart w:id="2064" w:name="bookmark2064"/>
      <w:bookmarkStart w:id="2065" w:name="bookmark2065"/>
      <w:bookmarkStart w:id="2066" w:name="bookmark2066"/>
      <w:r>
        <w:rPr>
          <w:color w:val="000000"/>
          <w:spacing w:val="0"/>
          <w:w w:val="100"/>
          <w:position w:val="0"/>
        </w:rPr>
        <w:t>（</w:t>
      </w:r>
      <w:bookmarkEnd w:id="206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2063"/>
      <w:bookmarkEnd w:id="2064"/>
      <w:bookmarkEnd w:id="2066"/>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184,829,506.89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142,078,937.96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4,103,510.20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776,221.45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4,103,510.20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776,221.45</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widowControl w:val="0"/>
        <w:spacing w:after="359" w:line="1" w:lineRule="exact"/>
      </w:pPr>
    </w:p>
    <w:p>
      <w:pPr>
        <w:pStyle w:val="Style92"/>
        <w:keepNext/>
        <w:keepLines/>
        <w:widowControl w:val="0"/>
        <w:shd w:val="clear" w:color="auto" w:fill="auto"/>
        <w:tabs>
          <w:tab w:pos="493" w:val="left"/>
        </w:tabs>
        <w:bidi w:val="0"/>
        <w:spacing w:before="0" w:after="360" w:line="240" w:lineRule="auto"/>
        <w:ind w:left="0" w:right="0" w:firstLine="0"/>
        <w:jc w:val="left"/>
      </w:pPr>
      <w:bookmarkStart w:id="2067" w:name="bookmark2067"/>
      <w:bookmarkStart w:id="2068" w:name="bookmark2068"/>
      <w:bookmarkStart w:id="2069" w:name="bookmark2069"/>
      <w:bookmarkStart w:id="2070" w:name="bookmark2070"/>
      <w:r>
        <w:rPr>
          <w:color w:val="000000"/>
          <w:spacing w:val="0"/>
          <w:w w:val="100"/>
          <w:position w:val="0"/>
        </w:rPr>
        <w:t>（</w:t>
      </w:r>
      <w:bookmarkEnd w:id="206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67"/>
      <w:bookmarkEnd w:id="2068"/>
      <w:bookmarkEnd w:id="2070"/>
    </w:p>
    <w:p>
      <w:pPr>
        <w:pStyle w:val="Style92"/>
        <w:keepNext/>
        <w:keepLines/>
        <w:widowControl w:val="0"/>
        <w:shd w:val="clear" w:color="auto" w:fill="auto"/>
        <w:tabs>
          <w:tab w:pos="493" w:val="left"/>
        </w:tabs>
        <w:bidi w:val="0"/>
        <w:spacing w:before="0" w:after="360" w:line="240" w:lineRule="auto"/>
        <w:ind w:left="0" w:right="0" w:firstLine="0"/>
        <w:jc w:val="left"/>
      </w:pPr>
      <w:bookmarkStart w:id="2071" w:name="bookmark2071"/>
      <w:bookmarkStart w:id="2072" w:name="bookmark2072"/>
      <w:bookmarkStart w:id="2073" w:name="bookmark2073"/>
      <w:bookmarkStart w:id="2074" w:name="bookmark2074"/>
      <w:r>
        <w:rPr>
          <w:color w:val="000000"/>
          <w:spacing w:val="0"/>
          <w:w w:val="100"/>
          <w:position w:val="0"/>
        </w:rPr>
        <w:t>（</w:t>
      </w:r>
      <w:bookmarkEnd w:id="207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71"/>
      <w:bookmarkEnd w:id="2072"/>
      <w:bookmarkEnd w:id="2074"/>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92"/>
        <w:keepNext/>
        <w:keepLines/>
        <w:widowControl w:val="0"/>
        <w:shd w:val="clear" w:color="auto" w:fill="auto"/>
        <w:tabs>
          <w:tab w:pos="493" w:val="left"/>
        </w:tabs>
        <w:bidi w:val="0"/>
        <w:spacing w:before="0" w:after="360" w:line="240" w:lineRule="auto"/>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w:t>
      </w:r>
      <w:bookmarkEnd w:id="207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75"/>
      <w:bookmarkEnd w:id="2076"/>
      <w:bookmarkEnd w:id="2078"/>
    </w:p>
    <w:p>
      <w:pPr>
        <w:pStyle w:val="Style92"/>
        <w:keepNext/>
        <w:keepLines/>
        <w:widowControl w:val="0"/>
        <w:shd w:val="clear" w:color="auto" w:fill="auto"/>
        <w:tabs>
          <w:tab w:pos="493" w:val="left"/>
        </w:tabs>
        <w:bidi w:val="0"/>
        <w:spacing w:before="0" w:after="360" w:line="240" w:lineRule="auto"/>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79"/>
      <w:bookmarkEnd w:id="2080"/>
      <w:bookmarkEnd w:id="2082"/>
    </w:p>
    <w:p>
      <w:pPr>
        <w:pStyle w:val="Style24"/>
        <w:keepNext/>
        <w:keepLines/>
        <w:widowControl w:val="0"/>
        <w:shd w:val="clear" w:color="auto" w:fill="auto"/>
        <w:bidi w:val="0"/>
        <w:spacing w:before="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4</w:t>
      </w:r>
      <w:bookmarkEnd w:id="2085"/>
      <w:r>
        <w:rPr>
          <w:color w:val="000000"/>
          <w:spacing w:val="0"/>
          <w:w w:val="100"/>
          <w:position w:val="0"/>
        </w:rPr>
        <w:t>、重要的共同经营</w:t>
      </w:r>
      <w:bookmarkEnd w:id="2083"/>
      <w:bookmarkEnd w:id="2084"/>
      <w:bookmarkEnd w:id="2086"/>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5</w:t>
      </w:r>
      <w:bookmarkEnd w:id="2089"/>
      <w:r>
        <w:rPr>
          <w:color w:val="000000"/>
          <w:spacing w:val="0"/>
          <w:w w:val="100"/>
          <w:position w:val="0"/>
        </w:rPr>
        <w:t>、在未纳入合并财务报表范围的结构化主体中的权益</w:t>
      </w:r>
      <w:bookmarkEnd w:id="2087"/>
      <w:bookmarkEnd w:id="2088"/>
      <w:bookmarkEnd w:id="2090"/>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24"/>
        <w:keepNext/>
        <w:keepLines/>
        <w:widowControl w:val="0"/>
        <w:shd w:val="clear" w:color="auto" w:fill="auto"/>
        <w:bidi w:val="0"/>
        <w:spacing w:before="0" w:after="34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6</w:t>
      </w:r>
      <w:bookmarkEnd w:id="2093"/>
      <w:r>
        <w:rPr>
          <w:color w:val="000000"/>
          <w:spacing w:val="0"/>
          <w:w w:val="100"/>
          <w:position w:val="0"/>
        </w:rPr>
        <w:t>、其他</w:t>
      </w:r>
      <w:bookmarkEnd w:id="2091"/>
      <w:bookmarkEnd w:id="2092"/>
      <w:bookmarkEnd w:id="2094"/>
    </w:p>
    <w:p>
      <w:pPr>
        <w:pStyle w:val="Style19"/>
        <w:keepNext/>
        <w:keepLines/>
        <w:widowControl w:val="0"/>
        <w:shd w:val="clear" w:color="auto" w:fill="auto"/>
        <w:bidi w:val="0"/>
        <w:spacing w:before="0" w:after="260" w:line="240" w:lineRule="auto"/>
        <w:ind w:left="0" w:right="0" w:firstLine="0"/>
        <w:jc w:val="left"/>
      </w:pPr>
      <w:bookmarkStart w:id="2095" w:name="bookmark2095"/>
      <w:bookmarkStart w:id="2096" w:name="bookmark2096"/>
      <w:bookmarkStart w:id="2097" w:name="bookmark2097"/>
      <w:r>
        <w:rPr>
          <w:color w:val="000000"/>
          <w:spacing w:val="0"/>
          <w:w w:val="100"/>
          <w:position w:val="0"/>
          <w:sz w:val="24"/>
          <w:szCs w:val="24"/>
        </w:rPr>
        <w:t>十、与金融工具相关的风险</w:t>
      </w:r>
      <w:bookmarkEnd w:id="2095"/>
      <w:bookmarkEnd w:id="2096"/>
      <w:bookmarkEnd w:id="2097"/>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本公司在日常活动中面临各种与金融工具相关的风险，主要包括信用风险、流动性风险及市场风险。管理层已审议并批 准管理这些风险的政策，概括如下。</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信用风险，是指金融工具的一方不能履行义务，造成另一方发生财务损失的风险。</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信用风险管理实务</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信用风险的评价方法</w:t>
      </w:r>
    </w:p>
    <w:p>
      <w:pPr>
        <w:pStyle w:val="Style15"/>
        <w:keepNext w:val="0"/>
        <w:keepLines w:val="0"/>
        <w:widowControl w:val="0"/>
        <w:shd w:val="clear" w:color="auto" w:fill="auto"/>
        <w:bidi w:val="0"/>
        <w:spacing w:before="0" w:after="0" w:line="312" w:lineRule="exact"/>
        <w:ind w:left="0" w:right="0"/>
        <w:jc w:val="both"/>
      </w:pPr>
      <w:r>
        <w:rPr>
          <w:color w:val="000000"/>
          <w:spacing w:val="0"/>
          <w:w w:val="100"/>
          <w:position w:val="0"/>
        </w:rPr>
        <w:t>公司在每个资产负债表日评估相关金融工具的信用风险自初始确认后是否已显著增加。在确定信用风险自初始确认后是 否显著增加时，公司考虑在无须付出不必要的额外成本或努力即可获得合理且有依据的信息，包括基于历史数据的定性和定 量分析、外部信用风险评级以及前瞻性信息。公司以单项金融工具或者具有相似信用风险特征的金融工具组合为基础，通过 比较金融工具在资产负债表日发生违约的风险与在初始确认日发生违约的风险，以确定金融工具预计存续期内发生违约风险 的变化情况。</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当触发以下一个或多个定量、定性标准时，公司认为金融工具的信用风险已发生显著增加：</w:t>
      </w:r>
    </w:p>
    <w:p>
      <w:pPr>
        <w:pStyle w:val="Style15"/>
        <w:keepNext w:val="0"/>
        <w:keepLines w:val="0"/>
        <w:widowControl w:val="0"/>
        <w:shd w:val="clear" w:color="auto" w:fill="auto"/>
        <w:tabs>
          <w:tab w:pos="729" w:val="left"/>
        </w:tabs>
        <w:bidi w:val="0"/>
        <w:spacing w:before="0" w:after="0" w:line="312" w:lineRule="exact"/>
        <w:ind w:left="0" w:right="0"/>
        <w:jc w:val="left"/>
      </w:pPr>
      <w:bookmarkStart w:id="2098" w:name="bookmark2098"/>
      <w:r>
        <w:rPr>
          <w:rFonts w:ascii="Times New Roman" w:eastAsia="Times New Roman" w:hAnsi="Times New Roman" w:cs="Times New Roman"/>
          <w:color w:val="000000"/>
          <w:spacing w:val="0"/>
          <w:w w:val="100"/>
          <w:position w:val="0"/>
        </w:rPr>
        <w:t>1</w:t>
      </w:r>
      <w:bookmarkEnd w:id="2098"/>
      <w:r>
        <w:rPr>
          <w:color w:val="000000"/>
          <w:spacing w:val="0"/>
          <w:w w:val="100"/>
          <w:position w:val="0"/>
        </w:rPr>
        <w:t>）</w:t>
        <w:tab/>
        <w:t>定量标准主要为资产负债表日剩余存续期违约概率较初始确认时上升超过一定比例；</w:t>
      </w:r>
    </w:p>
    <w:p>
      <w:pPr>
        <w:pStyle w:val="Style15"/>
        <w:keepNext w:val="0"/>
        <w:keepLines w:val="0"/>
        <w:widowControl w:val="0"/>
        <w:shd w:val="clear" w:color="auto" w:fill="auto"/>
        <w:tabs>
          <w:tab w:pos="723" w:val="left"/>
        </w:tabs>
        <w:bidi w:val="0"/>
        <w:spacing w:before="0" w:after="0" w:line="312" w:lineRule="exact"/>
        <w:ind w:left="0" w:right="0"/>
        <w:jc w:val="left"/>
      </w:pPr>
      <w:bookmarkStart w:id="2099" w:name="bookmark2099"/>
      <w:r>
        <w:rPr>
          <w:rFonts w:ascii="Times New Roman" w:eastAsia="Times New Roman" w:hAnsi="Times New Roman" w:cs="Times New Roman"/>
          <w:color w:val="000000"/>
          <w:spacing w:val="0"/>
          <w:w w:val="100"/>
          <w:position w:val="0"/>
        </w:rPr>
        <w:t>2</w:t>
      </w:r>
      <w:bookmarkEnd w:id="2099"/>
      <w:r>
        <w:rPr>
          <w:color w:val="000000"/>
          <w:spacing w:val="0"/>
          <w:w w:val="100"/>
          <w:position w:val="0"/>
        </w:rPr>
        <w:t>）</w:t>
        <w:tab/>
        <w:t>定性标准主要为债务人经营或财务情况出现重大不利变化、现存的或预期的技术、市场、经济或法律环境变化并将 对债务人对公司的还款能力产生重大不利影响等。</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违约和已发生信用减值资产的定义</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当金融工具符合以下一项或多项条件时，公司将该金融资产界定为已发生违约，其标准与已发生信用减值的定义一致：</w:t>
      </w:r>
    </w:p>
    <w:p>
      <w:pPr>
        <w:pStyle w:val="Style15"/>
        <w:keepNext w:val="0"/>
        <w:keepLines w:val="0"/>
        <w:widowControl w:val="0"/>
        <w:shd w:val="clear" w:color="auto" w:fill="auto"/>
        <w:tabs>
          <w:tab w:pos="729" w:val="left"/>
        </w:tabs>
        <w:bidi w:val="0"/>
        <w:spacing w:before="0" w:after="0" w:line="312" w:lineRule="exact"/>
        <w:ind w:left="0" w:right="0"/>
        <w:jc w:val="left"/>
      </w:pPr>
      <w:bookmarkStart w:id="2100" w:name="bookmark2100"/>
      <w:r>
        <w:rPr>
          <w:rFonts w:ascii="Times New Roman" w:eastAsia="Times New Roman" w:hAnsi="Times New Roman" w:cs="Times New Roman"/>
          <w:color w:val="000000"/>
          <w:spacing w:val="0"/>
          <w:w w:val="100"/>
          <w:position w:val="0"/>
        </w:rPr>
        <w:t>1</w:t>
      </w:r>
      <w:bookmarkEnd w:id="2100"/>
      <w:r>
        <w:rPr>
          <w:color w:val="000000"/>
          <w:spacing w:val="0"/>
          <w:w w:val="100"/>
          <w:position w:val="0"/>
        </w:rPr>
        <w:t>）</w:t>
        <w:tab/>
        <w:t>债务人发生重大财务困难；</w:t>
      </w:r>
    </w:p>
    <w:p>
      <w:pPr>
        <w:pStyle w:val="Style15"/>
        <w:keepNext w:val="0"/>
        <w:keepLines w:val="0"/>
        <w:widowControl w:val="0"/>
        <w:shd w:val="clear" w:color="auto" w:fill="auto"/>
        <w:tabs>
          <w:tab w:pos="748" w:val="left"/>
        </w:tabs>
        <w:bidi w:val="0"/>
        <w:spacing w:before="0" w:after="0" w:line="312" w:lineRule="exact"/>
        <w:ind w:left="0" w:right="0"/>
        <w:jc w:val="left"/>
      </w:pPr>
      <w:bookmarkStart w:id="2101" w:name="bookmark2101"/>
      <w:r>
        <w:rPr>
          <w:rFonts w:ascii="Times New Roman" w:eastAsia="Times New Roman" w:hAnsi="Times New Roman" w:cs="Times New Roman"/>
          <w:color w:val="000000"/>
          <w:spacing w:val="0"/>
          <w:w w:val="100"/>
          <w:position w:val="0"/>
        </w:rPr>
        <w:t>2</w:t>
      </w:r>
      <w:bookmarkEnd w:id="2101"/>
      <w:r>
        <w:rPr>
          <w:color w:val="000000"/>
          <w:spacing w:val="0"/>
          <w:w w:val="100"/>
          <w:position w:val="0"/>
        </w:rPr>
        <w:t>）</w:t>
        <w:tab/>
        <w:t>债务人违反合同中对债务人的约束条款；</w:t>
      </w:r>
    </w:p>
    <w:p>
      <w:pPr>
        <w:pStyle w:val="Style15"/>
        <w:keepNext w:val="0"/>
        <w:keepLines w:val="0"/>
        <w:widowControl w:val="0"/>
        <w:shd w:val="clear" w:color="auto" w:fill="auto"/>
        <w:tabs>
          <w:tab w:pos="748" w:val="left"/>
        </w:tabs>
        <w:bidi w:val="0"/>
        <w:spacing w:before="0" w:after="0" w:line="312" w:lineRule="exact"/>
        <w:ind w:left="0" w:right="0"/>
        <w:jc w:val="left"/>
      </w:pPr>
      <w:bookmarkStart w:id="2102" w:name="bookmark2102"/>
      <w:r>
        <w:rPr>
          <w:rFonts w:ascii="Times New Roman" w:eastAsia="Times New Roman" w:hAnsi="Times New Roman" w:cs="Times New Roman"/>
          <w:color w:val="000000"/>
          <w:spacing w:val="0"/>
          <w:w w:val="100"/>
          <w:position w:val="0"/>
        </w:rPr>
        <w:t>3</w:t>
      </w:r>
      <w:bookmarkEnd w:id="2102"/>
      <w:r>
        <w:rPr>
          <w:color w:val="000000"/>
          <w:spacing w:val="0"/>
          <w:w w:val="100"/>
          <w:position w:val="0"/>
        </w:rPr>
        <w:t>）</w:t>
        <w:tab/>
        <w:t>债务人很可能破产或进行其他财务重组；</w:t>
      </w:r>
    </w:p>
    <w:p>
      <w:pPr>
        <w:pStyle w:val="Style15"/>
        <w:keepNext w:val="0"/>
        <w:keepLines w:val="0"/>
        <w:widowControl w:val="0"/>
        <w:shd w:val="clear" w:color="auto" w:fill="auto"/>
        <w:tabs>
          <w:tab w:pos="718" w:val="left"/>
        </w:tabs>
        <w:bidi w:val="0"/>
        <w:spacing w:before="0" w:after="0" w:line="312" w:lineRule="exact"/>
        <w:ind w:left="0" w:right="0"/>
        <w:jc w:val="left"/>
      </w:pPr>
      <w:bookmarkStart w:id="2103" w:name="bookmark2103"/>
      <w:r>
        <w:rPr>
          <w:rFonts w:ascii="Times New Roman" w:eastAsia="Times New Roman" w:hAnsi="Times New Roman" w:cs="Times New Roman"/>
          <w:color w:val="000000"/>
          <w:spacing w:val="0"/>
          <w:w w:val="100"/>
          <w:position w:val="0"/>
        </w:rPr>
        <w:t>4</w:t>
      </w:r>
      <w:bookmarkEnd w:id="2103"/>
      <w:r>
        <w:rPr>
          <w:color w:val="000000"/>
          <w:spacing w:val="0"/>
          <w:w w:val="100"/>
          <w:position w:val="0"/>
        </w:rPr>
        <w:t>）</w:t>
        <w:tab/>
        <w:t>债权人出于与债务人财务困难有关的经济或合同考虑，给予债务人在任何其他情况下都不会做出的让步。 预期信用损失的计量</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预期信用损失计量的关键参数包括违约概率、违约损失率和违约风险敞口。公司考虑历史统计数据（如交易对手评级、 担保方式及抵质押物类别、还款方式等）的定量分析及前瞻性信息，建立违约概率、违约损失率及违约风险敞口模型。 金融工具损失准备期初余额与期末余额调节表详见财务报告附注应收票据、应收账款、其他应收款及合同资产之说明。 信用风险敞口及信用风险集中度</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本公司的信用风险主要来自货币资金和应收款项。为控制上述相关风险，本公司分别采取了以下措施。</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货币资金</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本公司将银行存款和其他货币资金存放于信用评级较高的金融机构，故其信用风险较低。</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本公司持续对采用信用方式交易的客户进行信用评估。根据信用评估结果，本公司选择与经认可的且信用良好的客户进 行交易，并对其应收款项余额进行监控，以确保本公司不会面临重大坏账风险。</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日，本公司应收账款的</w:t>
      </w:r>
      <w:r>
        <w:rPr>
          <w:rFonts w:ascii="Times New Roman" w:eastAsia="Times New Roman" w:hAnsi="Times New Roman" w:cs="Times New Roman"/>
          <w:color w:val="000000"/>
          <w:spacing w:val="0"/>
          <w:w w:val="100"/>
          <w:position w:val="0"/>
        </w:rPr>
        <w:t>15.01%</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rPr>
        <w:t>17.21%</w:t>
      </w:r>
      <w:r>
        <w:rPr>
          <w:color w:val="000000"/>
          <w:spacing w:val="0"/>
          <w:w w:val="100"/>
          <w:position w:val="0"/>
        </w:rPr>
        <w:t>）源于余额前五名客户，本公司不存在重大的信用集中风险。</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本公司所承受的最大信用风险敞口为资产负债表中每项金融资产的账面价值。</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流动性风险</w:t>
      </w:r>
    </w:p>
    <w:p>
      <w:pPr>
        <w:pStyle w:val="Style15"/>
        <w:keepNext w:val="0"/>
        <w:keepLines w:val="0"/>
        <w:widowControl w:val="0"/>
        <w:shd w:val="clear" w:color="auto" w:fill="auto"/>
        <w:bidi w:val="0"/>
        <w:spacing w:before="0" w:after="0" w:line="312" w:lineRule="exact"/>
        <w:ind w:left="0" w:right="0"/>
        <w:jc w:val="left"/>
      </w:pPr>
      <w:r>
        <w:rPr>
          <w:color w:val="000000"/>
          <w:spacing w:val="0"/>
          <w:w w:val="100"/>
          <w:position w:val="0"/>
        </w:rPr>
        <w:t>流动性风险，是指本公司在履行以交付现金或其他金融资产的方式结算的义务时发生资金短缺的风险。流动性风险可能</w:t>
        <w:br w:type="page"/>
      </w:r>
      <w:r>
        <w:rPr>
          <w:color w:val="000000"/>
          <w:spacing w:val="0"/>
          <w:w w:val="100"/>
          <w:position w:val="0"/>
        </w:rPr>
        <w:t>源于无法尽快以公允价值售出金融资产；或者源于对方无法偿还其合同债务；或者源于提前到期的债务；或者源于无法产生 预期的现金流量。</w:t>
      </w:r>
    </w:p>
    <w:p>
      <w:pPr>
        <w:pStyle w:val="Style15"/>
        <w:keepNext w:val="0"/>
        <w:keepLines w:val="0"/>
        <w:widowControl w:val="0"/>
        <w:shd w:val="clear" w:color="auto" w:fill="auto"/>
        <w:bidi w:val="0"/>
        <w:spacing w:before="0" w:after="80" w:line="317" w:lineRule="exact"/>
        <w:ind w:left="0" w:right="0"/>
        <w:jc w:val="both"/>
      </w:pPr>
      <w:r>
        <w:rPr>
          <w:color w:val="000000"/>
          <w:spacing w:val="0"/>
          <w:w w:val="100"/>
          <w:position w:val="0"/>
        </w:rPr>
        <w:t>为控制该项风险，本公司综合运用票据结算、银行借款等多种融资手段，并采取长、短期融资方式适当结合，优化融资 结构的方法，保持融资持续性与灵活性之间的平衡。本公司已从多家商业银行取得银行授信额度以满足营运资金需求和资本 开支。</w:t>
      </w: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金融负债按剩余到期日分类</w:t>
      </w:r>
    </w:p>
    <w:tbl>
      <w:tblPr>
        <w:tblOverlap w:val="never"/>
        <w:jc w:val="center"/>
        <w:tblLayout w:type="fixed"/>
      </w:tblPr>
      <w:tblGrid>
        <w:gridCol w:w="1459"/>
        <w:gridCol w:w="1478"/>
        <w:gridCol w:w="1526"/>
        <w:gridCol w:w="1478"/>
        <w:gridCol w:w="1296"/>
        <w:gridCol w:w="1301"/>
      </w:tblGrid>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40,421,476.90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40,421,476.90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40,421,476.90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484,377,062.50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484,377,062.50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484,377,062.50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77,134,604.64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77,134,604.64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77,134,604.64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13,726,457.87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14,405,546.06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7,347,965.85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6,764,972.30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292,607.91</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615,659,601.91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616,338,690.10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609,281,109.89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6,764,972.30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292,607.91</w:t>
            </w:r>
          </w:p>
        </w:tc>
      </w:tr>
    </w:tbl>
    <w:p>
      <w:pPr>
        <w:pStyle w:val="Style110"/>
        <w:keepNext w:val="0"/>
        <w:keepLines w:val="0"/>
        <w:widowControl w:val="0"/>
        <w:shd w:val="clear" w:color="auto" w:fill="auto"/>
        <w:bidi w:val="0"/>
        <w:spacing w:before="0" w:after="0" w:line="240" w:lineRule="auto"/>
        <w:ind w:left="0" w:right="0" w:firstLine="360"/>
        <w:jc w:val="both"/>
      </w:pPr>
      <w:r>
        <w:rPr>
          <w:b w:val="0"/>
          <w:bCs w:val="0"/>
          <w:color w:val="000000"/>
          <w:spacing w:val="0"/>
          <w:w w:val="100"/>
          <w:position w:val="0"/>
        </w:rPr>
        <w:t>（续上表）</w:t>
      </w:r>
    </w:p>
    <w:tbl>
      <w:tblPr>
        <w:tblOverlap w:val="never"/>
        <w:jc w:val="center"/>
        <w:tblLayout w:type="fixed"/>
      </w:tblPr>
      <w:tblGrid>
        <w:gridCol w:w="1526"/>
        <w:gridCol w:w="1478"/>
        <w:gridCol w:w="1565"/>
        <w:gridCol w:w="1478"/>
        <w:gridCol w:w="1238"/>
        <w:gridCol w:w="1253"/>
      </w:tblGrid>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163,116,981.94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164,347,727.77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164,347,727.77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21,461,750.91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21,461,750.91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21,461,750.91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338,245,518.48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338,245,518.48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338,245,518.48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127,304,979.75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127,304,979.75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127,304,979.75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650,129,231.08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651,359,976.91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651,359,976.91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市场风险</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市场风险，是指金融工具的公允价值或未来现金流量因市场价格变动而发生波动的风险。市场风险主要包括利率风险和 外汇风险。</w:t>
      </w:r>
    </w:p>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利率风险</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利率风险，是指金融工具的公允价值或未来现金流量因市场利率变动而发生波动的风险。固定利率的带息金融工具使本 公司面临公允价值利率风险，浮动利率的带息金融工具使本公司面临现金流量利率风险。本公司根据市场环境来决定固定利 率与浮动利率金融工具的比例，并通过定期审阅与监控维持适当的金融工具组合。</w:t>
      </w:r>
    </w:p>
    <w:p>
      <w:pPr>
        <w:pStyle w:val="Style15"/>
        <w:keepNext w:val="0"/>
        <w:keepLines w:val="0"/>
        <w:widowControl w:val="0"/>
        <w:shd w:val="clear" w:color="auto" w:fill="auto"/>
        <w:bidi w:val="0"/>
        <w:spacing w:before="0" w:after="0" w:line="314" w:lineRule="exact"/>
        <w:ind w:left="0" w:right="0" w:firstLine="0"/>
        <w:jc w:val="both"/>
      </w:pPr>
      <w:r>
        <w:rPr>
          <w:color w:val="000000"/>
          <w:spacing w:val="0"/>
          <w:w w:val="100"/>
          <w:position w:val="0"/>
        </w:rPr>
        <w:t>外汇风险</w:t>
      </w:r>
    </w:p>
    <w:p>
      <w:pPr>
        <w:pStyle w:val="Style15"/>
        <w:keepNext w:val="0"/>
        <w:keepLines w:val="0"/>
        <w:widowControl w:val="0"/>
        <w:shd w:val="clear" w:color="auto" w:fill="auto"/>
        <w:bidi w:val="0"/>
        <w:spacing w:before="0" w:after="0" w:line="314" w:lineRule="exact"/>
        <w:ind w:left="0" w:right="0"/>
        <w:jc w:val="both"/>
      </w:pPr>
      <w:r>
        <w:rPr>
          <w:color w:val="000000"/>
          <w:spacing w:val="0"/>
          <w:w w:val="100"/>
          <w:position w:val="0"/>
        </w:rPr>
        <w:t>外汇风险，是指金融工具的公允价值或未来现金流量因外汇汇率变动而发生波动的风险。本公司于中国内地经营，且主 要活动以人民币计价。因此，本公司所承担的外汇变动市场风险不重大。</w:t>
      </w:r>
    </w:p>
    <w:p>
      <w:pPr>
        <w:pStyle w:val="Style15"/>
        <w:keepNext w:val="0"/>
        <w:keepLines w:val="0"/>
        <w:widowControl w:val="0"/>
        <w:shd w:val="clear" w:color="auto" w:fill="auto"/>
        <w:bidi w:val="0"/>
        <w:spacing w:before="0" w:after="360" w:line="314" w:lineRule="exact"/>
        <w:ind w:left="0" w:right="0"/>
        <w:jc w:val="both"/>
      </w:pPr>
      <w:r>
        <w:rPr>
          <w:color w:val="000000"/>
          <w:spacing w:val="0"/>
          <w:w w:val="100"/>
          <w:position w:val="0"/>
        </w:rPr>
        <w:t>本公司期末无外币货币性资产和负债。</w:t>
      </w:r>
    </w:p>
    <w:p>
      <w:pPr>
        <w:pStyle w:val="Style19"/>
        <w:keepNext/>
        <w:keepLines/>
        <w:widowControl w:val="0"/>
        <w:shd w:val="clear" w:color="auto" w:fill="auto"/>
        <w:bidi w:val="0"/>
        <w:spacing w:before="0" w:after="320" w:line="240" w:lineRule="auto"/>
        <w:ind w:left="0" w:right="0" w:firstLine="0"/>
        <w:jc w:val="left"/>
      </w:pPr>
      <w:bookmarkStart w:id="2104" w:name="bookmark2104"/>
      <w:bookmarkStart w:id="2105" w:name="bookmark2105"/>
      <w:bookmarkStart w:id="2106" w:name="bookmark2106"/>
      <w:r>
        <w:rPr>
          <w:color w:val="000000"/>
          <w:spacing w:val="0"/>
          <w:w w:val="100"/>
          <w:position w:val="0"/>
          <w:sz w:val="24"/>
          <w:szCs w:val="24"/>
        </w:rPr>
        <w:t>十^一、公允价值的披露</w:t>
      </w:r>
      <w:bookmarkEnd w:id="2104"/>
      <w:bookmarkEnd w:id="2105"/>
      <w:bookmarkEnd w:id="2106"/>
    </w:p>
    <w:p>
      <w:pPr>
        <w:pStyle w:val="Style24"/>
        <w:keepNext/>
        <w:keepLines/>
        <w:widowControl w:val="0"/>
        <w:shd w:val="clear" w:color="auto" w:fill="auto"/>
        <w:bidi w:val="0"/>
        <w:spacing w:before="0" w:line="240" w:lineRule="auto"/>
        <w:ind w:left="0" w:right="0" w:firstLine="0"/>
        <w:jc w:val="left"/>
      </w:pPr>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107"/>
      <w:bookmarkEnd w:id="2108"/>
      <w:bookmarkEnd w:id="210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2002"/>
        <w:gridCol w:w="1834"/>
        <w:gridCol w:w="1915"/>
        <w:gridCol w:w="1910"/>
        <w:gridCol w:w="192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量</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129,618,099.88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129,618,099.88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12,400,000.00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142,018,099.88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142,018,099.88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110"/>
      <w:bookmarkEnd w:id="2111"/>
      <w:bookmarkEnd w:id="2112"/>
    </w:p>
    <w:p>
      <w:pPr>
        <w:pStyle w:val="Style24"/>
        <w:keepNext/>
        <w:keepLines/>
        <w:widowControl w:val="0"/>
        <w:shd w:val="clear" w:color="auto" w:fill="auto"/>
        <w:bidi w:val="0"/>
        <w:spacing w:before="0" w:after="320" w:line="240" w:lineRule="auto"/>
        <w:ind w:left="0" w:right="0" w:firstLine="0"/>
        <w:jc w:val="left"/>
      </w:pPr>
      <w:bookmarkStart w:id="2113" w:name="bookmark2113"/>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3</w:t>
      </w:r>
      <w:bookmarkEnd w:id="2115"/>
      <w:r>
        <w:rPr>
          <w:color w:val="000000"/>
          <w:spacing w:val="0"/>
          <w:w w:val="100"/>
          <w:position w:val="0"/>
        </w:rPr>
        <w:t>、持续和非持续第二层次公允价值计量项目，采用的估值技术和重要参数的定性及定量信息</w:t>
      </w:r>
      <w:bookmarkEnd w:id="2113"/>
      <w:bookmarkEnd w:id="2114"/>
      <w:bookmarkEnd w:id="2116"/>
    </w:p>
    <w:p>
      <w:pPr>
        <w:pStyle w:val="Style24"/>
        <w:keepNext/>
        <w:keepLines/>
        <w:widowControl w:val="0"/>
        <w:shd w:val="clear" w:color="auto" w:fill="auto"/>
        <w:bidi w:val="0"/>
        <w:spacing w:before="0" w:after="320" w:line="240" w:lineRule="auto"/>
        <w:ind w:left="0" w:right="0" w:firstLine="0"/>
        <w:jc w:val="left"/>
      </w:pPr>
      <w:bookmarkStart w:id="2117" w:name="bookmark2117"/>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4</w:t>
      </w:r>
      <w:bookmarkEnd w:id="2119"/>
      <w:r>
        <w:rPr>
          <w:color w:val="000000"/>
          <w:spacing w:val="0"/>
          <w:w w:val="100"/>
          <w:position w:val="0"/>
        </w:rPr>
        <w:t>、持续和非持续第三层次公允价值计量项目，采用的估值技术和重要参数的定性及定量信息</w:t>
      </w:r>
      <w:bookmarkEnd w:id="2117"/>
      <w:bookmarkEnd w:id="2118"/>
      <w:bookmarkEnd w:id="2120"/>
    </w:p>
    <w:tbl>
      <w:tblPr>
        <w:tblOverlap w:val="never"/>
        <w:jc w:val="left"/>
        <w:tblLayout w:type="fixed"/>
      </w:tblPr>
      <w:tblGrid>
        <w:gridCol w:w="2429"/>
        <w:gridCol w:w="2285"/>
        <w:gridCol w:w="374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公允价值与账面价值差异较小，故采用其账面价 值作为其公允价值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19,618,099.88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采用被投资单位账面价值作为其公允价值</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公允价值与账面价值差异较小，故采用其账面价 值作为其公允价值</w:t>
            </w:r>
          </w:p>
        </w:tc>
      </w:tr>
    </w:tbl>
    <w:p>
      <w:pPr>
        <w:widowControl w:val="0"/>
        <w:spacing w:after="319" w:line="1" w:lineRule="exact"/>
      </w:pPr>
    </w:p>
    <w:p>
      <w:pPr>
        <w:pStyle w:val="Style24"/>
        <w:keepNext/>
        <w:keepLines/>
        <w:widowControl w:val="0"/>
        <w:shd w:val="clear" w:color="auto" w:fill="auto"/>
        <w:tabs>
          <w:tab w:pos="378" w:val="left"/>
        </w:tabs>
        <w:bidi w:val="0"/>
        <w:spacing w:before="0" w:after="320" w:line="240" w:lineRule="auto"/>
        <w:ind w:left="0" w:right="0" w:firstLine="0"/>
        <w:jc w:val="left"/>
      </w:pPr>
      <w:bookmarkStart w:id="2121" w:name="bookmark2121"/>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5</w:t>
      </w:r>
      <w:bookmarkEnd w:id="2123"/>
      <w:r>
        <w:rPr>
          <w:color w:val="000000"/>
          <w:spacing w:val="0"/>
          <w:w w:val="100"/>
          <w:position w:val="0"/>
        </w:rPr>
        <w:t>、</w:t>
        <w:tab/>
        <w:t>持续的第三层次公允价值计量项目，期初与期末账面价值间的调节信息及不可观察参数敏感性分析</w:t>
      </w:r>
      <w:bookmarkEnd w:id="2121"/>
      <w:bookmarkEnd w:id="2122"/>
      <w:bookmarkEnd w:id="2124"/>
    </w:p>
    <w:p>
      <w:pPr>
        <w:pStyle w:val="Style24"/>
        <w:keepNext/>
        <w:keepLines/>
        <w:widowControl w:val="0"/>
        <w:shd w:val="clear" w:color="auto" w:fill="auto"/>
        <w:tabs>
          <w:tab w:pos="378" w:val="left"/>
        </w:tabs>
        <w:bidi w:val="0"/>
        <w:spacing w:before="0" w:after="320" w:line="240" w:lineRule="auto"/>
        <w:ind w:left="0" w:right="0" w:firstLine="0"/>
        <w:jc w:val="left"/>
      </w:pPr>
      <w:bookmarkStart w:id="2125" w:name="bookmark2125"/>
      <w:bookmarkStart w:id="2126" w:name="bookmark2126"/>
      <w:bookmarkStart w:id="2127" w:name="bookmark2127"/>
      <w:bookmarkStart w:id="2128" w:name="bookmark2128"/>
      <w:r>
        <w:rPr>
          <w:rFonts w:ascii="Times New Roman" w:eastAsia="Times New Roman" w:hAnsi="Times New Roman" w:cs="Times New Roman"/>
          <w:color w:val="000000"/>
          <w:spacing w:val="0"/>
          <w:w w:val="100"/>
          <w:position w:val="0"/>
        </w:rPr>
        <w:t>6</w:t>
      </w:r>
      <w:bookmarkEnd w:id="2127"/>
      <w:r>
        <w:rPr>
          <w:color w:val="000000"/>
          <w:spacing w:val="0"/>
          <w:w w:val="100"/>
          <w:position w:val="0"/>
        </w:rPr>
        <w:t>、</w:t>
        <w:tab/>
        <w:t>持续的公允价值计量项目，本期内发生各层级之间转换的，转换的原因及确定转换时点的政策</w:t>
      </w:r>
      <w:bookmarkEnd w:id="2125"/>
      <w:bookmarkEnd w:id="2126"/>
      <w:bookmarkEnd w:id="2128"/>
    </w:p>
    <w:p>
      <w:pPr>
        <w:pStyle w:val="Style24"/>
        <w:keepNext/>
        <w:keepLines/>
        <w:widowControl w:val="0"/>
        <w:shd w:val="clear" w:color="auto" w:fill="auto"/>
        <w:tabs>
          <w:tab w:pos="378" w:val="left"/>
        </w:tabs>
        <w:bidi w:val="0"/>
        <w:spacing w:before="0" w:after="320" w:line="240" w:lineRule="auto"/>
        <w:ind w:left="0" w:right="0" w:firstLine="0"/>
        <w:jc w:val="left"/>
      </w:pPr>
      <w:bookmarkStart w:id="2129" w:name="bookmark2129"/>
      <w:bookmarkStart w:id="2130" w:name="bookmark2130"/>
      <w:bookmarkStart w:id="2131" w:name="bookmark2131"/>
      <w:bookmarkStart w:id="2132" w:name="bookmark2132"/>
      <w:r>
        <w:rPr>
          <w:rFonts w:ascii="Times New Roman" w:eastAsia="Times New Roman" w:hAnsi="Times New Roman" w:cs="Times New Roman"/>
          <w:color w:val="000000"/>
          <w:spacing w:val="0"/>
          <w:w w:val="100"/>
          <w:position w:val="0"/>
        </w:rPr>
        <w:t>7</w:t>
      </w:r>
      <w:bookmarkEnd w:id="2131"/>
      <w:r>
        <w:rPr>
          <w:color w:val="000000"/>
          <w:spacing w:val="0"/>
          <w:w w:val="100"/>
          <w:position w:val="0"/>
        </w:rPr>
        <w:t>、</w:t>
        <w:tab/>
        <w:t>本期内发生的估值技术变更及变更原因</w:t>
      </w:r>
      <w:bookmarkEnd w:id="2129"/>
      <w:bookmarkEnd w:id="2130"/>
      <w:bookmarkEnd w:id="2132"/>
    </w:p>
    <w:p>
      <w:pPr>
        <w:pStyle w:val="Style24"/>
        <w:keepNext/>
        <w:keepLines/>
        <w:widowControl w:val="0"/>
        <w:shd w:val="clear" w:color="auto" w:fill="auto"/>
        <w:tabs>
          <w:tab w:pos="378" w:val="left"/>
        </w:tabs>
        <w:bidi w:val="0"/>
        <w:spacing w:before="0" w:after="320" w:line="240" w:lineRule="auto"/>
        <w:ind w:left="0" w:right="0" w:firstLine="0"/>
        <w:jc w:val="left"/>
      </w:pPr>
      <w:bookmarkStart w:id="2133" w:name="bookmark2133"/>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8</w:t>
      </w:r>
      <w:bookmarkEnd w:id="2135"/>
      <w:r>
        <w:rPr>
          <w:color w:val="000000"/>
          <w:spacing w:val="0"/>
          <w:w w:val="100"/>
          <w:position w:val="0"/>
        </w:rPr>
        <w:t>、</w:t>
        <w:tab/>
        <w:t>不以公允价值计量的金融资产和金融负债的公允价值情况</w:t>
      </w:r>
      <w:bookmarkEnd w:id="2133"/>
      <w:bookmarkEnd w:id="2134"/>
      <w:bookmarkEnd w:id="2136"/>
    </w:p>
    <w:p>
      <w:pPr>
        <w:pStyle w:val="Style15"/>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期末公司以摊余成本计量的金融资产和金融负债主要包括：货币资金、应收票据、应收账款、其他应收款、合同资产、 债权投资、短期借款、应付票据、应付账款、其他应付款、一年内到期的非流动负债、租赁负债等。以上不以公允价值计量 的金融资产和金融负债的账面价值与公允价值相差很小。</w:t>
      </w:r>
    </w:p>
    <w:p>
      <w:pPr>
        <w:pStyle w:val="Style110"/>
        <w:keepNext w:val="0"/>
        <w:keepLines w:val="0"/>
        <w:widowControl w:val="0"/>
        <w:shd w:val="clear" w:color="auto" w:fill="auto"/>
        <w:tabs>
          <w:tab w:pos="378" w:val="left"/>
        </w:tabs>
        <w:bidi w:val="0"/>
        <w:spacing w:before="0" w:after="320" w:line="240" w:lineRule="auto"/>
        <w:ind w:left="0" w:right="0" w:firstLine="0"/>
        <w:jc w:val="left"/>
      </w:pPr>
      <w:bookmarkStart w:id="2137" w:name="bookmark2137"/>
      <w:r>
        <w:rPr>
          <w:rFonts w:ascii="Times New Roman" w:eastAsia="Times New Roman" w:hAnsi="Times New Roman" w:cs="Times New Roman"/>
          <w:color w:val="000000"/>
          <w:spacing w:val="0"/>
          <w:w w:val="100"/>
          <w:position w:val="0"/>
        </w:rPr>
        <w:t>9</w:t>
      </w:r>
      <w:bookmarkEnd w:id="2137"/>
      <w:r>
        <w:rPr>
          <w:color w:val="000000"/>
          <w:spacing w:val="0"/>
          <w:w w:val="100"/>
          <w:position w:val="0"/>
        </w:rPr>
        <w:t>、</w:t>
        <w:tab/>
        <w:t>其他</w:t>
      </w:r>
      <w:r>
        <w:br w:type="page"/>
      </w:r>
    </w:p>
    <w:p>
      <w:pPr>
        <w:pStyle w:val="Style19"/>
        <w:keepNext/>
        <w:keepLines/>
        <w:widowControl w:val="0"/>
        <w:shd w:val="clear" w:color="auto" w:fill="auto"/>
        <w:bidi w:val="0"/>
        <w:spacing w:before="0" w:after="340" w:line="240" w:lineRule="auto"/>
        <w:ind w:left="0" w:right="0" w:firstLine="0"/>
        <w:jc w:val="both"/>
      </w:pPr>
      <w:bookmarkStart w:id="2138" w:name="bookmark2138"/>
      <w:bookmarkStart w:id="2139" w:name="bookmark2139"/>
      <w:bookmarkStart w:id="2140" w:name="bookmark2140"/>
      <w:r>
        <w:rPr>
          <w:color w:val="000000"/>
          <w:spacing w:val="0"/>
          <w:w w:val="100"/>
          <w:position w:val="0"/>
          <w:sz w:val="24"/>
          <w:szCs w:val="24"/>
        </w:rPr>
        <w:t>十二、关联方及关联交易</w:t>
      </w:r>
      <w:bookmarkEnd w:id="2138"/>
      <w:bookmarkEnd w:id="2139"/>
      <w:bookmarkEnd w:id="2140"/>
    </w:p>
    <w:p>
      <w:pPr>
        <w:pStyle w:val="Style24"/>
        <w:keepNext/>
        <w:keepLines/>
        <w:widowControl w:val="0"/>
        <w:shd w:val="clear" w:color="auto" w:fill="auto"/>
        <w:bidi w:val="0"/>
        <w:spacing w:before="0" w:after="340" w:line="240" w:lineRule="auto"/>
        <w:ind w:left="0" w:right="0" w:firstLine="0"/>
        <w:jc w:val="both"/>
      </w:pPr>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141"/>
      <w:bookmarkEnd w:id="2142"/>
      <w:bookmarkEnd w:id="2143"/>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bl>
    <w:p>
      <w:pPr>
        <w:pStyle w:val="Style15"/>
        <w:keepNext w:val="0"/>
        <w:keepLines w:val="0"/>
        <w:widowControl w:val="0"/>
        <w:shd w:val="clear" w:color="auto" w:fill="auto"/>
        <w:bidi w:val="0"/>
        <w:spacing w:before="0" w:after="60" w:line="310" w:lineRule="exact"/>
        <w:ind w:left="0" w:right="0" w:firstLine="0"/>
        <w:jc w:val="both"/>
      </w:pPr>
      <w:r>
        <w:rPr>
          <w:color w:val="000000"/>
          <w:spacing w:val="0"/>
          <w:w w:val="100"/>
          <w:position w:val="0"/>
        </w:rPr>
        <w:t>本企业的母公司情况的说明</w:t>
      </w:r>
    </w:p>
    <w:p>
      <w:pPr>
        <w:pStyle w:val="Style15"/>
        <w:keepNext w:val="0"/>
        <w:keepLines w:val="0"/>
        <w:widowControl w:val="0"/>
        <w:shd w:val="clear" w:color="auto" w:fill="auto"/>
        <w:bidi w:val="0"/>
        <w:spacing w:before="0" w:after="60" w:line="310" w:lineRule="exact"/>
        <w:ind w:left="0" w:right="0" w:firstLine="0"/>
        <w:jc w:val="both"/>
      </w:pPr>
      <w:r>
        <w:rPr>
          <w:color w:val="000000"/>
          <w:spacing w:val="0"/>
          <w:w w:val="100"/>
          <w:position w:val="0"/>
        </w:rPr>
        <w:t>本企业最终控制方是葛航。</w:t>
      </w:r>
    </w:p>
    <w:p>
      <w:pPr>
        <w:pStyle w:val="Style15"/>
        <w:keepNext w:val="0"/>
        <w:keepLines w:val="0"/>
        <w:widowControl w:val="0"/>
        <w:shd w:val="clear" w:color="auto" w:fill="auto"/>
        <w:bidi w:val="0"/>
        <w:spacing w:before="0" w:after="340" w:line="310" w:lineRule="exact"/>
        <w:ind w:left="0" w:right="0" w:firstLine="0"/>
        <w:jc w:val="both"/>
      </w:pPr>
      <w:r>
        <w:rPr>
          <w:color w:val="000000"/>
          <w:spacing w:val="0"/>
          <w:w w:val="100"/>
          <w:position w:val="0"/>
        </w:rPr>
        <w:t>其他说明：本公司最终控制方是葛航。葛航直接持有本公司</w:t>
      </w:r>
      <w:r>
        <w:rPr>
          <w:rFonts w:ascii="Times New Roman" w:eastAsia="Times New Roman" w:hAnsi="Times New Roman" w:cs="Times New Roman"/>
          <w:color w:val="000000"/>
          <w:spacing w:val="0"/>
          <w:w w:val="100"/>
          <w:position w:val="0"/>
        </w:rPr>
        <w:t>14.85%</w:t>
      </w:r>
      <w:r>
        <w:rPr>
          <w:color w:val="000000"/>
          <w:spacing w:val="0"/>
          <w:w w:val="100"/>
          <w:position w:val="0"/>
        </w:rPr>
        <w:t>的股权；葛航持有福鼎聚赢企业管理合伙企业（有限合 伙）</w:t>
      </w:r>
      <w:r>
        <w:rPr>
          <w:rFonts w:ascii="Times New Roman" w:eastAsia="Times New Roman" w:hAnsi="Times New Roman" w:cs="Times New Roman"/>
          <w:color w:val="000000"/>
          <w:spacing w:val="0"/>
          <w:w w:val="100"/>
          <w:position w:val="0"/>
        </w:rPr>
        <w:t>71.4391%</w:t>
      </w:r>
      <w:r>
        <w:rPr>
          <w:color w:val="000000"/>
          <w:spacing w:val="0"/>
          <w:w w:val="100"/>
          <w:position w:val="0"/>
        </w:rPr>
        <w:t>的股权，福鼎聚赢企业管理合伙企业（有限合伙）持有福鼎嘉盈企业管理咨询有限公司</w:t>
      </w:r>
      <w:r>
        <w:rPr>
          <w:rFonts w:ascii="Times New Roman" w:eastAsia="Times New Roman" w:hAnsi="Times New Roman" w:cs="Times New Roman"/>
          <w:color w:val="000000"/>
          <w:spacing w:val="0"/>
          <w:w w:val="100"/>
          <w:position w:val="0"/>
        </w:rPr>
        <w:t>99.90%</w:t>
      </w:r>
      <w:r>
        <w:rPr>
          <w:color w:val="000000"/>
          <w:spacing w:val="0"/>
          <w:w w:val="100"/>
          <w:position w:val="0"/>
        </w:rPr>
        <w:t>，福鼎嘉盈企 业管理咨询有限公司持有本公司</w:t>
      </w:r>
      <w:r>
        <w:rPr>
          <w:rFonts w:ascii="Times New Roman" w:eastAsia="Times New Roman" w:hAnsi="Times New Roman" w:cs="Times New Roman"/>
          <w:color w:val="000000"/>
          <w:spacing w:val="0"/>
          <w:w w:val="100"/>
          <w:position w:val="0"/>
        </w:rPr>
        <w:t>4.97%</w:t>
      </w:r>
      <w:r>
        <w:rPr>
          <w:color w:val="000000"/>
          <w:spacing w:val="0"/>
          <w:w w:val="100"/>
          <w:position w:val="0"/>
        </w:rPr>
        <w:t>的股权，因此葛航直接和间接持有公司合计</w:t>
      </w:r>
      <w:r>
        <w:rPr>
          <w:rFonts w:ascii="Times New Roman" w:eastAsia="Times New Roman" w:hAnsi="Times New Roman" w:cs="Times New Roman"/>
          <w:color w:val="000000"/>
          <w:spacing w:val="0"/>
          <w:w w:val="100"/>
          <w:position w:val="0"/>
        </w:rPr>
        <w:t>18.40%</w:t>
      </w:r>
      <w:r>
        <w:rPr>
          <w:color w:val="000000"/>
          <w:spacing w:val="0"/>
          <w:w w:val="100"/>
          <w:position w:val="0"/>
        </w:rPr>
        <w:t>的股权和</w:t>
      </w:r>
      <w:r>
        <w:rPr>
          <w:rFonts w:ascii="Times New Roman" w:eastAsia="Times New Roman" w:hAnsi="Times New Roman" w:cs="Times New Roman"/>
          <w:color w:val="000000"/>
          <w:spacing w:val="0"/>
          <w:w w:val="100"/>
          <w:position w:val="0"/>
        </w:rPr>
        <w:t>19.82%</w:t>
      </w:r>
      <w:r>
        <w:rPr>
          <w:color w:val="000000"/>
          <w:spacing w:val="0"/>
          <w:w w:val="100"/>
          <w:position w:val="0"/>
        </w:rPr>
        <w:t>的表决权。</w:t>
      </w:r>
    </w:p>
    <w:p>
      <w:pPr>
        <w:pStyle w:val="Style24"/>
        <w:keepNext/>
        <w:keepLines/>
        <w:widowControl w:val="0"/>
        <w:shd w:val="clear" w:color="auto" w:fill="auto"/>
        <w:tabs>
          <w:tab w:pos="378" w:val="left"/>
        </w:tabs>
        <w:bidi w:val="0"/>
        <w:spacing w:before="0" w:after="260" w:line="240" w:lineRule="auto"/>
        <w:ind w:left="0" w:right="0" w:firstLine="0"/>
        <w:jc w:val="both"/>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2</w:t>
      </w:r>
      <w:bookmarkEnd w:id="2146"/>
      <w:r>
        <w:rPr>
          <w:color w:val="000000"/>
          <w:spacing w:val="0"/>
          <w:w w:val="100"/>
          <w:position w:val="0"/>
        </w:rPr>
        <w:t>、</w:t>
        <w:tab/>
        <w:t>本企业的子公司情况</w:t>
      </w:r>
      <w:bookmarkEnd w:id="2144"/>
      <w:bookmarkEnd w:id="2145"/>
      <w:bookmarkEnd w:id="2147"/>
    </w:p>
    <w:p>
      <w:pPr>
        <w:pStyle w:val="Style15"/>
        <w:keepNext w:val="0"/>
        <w:keepLines w:val="0"/>
        <w:widowControl w:val="0"/>
        <w:shd w:val="clear" w:color="auto" w:fill="auto"/>
        <w:bidi w:val="0"/>
        <w:spacing w:before="0" w:after="340" w:line="310" w:lineRule="exact"/>
        <w:ind w:left="0" w:right="0" w:firstLine="0"/>
        <w:jc w:val="both"/>
      </w:pPr>
      <w:r>
        <w:rPr>
          <w:color w:val="000000"/>
          <w:spacing w:val="0"/>
          <w:w w:val="100"/>
          <w:position w:val="0"/>
        </w:rPr>
        <w:t>本企业子公司的情况详见附注在其他主体中的权益。</w:t>
      </w:r>
    </w:p>
    <w:p>
      <w:pPr>
        <w:pStyle w:val="Style24"/>
        <w:keepNext/>
        <w:keepLines/>
        <w:widowControl w:val="0"/>
        <w:shd w:val="clear" w:color="auto" w:fill="auto"/>
        <w:tabs>
          <w:tab w:pos="378" w:val="left"/>
        </w:tabs>
        <w:bidi w:val="0"/>
        <w:spacing w:before="0" w:after="260" w:line="240" w:lineRule="auto"/>
        <w:ind w:left="0" w:right="0" w:firstLine="0"/>
        <w:jc w:val="both"/>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3</w:t>
      </w:r>
      <w:bookmarkEnd w:id="2150"/>
      <w:r>
        <w:rPr>
          <w:color w:val="000000"/>
          <w:spacing w:val="0"/>
          <w:w w:val="100"/>
          <w:position w:val="0"/>
        </w:rPr>
        <w:t>、</w:t>
        <w:tab/>
        <w:t>本企业合营和联营企业情况</w:t>
      </w:r>
      <w:bookmarkEnd w:id="2148"/>
      <w:bookmarkEnd w:id="2149"/>
      <w:bookmarkEnd w:id="2151"/>
    </w:p>
    <w:p>
      <w:pPr>
        <w:pStyle w:val="Style15"/>
        <w:keepNext w:val="0"/>
        <w:keepLines w:val="0"/>
        <w:widowControl w:val="0"/>
        <w:shd w:val="clear" w:color="auto" w:fill="auto"/>
        <w:bidi w:val="0"/>
        <w:spacing w:before="0" w:after="60" w:line="310" w:lineRule="exact"/>
        <w:ind w:left="0" w:right="0" w:firstLine="0"/>
        <w:jc w:val="both"/>
      </w:pPr>
      <w:r>
        <w:rPr>
          <w:color w:val="000000"/>
          <w:spacing w:val="0"/>
          <w:w w:val="100"/>
          <w:position w:val="0"/>
        </w:rPr>
        <w:t>本企业重要的合营或联营企业详见附注在其他主体中的权益。</w:t>
      </w:r>
    </w:p>
    <w:p>
      <w:pPr>
        <w:pStyle w:val="Style15"/>
        <w:keepNext w:val="0"/>
        <w:keepLines w:val="0"/>
        <w:widowControl w:val="0"/>
        <w:shd w:val="clear" w:color="auto" w:fill="auto"/>
        <w:bidi w:val="0"/>
        <w:spacing w:before="0" w:after="60" w:line="310" w:lineRule="exact"/>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杭州梅清数码科技有限公司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月开始为本公司联营企业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北京童康医疗信息技术有限公司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月前为本公司联营企业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成都米索信息技术有限公司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59" w:line="1" w:lineRule="exact"/>
      </w:pPr>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after="340" w:line="240" w:lineRule="auto"/>
        <w:ind w:left="0" w:right="0" w:firstLine="0"/>
        <w:jc w:val="both"/>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4</w:t>
      </w:r>
      <w:bookmarkEnd w:id="2154"/>
      <w:r>
        <w:rPr>
          <w:color w:val="000000"/>
          <w:spacing w:val="0"/>
          <w:w w:val="100"/>
          <w:position w:val="0"/>
        </w:rPr>
        <w:t>、其他关联方情况</w:t>
      </w:r>
      <w:bookmarkEnd w:id="2152"/>
      <w:bookmarkEnd w:id="2153"/>
      <w:bookmarkEnd w:id="215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浙江建达科技股份有限公司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周建新（直接及间接持有本公司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以上股份）控制的企业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杭州爱葆云科技有限公司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杭州健保付网络科技有限公司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杭州亿家医养云科技有限公司（更名自杭州亿家健康管理 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杭州葛航茶文化发展有限公司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亿家生命健康管理（浙江）股份有限公司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北京精准高心健康管理有限公司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实际控制人控制的公司的联营企业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平湖市恒锐计算机软件开发有限公司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关键管理人员控制的公司</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亿医通（北京）信息技术有限公司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实际控制人关系密切之家庭成员担任董事的公司</w:t>
            </w:r>
          </w:p>
        </w:tc>
      </w:tr>
    </w:tbl>
    <w:p>
      <w:pPr>
        <w:widowControl w:val="0"/>
        <w:spacing w:line="1" w:lineRule="exact"/>
      </w:pPr>
      <w:r>
        <w:br w:type="page"/>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张崧、孙烈峰、许栋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本公司关键管理人员或其关系密切之家庭成员</w:t>
            </w:r>
          </w:p>
        </w:tc>
      </w:tr>
    </w:tbl>
    <w:p>
      <w:pPr>
        <w:widowControl w:val="0"/>
        <w:spacing w:after="99" w:line="1" w:lineRule="exact"/>
      </w:pP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40" w:line="240" w:lineRule="auto"/>
        <w:ind w:left="0" w:right="0" w:firstLine="0"/>
        <w:jc w:val="left"/>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5</w:t>
      </w:r>
      <w:bookmarkEnd w:id="2158"/>
      <w:r>
        <w:rPr>
          <w:color w:val="000000"/>
          <w:spacing w:val="0"/>
          <w:w w:val="100"/>
          <w:position w:val="0"/>
        </w:rPr>
        <w:t>、关联交易情况</w:t>
      </w:r>
      <w:bookmarkEnd w:id="2156"/>
      <w:bookmarkEnd w:id="2157"/>
      <w:bookmarkEnd w:id="2159"/>
    </w:p>
    <w:p>
      <w:pPr>
        <w:pStyle w:val="Style92"/>
        <w:keepNext/>
        <w:keepLines/>
        <w:widowControl w:val="0"/>
        <w:shd w:val="clear" w:color="auto" w:fill="auto"/>
        <w:bidi w:val="0"/>
        <w:spacing w:before="0" w:after="340" w:line="240" w:lineRule="auto"/>
        <w:ind w:left="0" w:right="0" w:firstLine="0"/>
        <w:jc w:val="left"/>
      </w:pPr>
      <w:bookmarkStart w:id="2160" w:name="bookmark2160"/>
      <w:bookmarkStart w:id="2161" w:name="bookmark2161"/>
      <w:bookmarkStart w:id="2162" w:name="bookmark21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60"/>
      <w:bookmarkEnd w:id="2161"/>
      <w:bookmarkEnd w:id="2162"/>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北京童康医疗信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4,019,933.85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浙江建达科技股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135,398.23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3,490,566.04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成都米索信息技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123,893.80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26,548.67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平湖市恒锐计算 机软件开发有限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亿医通（北京）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1,551,689.84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833,269.90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北京精准高心健 康管理有限公司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387,611.64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杭州葛航茶文化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36,810.60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杭州梅清数码科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软件咨询服务、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1,794,256.04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出售商品</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提供劳务情况表</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浙江建达科技股份有限公司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软件产品、运维服务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2,136,672.08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2,377,014.21</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购销商品、提供和接受劳务的关联交易说明</w:t>
      </w:r>
    </w:p>
    <w:p>
      <w:pPr>
        <w:widowControl w:val="0"/>
        <w:spacing w:after="339" w:line="1" w:lineRule="exact"/>
      </w:pPr>
    </w:p>
    <w:p>
      <w:pPr>
        <w:pStyle w:val="Style92"/>
        <w:keepNext/>
        <w:keepLines/>
        <w:widowControl w:val="0"/>
        <w:shd w:val="clear" w:color="auto" w:fill="auto"/>
        <w:bidi w:val="0"/>
        <w:spacing w:before="0" w:after="340" w:line="240" w:lineRule="auto"/>
        <w:ind w:left="0" w:right="0" w:firstLine="0"/>
        <w:jc w:val="left"/>
      </w:pPr>
      <w:bookmarkStart w:id="2163" w:name="bookmark2163"/>
      <w:bookmarkStart w:id="2164" w:name="bookmark2164"/>
      <w:bookmarkStart w:id="2165" w:name="bookmark21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63"/>
      <w:bookmarkEnd w:id="2164"/>
      <w:bookmarkEnd w:id="2165"/>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69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426"/>
      </w:tblGrid>
      <w:tr>
        <w:trPr>
          <w:trHeight w:val="312"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收益定价依据</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益</w:t>
            </w:r>
          </w:p>
        </w:tc>
      </w:tr>
      <w:tr>
        <w:trPr>
          <w:trHeight w:val="1109"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本期确认的托</w:t>
            </w:r>
          </w:p>
        </w:tc>
      </w:tr>
      <w:tr>
        <w:trPr>
          <w:trHeight w:val="269"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定价依据</w:t>
            </w:r>
          </w:p>
        </w:tc>
        <w:tc>
          <w:tcPr>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关联管理</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出包情况说明</w:t>
      </w:r>
    </w:p>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left"/>
      </w:pPr>
      <w:bookmarkStart w:id="2166" w:name="bookmark2166"/>
      <w:bookmarkStart w:id="2167" w:name="bookmark2167"/>
      <w:bookmarkStart w:id="2168" w:name="bookmark2168"/>
      <w:bookmarkStart w:id="2169" w:name="bookmark2169"/>
      <w:r>
        <w:rPr>
          <w:color w:val="000000"/>
          <w:spacing w:val="0"/>
          <w:w w:val="100"/>
          <w:position w:val="0"/>
        </w:rPr>
        <w:t>（</w:t>
      </w:r>
      <w:bookmarkEnd w:id="2168"/>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66"/>
      <w:bookmarkEnd w:id="2167"/>
      <w:bookmarkEnd w:id="2169"/>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395"/>
        <w:gridCol w:w="2390"/>
        <w:gridCol w:w="24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杭州葛航茶文化发展有限公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28,571.43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杭州亿家医养云科技有限公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299,982.00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1,011,642.59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亿家生命健康管理（浙江）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704,323.20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杭州健保付网络科技有限公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108,627.00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79,714.20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杭州梅清数码科技有限公司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331,593.15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杭州爱葆云科技有限公司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27,588.60</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关联租赁情况说明</w:t>
      </w:r>
    </w:p>
    <w:p>
      <w:pPr>
        <w:pStyle w:val="Style15"/>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本期，公司向以上关联单位出租房屋建筑物时，收取相关水电费</w:t>
      </w:r>
      <w:r>
        <w:rPr>
          <w:rFonts w:ascii="Times New Roman" w:eastAsia="Times New Roman" w:hAnsi="Times New Roman" w:cs="Times New Roman"/>
          <w:color w:val="000000"/>
          <w:spacing w:val="0"/>
          <w:w w:val="100"/>
          <w:position w:val="0"/>
        </w:rPr>
        <w:t>96,869.51</w:t>
      </w:r>
      <w:r>
        <w:rPr>
          <w:color w:val="000000"/>
          <w:spacing w:val="0"/>
          <w:w w:val="100"/>
          <w:position w:val="0"/>
        </w:rPr>
        <w:t>元；同时提供物业服务，本期收取相关物业 费</w:t>
      </w:r>
      <w:r>
        <w:rPr>
          <w:rFonts w:ascii="Times New Roman" w:eastAsia="Times New Roman" w:hAnsi="Times New Roman" w:cs="Times New Roman"/>
          <w:color w:val="000000"/>
          <w:spacing w:val="0"/>
          <w:w w:val="100"/>
          <w:position w:val="0"/>
        </w:rPr>
        <w:t xml:space="preserve">288,836.21 </w:t>
      </w:r>
      <w:r>
        <w:rPr>
          <w:color w:val="000000"/>
          <w:spacing w:val="0"/>
          <w:w w:val="100"/>
          <w:position w:val="0"/>
        </w:rPr>
        <w:t>元。</w:t>
      </w:r>
    </w:p>
    <w:p>
      <w:pPr>
        <w:pStyle w:val="Style92"/>
        <w:keepNext/>
        <w:keepLines/>
        <w:widowControl w:val="0"/>
        <w:shd w:val="clear" w:color="auto" w:fill="auto"/>
        <w:bidi w:val="0"/>
        <w:spacing w:before="0" w:after="300" w:line="240" w:lineRule="auto"/>
        <w:ind w:left="0" w:right="0" w:firstLine="0"/>
        <w:jc w:val="left"/>
      </w:pPr>
      <w:bookmarkStart w:id="2170" w:name="bookmark2170"/>
      <w:bookmarkStart w:id="2171" w:name="bookmark2171"/>
      <w:bookmarkStart w:id="2172" w:name="bookmark2172"/>
      <w:bookmarkStart w:id="2173" w:name="bookmark2173"/>
      <w:r>
        <w:rPr>
          <w:color w:val="000000"/>
          <w:spacing w:val="0"/>
          <w:w w:val="100"/>
          <w:position w:val="0"/>
        </w:rPr>
        <w:t>（</w:t>
      </w:r>
      <w:bookmarkEnd w:id="2172"/>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70"/>
      <w:bookmarkEnd w:id="2171"/>
      <w:bookmarkEnd w:id="2173"/>
    </w:p>
    <w:p>
      <w:pPr>
        <w:pStyle w:val="Style15"/>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本公司作为担保方</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担保是否已经履行完</w:t>
            </w:r>
          </w:p>
        </w:tc>
      </w:tr>
    </w:tbl>
    <w:p>
      <w:pPr>
        <w:spacing w:lineRule="exact" w:line="1"/>
        <w:rPr>
          <w:sz w:val="2"/>
          <w:szCs w:val="2"/>
        </w:rPr>
      </w:pPr>
      <w:r>
        <w:br w:type="page"/>
      </w:r>
    </w:p>
    <w:p>
      <w:pPr>
        <w:pStyle w:val="Style15"/>
        <w:keepNext w:val="0"/>
        <w:keepLines w:val="0"/>
        <w:widowControl w:val="0"/>
        <w:pBdr>
          <w:top w:val="single" w:sz="0" w:space="2" w:color="D3D3D3"/>
          <w:left w:val="single" w:sz="0" w:space="0" w:color="D3D3D3"/>
          <w:bottom w:val="single" w:sz="0" w:space="6" w:color="D3D3D3"/>
          <w:right w:val="single" w:sz="0" w:space="0" w:color="D3D3D3"/>
        </w:pBdr>
        <w:shd w:val="clear" w:color="auto" w:fill="D3D3D3"/>
        <w:tabs>
          <w:tab w:leader="underscore" w:pos="1896" w:val="left"/>
          <w:tab w:pos="8520" w:val="left"/>
        </w:tabs>
        <w:bidi w:val="0"/>
        <w:spacing w:before="0" w:after="0" w:line="240" w:lineRule="auto"/>
        <w:ind w:left="0" w:right="0" w:firstLine="0"/>
        <w:jc w:val="left"/>
      </w:pPr>
      <w:r>
        <mc:AlternateContent>
          <mc:Choice Requires="wps">
            <w:drawing>
              <wp:anchor distT="0" distB="0" distL="0" distR="0" simplePos="0" relativeHeight="125829413" behindDoc="0" locked="0" layoutInCell="1" allowOverlap="1">
                <wp:simplePos x="0" y="0"/>
                <wp:positionH relativeFrom="page">
                  <wp:posOffset>688340</wp:posOffset>
                </wp:positionH>
                <wp:positionV relativeFrom="margin">
                  <wp:posOffset>39370</wp:posOffset>
                </wp:positionV>
                <wp:extent cx="6083935" cy="234950"/>
                <wp:wrapTopAndBottom/>
                <wp:docPr id="47" name="Shape 47"/>
                <a:graphic xmlns:a="http://schemas.openxmlformats.org/drawingml/2006/main">
                  <a:graphicData uri="http://schemas.microsoft.com/office/word/2010/wordprocessingShape">
                    <wps:wsp>
                      <wps:cNvSpPr txBox="1"/>
                      <wps:spPr>
                        <a:xfrm>
                          <a:ext cx="6083935" cy="234950"/>
                        </a:xfrm>
                        <a:prstGeom prst="rect"/>
                        <a:noFill/>
                      </wps:spPr>
                      <wps:txbx>
                        <w:txbxContent>
                          <w:tbl>
                            <w:tblPr>
                              <w:tblOverlap w:val="never"/>
                              <w:jc w:val="left"/>
                              <w:tblLayout w:type="fixed"/>
                            </w:tblPr>
                            <w:tblGrid>
                              <w:gridCol w:w="1920"/>
                              <w:gridCol w:w="1915"/>
                              <w:gridCol w:w="1915"/>
                              <w:gridCol w:w="1910"/>
                              <w:gridCol w:w="1920"/>
                            </w:tblGrid>
                            <w:tr>
                              <w:trPr>
                                <w:tblHeade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毕</w:t>
                                  </w:r>
                                </w:p>
                              </w:tc>
                            </w:tr>
                          </w:tbl>
                          <w:p>
                            <w:pPr>
                              <w:widowControl w:val="0"/>
                              <w:spacing w:line="1" w:lineRule="exact"/>
                            </w:pPr>
                          </w:p>
                        </w:txbxContent>
                      </wps:txbx>
                      <wps:bodyPr lIns="0" tIns="0" rIns="0" bIns="0">
                        <a:noAutoFit/>
                      </wps:bodyPr>
                    </wps:wsp>
                  </a:graphicData>
                </a:graphic>
              </wp:anchor>
            </w:drawing>
          </mc:Choice>
          <mc:Fallback>
            <w:pict>
              <v:shape id="_x0000_s1073" type="#_x0000_t202" style="position:absolute;margin-left:54.200000000000003pt;margin-top:3.1000000000000001pt;width:479.05000000000001pt;height:18.5pt;z-index:-125829340;mso-wrap-distance-left:0;mso-wrap-distance-right:0;mso-position-horizontal-relative:page;mso-position-vertical-relative:margin" filled="f" stroked="f">
                <v:textbox inset="0,0,0,0">
                  <w:txbxContent>
                    <w:tbl>
                      <w:tblPr>
                        <w:tblOverlap w:val="never"/>
                        <w:jc w:val="left"/>
                        <w:tblLayout w:type="fixed"/>
                      </w:tblPr>
                      <w:tblGrid>
                        <w:gridCol w:w="1920"/>
                        <w:gridCol w:w="1915"/>
                        <w:gridCol w:w="1915"/>
                        <w:gridCol w:w="1910"/>
                        <w:gridCol w:w="1920"/>
                      </w:tblGrid>
                      <w:tr>
                        <w:trPr>
                          <w:tblHeade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毕</w:t>
                            </w:r>
                          </w:p>
                        </w:tc>
                      </w:tr>
                    </w:tbl>
                    <w:p>
                      <w:pPr>
                        <w:widowControl w:val="0"/>
                        <w:spacing w:line="1" w:lineRule="exact"/>
                      </w:pPr>
                    </w:p>
                  </w:txbxContent>
                </v:textbox>
                <w10:wrap type="topAndBottom" anchorx="page" anchory="margin"/>
              </v:shape>
            </w:pict>
          </mc:Fallback>
        </mc:AlternateContent>
      </w:r>
      <w:r>
        <w:rPr>
          <w:color w:val="000000"/>
          <w:spacing w:val="0"/>
          <w:w w:val="100"/>
          <w:position w:val="0"/>
        </w:rPr>
        <w:tab/>
        <w:t xml:space="preserve"> </w:t>
      </w:r>
      <w:r>
        <w:rPr>
          <w:color w:val="000000"/>
          <w:spacing w:val="0"/>
          <w:w w:val="100"/>
          <w:position w:val="0"/>
          <w:u w:val="single"/>
        </w:rPr>
        <w:t>|</w:t>
        <w:tab/>
        <w:t>毕</w:t>
      </w:r>
    </w:p>
    <w:p>
      <w:pPr>
        <w:pStyle w:val="Style15"/>
        <w:keepNext w:val="0"/>
        <w:keepLines w:val="0"/>
        <w:widowControl w:val="0"/>
        <w:shd w:val="clear" w:color="auto" w:fill="auto"/>
        <w:bidi w:val="0"/>
        <w:spacing w:before="80" w:after="360" w:line="240" w:lineRule="auto"/>
        <w:ind w:left="0" w:right="0" w:firstLine="0"/>
        <w:jc w:val="left"/>
      </w:pPr>
      <w:r>
        <w:rPr>
          <w:color w:val="000000"/>
          <w:spacing w:val="0"/>
          <w:w w:val="100"/>
          <w:position w:val="0"/>
        </w:rPr>
        <w:t>关联担保情况说明</w:t>
      </w:r>
    </w:p>
    <w:p>
      <w:pPr>
        <w:pStyle w:val="Style92"/>
        <w:keepNext/>
        <w:keepLines/>
        <w:widowControl w:val="0"/>
        <w:shd w:val="clear" w:color="auto" w:fill="auto"/>
        <w:bidi w:val="0"/>
        <w:spacing w:before="0" w:after="0" w:line="240" w:lineRule="auto"/>
        <w:ind w:left="0" w:right="0" w:firstLine="0"/>
        <w:jc w:val="left"/>
      </w:pPr>
      <w:r>
        <w:drawing>
          <wp:anchor distT="165100" distB="0" distL="114300" distR="114300" simplePos="0" relativeHeight="125829415" behindDoc="0" locked="0" layoutInCell="1" allowOverlap="1">
            <wp:simplePos x="0" y="0"/>
            <wp:positionH relativeFrom="page">
              <wp:posOffset>688340</wp:posOffset>
            </wp:positionH>
            <wp:positionV relativeFrom="margin">
              <wp:posOffset>1124585</wp:posOffset>
            </wp:positionV>
            <wp:extent cx="6120130" cy="951230"/>
            <wp:wrapTopAndBottom/>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25"/>
                    <a:stretch/>
                  </pic:blipFill>
                  <pic:spPr>
                    <a:xfrm>
                      <a:ext cx="6120130" cy="951230"/>
                    </a:xfrm>
                    <a:prstGeom prst="rect"/>
                  </pic:spPr>
                </pic:pic>
              </a:graphicData>
            </a:graphic>
          </wp:anchor>
        </w:drawing>
      </w:r>
      <w:bookmarkStart w:id="2174" w:name="bookmark2174"/>
      <w:bookmarkStart w:id="2175" w:name="bookmark2175"/>
      <w:bookmarkStart w:id="2176" w:name="bookmark2176"/>
      <w:bookmarkStart w:id="2177" w:name="bookmark2177"/>
      <w:r>
        <w:rPr>
          <w:color w:val="000000"/>
          <w:spacing w:val="0"/>
          <w:w w:val="100"/>
          <w:position w:val="0"/>
        </w:rPr>
        <w:t>（</w:t>
      </w:r>
      <w:bookmarkEnd w:id="2176"/>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174"/>
      <w:bookmarkEnd w:id="2175"/>
      <w:bookmarkEnd w:id="2177"/>
    </w:p>
    <w:p>
      <w:pPr>
        <w:pStyle w:val="Style92"/>
        <w:keepNext/>
        <w:keepLines/>
        <w:widowControl w:val="0"/>
        <w:shd w:val="clear" w:color="auto" w:fill="auto"/>
        <w:bidi w:val="0"/>
        <w:spacing w:before="0" w:after="360" w:line="240" w:lineRule="auto"/>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178"/>
      <w:bookmarkEnd w:id="2179"/>
      <w:bookmarkEnd w:id="218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99" w:line="1" w:lineRule="exact"/>
      </w:pPr>
    </w:p>
    <w:p>
      <w:pPr>
        <w:pStyle w:val="Style92"/>
        <w:keepNext/>
        <w:keepLines/>
        <w:widowControl w:val="0"/>
        <w:shd w:val="clear" w:color="auto" w:fill="auto"/>
        <w:bidi w:val="0"/>
        <w:spacing w:before="0" w:after="360" w:line="240" w:lineRule="auto"/>
        <w:ind w:left="0" w:right="0" w:firstLine="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182"/>
      <w:bookmarkEnd w:id="2183"/>
      <w:bookmarkEnd w:id="218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6,868,600.00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6,667,600.00</w:t>
            </w:r>
          </w:p>
        </w:tc>
      </w:tr>
    </w:tbl>
    <w:p>
      <w:pPr>
        <w:widowControl w:val="0"/>
        <w:spacing w:after="299" w:line="1" w:lineRule="exact"/>
      </w:pPr>
    </w:p>
    <w:p>
      <w:pPr>
        <w:pStyle w:val="Style92"/>
        <w:keepNext/>
        <w:keepLines/>
        <w:widowControl w:val="0"/>
        <w:shd w:val="clear" w:color="auto" w:fill="auto"/>
        <w:bidi w:val="0"/>
        <w:spacing w:before="0" w:after="300" w:line="240" w:lineRule="auto"/>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86"/>
      <w:bookmarkEnd w:id="2187"/>
      <w:bookmarkEnd w:id="2189"/>
    </w:p>
    <w:p>
      <w:pPr>
        <w:pStyle w:val="Style15"/>
        <w:keepNext w:val="0"/>
        <w:keepLines w:val="0"/>
        <w:widowControl w:val="0"/>
        <w:shd w:val="clear" w:color="auto" w:fill="auto"/>
        <w:bidi w:val="0"/>
        <w:spacing w:before="0" w:after="360" w:line="310" w:lineRule="exact"/>
        <w:ind w:left="0" w:right="0"/>
        <w:jc w:val="left"/>
      </w:pPr>
      <w:bookmarkStart w:id="2190" w:name="bookmark2190"/>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日，本公司与联营企业浙江创源环境科技股份有限公司（以下简称创源环境）签订《股份回购协议》， 创源环境拟以人民币</w:t>
      </w:r>
      <w:r>
        <w:rPr>
          <w:rFonts w:ascii="Times New Roman" w:eastAsia="Times New Roman" w:hAnsi="Times New Roman" w:cs="Times New Roman"/>
          <w:color w:val="000000"/>
          <w:spacing w:val="0"/>
          <w:w w:val="100"/>
          <w:position w:val="0"/>
        </w:rPr>
        <w:t>4,560.00</w:t>
      </w:r>
      <w:r>
        <w:rPr>
          <w:color w:val="000000"/>
          <w:spacing w:val="0"/>
          <w:w w:val="100"/>
          <w:position w:val="0"/>
        </w:rPr>
        <w:t>万元的价格回购公司持有的创源环境全部股权（</w:t>
      </w:r>
      <w:r>
        <w:rPr>
          <w:rFonts w:ascii="Times New Roman" w:eastAsia="Times New Roman" w:hAnsi="Times New Roman" w:cs="Times New Roman"/>
          <w:color w:val="000000"/>
          <w:spacing w:val="0"/>
          <w:w w:val="100"/>
          <w:position w:val="0"/>
        </w:rPr>
        <w:t>570</w:t>
      </w:r>
      <w:r>
        <w:rPr>
          <w:color w:val="000000"/>
          <w:spacing w:val="0"/>
          <w:w w:val="100"/>
          <w:position w:val="0"/>
        </w:rPr>
        <w:t>万股）。截至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 司收到创源环境股权回购款</w:t>
      </w:r>
      <w:r>
        <w:rPr>
          <w:rFonts w:ascii="Times New Roman" w:eastAsia="Times New Roman" w:hAnsi="Times New Roman" w:cs="Times New Roman"/>
          <w:color w:val="000000"/>
          <w:spacing w:val="0"/>
          <w:w w:val="100"/>
          <w:position w:val="0"/>
        </w:rPr>
        <w:t>2,052.00</w:t>
      </w:r>
      <w:r>
        <w:rPr>
          <w:color w:val="000000"/>
          <w:spacing w:val="0"/>
          <w:w w:val="100"/>
          <w:position w:val="0"/>
        </w:rPr>
        <w:t>万元，尚余</w:t>
      </w:r>
      <w:r>
        <w:rPr>
          <w:rFonts w:ascii="Times New Roman" w:eastAsia="Times New Roman" w:hAnsi="Times New Roman" w:cs="Times New Roman"/>
          <w:color w:val="000000"/>
          <w:spacing w:val="0"/>
          <w:w w:val="100"/>
          <w:position w:val="0"/>
        </w:rPr>
        <w:t>2,508.00</w:t>
      </w:r>
      <w:r>
        <w:rPr>
          <w:color w:val="000000"/>
          <w:spacing w:val="0"/>
          <w:w w:val="100"/>
          <w:position w:val="0"/>
        </w:rPr>
        <w:t>万元尚未支付。</w:t>
      </w:r>
      <w:bookmarkEnd w:id="2190"/>
    </w:p>
    <w:p>
      <w:pPr>
        <w:pStyle w:val="Style24"/>
        <w:keepNext/>
        <w:keepLines/>
        <w:widowControl w:val="0"/>
        <w:shd w:val="clear" w:color="auto" w:fill="auto"/>
        <w:bidi w:val="0"/>
        <w:spacing w:before="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6</w:t>
      </w:r>
      <w:bookmarkEnd w:id="2193"/>
      <w:r>
        <w:rPr>
          <w:color w:val="000000"/>
          <w:spacing w:val="0"/>
          <w:w w:val="100"/>
          <w:position w:val="0"/>
        </w:rPr>
        <w:t>、关联方应收应付款项</w:t>
      </w:r>
      <w:bookmarkEnd w:id="2191"/>
      <w:bookmarkEnd w:id="2192"/>
      <w:bookmarkEnd w:id="2194"/>
    </w:p>
    <w:p>
      <w:pPr>
        <w:pStyle w:val="Style92"/>
        <w:keepNext/>
        <w:keepLines/>
        <w:widowControl w:val="0"/>
        <w:shd w:val="clear" w:color="auto" w:fill="auto"/>
        <w:bidi w:val="0"/>
        <w:spacing w:before="0" w:after="360" w:line="240" w:lineRule="auto"/>
        <w:ind w:left="0" w:right="0" w:firstLine="0"/>
        <w:jc w:val="left"/>
      </w:pPr>
      <w:bookmarkStart w:id="2195" w:name="bookmark2195"/>
      <w:bookmarkStart w:id="2196" w:name="bookmark2196"/>
      <w:bookmarkStart w:id="2197" w:name="bookmark2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95"/>
      <w:bookmarkEnd w:id="2196"/>
      <w:bookmarkEnd w:id="219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浙江建达科技股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379,320.00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18,966.00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169,320.00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36,446.00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杭州健保付网络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6,249.60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14,062.23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703.11</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杭州亿家医养云 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266,493.05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13,324.65</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亿医通(北京)信 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92"/>
        <w:keepNext/>
        <w:keepLines/>
        <w:widowControl w:val="0"/>
        <w:shd w:val="clear" w:color="auto" w:fill="auto"/>
        <w:bidi w:val="0"/>
        <w:spacing w:before="0" w:after="340" w:line="240" w:lineRule="auto"/>
        <w:ind w:left="0" w:right="0" w:firstLine="0"/>
        <w:jc w:val="left"/>
      </w:pPr>
      <w:bookmarkStart w:id="2198" w:name="bookmark2198"/>
      <w:bookmarkStart w:id="2199" w:name="bookmark2199"/>
      <w:bookmarkStart w:id="2200" w:name="bookmark22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98"/>
      <w:bookmarkEnd w:id="2199"/>
      <w:bookmarkEnd w:id="2200"/>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杭州梅清数码科技有限公司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1,072,372.00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杭州梅清数码科技有限公司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45,724.83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杭州亿家医养云科技有限公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161,818.65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杭州梅清数码科技有限公司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31,784.59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张崧、孙烈峰、许栋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142,482.30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tabs>
          <w:tab w:pos="373" w:val="left"/>
        </w:tabs>
        <w:bidi w:val="0"/>
        <w:spacing w:before="0" w:after="340" w:line="240" w:lineRule="auto"/>
        <w:ind w:left="0" w:right="0" w:firstLine="0"/>
        <w:jc w:val="left"/>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7</w:t>
      </w:r>
      <w:bookmarkEnd w:id="2203"/>
      <w:r>
        <w:rPr>
          <w:color w:val="000000"/>
          <w:spacing w:val="0"/>
          <w:w w:val="100"/>
          <w:position w:val="0"/>
        </w:rPr>
        <w:t>、</w:t>
        <w:tab/>
        <w:t>关联方承诺</w:t>
      </w:r>
      <w:bookmarkEnd w:id="2201"/>
      <w:bookmarkEnd w:id="2202"/>
      <w:bookmarkEnd w:id="2204"/>
    </w:p>
    <w:p>
      <w:pPr>
        <w:pStyle w:val="Style24"/>
        <w:keepNext/>
        <w:keepLines/>
        <w:widowControl w:val="0"/>
        <w:shd w:val="clear" w:color="auto" w:fill="auto"/>
        <w:tabs>
          <w:tab w:pos="378" w:val="left"/>
        </w:tabs>
        <w:bidi w:val="0"/>
        <w:spacing w:before="0" w:after="340" w:line="240"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8</w:t>
      </w:r>
      <w:bookmarkEnd w:id="2207"/>
      <w:r>
        <w:rPr>
          <w:color w:val="000000"/>
          <w:spacing w:val="0"/>
          <w:w w:val="100"/>
          <w:position w:val="0"/>
        </w:rPr>
        <w:t>、</w:t>
        <w:tab/>
        <w:t>其他</w:t>
      </w:r>
      <w:bookmarkEnd w:id="2205"/>
      <w:bookmarkEnd w:id="2206"/>
      <w:bookmarkEnd w:id="2208"/>
    </w:p>
    <w:p>
      <w:pPr>
        <w:pStyle w:val="Style19"/>
        <w:keepNext/>
        <w:keepLines/>
        <w:widowControl w:val="0"/>
        <w:shd w:val="clear" w:color="auto" w:fill="auto"/>
        <w:bidi w:val="0"/>
        <w:spacing w:before="0" w:after="340" w:line="240" w:lineRule="auto"/>
        <w:ind w:left="0" w:right="0" w:firstLine="0"/>
        <w:jc w:val="left"/>
      </w:pPr>
      <w:bookmarkStart w:id="2209" w:name="bookmark2209"/>
      <w:bookmarkStart w:id="2210" w:name="bookmark2210"/>
      <w:bookmarkStart w:id="2211" w:name="bookmark2211"/>
      <w:r>
        <w:rPr>
          <w:color w:val="000000"/>
          <w:spacing w:val="0"/>
          <w:w w:val="100"/>
          <w:position w:val="0"/>
          <w:sz w:val="24"/>
          <w:szCs w:val="24"/>
        </w:rPr>
        <w:t>十三、股份支付</w:t>
      </w:r>
      <w:bookmarkEnd w:id="2209"/>
      <w:bookmarkEnd w:id="2210"/>
      <w:bookmarkEnd w:id="2211"/>
    </w:p>
    <w:p>
      <w:pPr>
        <w:pStyle w:val="Style24"/>
        <w:keepNext/>
        <w:keepLines/>
        <w:widowControl w:val="0"/>
        <w:shd w:val="clear" w:color="auto" w:fill="auto"/>
        <w:bidi w:val="0"/>
        <w:spacing w:before="0" w:after="340" w:line="240" w:lineRule="auto"/>
        <w:ind w:left="0" w:right="0" w:firstLine="0"/>
        <w:jc w:val="left"/>
      </w:pPr>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212"/>
      <w:bookmarkEnd w:id="2213"/>
      <w:bookmarkEnd w:id="2214"/>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34,399,156.00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1,260,545.00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年度授予的限制性股票行权价格</w:t>
            </w:r>
            <w:r>
              <w:rPr>
                <w:rFonts w:ascii="Times New Roman" w:eastAsia="Times New Roman" w:hAnsi="Times New Roman" w:cs="Times New Roman"/>
                <w:color w:val="000000"/>
                <w:spacing w:val="0"/>
                <w:w w:val="100"/>
                <w:position w:val="0"/>
              </w:rPr>
              <w:t>8.00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自授予日起分</w:t>
            </w:r>
            <w:r>
              <w:rPr>
                <w:rFonts w:ascii="Times New Roman" w:eastAsia="Times New Roman" w:hAnsi="Times New Roman" w:cs="Times New Roman"/>
                <w:color w:val="000000"/>
                <w:spacing w:val="0"/>
                <w:w w:val="100"/>
                <w:position w:val="0"/>
              </w:rPr>
              <w:t>3</w:t>
            </w:r>
            <w:r>
              <w:rPr>
                <w:color w:val="000000"/>
                <w:spacing w:val="0"/>
                <w:w w:val="100"/>
                <w:position w:val="0"/>
              </w:rPr>
              <w:t>年解锁，至</w:t>
            </w:r>
            <w:r>
              <w:rPr>
                <w:rFonts w:ascii="Times New Roman" w:eastAsia="Times New Roman" w:hAnsi="Times New Roman" w:cs="Times New Roman"/>
                <w:color w:val="000000"/>
                <w:spacing w:val="0"/>
                <w:w w:val="100"/>
                <w:position w:val="0"/>
              </w:rPr>
              <w:t>2022</w:t>
            </w:r>
            <w:r>
              <w:rPr>
                <w:color w:val="000000"/>
                <w:spacing w:val="0"/>
                <w:w w:val="100"/>
                <w:position w:val="0"/>
              </w:rPr>
              <w:t>年结束；</w:t>
            </w:r>
            <w:r>
              <w:rPr>
                <w:rFonts w:ascii="Times New Roman" w:eastAsia="Times New Roman" w:hAnsi="Times New Roman" w:cs="Times New Roman"/>
                <w:color w:val="000000"/>
                <w:spacing w:val="0"/>
                <w:w w:val="100"/>
                <w:position w:val="0"/>
              </w:rPr>
              <w:t>2020</w:t>
            </w:r>
            <w:r>
              <w:rPr>
                <w:color w:val="000000"/>
                <w:spacing w:val="0"/>
                <w:w w:val="100"/>
                <w:position w:val="0"/>
              </w:rPr>
              <w:t>年 度授予的限制性股票行权价格</w:t>
            </w:r>
            <w:r>
              <w:rPr>
                <w:rFonts w:ascii="Times New Roman" w:eastAsia="Times New Roman" w:hAnsi="Times New Roman" w:cs="Times New Roman"/>
                <w:color w:val="000000"/>
                <w:spacing w:val="0"/>
                <w:w w:val="100"/>
                <w:position w:val="0"/>
              </w:rPr>
              <w:t>7.56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股，自授予 日起分</w:t>
            </w:r>
            <w:r>
              <w:rPr>
                <w:rFonts w:ascii="Times New Roman" w:eastAsia="Times New Roman" w:hAnsi="Times New Roman" w:cs="Times New Roman"/>
                <w:color w:val="000000"/>
                <w:spacing w:val="0"/>
                <w:w w:val="100"/>
                <w:position w:val="0"/>
              </w:rPr>
              <w:t>2</w:t>
            </w:r>
            <w:r>
              <w:rPr>
                <w:color w:val="000000"/>
                <w:spacing w:val="0"/>
                <w:w w:val="100"/>
                <w:position w:val="0"/>
              </w:rPr>
              <w:t>年解锁，至</w:t>
            </w:r>
            <w:r>
              <w:rPr>
                <w:rFonts w:ascii="Times New Roman" w:eastAsia="Times New Roman" w:hAnsi="Times New Roman" w:cs="Times New Roman"/>
                <w:color w:val="000000"/>
                <w:spacing w:val="0"/>
                <w:w w:val="100"/>
                <w:position w:val="0"/>
              </w:rPr>
              <w:t>2022</w:t>
            </w:r>
            <w:r>
              <w:rPr>
                <w:color w:val="000000"/>
                <w:spacing w:val="0"/>
                <w:w w:val="100"/>
                <w:position w:val="0"/>
              </w:rPr>
              <w:t>年结束。</w:t>
            </w:r>
          </w:p>
        </w:tc>
      </w:tr>
    </w:tbl>
    <w:p>
      <w:pPr>
        <w:widowControl w:val="0"/>
        <w:spacing w:after="119" w:line="1" w:lineRule="exact"/>
      </w:pPr>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after="340" w:line="240" w:lineRule="auto"/>
        <w:ind w:left="0" w:right="0" w:firstLine="0"/>
        <w:jc w:val="both"/>
      </w:pPr>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215"/>
      <w:bookmarkEnd w:id="2216"/>
      <w:bookmarkEnd w:id="2217"/>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987"/>
        <w:gridCol w:w="459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采用授予日股票收盘价减组合期权价值的方法确定限制 性股票</w:t>
            </w:r>
            <w:r>
              <w:rPr>
                <w:rFonts w:ascii="Times New Roman" w:eastAsia="Times New Roman" w:hAnsi="Times New Roman" w:cs="Times New Roman"/>
                <w:color w:val="000000"/>
                <w:spacing w:val="0"/>
                <w:w w:val="100"/>
                <w:position w:val="0"/>
              </w:rPr>
              <w:t>/</w:t>
            </w:r>
            <w:r>
              <w:rPr>
                <w:color w:val="000000"/>
                <w:spacing w:val="0"/>
                <w:w w:val="100"/>
                <w:position w:val="0"/>
              </w:rPr>
              <w:t>股票期权的公允价值。</w:t>
            </w:r>
          </w:p>
        </w:tc>
      </w:tr>
    </w:tbl>
    <w:p>
      <w:pPr>
        <w:widowControl w:val="0"/>
        <w:spacing w:line="1" w:lineRule="exact"/>
      </w:pPr>
    </w:p>
    <w:tbl>
      <w:tblPr>
        <w:tblOverlap w:val="never"/>
        <w:jc w:val="center"/>
        <w:tblLayout w:type="fixed"/>
      </w:tblPr>
      <w:tblGrid>
        <w:gridCol w:w="4987"/>
        <w:gridCol w:w="459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限制性股票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股票期权，以获授限制性股票</w:t>
            </w:r>
            <w:r>
              <w:rPr>
                <w:rFonts w:ascii="Times New Roman" w:eastAsia="Times New Roman" w:hAnsi="Times New Roman" w:cs="Times New Roman"/>
                <w:color w:val="000000"/>
                <w:spacing w:val="0"/>
                <w:w w:val="100"/>
                <w:position w:val="0"/>
              </w:rPr>
              <w:t>/</w:t>
            </w:r>
            <w:r>
              <w:rPr>
                <w:color w:val="000000"/>
                <w:spacing w:val="0"/>
                <w:w w:val="100"/>
                <w:position w:val="0"/>
              </w:rPr>
              <w:t>股票期权额度 为基数，综合考虑每个资产负债表日可行权职工人数变 动情况、各个可行权年度公司业绩考核指标和激励对象 个人绩效考核情况确定。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132,982,045.60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10,645,260.93</w:t>
            </w:r>
          </w:p>
        </w:tc>
      </w:tr>
    </w:tbl>
    <w:p>
      <w:pPr>
        <w:pStyle w:val="Style1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其他说明</w:t>
      </w:r>
    </w:p>
    <w:p>
      <w:pPr>
        <w:pStyle w:val="Style24"/>
        <w:keepNext/>
        <w:keepLines/>
        <w:widowControl w:val="0"/>
        <w:shd w:val="clear" w:color="auto" w:fill="auto"/>
        <w:tabs>
          <w:tab w:pos="378" w:val="left"/>
        </w:tabs>
        <w:bidi w:val="0"/>
        <w:spacing w:before="0" w:after="26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3</w:t>
      </w:r>
      <w:bookmarkEnd w:id="2220"/>
      <w:r>
        <w:rPr>
          <w:color w:val="000000"/>
          <w:spacing w:val="0"/>
          <w:w w:val="100"/>
          <w:position w:val="0"/>
        </w:rPr>
        <w:t>、</w:t>
        <w:tab/>
        <w:t>以现金结算的股份支付情况</w:t>
      </w:r>
      <w:bookmarkEnd w:id="2218"/>
      <w:bookmarkEnd w:id="2219"/>
      <w:bookmarkEnd w:id="2221"/>
    </w:p>
    <w:p>
      <w:pPr>
        <w:pStyle w:val="Style1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口适用”不适用</w:t>
      </w:r>
    </w:p>
    <w:p>
      <w:pPr>
        <w:pStyle w:val="Style24"/>
        <w:keepNext/>
        <w:keepLines/>
        <w:widowControl w:val="0"/>
        <w:shd w:val="clear" w:color="auto" w:fill="auto"/>
        <w:tabs>
          <w:tab w:pos="378" w:val="left"/>
        </w:tabs>
        <w:bidi w:val="0"/>
        <w:spacing w:before="0" w:after="34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4</w:t>
      </w:r>
      <w:bookmarkEnd w:id="2224"/>
      <w:r>
        <w:rPr>
          <w:color w:val="000000"/>
          <w:spacing w:val="0"/>
          <w:w w:val="100"/>
          <w:position w:val="0"/>
        </w:rPr>
        <w:t>、</w:t>
        <w:tab/>
        <w:t>股份支付的修改、终止情况</w:t>
      </w:r>
      <w:bookmarkEnd w:id="2222"/>
      <w:bookmarkEnd w:id="2223"/>
      <w:bookmarkEnd w:id="2225"/>
    </w:p>
    <w:p>
      <w:pPr>
        <w:pStyle w:val="Style24"/>
        <w:keepNext/>
        <w:keepLines/>
        <w:widowControl w:val="0"/>
        <w:shd w:val="clear" w:color="auto" w:fill="auto"/>
        <w:tabs>
          <w:tab w:pos="378" w:val="left"/>
        </w:tabs>
        <w:bidi w:val="0"/>
        <w:spacing w:before="0" w:after="340" w:line="240"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5</w:t>
      </w:r>
      <w:bookmarkEnd w:id="2228"/>
      <w:r>
        <w:rPr>
          <w:color w:val="000000"/>
          <w:spacing w:val="0"/>
          <w:w w:val="100"/>
          <w:position w:val="0"/>
        </w:rPr>
        <w:t>、</w:t>
        <w:tab/>
        <w:t>其他</w:t>
      </w:r>
      <w:bookmarkEnd w:id="2226"/>
      <w:bookmarkEnd w:id="2227"/>
      <w:bookmarkEnd w:id="2229"/>
    </w:p>
    <w:p>
      <w:pPr>
        <w:pStyle w:val="Style19"/>
        <w:keepNext/>
        <w:keepLines/>
        <w:widowControl w:val="0"/>
        <w:shd w:val="clear" w:color="auto" w:fill="auto"/>
        <w:bidi w:val="0"/>
        <w:spacing w:before="0" w:after="340" w:line="240" w:lineRule="auto"/>
        <w:ind w:left="0" w:right="0" w:firstLine="0"/>
        <w:jc w:val="left"/>
      </w:pPr>
      <w:bookmarkStart w:id="2230" w:name="bookmark2230"/>
      <w:bookmarkStart w:id="2231" w:name="bookmark2231"/>
      <w:bookmarkStart w:id="2232" w:name="bookmark2232"/>
      <w:r>
        <w:rPr>
          <w:color w:val="000000"/>
          <w:spacing w:val="0"/>
          <w:w w:val="100"/>
          <w:position w:val="0"/>
          <w:sz w:val="24"/>
          <w:szCs w:val="24"/>
        </w:rPr>
        <w:t>十四、承诺及或有事项</w:t>
      </w:r>
      <w:bookmarkEnd w:id="2230"/>
      <w:bookmarkEnd w:id="2231"/>
      <w:bookmarkEnd w:id="2232"/>
    </w:p>
    <w:p>
      <w:pPr>
        <w:pStyle w:val="Style24"/>
        <w:keepNext/>
        <w:keepLines/>
        <w:widowControl w:val="0"/>
        <w:shd w:val="clear" w:color="auto" w:fill="auto"/>
        <w:tabs>
          <w:tab w:pos="368" w:val="left"/>
        </w:tabs>
        <w:bidi w:val="0"/>
        <w:spacing w:before="0" w:after="26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1</w:t>
      </w:r>
      <w:bookmarkEnd w:id="2235"/>
      <w:r>
        <w:rPr>
          <w:color w:val="000000"/>
          <w:spacing w:val="0"/>
          <w:w w:val="100"/>
          <w:position w:val="0"/>
        </w:rPr>
        <w:t>、</w:t>
        <w:tab/>
        <w:t>重要承诺事项</w:t>
      </w:r>
      <w:bookmarkEnd w:id="2233"/>
      <w:bookmarkEnd w:id="2234"/>
      <w:bookmarkEnd w:id="2236"/>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资产负债表日存在的重要承诺</w:t>
      </w:r>
    </w:p>
    <w:p>
      <w:pPr>
        <w:pStyle w:val="Style1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日，本公司对已设立及投资子公司尚未履行的出资义务共计</w:t>
      </w:r>
      <w:r>
        <w:rPr>
          <w:rFonts w:ascii="Times New Roman" w:eastAsia="Times New Roman" w:hAnsi="Times New Roman" w:cs="Times New Roman"/>
          <w:color w:val="000000"/>
          <w:spacing w:val="0"/>
          <w:w w:val="100"/>
          <w:position w:val="0"/>
        </w:rPr>
        <w:t>77,040,000.00</w:t>
      </w:r>
      <w:r>
        <w:rPr>
          <w:color w:val="000000"/>
          <w:spacing w:val="0"/>
          <w:w w:val="100"/>
          <w:position w:val="0"/>
        </w:rPr>
        <w:t>元，其中：宁海杭创网络 科技有限公司</w:t>
      </w:r>
      <w:r>
        <w:rPr>
          <w:rFonts w:ascii="Times New Roman" w:eastAsia="Times New Roman" w:hAnsi="Times New Roman" w:cs="Times New Roman"/>
          <w:color w:val="000000"/>
          <w:spacing w:val="0"/>
          <w:w w:val="100"/>
          <w:position w:val="0"/>
        </w:rPr>
        <w:t>10,000,000.00</w:t>
      </w:r>
      <w:r>
        <w:rPr>
          <w:color w:val="000000"/>
          <w:spacing w:val="0"/>
          <w:w w:val="100"/>
          <w:position w:val="0"/>
        </w:rPr>
        <w:t>元、浙江医康数据科技研究院有限公司</w:t>
      </w:r>
      <w:r>
        <w:rPr>
          <w:rFonts w:ascii="Times New Roman" w:eastAsia="Times New Roman" w:hAnsi="Times New Roman" w:cs="Times New Roman"/>
          <w:color w:val="000000"/>
          <w:spacing w:val="0"/>
          <w:w w:val="100"/>
          <w:position w:val="0"/>
        </w:rPr>
        <w:t>6,240,000.00</w:t>
      </w:r>
      <w:r>
        <w:rPr>
          <w:color w:val="000000"/>
          <w:spacing w:val="0"/>
          <w:w w:val="100"/>
          <w:position w:val="0"/>
        </w:rPr>
        <w:t>元、广州粤湾慧康科技有限公司</w:t>
      </w:r>
      <w:r>
        <w:rPr>
          <w:rFonts w:ascii="Times New Roman" w:eastAsia="Times New Roman" w:hAnsi="Times New Roman" w:cs="Times New Roman"/>
          <w:color w:val="000000"/>
          <w:spacing w:val="0"/>
          <w:w w:val="100"/>
          <w:position w:val="0"/>
        </w:rPr>
        <w:t xml:space="preserve">9,700,000.00 </w:t>
      </w:r>
      <w:r>
        <w:rPr>
          <w:color w:val="000000"/>
          <w:spacing w:val="0"/>
          <w:w w:val="100"/>
          <w:position w:val="0"/>
        </w:rPr>
        <w:t>元、杭州慧心健康科技有限公司</w:t>
      </w:r>
      <w:r>
        <w:rPr>
          <w:rFonts w:ascii="Times New Roman" w:eastAsia="Times New Roman" w:hAnsi="Times New Roman" w:cs="Times New Roman"/>
          <w:color w:val="000000"/>
          <w:spacing w:val="0"/>
          <w:w w:val="100"/>
          <w:position w:val="0"/>
        </w:rPr>
        <w:t>5,100,000.00</w:t>
      </w:r>
      <w:r>
        <w:rPr>
          <w:color w:val="000000"/>
          <w:spacing w:val="0"/>
          <w:w w:val="100"/>
          <w:position w:val="0"/>
        </w:rPr>
        <w:t>元，海南省汇亿互联网医疗科技有限公司</w:t>
      </w:r>
      <w:r>
        <w:rPr>
          <w:rFonts w:ascii="Times New Roman" w:eastAsia="Times New Roman" w:hAnsi="Times New Roman" w:cs="Times New Roman"/>
          <w:color w:val="000000"/>
          <w:spacing w:val="0"/>
          <w:w w:val="100"/>
          <w:position w:val="0"/>
        </w:rPr>
        <w:t>1,500,000.00</w:t>
      </w:r>
      <w:r>
        <w:rPr>
          <w:color w:val="000000"/>
          <w:spacing w:val="0"/>
          <w:w w:val="100"/>
          <w:position w:val="0"/>
        </w:rPr>
        <w:t>元，杭州慧康互联科技有 限公司</w:t>
      </w:r>
      <w:r>
        <w:rPr>
          <w:rFonts w:ascii="Times New Roman" w:eastAsia="Times New Roman" w:hAnsi="Times New Roman" w:cs="Times New Roman"/>
          <w:color w:val="000000"/>
          <w:spacing w:val="0"/>
          <w:w w:val="100"/>
          <w:position w:val="0"/>
        </w:rPr>
        <w:t>34,500,000.00</w:t>
      </w:r>
      <w:r>
        <w:rPr>
          <w:color w:val="000000"/>
          <w:spacing w:val="0"/>
          <w:w w:val="100"/>
          <w:position w:val="0"/>
        </w:rPr>
        <w:t>元、天津青创慧康科技有限公司</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pStyle w:val="Style24"/>
        <w:keepNext/>
        <w:keepLines/>
        <w:widowControl w:val="0"/>
        <w:shd w:val="clear" w:color="auto" w:fill="auto"/>
        <w:tabs>
          <w:tab w:pos="378" w:val="left"/>
        </w:tabs>
        <w:bidi w:val="0"/>
        <w:spacing w:before="0" w:after="34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2</w:t>
      </w:r>
      <w:bookmarkEnd w:id="2239"/>
      <w:r>
        <w:rPr>
          <w:color w:val="000000"/>
          <w:spacing w:val="0"/>
          <w:w w:val="100"/>
          <w:position w:val="0"/>
        </w:rPr>
        <w:t>、</w:t>
        <w:tab/>
        <w:t>或有事项</w:t>
      </w:r>
      <w:bookmarkEnd w:id="2237"/>
      <w:bookmarkEnd w:id="2238"/>
      <w:bookmarkEnd w:id="2240"/>
    </w:p>
    <w:p>
      <w:pPr>
        <w:pStyle w:val="Style92"/>
        <w:keepNext/>
        <w:keepLines/>
        <w:widowControl w:val="0"/>
        <w:numPr>
          <w:ilvl w:val="0"/>
          <w:numId w:val="47"/>
        </w:numPr>
        <w:shd w:val="clear" w:color="auto" w:fill="auto"/>
        <w:tabs>
          <w:tab w:pos="493" w:val="left"/>
        </w:tabs>
        <w:bidi w:val="0"/>
        <w:spacing w:before="0" w:after="340" w:line="240" w:lineRule="auto"/>
        <w:ind w:left="0" w:right="0" w:firstLine="0"/>
        <w:jc w:val="left"/>
      </w:pPr>
      <w:bookmarkStart w:id="2241" w:name="bookmark2241"/>
      <w:bookmarkStart w:id="2242" w:name="bookmark2242"/>
      <w:bookmarkStart w:id="2243" w:name="bookmark2243"/>
      <w:bookmarkStart w:id="2244" w:name="bookmark2244"/>
      <w:bookmarkEnd w:id="2243"/>
      <w:r>
        <w:rPr>
          <w:color w:val="000000"/>
          <w:spacing w:val="0"/>
          <w:w w:val="100"/>
          <w:position w:val="0"/>
        </w:rPr>
        <w:t>资产负债表日存在的重要或有事项</w:t>
      </w:r>
      <w:bookmarkEnd w:id="2241"/>
      <w:bookmarkEnd w:id="2242"/>
      <w:bookmarkEnd w:id="2244"/>
    </w:p>
    <w:p>
      <w:pPr>
        <w:pStyle w:val="Style92"/>
        <w:keepNext/>
        <w:keepLines/>
        <w:widowControl w:val="0"/>
        <w:numPr>
          <w:ilvl w:val="0"/>
          <w:numId w:val="47"/>
        </w:numPr>
        <w:shd w:val="clear" w:color="auto" w:fill="auto"/>
        <w:tabs>
          <w:tab w:pos="493" w:val="left"/>
        </w:tabs>
        <w:bidi w:val="0"/>
        <w:spacing w:before="0" w:after="260" w:line="240" w:lineRule="auto"/>
        <w:ind w:left="0" w:right="0" w:firstLine="0"/>
        <w:jc w:val="left"/>
      </w:pPr>
      <w:bookmarkStart w:id="2245" w:name="bookmark2245"/>
      <w:bookmarkStart w:id="2246" w:name="bookmark2246"/>
      <w:bookmarkStart w:id="2247" w:name="bookmark2247"/>
      <w:bookmarkStart w:id="2248" w:name="bookmark2248"/>
      <w:bookmarkEnd w:id="2247"/>
      <w:r>
        <w:rPr>
          <w:color w:val="000000"/>
          <w:spacing w:val="0"/>
          <w:w w:val="100"/>
          <w:position w:val="0"/>
        </w:rPr>
        <w:t>公司没有需要披露的重要或有事项，也应予以说明</w:t>
      </w:r>
      <w:bookmarkEnd w:id="2245"/>
      <w:bookmarkEnd w:id="2246"/>
      <w:bookmarkEnd w:id="2248"/>
    </w:p>
    <w:p>
      <w:pPr>
        <w:pStyle w:val="Style1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公司不存在需要披露的重要或有事项。</w:t>
      </w:r>
    </w:p>
    <w:p>
      <w:pPr>
        <w:pStyle w:val="Style24"/>
        <w:keepNext/>
        <w:keepLines/>
        <w:widowControl w:val="0"/>
        <w:shd w:val="clear" w:color="auto" w:fill="auto"/>
        <w:tabs>
          <w:tab w:pos="378" w:val="left"/>
        </w:tabs>
        <w:bidi w:val="0"/>
        <w:spacing w:before="0" w:after="34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3</w:t>
      </w:r>
      <w:bookmarkEnd w:id="2251"/>
      <w:r>
        <w:rPr>
          <w:color w:val="000000"/>
          <w:spacing w:val="0"/>
          <w:w w:val="100"/>
          <w:position w:val="0"/>
        </w:rPr>
        <w:t>、</w:t>
        <w:tab/>
        <w:t>其他</w:t>
      </w:r>
      <w:bookmarkEnd w:id="2249"/>
      <w:bookmarkEnd w:id="2250"/>
      <w:bookmarkEnd w:id="2252"/>
    </w:p>
    <w:p>
      <w:pPr>
        <w:pStyle w:val="Style19"/>
        <w:keepNext/>
        <w:keepLines/>
        <w:widowControl w:val="0"/>
        <w:shd w:val="clear" w:color="auto" w:fill="auto"/>
        <w:bidi w:val="0"/>
        <w:spacing w:before="0" w:after="340" w:line="240" w:lineRule="auto"/>
        <w:ind w:left="0" w:right="0" w:firstLine="0"/>
        <w:jc w:val="left"/>
      </w:pPr>
      <w:bookmarkStart w:id="2253" w:name="bookmark2253"/>
      <w:bookmarkStart w:id="2254" w:name="bookmark2254"/>
      <w:bookmarkStart w:id="2255" w:name="bookmark2255"/>
      <w:r>
        <w:rPr>
          <w:color w:val="000000"/>
          <w:spacing w:val="0"/>
          <w:w w:val="100"/>
          <w:position w:val="0"/>
          <w:sz w:val="24"/>
          <w:szCs w:val="24"/>
        </w:rPr>
        <w:t>十五、资产负债表日后事项</w:t>
      </w:r>
      <w:bookmarkEnd w:id="2253"/>
      <w:bookmarkEnd w:id="2254"/>
      <w:bookmarkEnd w:id="2255"/>
    </w:p>
    <w:p>
      <w:pPr>
        <w:pStyle w:val="Style24"/>
        <w:keepNext/>
        <w:keepLines/>
        <w:widowControl w:val="0"/>
        <w:shd w:val="clear" w:color="auto" w:fill="auto"/>
        <w:bidi w:val="0"/>
        <w:spacing w:before="0" w:after="260" w:line="240" w:lineRule="auto"/>
        <w:ind w:left="0" w:right="0" w:firstLine="0"/>
        <w:jc w:val="left"/>
      </w:pPr>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56"/>
      <w:bookmarkEnd w:id="2257"/>
      <w:bookmarkEnd w:id="2258"/>
    </w:p>
    <w:p>
      <w:pPr>
        <w:pStyle w:val="Style15"/>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对财务状况和经营成果的影</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line="1" w:lineRule="exact"/>
      </w:pPr>
    </w:p>
    <w:tbl>
      <w:tblPr>
        <w:tblOverlap w:val="never"/>
        <w:jc w:val="center"/>
        <w:tblLayout w:type="fixed"/>
      </w:tblPr>
      <w:tblGrid>
        <w:gridCol w:w="2501"/>
        <w:gridCol w:w="2294"/>
        <w:gridCol w:w="2390"/>
        <w:gridCol w:w="2395"/>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响数</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both"/>
      </w:pPr>
      <w:bookmarkStart w:id="2259" w:name="bookmark2259"/>
      <w:bookmarkStart w:id="2260" w:name="bookmark2260"/>
      <w:bookmarkStart w:id="2261" w:name="bookmark2261"/>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59"/>
      <w:bookmarkEnd w:id="2260"/>
      <w:bookmarkEnd w:id="226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46,493,630.76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46,493,630.76</w:t>
            </w:r>
          </w:p>
        </w:tc>
      </w:tr>
    </w:tbl>
    <w:p>
      <w:pPr>
        <w:widowControl w:val="0"/>
        <w:spacing w:after="319" w:line="1" w:lineRule="exact"/>
      </w:pPr>
    </w:p>
    <w:p>
      <w:pPr>
        <w:pStyle w:val="Style24"/>
        <w:keepNext/>
        <w:keepLines/>
        <w:widowControl w:val="0"/>
        <w:shd w:val="clear" w:color="auto" w:fill="auto"/>
        <w:tabs>
          <w:tab w:pos="378" w:val="left"/>
        </w:tabs>
        <w:bidi w:val="0"/>
        <w:spacing w:before="0" w:after="320" w:line="240" w:lineRule="auto"/>
        <w:ind w:left="0" w:right="0" w:firstLine="0"/>
        <w:jc w:val="both"/>
      </w:pPr>
      <w:bookmarkStart w:id="2262" w:name="bookmark2262"/>
      <w:bookmarkStart w:id="2263" w:name="bookmark2263"/>
      <w:bookmarkStart w:id="2264" w:name="bookmark2264"/>
      <w:bookmarkStart w:id="2265" w:name="bookmark2265"/>
      <w:r>
        <w:rPr>
          <w:rFonts w:ascii="Times New Roman" w:eastAsia="Times New Roman" w:hAnsi="Times New Roman" w:cs="Times New Roman"/>
          <w:color w:val="000000"/>
          <w:spacing w:val="0"/>
          <w:w w:val="100"/>
          <w:position w:val="0"/>
        </w:rPr>
        <w:t>3</w:t>
      </w:r>
      <w:bookmarkEnd w:id="2264"/>
      <w:r>
        <w:rPr>
          <w:color w:val="000000"/>
          <w:spacing w:val="0"/>
          <w:w w:val="100"/>
          <w:position w:val="0"/>
        </w:rPr>
        <w:t>、</w:t>
        <w:tab/>
        <w:t>销售退回</w:t>
      </w:r>
      <w:bookmarkEnd w:id="2262"/>
      <w:bookmarkEnd w:id="2263"/>
      <w:bookmarkEnd w:id="2265"/>
    </w:p>
    <w:p>
      <w:pPr>
        <w:pStyle w:val="Style24"/>
        <w:keepNext/>
        <w:keepLines/>
        <w:widowControl w:val="0"/>
        <w:shd w:val="clear" w:color="auto" w:fill="auto"/>
        <w:tabs>
          <w:tab w:pos="378" w:val="left"/>
        </w:tabs>
        <w:bidi w:val="0"/>
        <w:spacing w:before="0" w:after="320" w:line="240" w:lineRule="auto"/>
        <w:ind w:left="0" w:right="0" w:firstLine="0"/>
        <w:jc w:val="both"/>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4</w:t>
      </w:r>
      <w:bookmarkEnd w:id="2268"/>
      <w:r>
        <w:rPr>
          <w:color w:val="000000"/>
          <w:spacing w:val="0"/>
          <w:w w:val="100"/>
          <w:position w:val="0"/>
        </w:rPr>
        <w:t>、</w:t>
        <w:tab/>
        <w:t>其他资产负债表日后事项说明</w:t>
      </w:r>
      <w:bookmarkEnd w:id="2266"/>
      <w:bookmarkEnd w:id="2267"/>
      <w:bookmarkEnd w:id="2269"/>
    </w:p>
    <w:p>
      <w:pPr>
        <w:pStyle w:val="Style19"/>
        <w:keepNext/>
        <w:keepLines/>
        <w:widowControl w:val="0"/>
        <w:shd w:val="clear" w:color="auto" w:fill="auto"/>
        <w:bidi w:val="0"/>
        <w:spacing w:before="0" w:after="320" w:line="240" w:lineRule="auto"/>
        <w:ind w:left="0" w:right="0" w:firstLine="0"/>
        <w:jc w:val="both"/>
      </w:pPr>
      <w:bookmarkStart w:id="2270" w:name="bookmark2270"/>
      <w:bookmarkStart w:id="2271" w:name="bookmark2271"/>
      <w:bookmarkStart w:id="2272" w:name="bookmark2272"/>
      <w:r>
        <w:rPr>
          <w:color w:val="000000"/>
          <w:spacing w:val="0"/>
          <w:w w:val="100"/>
          <w:position w:val="0"/>
          <w:sz w:val="24"/>
          <w:szCs w:val="24"/>
        </w:rPr>
        <w:t>十六、其他重要事项</w:t>
      </w:r>
      <w:bookmarkEnd w:id="2270"/>
      <w:bookmarkEnd w:id="2271"/>
      <w:bookmarkEnd w:id="2272"/>
    </w:p>
    <w:p>
      <w:pPr>
        <w:pStyle w:val="Style24"/>
        <w:keepNext/>
        <w:keepLines/>
        <w:widowControl w:val="0"/>
        <w:shd w:val="clear" w:color="auto" w:fill="auto"/>
        <w:bidi w:val="0"/>
        <w:spacing w:before="0" w:after="320" w:line="240" w:lineRule="auto"/>
        <w:ind w:left="0" w:right="0" w:firstLine="0"/>
        <w:jc w:val="both"/>
      </w:pPr>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73"/>
      <w:bookmarkEnd w:id="2274"/>
      <w:bookmarkEnd w:id="2275"/>
    </w:p>
    <w:p>
      <w:pPr>
        <w:pStyle w:val="Style92"/>
        <w:keepNext/>
        <w:keepLines/>
        <w:widowControl w:val="0"/>
        <w:shd w:val="clear" w:color="auto" w:fill="auto"/>
        <w:bidi w:val="0"/>
        <w:spacing w:before="0" w:after="360" w:line="240" w:lineRule="auto"/>
        <w:ind w:left="0" w:right="0" w:firstLine="0"/>
        <w:jc w:val="both"/>
      </w:pPr>
      <w:bookmarkStart w:id="2276" w:name="bookmark2276"/>
      <w:bookmarkStart w:id="2277" w:name="bookmark2277"/>
      <w:bookmarkStart w:id="2278" w:name="bookmark2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76"/>
      <w:bookmarkEnd w:id="2277"/>
      <w:bookmarkEnd w:id="2278"/>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92"/>
        <w:keepNext/>
        <w:keepLines/>
        <w:widowControl w:val="0"/>
        <w:shd w:val="clear" w:color="auto" w:fill="auto"/>
        <w:bidi w:val="0"/>
        <w:spacing w:before="0" w:after="320" w:line="240" w:lineRule="auto"/>
        <w:ind w:left="0" w:right="0" w:firstLine="0"/>
        <w:jc w:val="both"/>
      </w:pPr>
      <w:bookmarkStart w:id="2279" w:name="bookmark2279"/>
      <w:bookmarkStart w:id="2280" w:name="bookmark2280"/>
      <w:bookmarkStart w:id="2281" w:name="bookmark22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79"/>
      <w:bookmarkEnd w:id="2280"/>
      <w:bookmarkEnd w:id="2281"/>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19" w:line="1" w:lineRule="exact"/>
      </w:pPr>
    </w:p>
    <w:p>
      <w:pPr>
        <w:pStyle w:val="Style24"/>
        <w:keepNext/>
        <w:keepLines/>
        <w:widowControl w:val="0"/>
        <w:shd w:val="clear" w:color="auto" w:fill="auto"/>
        <w:tabs>
          <w:tab w:pos="378" w:val="left"/>
        </w:tabs>
        <w:bidi w:val="0"/>
        <w:spacing w:before="0" w:after="320" w:line="240" w:lineRule="auto"/>
        <w:ind w:left="0" w:right="0" w:firstLine="0"/>
        <w:jc w:val="both"/>
      </w:pPr>
      <w:bookmarkStart w:id="2282" w:name="bookmark2282"/>
      <w:bookmarkStart w:id="2283" w:name="bookmark2283"/>
      <w:bookmarkStart w:id="2284" w:name="bookmark2284"/>
      <w:bookmarkStart w:id="2285" w:name="bookmark2285"/>
      <w:r>
        <w:rPr>
          <w:rFonts w:ascii="Times New Roman" w:eastAsia="Times New Roman" w:hAnsi="Times New Roman" w:cs="Times New Roman"/>
          <w:color w:val="000000"/>
          <w:spacing w:val="0"/>
          <w:w w:val="100"/>
          <w:position w:val="0"/>
        </w:rPr>
        <w:t>2</w:t>
      </w:r>
      <w:bookmarkEnd w:id="2284"/>
      <w:r>
        <w:rPr>
          <w:color w:val="000000"/>
          <w:spacing w:val="0"/>
          <w:w w:val="100"/>
          <w:position w:val="0"/>
        </w:rPr>
        <w:t>、</w:t>
        <w:tab/>
        <w:t>债务重组</w:t>
      </w:r>
      <w:bookmarkEnd w:id="2282"/>
      <w:bookmarkEnd w:id="2283"/>
      <w:bookmarkEnd w:id="2285"/>
    </w:p>
    <w:p>
      <w:pPr>
        <w:pStyle w:val="Style24"/>
        <w:keepNext/>
        <w:keepLines/>
        <w:widowControl w:val="0"/>
        <w:shd w:val="clear" w:color="auto" w:fill="auto"/>
        <w:tabs>
          <w:tab w:pos="378" w:val="left"/>
        </w:tabs>
        <w:bidi w:val="0"/>
        <w:spacing w:before="0" w:after="320" w:line="240" w:lineRule="auto"/>
        <w:ind w:left="0" w:right="0" w:firstLine="0"/>
        <w:jc w:val="both"/>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3</w:t>
      </w:r>
      <w:bookmarkEnd w:id="2288"/>
      <w:r>
        <w:rPr>
          <w:color w:val="000000"/>
          <w:spacing w:val="0"/>
          <w:w w:val="100"/>
          <w:position w:val="0"/>
        </w:rPr>
        <w:t>、</w:t>
        <w:tab/>
        <w:t>资产置换</w:t>
      </w:r>
      <w:bookmarkEnd w:id="2286"/>
      <w:bookmarkEnd w:id="2287"/>
      <w:bookmarkEnd w:id="2289"/>
    </w:p>
    <w:p>
      <w:pPr>
        <w:pStyle w:val="Style92"/>
        <w:keepNext/>
        <w:keepLines/>
        <w:widowControl w:val="0"/>
        <w:shd w:val="clear" w:color="auto" w:fill="auto"/>
        <w:tabs>
          <w:tab w:pos="493" w:val="left"/>
        </w:tabs>
        <w:bidi w:val="0"/>
        <w:spacing w:before="0" w:after="320" w:line="240" w:lineRule="auto"/>
        <w:ind w:left="0" w:right="0" w:firstLine="0"/>
        <w:jc w:val="both"/>
      </w:pPr>
      <w:bookmarkStart w:id="2290" w:name="bookmark2290"/>
      <w:bookmarkStart w:id="2291" w:name="bookmark2291"/>
      <w:bookmarkStart w:id="2292" w:name="bookmark2292"/>
      <w:bookmarkStart w:id="2293" w:name="bookmark2293"/>
      <w:r>
        <w:rPr>
          <w:color w:val="000000"/>
          <w:spacing w:val="0"/>
          <w:w w:val="100"/>
          <w:position w:val="0"/>
        </w:rPr>
        <w:t>（</w:t>
      </w:r>
      <w:bookmarkEnd w:id="229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90"/>
      <w:bookmarkEnd w:id="2291"/>
      <w:bookmarkEnd w:id="2293"/>
    </w:p>
    <w:p>
      <w:pPr>
        <w:pStyle w:val="Style92"/>
        <w:keepNext/>
        <w:keepLines/>
        <w:widowControl w:val="0"/>
        <w:shd w:val="clear" w:color="auto" w:fill="auto"/>
        <w:tabs>
          <w:tab w:pos="493" w:val="left"/>
        </w:tabs>
        <w:bidi w:val="0"/>
        <w:spacing w:before="0" w:after="320" w:line="240" w:lineRule="auto"/>
        <w:ind w:left="0" w:right="0" w:firstLine="0"/>
        <w:jc w:val="both"/>
      </w:pPr>
      <w:bookmarkStart w:id="2294" w:name="bookmark2294"/>
      <w:bookmarkStart w:id="2295" w:name="bookmark2295"/>
      <w:bookmarkStart w:id="2296" w:name="bookmark2296"/>
      <w:bookmarkStart w:id="2297" w:name="bookmark2297"/>
      <w:r>
        <w:rPr>
          <w:color w:val="000000"/>
          <w:spacing w:val="0"/>
          <w:w w:val="100"/>
          <w:position w:val="0"/>
        </w:rPr>
        <w:t>（</w:t>
      </w:r>
      <w:bookmarkEnd w:id="229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94"/>
      <w:bookmarkEnd w:id="2295"/>
      <w:bookmarkEnd w:id="2297"/>
    </w:p>
    <w:p>
      <w:pPr>
        <w:pStyle w:val="Style24"/>
        <w:keepNext/>
        <w:keepLines/>
        <w:widowControl w:val="0"/>
        <w:shd w:val="clear" w:color="auto" w:fill="auto"/>
        <w:tabs>
          <w:tab w:pos="378" w:val="left"/>
        </w:tabs>
        <w:bidi w:val="0"/>
        <w:spacing w:before="0" w:after="320" w:line="240" w:lineRule="auto"/>
        <w:ind w:left="0" w:right="0" w:firstLine="0"/>
        <w:jc w:val="both"/>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4</w:t>
      </w:r>
      <w:bookmarkEnd w:id="2300"/>
      <w:r>
        <w:rPr>
          <w:color w:val="000000"/>
          <w:spacing w:val="0"/>
          <w:w w:val="100"/>
          <w:position w:val="0"/>
        </w:rPr>
        <w:t>、</w:t>
        <w:tab/>
        <w:t>年金计划</w:t>
      </w:r>
      <w:bookmarkEnd w:id="2298"/>
      <w:bookmarkEnd w:id="2299"/>
      <w:bookmarkEnd w:id="2301"/>
    </w:p>
    <w:p>
      <w:pPr>
        <w:pStyle w:val="Style24"/>
        <w:keepNext/>
        <w:keepLines/>
        <w:widowControl w:val="0"/>
        <w:shd w:val="clear" w:color="auto" w:fill="auto"/>
        <w:tabs>
          <w:tab w:pos="378" w:val="left"/>
        </w:tabs>
        <w:bidi w:val="0"/>
        <w:spacing w:before="0" w:line="240" w:lineRule="auto"/>
        <w:ind w:left="0" w:right="0" w:firstLine="0"/>
        <w:jc w:val="both"/>
      </w:pPr>
      <w:bookmarkStart w:id="2302" w:name="bookmark2302"/>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5</w:t>
      </w:r>
      <w:bookmarkEnd w:id="2304"/>
      <w:r>
        <w:rPr>
          <w:color w:val="000000"/>
          <w:spacing w:val="0"/>
          <w:w w:val="100"/>
          <w:position w:val="0"/>
        </w:rPr>
        <w:t>、</w:t>
        <w:tab/>
        <w:t>终止经营</w:t>
      </w:r>
      <w:bookmarkEnd w:id="2302"/>
      <w:bookmarkEnd w:id="2303"/>
      <w:bookmarkEnd w:id="2305"/>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归属于母公司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所有者的终止</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经营利润</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其他说明</w:t>
      </w:r>
    </w:p>
    <w:p>
      <w:pPr>
        <w:pStyle w:val="Style24"/>
        <w:keepNext/>
        <w:keepLines/>
        <w:widowControl w:val="0"/>
        <w:shd w:val="clear" w:color="auto" w:fill="auto"/>
        <w:bidi w:val="0"/>
        <w:spacing w:before="0" w:after="320" w:line="240" w:lineRule="auto"/>
        <w:ind w:left="0" w:right="0" w:firstLine="0"/>
        <w:jc w:val="left"/>
      </w:pPr>
      <w:bookmarkStart w:id="2306" w:name="bookmark2306"/>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6</w:t>
      </w:r>
      <w:bookmarkEnd w:id="2308"/>
      <w:r>
        <w:rPr>
          <w:color w:val="000000"/>
          <w:spacing w:val="0"/>
          <w:w w:val="100"/>
          <w:position w:val="0"/>
        </w:rPr>
        <w:t>、分部信息</w:t>
      </w:r>
      <w:bookmarkEnd w:id="2306"/>
      <w:bookmarkEnd w:id="2307"/>
      <w:bookmarkEnd w:id="2309"/>
    </w:p>
    <w:p>
      <w:pPr>
        <w:pStyle w:val="Style92"/>
        <w:keepNext/>
        <w:keepLines/>
        <w:widowControl w:val="0"/>
        <w:shd w:val="clear" w:color="auto" w:fill="auto"/>
        <w:bidi w:val="0"/>
        <w:spacing w:before="0" w:after="260" w:line="240" w:lineRule="auto"/>
        <w:ind w:left="0" w:right="0" w:firstLine="0"/>
        <w:jc w:val="left"/>
      </w:pPr>
      <w:bookmarkStart w:id="2310" w:name="bookmark2310"/>
      <w:bookmarkStart w:id="2311" w:name="bookmark2311"/>
      <w:bookmarkStart w:id="2312" w:name="bookmark2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310"/>
      <w:bookmarkEnd w:id="2311"/>
      <w:bookmarkEnd w:id="2312"/>
    </w:p>
    <w:p>
      <w:pPr>
        <w:pStyle w:val="Style15"/>
        <w:keepNext w:val="0"/>
        <w:keepLines w:val="0"/>
        <w:widowControl w:val="0"/>
        <w:shd w:val="clear" w:color="auto" w:fill="auto"/>
        <w:bidi w:val="0"/>
        <w:spacing w:before="0" w:after="660" w:line="314" w:lineRule="exact"/>
        <w:ind w:left="0" w:right="0" w:firstLine="440"/>
        <w:jc w:val="both"/>
      </w:pPr>
      <w:r>
        <w:rPr>
          <w:color w:val="000000"/>
          <w:spacing w:val="0"/>
          <w:w w:val="100"/>
          <w:position w:val="0"/>
        </w:rPr>
        <w:t>本公司主要业务软件销售业务、系统集成业务和技术服务业务，公司尚不能够准确划分直接归属于某一分部的经营资 产和负债，故无报告分部。本公司按产品分类的营业收入及营业成本详见本报告第十节之七合并财务报表项目注释“营业收 入与成本”之说明。</w:t>
      </w:r>
    </w:p>
    <w:p>
      <w:pPr>
        <w:pStyle w:val="Style92"/>
        <w:keepNext/>
        <w:keepLines/>
        <w:widowControl w:val="0"/>
        <w:shd w:val="clear" w:color="auto" w:fill="auto"/>
        <w:bidi w:val="0"/>
        <w:spacing w:before="0" w:after="380" w:line="240" w:lineRule="auto"/>
        <w:ind w:left="0" w:right="0" w:firstLine="0"/>
        <w:jc w:val="both"/>
      </w:pPr>
      <w:bookmarkStart w:id="2313" w:name="bookmark2313"/>
      <w:bookmarkStart w:id="2314" w:name="bookmark2314"/>
      <w:bookmarkStart w:id="2315" w:name="bookmark23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313"/>
      <w:bookmarkEnd w:id="2314"/>
      <w:bookmarkEnd w:id="2315"/>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92"/>
        <w:keepNext/>
        <w:keepLines/>
        <w:widowControl w:val="0"/>
        <w:shd w:val="clear" w:color="auto" w:fill="auto"/>
        <w:tabs>
          <w:tab w:pos="493" w:val="left"/>
        </w:tabs>
        <w:bidi w:val="0"/>
        <w:spacing w:before="0" w:after="320" w:line="240" w:lineRule="auto"/>
        <w:ind w:left="0" w:right="0" w:firstLine="0"/>
        <w:jc w:val="both"/>
      </w:pPr>
      <w:bookmarkStart w:id="2316" w:name="bookmark2316"/>
      <w:bookmarkStart w:id="2317" w:name="bookmark2317"/>
      <w:bookmarkStart w:id="2318" w:name="bookmark2318"/>
      <w:bookmarkStart w:id="2319" w:name="bookmark2319"/>
      <w:r>
        <w:rPr>
          <w:color w:val="000000"/>
          <w:spacing w:val="0"/>
          <w:w w:val="100"/>
          <w:position w:val="0"/>
        </w:rPr>
        <w:t>（</w:t>
      </w:r>
      <w:bookmarkEnd w:id="231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316"/>
      <w:bookmarkEnd w:id="2317"/>
      <w:bookmarkEnd w:id="2319"/>
    </w:p>
    <w:p>
      <w:pPr>
        <w:pStyle w:val="Style92"/>
        <w:keepNext/>
        <w:keepLines/>
        <w:widowControl w:val="0"/>
        <w:shd w:val="clear" w:color="auto" w:fill="auto"/>
        <w:tabs>
          <w:tab w:pos="493" w:val="left"/>
        </w:tabs>
        <w:bidi w:val="0"/>
        <w:spacing w:before="0" w:after="320" w:line="240" w:lineRule="auto"/>
        <w:ind w:left="0" w:right="0" w:firstLine="0"/>
        <w:jc w:val="both"/>
      </w:pPr>
      <w:bookmarkStart w:id="2320" w:name="bookmark2320"/>
      <w:bookmarkStart w:id="2321" w:name="bookmark2321"/>
      <w:bookmarkStart w:id="2322" w:name="bookmark2322"/>
      <w:bookmarkStart w:id="2323" w:name="bookmark2323"/>
      <w:r>
        <w:rPr>
          <w:color w:val="000000"/>
          <w:spacing w:val="0"/>
          <w:w w:val="100"/>
          <w:position w:val="0"/>
        </w:rPr>
        <w:t>（</w:t>
      </w:r>
      <w:bookmarkEnd w:id="232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320"/>
      <w:bookmarkEnd w:id="2321"/>
      <w:bookmarkEnd w:id="2323"/>
    </w:p>
    <w:p>
      <w:pPr>
        <w:pStyle w:val="Style24"/>
        <w:keepNext/>
        <w:keepLines/>
        <w:widowControl w:val="0"/>
        <w:shd w:val="clear" w:color="auto" w:fill="auto"/>
        <w:tabs>
          <w:tab w:pos="373" w:val="left"/>
        </w:tabs>
        <w:bidi w:val="0"/>
        <w:spacing w:before="0" w:after="320" w:line="240" w:lineRule="auto"/>
        <w:ind w:left="0" w:right="0" w:firstLine="0"/>
        <w:jc w:val="both"/>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7</w:t>
      </w:r>
      <w:bookmarkEnd w:id="2326"/>
      <w:r>
        <w:rPr>
          <w:color w:val="000000"/>
          <w:spacing w:val="0"/>
          <w:w w:val="100"/>
          <w:position w:val="0"/>
        </w:rPr>
        <w:t>、</w:t>
        <w:tab/>
        <w:t>其他对投资者决策有影响的重要交易和事项</w:t>
      </w:r>
      <w:bookmarkEnd w:id="2324"/>
      <w:bookmarkEnd w:id="2325"/>
      <w:bookmarkEnd w:id="2327"/>
    </w:p>
    <w:p>
      <w:pPr>
        <w:pStyle w:val="Style24"/>
        <w:keepNext/>
        <w:keepLines/>
        <w:widowControl w:val="0"/>
        <w:shd w:val="clear" w:color="auto" w:fill="auto"/>
        <w:tabs>
          <w:tab w:pos="378" w:val="left"/>
        </w:tabs>
        <w:bidi w:val="0"/>
        <w:spacing w:before="0" w:after="380" w:line="240" w:lineRule="auto"/>
        <w:ind w:left="0" w:right="0" w:firstLine="0"/>
        <w:jc w:val="both"/>
      </w:pPr>
      <w:bookmarkStart w:id="2328" w:name="bookmark2328"/>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8</w:t>
      </w:r>
      <w:bookmarkEnd w:id="2330"/>
      <w:r>
        <w:rPr>
          <w:color w:val="000000"/>
          <w:spacing w:val="0"/>
          <w:w w:val="100"/>
          <w:position w:val="0"/>
        </w:rPr>
        <w:t>、</w:t>
        <w:tab/>
        <w:t>其他</w:t>
      </w:r>
      <w:bookmarkEnd w:id="2328"/>
      <w:bookmarkEnd w:id="2329"/>
      <w:bookmarkEnd w:id="2331"/>
    </w:p>
    <w:p>
      <w:pPr>
        <w:pStyle w:val="Style110"/>
        <w:keepNext w:val="0"/>
        <w:keepLines w:val="0"/>
        <w:widowControl w:val="0"/>
        <w:shd w:val="clear" w:color="auto" w:fill="auto"/>
        <w:bidi w:val="0"/>
        <w:spacing w:before="0" w:after="40" w:line="240" w:lineRule="auto"/>
        <w:ind w:left="0" w:right="0" w:firstLine="0"/>
        <w:jc w:val="both"/>
      </w:pPr>
      <w:r>
        <w:rPr>
          <w:b w:val="0"/>
          <w:bCs w:val="0"/>
          <w:color w:val="000000"/>
          <w:spacing w:val="0"/>
          <w:w w:val="100"/>
          <w:position w:val="0"/>
        </w:rPr>
        <w:t>租赁</w:t>
      </w:r>
    </w:p>
    <w:p>
      <w:pPr>
        <w:pStyle w:val="Style15"/>
        <w:keepNext w:val="0"/>
        <w:keepLines w:val="0"/>
        <w:widowControl w:val="0"/>
        <w:shd w:val="clear" w:color="auto" w:fill="auto"/>
        <w:bidi w:val="0"/>
        <w:spacing w:before="0" w:after="100" w:line="240" w:lineRule="auto"/>
        <w:ind w:left="0" w:right="0" w:firstLine="74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、公司作为承租人</w:t>
      </w:r>
    </w:p>
    <w:p>
      <w:pPr>
        <w:pStyle w:val="Style21"/>
        <w:keepNext w:val="0"/>
        <w:keepLines w:val="0"/>
        <w:widowControl w:val="0"/>
        <w:shd w:val="clear" w:color="auto" w:fill="auto"/>
        <w:tabs>
          <w:tab w:pos="1095" w:val="left"/>
        </w:tabs>
        <w:bidi w:val="0"/>
        <w:spacing w:before="0" w:after="60" w:line="240" w:lineRule="auto"/>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使用权资产相关信息详见本财务报告使用权资产之说明；</w:t>
      </w:r>
    </w:p>
    <w:p>
      <w:pPr>
        <w:pStyle w:val="Style21"/>
        <w:keepNext w:val="0"/>
        <w:keepLines w:val="0"/>
        <w:widowControl w:val="0"/>
        <w:shd w:val="clear" w:color="auto" w:fill="auto"/>
        <w:tabs>
          <w:tab w:pos="1095" w:val="left"/>
        </w:tabs>
        <w:bidi w:val="0"/>
        <w:spacing w:before="0" w:after="0" w:line="240" w:lineRule="auto"/>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计入当期损益的短期租赁费用和低价值资产租赁费用金额如下：</w:t>
      </w:r>
    </w:p>
    <w:tbl>
      <w:tblPr>
        <w:tblOverlap w:val="never"/>
        <w:jc w:val="left"/>
        <w:tblLayout w:type="fixed"/>
      </w:tblPr>
      <w:tblGrid>
        <w:gridCol w:w="4690"/>
        <w:gridCol w:w="193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5,398,188.95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5,398,188.95</w:t>
            </w:r>
          </w:p>
        </w:tc>
      </w:tr>
    </w:tbl>
    <w:p>
      <w:pPr>
        <w:widowControl w:val="0"/>
        <w:spacing w:after="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）与租赁相关的当期损益及现金流</w:t>
      </w:r>
    </w:p>
    <w:tbl>
      <w:tblPr>
        <w:tblOverlap w:val="never"/>
        <w:jc w:val="center"/>
        <w:tblLayout w:type="fixed"/>
      </w:tblPr>
      <w:tblGrid>
        <w:gridCol w:w="4690"/>
        <w:gridCol w:w="193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租赁负债的利息费用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618,875.63</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与租赁相关的总现金流出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13,168,777.37</w:t>
            </w:r>
          </w:p>
        </w:tc>
      </w:tr>
    </w:tbl>
    <w:p>
      <w:pPr>
        <w:widowControl w:val="0"/>
        <w:spacing w:after="39" w:line="1" w:lineRule="exact"/>
      </w:pPr>
    </w:p>
    <w:p>
      <w:pPr>
        <w:pStyle w:val="Style1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）租赁负债的到期期限分析和相应流动性风险管理详见“与金融工具相关的风险”之说明。</w:t>
      </w:r>
    </w:p>
    <w:p>
      <w:pPr>
        <w:pStyle w:val="Style15"/>
        <w:keepNext w:val="0"/>
        <w:keepLines w:val="0"/>
        <w:widowControl w:val="0"/>
        <w:shd w:val="clear" w:color="auto" w:fill="auto"/>
        <w:bidi w:val="0"/>
        <w:spacing w:before="0" w:after="10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、公司作为出租人</w:t>
      </w:r>
    </w:p>
    <w:p>
      <w:pPr>
        <w:pStyle w:val="Style1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经营租赁</w:t>
      </w:r>
    </w:p>
    <w:p>
      <w:pPr>
        <w:pStyle w:val="Style15"/>
        <w:keepNext w:val="0"/>
        <w:keepLines w:val="0"/>
        <w:widowControl w:val="0"/>
        <w:shd w:val="clear" w:color="auto" w:fill="auto"/>
        <w:bidi w:val="0"/>
        <w:spacing w:before="0" w:after="4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）租赁收入</w:t>
      </w:r>
    </w:p>
    <w:tbl>
      <w:tblPr>
        <w:tblOverlap w:val="never"/>
        <w:jc w:val="center"/>
        <w:tblLayout w:type="fixed"/>
      </w:tblPr>
      <w:tblGrid>
        <w:gridCol w:w="4690"/>
        <w:gridCol w:w="193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3,348,923.37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其中：未纳入租赁收款额计量的可变租赁付款额相关收入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15"/>
        <w:keepNext w:val="0"/>
        <w:keepLines w:val="0"/>
        <w:widowControl w:val="0"/>
        <w:shd w:val="clear" w:color="auto" w:fill="auto"/>
        <w:bidi w:val="0"/>
        <w:spacing w:before="0" w:after="180" w:line="240" w:lineRule="auto"/>
        <w:ind w:left="0" w:right="0" w:firstLine="7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）经营租赁资产</w:t>
      </w:r>
      <w:r>
        <w:br w:type="page"/>
      </w:r>
    </w:p>
    <w:tbl>
      <w:tblPr>
        <w:tblOverlap w:val="never"/>
        <w:jc w:val="center"/>
        <w:tblLayout w:type="fixed"/>
      </w:tblPr>
      <w:tblGrid>
        <w:gridCol w:w="4690"/>
        <w:gridCol w:w="193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期末数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23,922,989.72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2,804,133.68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26,727,123.40</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)根据与承租人签订的租赁合同，不可撤销租赁未来将收到的未折现租赁收款额</w:t>
      </w:r>
    </w:p>
    <w:p>
      <w:pPr>
        <w:widowControl w:val="0"/>
        <w:spacing w:line="1" w:lineRule="exact"/>
      </w:pPr>
    </w:p>
    <w:tbl>
      <w:tblPr>
        <w:tblOverlap w:val="never"/>
        <w:jc w:val="center"/>
        <w:tblLayout w:type="fixed"/>
      </w:tblPr>
      <w:tblGrid>
        <w:gridCol w:w="4690"/>
        <w:gridCol w:w="19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811,863.33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821,650.00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647,090.00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2,280,603.33</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2332" w:name="bookmark2332"/>
      <w:bookmarkStart w:id="2333" w:name="bookmark2333"/>
      <w:bookmarkStart w:id="2334" w:name="bookmark2334"/>
      <w:r>
        <w:rPr>
          <w:color w:val="000000"/>
          <w:spacing w:val="0"/>
          <w:w w:val="100"/>
          <w:position w:val="0"/>
          <w:sz w:val="24"/>
          <w:szCs w:val="24"/>
        </w:rPr>
        <w:t>十七、母公司财务报表主要项目注释</w:t>
      </w:r>
      <w:bookmarkEnd w:id="2332"/>
      <w:bookmarkEnd w:id="2333"/>
      <w:bookmarkEnd w:id="2334"/>
    </w:p>
    <w:p>
      <w:pPr>
        <w:pStyle w:val="Style24"/>
        <w:keepNext/>
        <w:keepLines/>
        <w:widowControl w:val="0"/>
        <w:shd w:val="clear" w:color="auto" w:fill="auto"/>
        <w:bidi w:val="0"/>
        <w:spacing w:before="0" w:after="320" w:line="240" w:lineRule="auto"/>
        <w:ind w:left="0" w:right="0" w:firstLine="0"/>
        <w:jc w:val="left"/>
      </w:pPr>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335"/>
      <w:bookmarkEnd w:id="2336"/>
      <w:bookmarkEnd w:id="2337"/>
    </w:p>
    <w:p>
      <w:pPr>
        <w:pStyle w:val="Style92"/>
        <w:keepNext/>
        <w:keepLines/>
        <w:widowControl w:val="0"/>
        <w:shd w:val="clear" w:color="auto" w:fill="auto"/>
        <w:bidi w:val="0"/>
        <w:spacing w:before="0" w:after="380" w:line="240" w:lineRule="auto"/>
        <w:ind w:left="0" w:right="0" w:firstLine="0"/>
        <w:jc w:val="left"/>
      </w:pPr>
      <w:bookmarkStart w:id="2338" w:name="bookmark2338"/>
      <w:bookmarkStart w:id="2339" w:name="bookmark2339"/>
      <w:bookmarkStart w:id="2340" w:name="bookmark2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338"/>
      <w:bookmarkEnd w:id="2339"/>
      <w:bookmarkEnd w:id="2340"/>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1,309,0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97,573.</w:t>
            </w:r>
          </w:p>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206,35 0,969.1</w:t>
            </w:r>
          </w:p>
          <w:p>
            <w:pPr>
              <w:pStyle w:val="Style2"/>
              <w:keepNext w:val="0"/>
              <w:keepLines w:val="0"/>
              <w:widowControl w:val="0"/>
              <w:shd w:val="clear" w:color="auto" w:fill="auto"/>
              <w:bidi w:val="0"/>
              <w:spacing w:before="0" w:after="0"/>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15.76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1,102,7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46,604.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803,98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9,734.9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left"/>
            </w:pPr>
            <w:r>
              <w:rPr>
                <w:rFonts w:ascii="Times New Roman" w:eastAsia="Times New Roman" w:hAnsi="Times New Roman" w:cs="Times New Roman"/>
                <w:color w:val="000000"/>
                <w:spacing w:val="0"/>
                <w:w w:val="100"/>
                <w:position w:val="0"/>
              </w:rPr>
              <w:t>133,29</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5,358.4 0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670,694,</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1,309,0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97,573.</w:t>
            </w:r>
          </w:p>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206,35 0,969.1</w:t>
            </w:r>
          </w:p>
          <w:p>
            <w:pPr>
              <w:pStyle w:val="Style2"/>
              <w:keepNext w:val="0"/>
              <w:keepLines w:val="0"/>
              <w:widowControl w:val="0"/>
              <w:shd w:val="clear" w:color="auto" w:fill="auto"/>
              <w:bidi w:val="0"/>
              <w:spacing w:before="0" w:after="0"/>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15.76</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1,102,7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46,604.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803,98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9,734.9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140"/>
              <w:jc w:val="left"/>
            </w:pPr>
            <w:r>
              <w:rPr>
                <w:rFonts w:ascii="Times New Roman" w:eastAsia="Times New Roman" w:hAnsi="Times New Roman" w:cs="Times New Roman"/>
                <w:color w:val="000000"/>
                <w:spacing w:val="0"/>
                <w:w w:val="100"/>
                <w:position w:val="0"/>
              </w:rPr>
              <w:t>133,29</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5,358.4 0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670,694,</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376.58</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按单项计提坏账准备:</w:t>
      </w:r>
    </w:p>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按组合计提坏账准备：</w:t>
      </w:r>
      <w:r>
        <w:rPr>
          <w:rFonts w:ascii="Times New Roman" w:eastAsia="Times New Roman" w:hAnsi="Times New Roman" w:cs="Times New Roman"/>
          <w:b w:val="0"/>
          <w:bCs w:val="0"/>
          <w:color w:val="000000"/>
          <w:spacing w:val="0"/>
          <w:w w:val="100"/>
          <w:position w:val="0"/>
        </w:rPr>
        <w:t>206,350,969.14</w:t>
      </w:r>
    </w:p>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1,309,097,573.82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206,350,969.14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w:t>
            </w:r>
          </w:p>
        </w:tc>
      </w:tr>
    </w:tbl>
    <w:p>
      <w:pPr>
        <w:spacing w:lineRule="exact" w:line="1"/>
        <w:rPr>
          <w:sz w:val="2"/>
          <w:szCs w:val="2"/>
        </w:rPr>
      </w:pPr>
      <w:r>
        <w:br w:type="page"/>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确定该组合依据的说明：</w:t>
      </w:r>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15"/>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参考历史信用损失经验，结合当前状况以及对未来经济状况的预测，通过违约风险敞口和整个存续期预期信用损失率，计算 预期信用损失。对于应收外部客户账款组合，本公司认为相同账龄的客户具有类似预期损失率。</w:t>
      </w:r>
    </w:p>
    <w:p>
      <w:pPr>
        <w:pStyle w:val="Style1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799,435,823.05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300,218,466.59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107,576,093.59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101,867,190.59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46,433,261.20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22,939,517.00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32,494,412.39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1,309,097,573.82</w:t>
            </w:r>
          </w:p>
        </w:tc>
      </w:tr>
    </w:tbl>
    <w:p>
      <w:pPr>
        <w:widowControl w:val="0"/>
        <w:spacing w:after="319" w:line="1" w:lineRule="exact"/>
      </w:pPr>
    </w:p>
    <w:p>
      <w:pPr>
        <w:pStyle w:val="Style92"/>
        <w:keepNext/>
        <w:keepLines/>
        <w:widowControl w:val="0"/>
        <w:shd w:val="clear" w:color="auto" w:fill="auto"/>
        <w:bidi w:val="0"/>
        <w:spacing w:before="0" w:after="380" w:line="240" w:lineRule="auto"/>
        <w:ind w:left="0" w:right="0" w:firstLine="0"/>
        <w:jc w:val="both"/>
      </w:pPr>
      <w:bookmarkStart w:id="2341" w:name="bookmark2341"/>
      <w:bookmarkStart w:id="2342" w:name="bookmark2342"/>
      <w:bookmarkStart w:id="2343" w:name="bookmark23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341"/>
      <w:bookmarkEnd w:id="2342"/>
      <w:bookmarkEnd w:id="2343"/>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133,295,358.40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76,294,122.63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3,238,511.89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206,350,969.14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133,295,358.40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76,294,122.63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3,238,511.89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206,350,969.14</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92"/>
        <w:keepNext/>
        <w:keepLines/>
        <w:widowControl w:val="0"/>
        <w:shd w:val="clear" w:color="auto" w:fill="auto"/>
        <w:bidi w:val="0"/>
        <w:spacing w:before="0" w:after="360" w:line="240" w:lineRule="auto"/>
        <w:ind w:left="0" w:right="0" w:firstLine="0"/>
        <w:jc w:val="both"/>
      </w:pPr>
      <w:bookmarkStart w:id="2344" w:name="bookmark2344"/>
      <w:bookmarkStart w:id="2345" w:name="bookmark2345"/>
      <w:bookmarkStart w:id="2346" w:name="bookmark2346"/>
      <w:bookmarkStart w:id="2347" w:name="bookmark2347"/>
      <w:r>
        <w:rPr>
          <w:color w:val="000000"/>
          <w:spacing w:val="0"/>
          <w:w w:val="100"/>
          <w:position w:val="0"/>
        </w:rPr>
        <w:t>（</w:t>
      </w:r>
      <w:bookmarkEnd w:id="234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344"/>
      <w:bookmarkEnd w:id="2345"/>
      <w:bookmarkEnd w:id="2347"/>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3,238,511.89</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92"/>
        <w:keepNext/>
        <w:keepLines/>
        <w:widowControl w:val="0"/>
        <w:shd w:val="clear" w:color="auto" w:fill="auto"/>
        <w:bidi w:val="0"/>
        <w:spacing w:before="0" w:after="360" w:line="240" w:lineRule="auto"/>
        <w:ind w:left="0" w:right="0" w:firstLine="0"/>
        <w:jc w:val="both"/>
      </w:pPr>
      <w:bookmarkStart w:id="2348" w:name="bookmark2348"/>
      <w:bookmarkStart w:id="2349" w:name="bookmark2349"/>
      <w:bookmarkStart w:id="2350" w:name="bookmark2350"/>
      <w:bookmarkStart w:id="2351" w:name="bookmark2351"/>
      <w:r>
        <w:rPr>
          <w:color w:val="000000"/>
          <w:spacing w:val="0"/>
          <w:w w:val="100"/>
          <w:position w:val="0"/>
        </w:rPr>
        <w:t>（</w:t>
      </w:r>
      <w:bookmarkEnd w:id="235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348"/>
      <w:bookmarkEnd w:id="2349"/>
      <w:bookmarkEnd w:id="235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73,310,951.01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3,665,547.55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44,180,422.06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2,745,633.21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33,721,000.13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3,460,795.50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30,330,741.00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1,516,537.05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18,423,000.00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921,150.00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199,966,114.20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92"/>
        <w:keepNext/>
        <w:keepLines/>
        <w:widowControl w:val="0"/>
        <w:shd w:val="clear" w:color="auto" w:fill="auto"/>
        <w:tabs>
          <w:tab w:pos="493" w:val="left"/>
        </w:tabs>
        <w:bidi w:val="0"/>
        <w:spacing w:before="0" w:after="360" w:line="240" w:lineRule="auto"/>
        <w:ind w:left="0" w:right="0" w:firstLine="0"/>
        <w:jc w:val="both"/>
      </w:pPr>
      <w:bookmarkStart w:id="2352" w:name="bookmark2352"/>
      <w:bookmarkStart w:id="2353" w:name="bookmark2353"/>
      <w:bookmarkStart w:id="2354" w:name="bookmark2354"/>
      <w:bookmarkStart w:id="2355" w:name="bookmark2355"/>
      <w:r>
        <w:rPr>
          <w:color w:val="000000"/>
          <w:spacing w:val="0"/>
          <w:w w:val="100"/>
          <w:position w:val="0"/>
        </w:rPr>
        <w:t>（</w:t>
      </w:r>
      <w:bookmarkEnd w:id="235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352"/>
      <w:bookmarkEnd w:id="2353"/>
      <w:bookmarkEnd w:id="2355"/>
    </w:p>
    <w:p>
      <w:pPr>
        <w:pStyle w:val="Style92"/>
        <w:keepNext/>
        <w:keepLines/>
        <w:widowControl w:val="0"/>
        <w:shd w:val="clear" w:color="auto" w:fill="auto"/>
        <w:tabs>
          <w:tab w:pos="493" w:val="left"/>
        </w:tabs>
        <w:bidi w:val="0"/>
        <w:spacing w:before="0" w:after="360" w:line="240" w:lineRule="auto"/>
        <w:ind w:left="0" w:right="0" w:firstLine="0"/>
        <w:jc w:val="both"/>
      </w:pPr>
      <w:bookmarkStart w:id="2356" w:name="bookmark2356"/>
      <w:bookmarkStart w:id="2357" w:name="bookmark2357"/>
      <w:bookmarkStart w:id="2358" w:name="bookmark2358"/>
      <w:bookmarkStart w:id="2359" w:name="bookmark2359"/>
      <w:r>
        <w:rPr>
          <w:color w:val="000000"/>
          <w:spacing w:val="0"/>
          <w:w w:val="100"/>
          <w:position w:val="0"/>
        </w:rPr>
        <w:t>（</w:t>
      </w:r>
      <w:bookmarkEnd w:id="235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356"/>
      <w:bookmarkEnd w:id="2357"/>
      <w:bookmarkEnd w:id="2359"/>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60"/>
      <w:bookmarkEnd w:id="2361"/>
      <w:bookmarkEnd w:id="2362"/>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71,285,268.21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63,568,390.93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71,285,268.21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63,568,390.93</w:t>
            </w:r>
          </w:p>
        </w:tc>
      </w:tr>
    </w:tbl>
    <w:p>
      <w:pPr>
        <w:pStyle w:val="Style92"/>
        <w:keepNext/>
        <w:keepLines/>
        <w:widowControl w:val="0"/>
        <w:shd w:val="clear" w:color="auto" w:fill="auto"/>
        <w:bidi w:val="0"/>
        <w:spacing w:before="0" w:after="340" w:line="240" w:lineRule="auto"/>
        <w:ind w:left="0" w:right="0" w:firstLine="0"/>
        <w:jc w:val="both"/>
      </w:pPr>
      <w:bookmarkStart w:id="2363" w:name="bookmark2363"/>
      <w:bookmarkStart w:id="2364" w:name="bookmark2364"/>
      <w:bookmarkStart w:id="2365" w:name="bookmark23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63"/>
      <w:bookmarkEnd w:id="2364"/>
      <w:bookmarkEnd w:id="2365"/>
    </w:p>
    <w:p>
      <w:pPr>
        <w:pStyle w:val="Style115"/>
        <w:keepNext/>
        <w:keepLines/>
        <w:widowControl w:val="0"/>
        <w:shd w:val="clear" w:color="auto" w:fill="auto"/>
        <w:bidi w:val="0"/>
        <w:spacing w:before="0" w:after="340" w:line="240" w:lineRule="auto"/>
        <w:ind w:left="0" w:right="0" w:firstLine="0"/>
        <w:jc w:val="both"/>
        <w:rPr>
          <w:sz w:val="20"/>
          <w:szCs w:val="20"/>
        </w:rPr>
      </w:pPr>
      <w:bookmarkStart w:id="2366" w:name="bookmark2366"/>
      <w:bookmarkStart w:id="2367" w:name="bookmark2367"/>
      <w:bookmarkStart w:id="2368" w:name="bookmark2368"/>
      <w:bookmarkStart w:id="2369" w:name="bookmark2369"/>
      <w:r>
        <w:rPr>
          <w:rFonts w:ascii="Times New Roman" w:eastAsia="Times New Roman" w:hAnsi="Times New Roman" w:cs="Times New Roman"/>
          <w:b/>
          <w:bCs/>
          <w:color w:val="000000"/>
          <w:spacing w:val="0"/>
          <w:w w:val="100"/>
          <w:position w:val="0"/>
          <w:sz w:val="20"/>
          <w:szCs w:val="20"/>
        </w:rPr>
        <w:t>1</w:t>
      </w:r>
      <w:bookmarkEnd w:id="2368"/>
      <w:r>
        <w:rPr>
          <w:b/>
          <w:bCs/>
          <w:color w:val="000000"/>
          <w:spacing w:val="0"/>
          <w:w w:val="100"/>
          <w:position w:val="0"/>
          <w:sz w:val="20"/>
          <w:szCs w:val="20"/>
        </w:rPr>
        <w:t>）应收利息分类</w:t>
      </w:r>
      <w:bookmarkEnd w:id="2366"/>
      <w:bookmarkEnd w:id="2367"/>
      <w:bookmarkEnd w:id="2369"/>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115"/>
        <w:keepNext/>
        <w:keepLines/>
        <w:widowControl w:val="0"/>
        <w:shd w:val="clear" w:color="auto" w:fill="auto"/>
        <w:bidi w:val="0"/>
        <w:spacing w:before="0" w:after="340" w:line="240" w:lineRule="auto"/>
        <w:ind w:left="0" w:right="0" w:firstLine="0"/>
        <w:jc w:val="both"/>
        <w:rPr>
          <w:sz w:val="20"/>
          <w:szCs w:val="20"/>
        </w:rPr>
      </w:pPr>
      <w:bookmarkStart w:id="2370" w:name="bookmark2370"/>
      <w:bookmarkStart w:id="2371" w:name="bookmark2371"/>
      <w:bookmarkStart w:id="2372" w:name="bookmark2372"/>
      <w:bookmarkStart w:id="2373" w:name="bookmark2373"/>
      <w:r>
        <w:rPr>
          <w:rFonts w:ascii="Times New Roman" w:eastAsia="Times New Roman" w:hAnsi="Times New Roman" w:cs="Times New Roman"/>
          <w:b/>
          <w:bCs/>
          <w:color w:val="000000"/>
          <w:spacing w:val="0"/>
          <w:w w:val="100"/>
          <w:position w:val="0"/>
          <w:sz w:val="20"/>
          <w:szCs w:val="20"/>
        </w:rPr>
        <w:t>2</w:t>
      </w:r>
      <w:bookmarkEnd w:id="2372"/>
      <w:r>
        <w:rPr>
          <w:b/>
          <w:bCs/>
          <w:color w:val="000000"/>
          <w:spacing w:val="0"/>
          <w:w w:val="100"/>
          <w:position w:val="0"/>
          <w:sz w:val="20"/>
          <w:szCs w:val="20"/>
        </w:rPr>
        <w:t>）重要逾期利息</w:t>
      </w:r>
      <w:bookmarkEnd w:id="2370"/>
      <w:bookmarkEnd w:id="2371"/>
      <w:bookmarkEnd w:id="2373"/>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99" w:line="1" w:lineRule="exact"/>
      </w:pPr>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115"/>
        <w:keepNext/>
        <w:keepLines/>
        <w:widowControl w:val="0"/>
        <w:shd w:val="clear" w:color="auto" w:fill="auto"/>
        <w:bidi w:val="0"/>
        <w:spacing w:before="0" w:after="340" w:line="240" w:lineRule="auto"/>
        <w:ind w:left="0" w:right="0" w:firstLine="0"/>
        <w:jc w:val="both"/>
        <w:rPr>
          <w:sz w:val="20"/>
          <w:szCs w:val="20"/>
        </w:rPr>
      </w:pPr>
      <w:bookmarkStart w:id="2374" w:name="bookmark2374"/>
      <w:bookmarkStart w:id="2375" w:name="bookmark2375"/>
      <w:bookmarkStart w:id="2376" w:name="bookmark2376"/>
      <w:bookmarkStart w:id="2377" w:name="bookmark2377"/>
      <w:r>
        <w:rPr>
          <w:rFonts w:ascii="Times New Roman" w:eastAsia="Times New Roman" w:hAnsi="Times New Roman" w:cs="Times New Roman"/>
          <w:b/>
          <w:bCs/>
          <w:color w:val="000000"/>
          <w:spacing w:val="0"/>
          <w:w w:val="100"/>
          <w:position w:val="0"/>
          <w:sz w:val="20"/>
          <w:szCs w:val="20"/>
        </w:rPr>
        <w:t>3</w:t>
      </w:r>
      <w:bookmarkEnd w:id="2376"/>
      <w:r>
        <w:rPr>
          <w:b/>
          <w:bCs/>
          <w:color w:val="000000"/>
          <w:spacing w:val="0"/>
          <w:w w:val="100"/>
          <w:position w:val="0"/>
          <w:sz w:val="20"/>
          <w:szCs w:val="20"/>
        </w:rPr>
        <w:t>）坏账准备计提情况</w:t>
      </w:r>
      <w:bookmarkEnd w:id="2374"/>
      <w:bookmarkEnd w:id="2375"/>
      <w:bookmarkEnd w:id="2377"/>
    </w:p>
    <w:p>
      <w:pPr>
        <w:pStyle w:val="Style1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92"/>
        <w:keepNext/>
        <w:keepLines/>
        <w:widowControl w:val="0"/>
        <w:shd w:val="clear" w:color="auto" w:fill="auto"/>
        <w:bidi w:val="0"/>
        <w:spacing w:before="0" w:after="340" w:line="240" w:lineRule="auto"/>
        <w:ind w:left="0" w:right="0" w:firstLine="0"/>
        <w:jc w:val="both"/>
      </w:pPr>
      <w:bookmarkStart w:id="2378" w:name="bookmark2378"/>
      <w:bookmarkStart w:id="2379" w:name="bookmark2379"/>
      <w:bookmarkStart w:id="2380" w:name="bookmark23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78"/>
      <w:bookmarkEnd w:id="2379"/>
      <w:bookmarkEnd w:id="2380"/>
    </w:p>
    <w:p>
      <w:pPr>
        <w:pStyle w:val="Style115"/>
        <w:keepNext/>
        <w:keepLines/>
        <w:widowControl w:val="0"/>
        <w:shd w:val="clear" w:color="auto" w:fill="auto"/>
        <w:bidi w:val="0"/>
        <w:spacing w:before="0" w:after="340" w:line="240" w:lineRule="auto"/>
        <w:ind w:left="0" w:right="0" w:firstLine="0"/>
        <w:jc w:val="both"/>
        <w:rPr>
          <w:sz w:val="20"/>
          <w:szCs w:val="20"/>
        </w:rPr>
      </w:pPr>
      <w:bookmarkStart w:id="2381" w:name="bookmark2381"/>
      <w:bookmarkStart w:id="2382" w:name="bookmark2382"/>
      <w:bookmarkStart w:id="2383" w:name="bookmark2383"/>
      <w:bookmarkStart w:id="2384" w:name="bookmark2384"/>
      <w:r>
        <w:rPr>
          <w:rFonts w:ascii="Times New Roman" w:eastAsia="Times New Roman" w:hAnsi="Times New Roman" w:cs="Times New Roman"/>
          <w:b/>
          <w:bCs/>
          <w:color w:val="000000"/>
          <w:spacing w:val="0"/>
          <w:w w:val="100"/>
          <w:position w:val="0"/>
          <w:sz w:val="20"/>
          <w:szCs w:val="20"/>
        </w:rPr>
        <w:t>1</w:t>
      </w:r>
      <w:bookmarkEnd w:id="2383"/>
      <w:r>
        <w:rPr>
          <w:b/>
          <w:bCs/>
          <w:color w:val="000000"/>
          <w:spacing w:val="0"/>
          <w:w w:val="100"/>
          <w:position w:val="0"/>
          <w:sz w:val="20"/>
          <w:szCs w:val="20"/>
        </w:rPr>
        <w:t>）应收股利分类</w:t>
      </w:r>
      <w:bookmarkEnd w:id="2381"/>
      <w:bookmarkEnd w:id="2382"/>
      <w:bookmarkEnd w:id="2384"/>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115"/>
        <w:keepNext/>
        <w:keepLines/>
        <w:widowControl w:val="0"/>
        <w:shd w:val="clear" w:color="auto" w:fill="auto"/>
        <w:bidi w:val="0"/>
        <w:spacing w:before="0" w:after="340" w:line="240" w:lineRule="auto"/>
        <w:ind w:left="0" w:right="0" w:firstLine="0"/>
        <w:jc w:val="left"/>
        <w:rPr>
          <w:sz w:val="20"/>
          <w:szCs w:val="20"/>
        </w:rPr>
      </w:pPr>
      <w:bookmarkStart w:id="2385" w:name="bookmark2385"/>
      <w:bookmarkStart w:id="2386" w:name="bookmark2386"/>
      <w:bookmarkStart w:id="2387" w:name="bookmark2387"/>
      <w:bookmarkStart w:id="2388" w:name="bookmark2388"/>
      <w:r>
        <w:rPr>
          <w:rFonts w:ascii="Times New Roman" w:eastAsia="Times New Roman" w:hAnsi="Times New Roman" w:cs="Times New Roman"/>
          <w:b/>
          <w:bCs/>
          <w:color w:val="000000"/>
          <w:spacing w:val="0"/>
          <w:w w:val="100"/>
          <w:position w:val="0"/>
          <w:sz w:val="20"/>
          <w:szCs w:val="20"/>
        </w:rPr>
        <w:t>2</w:t>
      </w:r>
      <w:bookmarkEnd w:id="2387"/>
      <w:r>
        <w:rPr>
          <w:b/>
          <w:bCs/>
          <w:color w:val="000000"/>
          <w:spacing w:val="0"/>
          <w:w w:val="100"/>
          <w:position w:val="0"/>
          <w:sz w:val="20"/>
          <w:szCs w:val="20"/>
        </w:rPr>
        <w:t>）重要的账龄超过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年的应收股利</w:t>
      </w:r>
      <w:bookmarkEnd w:id="2385"/>
      <w:bookmarkEnd w:id="2386"/>
      <w:bookmarkEnd w:id="2388"/>
    </w:p>
    <w:p>
      <w:pPr>
        <w:pStyle w:val="Style1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115"/>
        <w:keepNext/>
        <w:keepLines/>
        <w:widowControl w:val="0"/>
        <w:shd w:val="clear" w:color="auto" w:fill="auto"/>
        <w:bidi w:val="0"/>
        <w:spacing w:before="0" w:after="340" w:line="240" w:lineRule="auto"/>
        <w:ind w:left="0" w:right="0" w:firstLine="0"/>
        <w:jc w:val="left"/>
        <w:rPr>
          <w:sz w:val="20"/>
          <w:szCs w:val="20"/>
        </w:rPr>
      </w:pPr>
      <w:bookmarkStart w:id="2389" w:name="bookmark2389"/>
      <w:bookmarkStart w:id="2390" w:name="bookmark2390"/>
      <w:bookmarkStart w:id="2391" w:name="bookmark2391"/>
      <w:bookmarkStart w:id="2392" w:name="bookmark2392"/>
      <w:r>
        <w:rPr>
          <w:rFonts w:ascii="Times New Roman" w:eastAsia="Times New Roman" w:hAnsi="Times New Roman" w:cs="Times New Roman"/>
          <w:b/>
          <w:bCs/>
          <w:color w:val="000000"/>
          <w:spacing w:val="0"/>
          <w:w w:val="100"/>
          <w:position w:val="0"/>
          <w:sz w:val="20"/>
          <w:szCs w:val="20"/>
        </w:rPr>
        <w:t>3</w:t>
      </w:r>
      <w:bookmarkEnd w:id="2391"/>
      <w:r>
        <w:rPr>
          <w:b/>
          <w:bCs/>
          <w:color w:val="000000"/>
          <w:spacing w:val="0"/>
          <w:w w:val="100"/>
          <w:position w:val="0"/>
          <w:sz w:val="20"/>
          <w:szCs w:val="20"/>
        </w:rPr>
        <w:t>）坏账准备计提情况</w:t>
      </w:r>
      <w:bookmarkEnd w:id="2389"/>
      <w:bookmarkEnd w:id="2390"/>
      <w:bookmarkEnd w:id="2392"/>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92"/>
        <w:keepNext/>
        <w:keepLines/>
        <w:widowControl w:val="0"/>
        <w:shd w:val="clear" w:color="auto" w:fill="auto"/>
        <w:bidi w:val="0"/>
        <w:spacing w:before="0" w:after="340" w:line="240" w:lineRule="auto"/>
        <w:ind w:left="0" w:right="0" w:firstLine="0"/>
        <w:jc w:val="left"/>
      </w:pPr>
      <w:bookmarkStart w:id="2393" w:name="bookmark2393"/>
      <w:bookmarkStart w:id="2394" w:name="bookmark2394"/>
      <w:bookmarkStart w:id="2395" w:name="bookmark2395"/>
      <w:bookmarkStart w:id="2396" w:name="bookmark2396"/>
      <w:r>
        <w:rPr>
          <w:color w:val="000000"/>
          <w:spacing w:val="0"/>
          <w:w w:val="100"/>
          <w:position w:val="0"/>
        </w:rPr>
        <w:t>（</w:t>
      </w:r>
      <w:bookmarkEnd w:id="239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93"/>
      <w:bookmarkEnd w:id="2394"/>
      <w:bookmarkEnd w:id="2396"/>
    </w:p>
    <w:p>
      <w:pPr>
        <w:pStyle w:val="Style115"/>
        <w:keepNext/>
        <w:keepLines/>
        <w:widowControl w:val="0"/>
        <w:shd w:val="clear" w:color="auto" w:fill="auto"/>
        <w:bidi w:val="0"/>
        <w:spacing w:before="0" w:after="340" w:line="240" w:lineRule="auto"/>
        <w:ind w:left="0" w:right="0" w:firstLine="0"/>
        <w:jc w:val="left"/>
        <w:rPr>
          <w:sz w:val="20"/>
          <w:szCs w:val="20"/>
        </w:rPr>
      </w:pPr>
      <w:bookmarkStart w:id="2397" w:name="bookmark2397"/>
      <w:bookmarkStart w:id="2398" w:name="bookmark2398"/>
      <w:bookmarkStart w:id="2399" w:name="bookmark239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）其他应收款按款项性质分类情况</w:t>
      </w:r>
      <w:bookmarkEnd w:id="2397"/>
      <w:bookmarkEnd w:id="2398"/>
      <w:bookmarkEnd w:id="2399"/>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57,970,150.74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55,996,577.38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3,906,169.47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1,934,245.25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21,943,409.07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19,789,094.61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6,089,329.14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4,247,872.46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89,909,058.42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81,967,789.70</w:t>
            </w:r>
          </w:p>
        </w:tc>
      </w:tr>
    </w:tbl>
    <w:p>
      <w:pPr>
        <w:widowControl w:val="0"/>
        <w:spacing w:after="299" w:line="1" w:lineRule="exact"/>
      </w:pPr>
    </w:p>
    <w:p>
      <w:pPr>
        <w:pStyle w:val="Style115"/>
        <w:keepNext/>
        <w:keepLines/>
        <w:widowControl w:val="0"/>
        <w:shd w:val="clear" w:color="auto" w:fill="auto"/>
        <w:bidi w:val="0"/>
        <w:spacing w:before="0" w:after="360" w:line="240" w:lineRule="auto"/>
        <w:ind w:left="0" w:right="0" w:firstLine="0"/>
        <w:jc w:val="left"/>
        <w:rPr>
          <w:sz w:val="20"/>
          <w:szCs w:val="20"/>
        </w:rPr>
      </w:pPr>
      <w:bookmarkStart w:id="2400" w:name="bookmark2400"/>
      <w:bookmarkStart w:id="2401" w:name="bookmark2401"/>
      <w:bookmarkStart w:id="2402" w:name="bookmark240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）坏账准备计提情况</w:t>
      </w:r>
      <w:bookmarkEnd w:id="2400"/>
      <w:bookmarkEnd w:id="2401"/>
      <w:bookmarkEnd w:id="2402"/>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失（未发生信用减值）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整个存续期预期信用损</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1,147,257.62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3,389,340.91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13,862,800.24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18,399,398.77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-703,116.01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703,116.01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-2,883,118.82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2,883,118.82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875,792.57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1,603,125.94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-2,260,022.07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218,896.44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5,495.00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1,319,934.18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2,812,464.04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14,491,391.99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18,623,790.21</w:t>
            </w:r>
          </w:p>
        </w:tc>
      </w:tr>
    </w:tbl>
    <w:p>
      <w:pPr>
        <w:pStyle w:val="Style15"/>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15"/>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48,342,092.70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14,062,320.19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14,415,594.10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13,089,051.43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4,994,580.40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2,125,237.36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5,969,233.67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89,909,058.42</w:t>
            </w:r>
          </w:p>
        </w:tc>
      </w:tr>
    </w:tbl>
    <w:p>
      <w:pPr>
        <w:widowControl w:val="0"/>
        <w:spacing w:after="299" w:line="1" w:lineRule="exact"/>
      </w:pPr>
    </w:p>
    <w:p>
      <w:pPr>
        <w:pStyle w:val="Style115"/>
        <w:keepNext/>
        <w:keepLines/>
        <w:widowControl w:val="0"/>
        <w:shd w:val="clear" w:color="auto" w:fill="auto"/>
        <w:bidi w:val="0"/>
        <w:spacing w:before="0" w:after="360" w:line="240" w:lineRule="auto"/>
        <w:ind w:left="0" w:right="0" w:firstLine="0"/>
        <w:jc w:val="left"/>
        <w:rPr>
          <w:sz w:val="20"/>
          <w:szCs w:val="20"/>
        </w:rPr>
      </w:pPr>
      <w:bookmarkStart w:id="2403" w:name="bookmark2403"/>
      <w:bookmarkStart w:id="2404" w:name="bookmark2404"/>
      <w:bookmarkStart w:id="2405" w:name="bookmark2405"/>
      <w:bookmarkStart w:id="2406" w:name="bookmark2406"/>
      <w:r>
        <w:rPr>
          <w:rFonts w:ascii="Times New Roman" w:eastAsia="Times New Roman" w:hAnsi="Times New Roman" w:cs="Times New Roman"/>
          <w:b/>
          <w:bCs/>
          <w:color w:val="000000"/>
          <w:spacing w:val="0"/>
          <w:w w:val="100"/>
          <w:position w:val="0"/>
          <w:sz w:val="20"/>
          <w:szCs w:val="20"/>
        </w:rPr>
        <w:t>3</w:t>
      </w:r>
      <w:bookmarkEnd w:id="2405"/>
      <w:r>
        <w:rPr>
          <w:b/>
          <w:bCs/>
          <w:color w:val="000000"/>
          <w:spacing w:val="0"/>
          <w:w w:val="100"/>
          <w:position w:val="0"/>
          <w:sz w:val="20"/>
          <w:szCs w:val="20"/>
        </w:rPr>
        <w:t>）本期计提、收回或转回的坏账准备情况</w:t>
      </w:r>
      <w:bookmarkEnd w:id="2403"/>
      <w:bookmarkEnd w:id="2404"/>
      <w:bookmarkEnd w:id="2406"/>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本期计提坏账准备情况：</w:t>
      </w:r>
      <w:r>
        <w:br w:type="page"/>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18,399,398.</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218,896.44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5,495.00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18,623,790.21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18,399,398.</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218,896.44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5,495.00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18,623,790.21</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其中本期坏账准备转回或收回金额重要的:</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115"/>
        <w:keepNext/>
        <w:keepLines/>
        <w:widowControl w:val="0"/>
        <w:shd w:val="clear" w:color="auto" w:fill="auto"/>
        <w:bidi w:val="0"/>
        <w:spacing w:before="0" w:after="360" w:line="240" w:lineRule="auto"/>
        <w:ind w:left="0" w:right="0" w:firstLine="0"/>
        <w:jc w:val="left"/>
        <w:rPr>
          <w:sz w:val="20"/>
          <w:szCs w:val="20"/>
        </w:rPr>
      </w:pPr>
      <w:bookmarkStart w:id="2407" w:name="bookmark2407"/>
      <w:bookmarkStart w:id="2408" w:name="bookmark2408"/>
      <w:bookmarkStart w:id="2409" w:name="bookmark2409"/>
      <w:bookmarkStart w:id="2410" w:name="bookmark2410"/>
      <w:r>
        <w:rPr>
          <w:rFonts w:ascii="Times New Roman" w:eastAsia="Times New Roman" w:hAnsi="Times New Roman" w:cs="Times New Roman"/>
          <w:b/>
          <w:bCs/>
          <w:color w:val="000000"/>
          <w:spacing w:val="0"/>
          <w:w w:val="100"/>
          <w:position w:val="0"/>
          <w:sz w:val="20"/>
          <w:szCs w:val="20"/>
        </w:rPr>
        <w:t>4</w:t>
      </w:r>
      <w:bookmarkEnd w:id="2409"/>
      <w:r>
        <w:rPr>
          <w:b/>
          <w:bCs/>
          <w:color w:val="000000"/>
          <w:spacing w:val="0"/>
          <w:w w:val="100"/>
          <w:position w:val="0"/>
          <w:sz w:val="20"/>
          <w:szCs w:val="20"/>
        </w:rPr>
        <w:t>）本期实际核销的其他应收款情况</w:t>
      </w:r>
      <w:bookmarkEnd w:id="2407"/>
      <w:bookmarkEnd w:id="2408"/>
      <w:bookmarkEnd w:id="2410"/>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90"/>
        <w:gridCol w:w="1550"/>
        <w:gridCol w:w="1550"/>
        <w:gridCol w:w="1555"/>
        <w:gridCol w:w="1613"/>
        <w:gridCol w:w="1675"/>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115"/>
        <w:keepNext/>
        <w:keepLines/>
        <w:widowControl w:val="0"/>
        <w:shd w:val="clear" w:color="auto" w:fill="auto"/>
        <w:bidi w:val="0"/>
        <w:spacing w:before="0" w:after="360" w:line="240" w:lineRule="auto"/>
        <w:ind w:left="0" w:right="0" w:firstLine="0"/>
        <w:jc w:val="left"/>
        <w:rPr>
          <w:sz w:val="20"/>
          <w:szCs w:val="20"/>
        </w:rPr>
      </w:pPr>
      <w:bookmarkStart w:id="2411" w:name="bookmark2411"/>
      <w:bookmarkStart w:id="2412" w:name="bookmark2412"/>
      <w:bookmarkStart w:id="2413" w:name="bookmark2413"/>
      <w:bookmarkStart w:id="2414" w:name="bookmark2414"/>
      <w:r>
        <w:rPr>
          <w:rFonts w:ascii="Times New Roman" w:eastAsia="Times New Roman" w:hAnsi="Times New Roman" w:cs="Times New Roman"/>
          <w:b/>
          <w:bCs/>
          <w:color w:val="000000"/>
          <w:spacing w:val="0"/>
          <w:w w:val="100"/>
          <w:position w:val="0"/>
          <w:sz w:val="20"/>
          <w:szCs w:val="20"/>
        </w:rPr>
        <w:t>5</w:t>
      </w:r>
      <w:bookmarkEnd w:id="2413"/>
      <w:r>
        <w:rPr>
          <w:b/>
          <w:bCs/>
          <w:color w:val="000000"/>
          <w:spacing w:val="0"/>
          <w:w w:val="100"/>
          <w:position w:val="0"/>
          <w:sz w:val="20"/>
          <w:szCs w:val="20"/>
        </w:rPr>
        <w:t>）按欠款方归集的期末余额前五名的其他应收款情况</w:t>
      </w:r>
      <w:bookmarkEnd w:id="2411"/>
      <w:bookmarkEnd w:id="2412"/>
      <w:bookmarkEnd w:id="2414"/>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上海创航软件有限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10,111,858.76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福建医科大学附属 协和医院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7,367,787.75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2,210,336.33</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盐城市第一人民医 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3,016,000.00 </w:t>
            </w:r>
            <w:r>
              <w:rPr>
                <w:color w:val="000000"/>
                <w:spacing w:val="0"/>
                <w:w w:val="100"/>
                <w:position w:val="0"/>
              </w:rPr>
              <w:t>元、</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2,479,000.00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646,600.00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天津创津科技有限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5,203,278.38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5.79%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新疆创什信息科技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4,814,385.07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0"/>
        <w:gridCol w:w="1550"/>
        <w:gridCol w:w="1555"/>
        <w:gridCol w:w="1550"/>
        <w:gridCol w:w="1613"/>
        <w:gridCol w:w="162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32,992,309.96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2,856,936.33</w:t>
            </w:r>
          </w:p>
        </w:tc>
      </w:tr>
    </w:tbl>
    <w:p>
      <w:pPr>
        <w:widowControl w:val="0"/>
        <w:spacing w:after="319" w:line="1" w:lineRule="exact"/>
      </w:pPr>
    </w:p>
    <w:p>
      <w:pPr>
        <w:pStyle w:val="Style115"/>
        <w:keepNext/>
        <w:keepLines/>
        <w:widowControl w:val="0"/>
        <w:shd w:val="clear" w:color="auto" w:fill="auto"/>
        <w:bidi w:val="0"/>
        <w:spacing w:before="0" w:after="380" w:line="240" w:lineRule="auto"/>
        <w:ind w:left="0" w:right="0" w:firstLine="0"/>
        <w:jc w:val="left"/>
        <w:rPr>
          <w:sz w:val="20"/>
          <w:szCs w:val="20"/>
        </w:rPr>
      </w:pPr>
      <w:bookmarkStart w:id="2415" w:name="bookmark2415"/>
      <w:bookmarkStart w:id="2416" w:name="bookmark2416"/>
      <w:bookmarkStart w:id="2417" w:name="bookmark2417"/>
      <w:bookmarkStart w:id="2418" w:name="bookmark2418"/>
      <w:r>
        <w:rPr>
          <w:rFonts w:ascii="Times New Roman" w:eastAsia="Times New Roman" w:hAnsi="Times New Roman" w:cs="Times New Roman"/>
          <w:b/>
          <w:bCs/>
          <w:color w:val="000000"/>
          <w:spacing w:val="0"/>
          <w:w w:val="100"/>
          <w:position w:val="0"/>
          <w:sz w:val="20"/>
          <w:szCs w:val="20"/>
        </w:rPr>
        <w:t>6</w:t>
      </w:r>
      <w:bookmarkEnd w:id="2417"/>
      <w:r>
        <w:rPr>
          <w:b/>
          <w:bCs/>
          <w:color w:val="000000"/>
          <w:spacing w:val="0"/>
          <w:w w:val="100"/>
          <w:position w:val="0"/>
          <w:sz w:val="20"/>
          <w:szCs w:val="20"/>
        </w:rPr>
        <w:t>）涉及政府补助的应收款项</w:t>
      </w:r>
      <w:bookmarkEnd w:id="2415"/>
      <w:bookmarkEnd w:id="2416"/>
      <w:bookmarkEnd w:id="2418"/>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19" w:line="1" w:lineRule="exact"/>
      </w:pPr>
    </w:p>
    <w:p>
      <w:pPr>
        <w:pStyle w:val="Style115"/>
        <w:keepNext/>
        <w:keepLines/>
        <w:widowControl w:val="0"/>
        <w:shd w:val="clear" w:color="auto" w:fill="auto"/>
        <w:tabs>
          <w:tab w:pos="392" w:val="left"/>
        </w:tabs>
        <w:bidi w:val="0"/>
        <w:spacing w:before="0" w:after="320" w:line="240" w:lineRule="auto"/>
        <w:ind w:left="0" w:right="0" w:firstLine="0"/>
        <w:jc w:val="left"/>
        <w:rPr>
          <w:sz w:val="20"/>
          <w:szCs w:val="20"/>
        </w:rPr>
      </w:pPr>
      <w:bookmarkStart w:id="2419" w:name="bookmark2419"/>
      <w:bookmarkStart w:id="2420" w:name="bookmark2420"/>
      <w:bookmarkStart w:id="2421" w:name="bookmark2421"/>
      <w:bookmarkStart w:id="2422" w:name="bookmark2422"/>
      <w:r>
        <w:rPr>
          <w:rFonts w:ascii="Times New Roman" w:eastAsia="Times New Roman" w:hAnsi="Times New Roman" w:cs="Times New Roman"/>
          <w:b/>
          <w:bCs/>
          <w:color w:val="000000"/>
          <w:spacing w:val="0"/>
          <w:w w:val="100"/>
          <w:position w:val="0"/>
          <w:sz w:val="20"/>
          <w:szCs w:val="20"/>
        </w:rPr>
        <w:t>7</w:t>
      </w:r>
      <w:bookmarkEnd w:id="2421"/>
      <w:r>
        <w:rPr>
          <w:b/>
          <w:bCs/>
          <w:color w:val="000000"/>
          <w:spacing w:val="0"/>
          <w:w w:val="100"/>
          <w:position w:val="0"/>
          <w:sz w:val="20"/>
          <w:szCs w:val="20"/>
        </w:rPr>
        <w:t>）</w:t>
        <w:tab/>
        <w:t>因金融资产转移而终止确认的其他应收款</w:t>
      </w:r>
      <w:bookmarkEnd w:id="2419"/>
      <w:bookmarkEnd w:id="2420"/>
      <w:bookmarkEnd w:id="2422"/>
    </w:p>
    <w:p>
      <w:pPr>
        <w:pStyle w:val="Style115"/>
        <w:keepNext/>
        <w:keepLines/>
        <w:widowControl w:val="0"/>
        <w:shd w:val="clear" w:color="auto" w:fill="auto"/>
        <w:tabs>
          <w:tab w:pos="397" w:val="left"/>
        </w:tabs>
        <w:bidi w:val="0"/>
        <w:spacing w:before="0" w:after="380" w:line="240" w:lineRule="auto"/>
        <w:ind w:left="0" w:right="0" w:firstLine="0"/>
        <w:jc w:val="left"/>
        <w:rPr>
          <w:sz w:val="20"/>
          <w:szCs w:val="20"/>
        </w:rPr>
      </w:pPr>
      <w:bookmarkStart w:id="2423" w:name="bookmark2423"/>
      <w:bookmarkStart w:id="2424" w:name="bookmark2424"/>
      <w:bookmarkStart w:id="2425" w:name="bookmark2425"/>
      <w:bookmarkStart w:id="2426" w:name="bookmark2426"/>
      <w:r>
        <w:rPr>
          <w:rFonts w:ascii="Times New Roman" w:eastAsia="Times New Roman" w:hAnsi="Times New Roman" w:cs="Times New Roman"/>
          <w:b/>
          <w:bCs/>
          <w:color w:val="000000"/>
          <w:spacing w:val="0"/>
          <w:w w:val="100"/>
          <w:position w:val="0"/>
          <w:sz w:val="20"/>
          <w:szCs w:val="20"/>
        </w:rPr>
        <w:t>8</w:t>
      </w:r>
      <w:bookmarkEnd w:id="2425"/>
      <w:r>
        <w:rPr>
          <w:b/>
          <w:bCs/>
          <w:color w:val="000000"/>
          <w:spacing w:val="0"/>
          <w:w w:val="100"/>
          <w:position w:val="0"/>
          <w:sz w:val="20"/>
          <w:szCs w:val="20"/>
        </w:rPr>
        <w:t>）</w:t>
        <w:tab/>
        <w:t>转移其他应收款且继续涉入形成的资产、负债金额</w:t>
      </w:r>
      <w:bookmarkEnd w:id="2423"/>
      <w:bookmarkEnd w:id="2424"/>
      <w:bookmarkEnd w:id="2426"/>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4"/>
        <w:keepNext/>
        <w:keepLines/>
        <w:widowControl w:val="0"/>
        <w:shd w:val="clear" w:color="auto" w:fill="auto"/>
        <w:bidi w:val="0"/>
        <w:spacing w:before="0" w:after="380" w:line="240" w:lineRule="auto"/>
        <w:ind w:left="0" w:right="0" w:firstLine="0"/>
        <w:jc w:val="left"/>
      </w:pPr>
      <w:bookmarkStart w:id="2427" w:name="bookmark2427"/>
      <w:bookmarkStart w:id="2428" w:name="bookmark2428"/>
      <w:bookmarkStart w:id="2429" w:name="bookmark2429"/>
      <w:bookmarkStart w:id="2430" w:name="bookmark2430"/>
      <w:r>
        <w:rPr>
          <w:rFonts w:ascii="Times New Roman" w:eastAsia="Times New Roman" w:hAnsi="Times New Roman" w:cs="Times New Roman"/>
          <w:color w:val="000000"/>
          <w:spacing w:val="0"/>
          <w:w w:val="100"/>
          <w:position w:val="0"/>
        </w:rPr>
        <w:t>3</w:t>
      </w:r>
      <w:bookmarkEnd w:id="2429"/>
      <w:r>
        <w:rPr>
          <w:color w:val="000000"/>
          <w:spacing w:val="0"/>
          <w:w w:val="100"/>
          <w:position w:val="0"/>
        </w:rPr>
        <w:t>、长期股权投资</w:t>
      </w:r>
      <w:bookmarkEnd w:id="2427"/>
      <w:bookmarkEnd w:id="2428"/>
      <w:bookmarkEnd w:id="2430"/>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1,655,667,859.</w:t>
            </w:r>
          </w:p>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26,887,372.65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1,628,780,487.</w:t>
            </w:r>
          </w:p>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1,683,537,718.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2,913,269.97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1,680,624,448.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234,320,515.59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234,320,515.59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195,061,930.06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195,061,930.06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1,889,988,375.</w:t>
            </w:r>
          </w:p>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26,887,372.65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1,863,101,002.</w:t>
            </w:r>
          </w:p>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1,878,599,648.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2,913,269.97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1,875,686,378.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bl>
    <w:p>
      <w:pPr>
        <w:widowControl w:val="0"/>
        <w:spacing w:after="319" w:line="1" w:lineRule="exact"/>
      </w:pPr>
    </w:p>
    <w:p>
      <w:pPr>
        <w:pStyle w:val="Style92"/>
        <w:keepNext/>
        <w:keepLines/>
        <w:widowControl w:val="0"/>
        <w:shd w:val="clear" w:color="auto" w:fill="auto"/>
        <w:bidi w:val="0"/>
        <w:spacing w:before="0" w:after="320" w:line="240" w:lineRule="auto"/>
        <w:ind w:left="0" w:right="0" w:firstLine="0"/>
        <w:jc w:val="left"/>
      </w:pPr>
      <w:bookmarkStart w:id="2431" w:name="bookmark2431"/>
      <w:bookmarkStart w:id="2432" w:name="bookmark2432"/>
      <w:bookmarkStart w:id="2433" w:name="bookmark24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431"/>
      <w:bookmarkEnd w:id="2432"/>
      <w:bookmarkEnd w:id="2433"/>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（账面价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期末余额（账</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面价值）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杭州联旗科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8,951,051.13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8,951,051.13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苏州创业亿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康信息科技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创业软件南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上海创航软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4"/>
        <w:gridCol w:w="1210"/>
        <w:gridCol w:w="121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新疆创什信 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重庆创易康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16,000,000.0</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16,000,000.0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天津创津科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8,069,858.40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1,930,141.60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杭州惟勤科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1,121,977.72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1,418,922.28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1,121,977.72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广东中拓信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109,700,000.</w:t>
            </w:r>
          </w:p>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109,700,000.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中山市蓝天 电脑有限公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中山市杭创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杭州慧康物</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联网科技有</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1,258,000,00</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10,900,799.9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1,247,099,20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10,900,799.9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杭州卓腾信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29,329,104.8</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29,329,104.8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杭州合美物</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业管理有限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杭州梅清数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码科技有限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杭州美诺泰 科科技有限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95,399,828.0</w:t>
            </w:r>
          </w:p>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11,951,324.9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83,448,503.0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11,951,324.9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宁海杭创网 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浙江医康数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据科技研究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4"/>
        <w:gridCol w:w="1210"/>
        <w:gridCol w:w="121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广州粤湾慧 康科技有限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浙江百利医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自贡市杭创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杭州慧心健 康科技有限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北京童康医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疗信息技术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503,705.93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503,705.93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2,913,269.97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海南省汇亿 互联网医疗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杭州慧康互 联科技有限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天津青创慧 康科技有限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1,680,624,44</w:t>
            </w:r>
          </w:p>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2,130,141.60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23,974,102.6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1,628,780,48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26,887,372.6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299" w:line="1" w:lineRule="exact"/>
      </w:pPr>
    </w:p>
    <w:p>
      <w:pPr>
        <w:pStyle w:val="Style92"/>
        <w:keepNext/>
        <w:keepLines/>
        <w:widowControl w:val="0"/>
        <w:shd w:val="clear" w:color="auto" w:fill="auto"/>
        <w:bidi w:val="0"/>
        <w:spacing w:before="0" w:after="380" w:line="240" w:lineRule="auto"/>
        <w:ind w:left="0" w:right="0" w:firstLine="0"/>
        <w:jc w:val="left"/>
      </w:pPr>
      <w:bookmarkStart w:id="2434" w:name="bookmark2434"/>
      <w:bookmarkStart w:id="2435" w:name="bookmark2435"/>
      <w:bookmarkStart w:id="2436" w:name="bookmark24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434"/>
      <w:bookmarkEnd w:id="2435"/>
      <w:bookmarkEnd w:id="2436"/>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期初余</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额（账 面价 值）</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期末余</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额（账 面价 值）</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合收益</w:t>
            </w:r>
          </w:p>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源环境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52,982,</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3,162,0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-141,95</w:t>
            </w:r>
          </w:p>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56,003,</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浙江大 健康产 业股权 投资基 金（有 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39,216,</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3,325,6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-4,424,</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38,117,</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700.13</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杭州安 丰创健 创业投 资合伙 企业</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46,726,</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792.85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366,89</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47,093, 689.86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成都米</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索信息</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技术有</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426,64</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-98,217</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328,43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Odin</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Health</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11,679,</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913.20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376,97</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12,056,</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892.35</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虹润风 云（上 海）医 疗管理 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14,619, 548.03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14,618, 072.03</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绍兴市 上虞区 安丰康 元创业 投资合 伙企业 （有限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29,409,</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-275,29</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29,134,</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369.48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杭州梅 清数码 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20,803,</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3,776,5</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24,579,</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704.57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温州城 市智慧 健康有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2,940,0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-534,94</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2,405,0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浙江一 山智慧 医疗研 究有限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12,000,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160"/>
              <w:jc w:val="left"/>
            </w:pPr>
            <w:r>
              <w:rPr>
                <w:rFonts w:ascii="Times New Roman" w:eastAsia="Times New Roman" w:hAnsi="Times New Roman" w:cs="Times New Roman"/>
                <w:color w:val="000000"/>
                <w:spacing w:val="0"/>
                <w:w w:val="100"/>
                <w:position w:val="0"/>
              </w:rPr>
              <w:t>-2,016, 530.77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9,983,4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195,06</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1,930.0</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35,743,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8,081,6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-141,95</w:t>
            </w:r>
          </w:p>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-4,424,</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234,32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0,515.5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195,06</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1,930.0</w:t>
            </w:r>
          </w:p>
          <w:p>
            <w:pPr>
              <w:pStyle w:val="Style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35,743,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8,081,6</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-141,95</w:t>
            </w:r>
          </w:p>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-4,424,</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234,32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0,515.5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92"/>
        <w:keepNext/>
        <w:keepLines/>
        <w:widowControl w:val="0"/>
        <w:numPr>
          <w:ilvl w:val="0"/>
          <w:numId w:val="47"/>
        </w:numPr>
        <w:shd w:val="clear" w:color="auto" w:fill="auto"/>
        <w:bidi w:val="0"/>
        <w:spacing w:before="0" w:after="320" w:line="240" w:lineRule="auto"/>
        <w:ind w:left="0" w:right="0" w:firstLine="0"/>
        <w:jc w:val="left"/>
      </w:pPr>
      <w:bookmarkStart w:id="2437" w:name="bookmark2437"/>
      <w:bookmarkStart w:id="2438" w:name="bookmark2438"/>
      <w:bookmarkStart w:id="2439" w:name="bookmark2439"/>
      <w:bookmarkStart w:id="2440" w:name="bookmark2440"/>
      <w:bookmarkEnd w:id="2439"/>
      <w:r>
        <w:rPr>
          <w:color w:val="000000"/>
          <w:spacing w:val="0"/>
          <w:w w:val="100"/>
          <w:position w:val="0"/>
        </w:rPr>
        <w:t>其他说明</w:t>
      </w:r>
      <w:bookmarkEnd w:id="2437"/>
      <w:bookmarkEnd w:id="2438"/>
      <w:bookmarkEnd w:id="2440"/>
    </w:p>
    <w:p>
      <w:pPr>
        <w:pStyle w:val="Style24"/>
        <w:keepNext/>
        <w:keepLines/>
        <w:widowControl w:val="0"/>
        <w:shd w:val="clear" w:color="auto" w:fill="auto"/>
        <w:bidi w:val="0"/>
        <w:spacing w:before="0" w:line="240" w:lineRule="auto"/>
        <w:ind w:left="0" w:right="0" w:firstLine="0"/>
        <w:jc w:val="left"/>
      </w:pPr>
      <w:bookmarkStart w:id="2441" w:name="bookmark2441"/>
      <w:bookmarkStart w:id="2442" w:name="bookmark2442"/>
      <w:bookmarkStart w:id="2443" w:name="bookmark2443"/>
      <w:bookmarkStart w:id="2444" w:name="bookmark2444"/>
      <w:r>
        <w:rPr>
          <w:rFonts w:ascii="Times New Roman" w:eastAsia="Times New Roman" w:hAnsi="Times New Roman" w:cs="Times New Roman"/>
          <w:color w:val="000000"/>
          <w:spacing w:val="0"/>
          <w:w w:val="100"/>
          <w:position w:val="0"/>
        </w:rPr>
        <w:t>4</w:t>
      </w:r>
      <w:bookmarkEnd w:id="2443"/>
      <w:r>
        <w:rPr>
          <w:color w:val="000000"/>
          <w:spacing w:val="0"/>
          <w:w w:val="100"/>
          <w:position w:val="0"/>
        </w:rPr>
        <w:t>、营业收入和营业成本</w:t>
      </w:r>
      <w:bookmarkEnd w:id="2441"/>
      <w:bookmarkEnd w:id="2442"/>
      <w:bookmarkEnd w:id="2444"/>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1,569,395,312.18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772,924,018.05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1,184,513,998.70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563,743,045.97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3,329,673.35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634,536.65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3,464,235.07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608,208.48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1,572,724,985.53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773,558,554.70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1,187,978,233.77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564,351,254.45</w:t>
            </w:r>
          </w:p>
        </w:tc>
      </w:tr>
    </w:tbl>
    <w:p>
      <w:pPr>
        <w:pStyle w:val="Style2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收入相关信息:</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751,549,319.12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751,549,319.12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572,136,517.98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572,136,517.98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245,709,475.08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245,709,475.08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3,329,673.35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3,329,673.35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715,680,939.15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715,680,939.15</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149,004,142.95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149,004,142.95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149,838,509.98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149,838,509.98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170,361,026.76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170,361,026.76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188,743,100.03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188,743,100.03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199,097,266.65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199,097,266.65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与履约义务相关的信息：</w:t>
      </w:r>
    </w:p>
    <w:p>
      <w:pPr>
        <w:pStyle w:val="Style15"/>
        <w:keepNext w:val="0"/>
        <w:keepLines w:val="0"/>
        <w:widowControl w:val="0"/>
        <w:shd w:val="clear" w:color="auto" w:fill="auto"/>
        <w:bidi w:val="0"/>
        <w:spacing w:before="0" w:after="100" w:line="240" w:lineRule="auto"/>
        <w:ind w:left="0" w:right="0" w:firstLine="440"/>
        <w:jc w:val="both"/>
      </w:pPr>
      <w:bookmarkStart w:id="2445" w:name="bookmark2445"/>
      <w:r>
        <w:rPr>
          <w:color w:val="000000"/>
          <w:spacing w:val="0"/>
          <w:w w:val="100"/>
          <w:position w:val="0"/>
        </w:rPr>
        <w:t>（</w:t>
      </w:r>
      <w:bookmarkEnd w:id="2445"/>
      <w:r>
        <w:rPr>
          <w:rFonts w:ascii="Times New Roman" w:eastAsia="Times New Roman" w:hAnsi="Times New Roman" w:cs="Times New Roman"/>
          <w:color w:val="000000"/>
          <w:spacing w:val="0"/>
          <w:w w:val="100"/>
          <w:position w:val="0"/>
        </w:rPr>
        <w:t>1</w:t>
      </w:r>
      <w:r>
        <w:rPr>
          <w:color w:val="000000"/>
          <w:spacing w:val="0"/>
          <w:w w:val="100"/>
          <w:position w:val="0"/>
        </w:rPr>
        <w:t>）软件销售</w:t>
      </w:r>
    </w:p>
    <w:p>
      <w:pPr>
        <w:pStyle w:val="Style15"/>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软件销售属于在某一时点履行的履约义务，在公司完成履约义务并由客户确认接受、已收取价款或取得收款权利且相关 </w:t>
      </w:r>
      <w:r>
        <w:rPr>
          <w:color w:val="000000"/>
          <w:spacing w:val="0"/>
          <w:w w:val="100"/>
          <w:position w:val="0"/>
        </w:rPr>
        <w:t>的经济利益可能流入时确认收入。</w:t>
      </w:r>
    </w:p>
    <w:p>
      <w:pPr>
        <w:pStyle w:val="Style15"/>
        <w:keepNext w:val="0"/>
        <w:keepLines w:val="0"/>
        <w:widowControl w:val="0"/>
        <w:shd w:val="clear" w:color="auto" w:fill="auto"/>
        <w:tabs>
          <w:tab w:pos="885" w:val="left"/>
        </w:tabs>
        <w:bidi w:val="0"/>
        <w:spacing w:before="0" w:after="0" w:line="311" w:lineRule="exact"/>
        <w:ind w:left="0" w:right="0" w:firstLine="440"/>
        <w:jc w:val="both"/>
      </w:pPr>
      <w:bookmarkStart w:id="2446" w:name="bookmark2446"/>
      <w:r>
        <w:rPr>
          <w:color w:val="000000"/>
          <w:spacing w:val="0"/>
          <w:w w:val="100"/>
          <w:position w:val="0"/>
        </w:rPr>
        <w:t>（</w:t>
      </w:r>
      <w:bookmarkEnd w:id="2446"/>
      <w:r>
        <w:rPr>
          <w:rFonts w:ascii="Times New Roman" w:eastAsia="Times New Roman" w:hAnsi="Times New Roman" w:cs="Times New Roman"/>
          <w:color w:val="000000"/>
          <w:spacing w:val="0"/>
          <w:w w:val="100"/>
          <w:position w:val="0"/>
        </w:rPr>
        <w:t>2</w:t>
      </w:r>
      <w:r>
        <w:rPr>
          <w:color w:val="000000"/>
          <w:spacing w:val="0"/>
          <w:w w:val="100"/>
          <w:position w:val="0"/>
        </w:rPr>
        <w:t>）</w:t>
        <w:tab/>
        <w:t>技术服务</w:t>
      </w:r>
    </w:p>
    <w:p>
      <w:pPr>
        <w:pStyle w:val="Style1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技术服务包括软件开发服务和软硬件维护服务。软件开发服务，属于在某一时点履行的履约义务，在公司完成履约义 务并由客户确认接受、已收取价款或取得收款权利且相关的经济利益可能流入时确认收入。软硬件维护服务属于在某一时段 内履行的履约义务，根据服务期间的时间进度确定提供服务的履约进度，并按履行进度确认收入。</w:t>
      </w:r>
    </w:p>
    <w:p>
      <w:pPr>
        <w:pStyle w:val="Style15"/>
        <w:keepNext w:val="0"/>
        <w:keepLines w:val="0"/>
        <w:widowControl w:val="0"/>
        <w:shd w:val="clear" w:color="auto" w:fill="auto"/>
        <w:tabs>
          <w:tab w:pos="885" w:val="left"/>
        </w:tabs>
        <w:bidi w:val="0"/>
        <w:spacing w:before="0" w:after="0" w:line="311" w:lineRule="exact"/>
        <w:ind w:left="0" w:right="0" w:firstLine="440"/>
        <w:jc w:val="both"/>
      </w:pPr>
      <w:bookmarkStart w:id="2447" w:name="bookmark2447"/>
      <w:r>
        <w:rPr>
          <w:color w:val="000000"/>
          <w:spacing w:val="0"/>
          <w:w w:val="100"/>
          <w:position w:val="0"/>
        </w:rPr>
        <w:t>（</w:t>
      </w:r>
      <w:bookmarkEnd w:id="2447"/>
      <w:r>
        <w:rPr>
          <w:rFonts w:ascii="Times New Roman" w:eastAsia="Times New Roman" w:hAnsi="Times New Roman" w:cs="Times New Roman"/>
          <w:color w:val="000000"/>
          <w:spacing w:val="0"/>
          <w:w w:val="100"/>
          <w:position w:val="0"/>
        </w:rPr>
        <w:t>3</w:t>
      </w:r>
      <w:r>
        <w:rPr>
          <w:color w:val="000000"/>
          <w:spacing w:val="0"/>
          <w:w w:val="100"/>
          <w:position w:val="0"/>
        </w:rPr>
        <w:t>）</w:t>
        <w:tab/>
        <w:t>系统集成</w:t>
      </w:r>
    </w:p>
    <w:p>
      <w:pPr>
        <w:pStyle w:val="Style15"/>
        <w:keepNext w:val="0"/>
        <w:keepLines w:val="0"/>
        <w:widowControl w:val="0"/>
        <w:shd w:val="clear" w:color="auto" w:fill="auto"/>
        <w:bidi w:val="0"/>
        <w:spacing w:before="0" w:after="440" w:line="311" w:lineRule="exact"/>
        <w:ind w:left="0" w:right="0" w:firstLine="360"/>
        <w:jc w:val="left"/>
      </w:pPr>
      <w:r>
        <w:rPr>
          <w:color w:val="000000"/>
          <w:spacing w:val="0"/>
          <w:w w:val="100"/>
          <w:position w:val="0"/>
        </w:rPr>
        <w:t>系统集成包括计算机信息设备系统集成业务和智能化网络布线工程集成业务。计算机信息设备系统集成业务属于在某一 时点履行的履约义务，在公司完成履约义务并由客户确认接受、已收取价款或取得收款权利且相关的经济利益可能流入时确 认收入。智能化网络布线工程集成业务属于在某一时段履行的履约义务，根据工程项目的实际进度确定提供服务的履约进度， 并按履约进度确认收入。</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与分摊至剩余履约义务的交易价格相关的信息：</w:t>
      </w:r>
    </w:p>
    <w:p>
      <w:pPr>
        <w:pStyle w:val="Style15"/>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1,512,594,902.74</w:t>
      </w:r>
      <w:r>
        <w:rPr>
          <w:color w:val="000000"/>
          <w:spacing w:val="0"/>
          <w:w w:val="100"/>
          <w:position w:val="0"/>
        </w:rPr>
        <w:t>元。</w:t>
      </w:r>
      <w:r>
        <w:br w:type="page"/>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4"/>
        <w:keepNext/>
        <w:keepLines/>
        <w:widowControl w:val="0"/>
        <w:shd w:val="clear" w:color="auto" w:fill="auto"/>
        <w:bidi w:val="0"/>
        <w:spacing w:before="0" w:line="240" w:lineRule="auto"/>
        <w:ind w:left="0" w:right="0" w:firstLine="0"/>
        <w:jc w:val="both"/>
      </w:pPr>
      <w:bookmarkStart w:id="2448" w:name="bookmark2448"/>
      <w:bookmarkStart w:id="2449" w:name="bookmark2449"/>
      <w:bookmarkStart w:id="2450" w:name="bookmark2450"/>
      <w:bookmarkStart w:id="2451" w:name="bookmark2451"/>
      <w:r>
        <w:rPr>
          <w:rFonts w:ascii="Times New Roman" w:eastAsia="Times New Roman" w:hAnsi="Times New Roman" w:cs="Times New Roman"/>
          <w:color w:val="000000"/>
          <w:spacing w:val="0"/>
          <w:w w:val="100"/>
          <w:position w:val="0"/>
        </w:rPr>
        <w:t>5</w:t>
      </w:r>
      <w:bookmarkEnd w:id="2450"/>
      <w:r>
        <w:rPr>
          <w:color w:val="000000"/>
          <w:spacing w:val="0"/>
          <w:w w:val="100"/>
          <w:position w:val="0"/>
        </w:rPr>
        <w:t>、投资收益</w:t>
      </w:r>
      <w:bookmarkEnd w:id="2448"/>
      <w:bookmarkEnd w:id="2449"/>
      <w:bookmarkEnd w:id="2451"/>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8,081,628.62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3,715,145.38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15,317,647.06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2,649,548.08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5,491,449.97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6,964,207.32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其他非流动金融资产在持有期间取得的 股利收入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1,060,619.35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65,875.93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以摊余成本计量的金融资产在持有期间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24,375.00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63,975,720.00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63,394,776.71</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2452" w:name="bookmark2452"/>
      <w:bookmarkStart w:id="2453" w:name="bookmark2453"/>
      <w:bookmarkStart w:id="2454" w:name="bookmark2454"/>
      <w:bookmarkStart w:id="2455" w:name="bookmark2455"/>
      <w:r>
        <w:rPr>
          <w:rFonts w:ascii="Times New Roman" w:eastAsia="Times New Roman" w:hAnsi="Times New Roman" w:cs="Times New Roman"/>
          <w:color w:val="000000"/>
          <w:spacing w:val="0"/>
          <w:w w:val="100"/>
          <w:position w:val="0"/>
        </w:rPr>
        <w:t>6</w:t>
      </w:r>
      <w:bookmarkEnd w:id="2454"/>
      <w:r>
        <w:rPr>
          <w:color w:val="000000"/>
          <w:spacing w:val="0"/>
          <w:w w:val="100"/>
          <w:position w:val="0"/>
        </w:rPr>
        <w:t>、其他</w:t>
      </w:r>
      <w:bookmarkEnd w:id="2452"/>
      <w:bookmarkEnd w:id="2453"/>
      <w:bookmarkEnd w:id="2455"/>
    </w:p>
    <w:p>
      <w:pPr>
        <w:pStyle w:val="Style19"/>
        <w:keepNext/>
        <w:keepLines/>
        <w:widowControl w:val="0"/>
        <w:shd w:val="clear" w:color="auto" w:fill="auto"/>
        <w:bidi w:val="0"/>
        <w:spacing w:before="0" w:after="320" w:line="240" w:lineRule="auto"/>
        <w:ind w:left="0" w:right="0" w:firstLine="0"/>
        <w:jc w:val="both"/>
      </w:pPr>
      <w:bookmarkStart w:id="2456" w:name="bookmark2456"/>
      <w:bookmarkStart w:id="2457" w:name="bookmark2457"/>
      <w:bookmarkStart w:id="2458" w:name="bookmark2458"/>
      <w:r>
        <w:rPr>
          <w:color w:val="000000"/>
          <w:spacing w:val="0"/>
          <w:w w:val="100"/>
          <w:position w:val="0"/>
          <w:sz w:val="24"/>
          <w:szCs w:val="24"/>
        </w:rPr>
        <w:t>十八、补充资料</w:t>
      </w:r>
      <w:bookmarkEnd w:id="2456"/>
      <w:bookmarkEnd w:id="2457"/>
      <w:bookmarkEnd w:id="2458"/>
    </w:p>
    <w:p>
      <w:pPr>
        <w:pStyle w:val="Style24"/>
        <w:keepNext/>
        <w:keepLines/>
        <w:widowControl w:val="0"/>
        <w:shd w:val="clear" w:color="auto" w:fill="auto"/>
        <w:bidi w:val="0"/>
        <w:spacing w:before="0" w:line="240" w:lineRule="auto"/>
        <w:ind w:left="0" w:right="0" w:firstLine="0"/>
        <w:jc w:val="both"/>
      </w:pPr>
      <w:bookmarkStart w:id="2459" w:name="bookmark2459"/>
      <w:bookmarkStart w:id="2460" w:name="bookmark2460"/>
      <w:bookmarkStart w:id="2461" w:name="bookmark246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59"/>
      <w:bookmarkEnd w:id="2460"/>
      <w:bookmarkEnd w:id="2461"/>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15,729,232.65</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6,064,596.37</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7,102,748.08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 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-273,132.74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2,887,504.17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65,257.80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25,707,115.39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其他符合非经常性损益定义的损益项目的具体情况：</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口适用”不适用</w:t>
      </w:r>
    </w:p>
    <w:p>
      <w:pPr>
        <w:pStyle w:val="Style24"/>
        <w:keepNext/>
        <w:keepLines/>
        <w:widowControl w:val="0"/>
        <w:shd w:val="clear" w:color="auto" w:fill="auto"/>
        <w:bidi w:val="0"/>
        <w:spacing w:before="0" w:after="300" w:line="240" w:lineRule="auto"/>
        <w:ind w:left="0" w:right="0" w:firstLine="0"/>
        <w:jc w:val="left"/>
      </w:pPr>
      <w:bookmarkStart w:id="2462" w:name="bookmark2462"/>
      <w:bookmarkStart w:id="2463" w:name="bookmark2463"/>
      <w:bookmarkStart w:id="2464" w:name="bookmark246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62"/>
      <w:bookmarkEnd w:id="2463"/>
      <w:bookmarkEnd w:id="2464"/>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pPr>
            <w:r>
              <w:rPr>
                <w:rFonts w:ascii="Times New Roman" w:eastAsia="Times New Roman" w:hAnsi="Times New Roman" w:cs="Times New Roman"/>
                <w:color w:val="000000"/>
                <w:spacing w:val="0"/>
                <w:w w:val="100"/>
                <w:position w:val="0"/>
              </w:rPr>
              <w:t>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465" w:name="bookmark2465"/>
      <w:bookmarkStart w:id="2466" w:name="bookmark2466"/>
      <w:bookmarkStart w:id="2467" w:name="bookmark2467"/>
      <w:bookmarkStart w:id="2468" w:name="bookmark2468"/>
      <w:r>
        <w:rPr>
          <w:rFonts w:ascii="Times New Roman" w:eastAsia="Times New Roman" w:hAnsi="Times New Roman" w:cs="Times New Roman"/>
          <w:color w:val="000000"/>
          <w:spacing w:val="0"/>
          <w:w w:val="100"/>
          <w:position w:val="0"/>
        </w:rPr>
        <w:t>3</w:t>
      </w:r>
      <w:bookmarkEnd w:id="2467"/>
      <w:r>
        <w:rPr>
          <w:color w:val="000000"/>
          <w:spacing w:val="0"/>
          <w:w w:val="100"/>
          <w:position w:val="0"/>
        </w:rPr>
        <w:t>、境内外会计准则下会计数据差异</w:t>
      </w:r>
      <w:bookmarkEnd w:id="2465"/>
      <w:bookmarkEnd w:id="2466"/>
      <w:bookmarkEnd w:id="2468"/>
    </w:p>
    <w:p>
      <w:pPr>
        <w:pStyle w:val="Style92"/>
        <w:keepNext/>
        <w:keepLines/>
        <w:widowControl w:val="0"/>
        <w:numPr>
          <w:ilvl w:val="0"/>
          <w:numId w:val="49"/>
        </w:numPr>
        <w:shd w:val="clear" w:color="auto" w:fill="auto"/>
        <w:tabs>
          <w:tab w:pos="493" w:val="left"/>
        </w:tabs>
        <w:bidi w:val="0"/>
        <w:spacing w:before="0" w:after="360" w:line="322" w:lineRule="exact"/>
        <w:ind w:left="0" w:right="0" w:firstLine="0"/>
        <w:jc w:val="left"/>
      </w:pPr>
      <w:bookmarkStart w:id="2469" w:name="bookmark2469"/>
      <w:bookmarkStart w:id="2470" w:name="bookmark2470"/>
      <w:bookmarkStart w:id="2471" w:name="bookmark2471"/>
      <w:bookmarkStart w:id="2472" w:name="bookmark2472"/>
      <w:bookmarkEnd w:id="2471"/>
      <w:r>
        <w:rPr>
          <w:color w:val="000000"/>
          <w:spacing w:val="0"/>
          <w:w w:val="100"/>
          <w:position w:val="0"/>
        </w:rPr>
        <w:t>同时按照国际会计准则与按中国会计准则披露的财务报告中净利润和净资产差异情况</w:t>
      </w:r>
      <w:bookmarkEnd w:id="2469"/>
      <w:bookmarkEnd w:id="2470"/>
      <w:bookmarkEnd w:id="2472"/>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92"/>
        <w:keepNext/>
        <w:keepLines/>
        <w:widowControl w:val="0"/>
        <w:numPr>
          <w:ilvl w:val="0"/>
          <w:numId w:val="49"/>
        </w:numPr>
        <w:shd w:val="clear" w:color="auto" w:fill="auto"/>
        <w:tabs>
          <w:tab w:pos="493" w:val="left"/>
        </w:tabs>
        <w:bidi w:val="0"/>
        <w:spacing w:before="0" w:after="360" w:line="322" w:lineRule="exact"/>
        <w:ind w:left="0" w:right="0" w:firstLine="0"/>
        <w:jc w:val="left"/>
      </w:pPr>
      <w:bookmarkStart w:id="2473" w:name="bookmark2473"/>
      <w:bookmarkStart w:id="2474" w:name="bookmark2474"/>
      <w:bookmarkStart w:id="2475" w:name="bookmark2475"/>
      <w:bookmarkStart w:id="2476" w:name="bookmark2476"/>
      <w:bookmarkEnd w:id="2475"/>
      <w:r>
        <w:rPr>
          <w:color w:val="000000"/>
          <w:spacing w:val="0"/>
          <w:w w:val="100"/>
          <w:position w:val="0"/>
        </w:rPr>
        <w:t>同时按照境外会计准则与按中国会计准则披露的财务报告中净利润和净资产差异情况</w:t>
      </w:r>
      <w:bookmarkEnd w:id="2473"/>
      <w:bookmarkEnd w:id="2474"/>
      <w:bookmarkEnd w:id="2476"/>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92"/>
        <w:keepNext/>
        <w:keepLines/>
        <w:widowControl w:val="0"/>
        <w:numPr>
          <w:ilvl w:val="0"/>
          <w:numId w:val="49"/>
        </w:numPr>
        <w:shd w:val="clear" w:color="auto" w:fill="auto"/>
        <w:tabs>
          <w:tab w:pos="589" w:val="left"/>
        </w:tabs>
        <w:bidi w:val="0"/>
        <w:spacing w:before="0" w:after="300" w:line="322" w:lineRule="exact"/>
        <w:ind w:left="0" w:right="0" w:firstLine="0"/>
        <w:jc w:val="left"/>
      </w:pPr>
      <w:bookmarkStart w:id="2477" w:name="bookmark2477"/>
      <w:bookmarkStart w:id="2478" w:name="bookmark2478"/>
      <w:bookmarkStart w:id="2479" w:name="bookmark2479"/>
      <w:bookmarkStart w:id="2480" w:name="bookmark2480"/>
      <w:bookmarkEnd w:id="2479"/>
      <w:r>
        <w:rPr>
          <w:color w:val="000000"/>
          <w:spacing w:val="0"/>
          <w:w w:val="100"/>
          <w:position w:val="0"/>
        </w:rPr>
        <w:t>境内外会计准则下会计数据差异原因说明，对已经境外审计机构审计的数据进行差异调节的，应注 明该境外机构的名称</w:t>
      </w:r>
      <w:bookmarkEnd w:id="2477"/>
      <w:bookmarkEnd w:id="2478"/>
      <w:bookmarkEnd w:id="2480"/>
    </w:p>
    <w:p>
      <w:pPr>
        <w:pStyle w:val="Style24"/>
        <w:keepNext/>
        <w:keepLines/>
        <w:widowControl w:val="0"/>
        <w:shd w:val="clear" w:color="auto" w:fill="auto"/>
        <w:bidi w:val="0"/>
        <w:spacing w:before="0" w:after="300" w:line="322" w:lineRule="exact"/>
        <w:ind w:left="0" w:right="0" w:firstLine="0"/>
        <w:jc w:val="left"/>
      </w:pPr>
      <w:bookmarkStart w:id="2481" w:name="bookmark2481"/>
      <w:bookmarkStart w:id="2482" w:name="bookmark2482"/>
      <w:bookmarkStart w:id="2483" w:name="bookmark2483"/>
      <w:bookmarkStart w:id="2484" w:name="bookmark2484"/>
      <w:r>
        <w:rPr>
          <w:rFonts w:ascii="Times New Roman" w:eastAsia="Times New Roman" w:hAnsi="Times New Roman" w:cs="Times New Roman"/>
          <w:color w:val="000000"/>
          <w:spacing w:val="0"/>
          <w:w w:val="100"/>
          <w:position w:val="0"/>
        </w:rPr>
        <w:t>4</w:t>
      </w:r>
      <w:bookmarkEnd w:id="2483"/>
      <w:r>
        <w:rPr>
          <w:color w:val="000000"/>
          <w:spacing w:val="0"/>
          <w:w w:val="100"/>
          <w:position w:val="0"/>
        </w:rPr>
        <w:t>、其他</w:t>
      </w:r>
      <w:bookmarkEnd w:id="2481"/>
      <w:bookmarkEnd w:id="2482"/>
      <w:bookmarkEnd w:id="2484"/>
    </w:p>
    <w:sectPr>
      <w:footnotePr>
        <w:pos w:val="pageBottom"/>
        <w:numFmt w:val="decimal"/>
        <w:numRestart w:val="continuous"/>
      </w:footnotePr>
      <w:pgSz w:w="11900" w:h="16840"/>
      <w:pgMar w:top="1358" w:right="1057" w:bottom="1442" w:left="10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3">
    <w:name w:val="Table of contents_"/>
    <w:basedOn w:val="DefaultParagraphFont"/>
    <w:link w:val="Style12"/>
    <w:rPr>
      <w:rFonts w:ascii="SimSun" w:eastAsia="SimSun" w:hAnsi="SimSun" w:cs="SimSun"/>
      <w:b/>
      <w:bCs/>
      <w:i w:val="0"/>
      <w:iCs w:val="0"/>
      <w:smallCaps w:val="0"/>
      <w:strike w:val="0"/>
      <w:u w:val="none"/>
      <w:shd w:val="clear" w:color="auto" w:fill="auto"/>
    </w:rPr>
  </w:style>
  <w:style w:type="character" w:customStyle="1" w:styleId="CharStyle16">
    <w:name w:val="Body text_"/>
    <w:basedOn w:val="DefaultParagraphFont"/>
    <w:link w:val="Style15"/>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2">
    <w:name w:val="Table caption_"/>
    <w:basedOn w:val="DefaultParagraphFont"/>
    <w:link w:val="Style21"/>
    <w:rPr>
      <w:rFonts w:ascii="SimSun" w:eastAsia="SimSun" w:hAnsi="SimSun" w:cs="SimSun"/>
      <w:b/>
      <w:bCs/>
      <w:i w:val="0"/>
      <w:iCs w:val="0"/>
      <w:smallCaps w:val="0"/>
      <w:strike w:val="0"/>
      <w:sz w:val="18"/>
      <w:szCs w:val="18"/>
      <w:u w:val="none"/>
      <w:shd w:val="clear" w:color="auto" w:fill="auto"/>
    </w:rPr>
  </w:style>
  <w:style w:type="character" w:customStyle="1" w:styleId="CharStyle25">
    <w:name w:val="Heading #3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40">
    <w:name w:val="Body text (3)_"/>
    <w:basedOn w:val="DefaultParagraphFont"/>
    <w:link w:val="Style39"/>
    <w:rPr>
      <w:rFonts w:ascii="SimHei" w:eastAsia="SimHei" w:hAnsi="SimHei" w:cs="SimHei"/>
      <w:b w:val="0"/>
      <w:bCs w:val="0"/>
      <w:i w:val="0"/>
      <w:iCs w:val="0"/>
      <w:smallCaps w:val="0"/>
      <w:strike w:val="0"/>
      <w:color w:val="1B1B1B"/>
      <w:sz w:val="11"/>
      <w:szCs w:val="11"/>
      <w:u w:val="none"/>
      <w:shd w:val="clear" w:color="auto" w:fill="auto"/>
    </w:rPr>
  </w:style>
  <w:style w:type="character" w:customStyle="1" w:styleId="CharStyle84">
    <w:name w:val="Picture caption_"/>
    <w:basedOn w:val="DefaultParagraphFont"/>
    <w:link w:val="Style83"/>
    <w:rPr>
      <w:rFonts w:ascii="Arial" w:eastAsia="Arial" w:hAnsi="Arial" w:cs="Arial"/>
      <w:b/>
      <w:bCs/>
      <w:i w:val="0"/>
      <w:iCs w:val="0"/>
      <w:smallCaps w:val="0"/>
      <w:strike w:val="0"/>
      <w:color w:val="3E3E3E"/>
      <w:sz w:val="14"/>
      <w:szCs w:val="14"/>
      <w:u w:val="none"/>
      <w:shd w:val="clear" w:color="auto" w:fill="auto"/>
    </w:rPr>
  </w:style>
  <w:style w:type="character" w:customStyle="1" w:styleId="CharStyle91">
    <w:name w:val="Picture caption (2)_"/>
    <w:basedOn w:val="DefaultParagraphFont"/>
    <w:link w:val="Style90"/>
    <w:rPr>
      <w:rFonts w:ascii="SimHei" w:eastAsia="SimHei" w:hAnsi="SimHei" w:cs="SimHei"/>
      <w:b w:val="0"/>
      <w:bCs w:val="0"/>
      <w:i w:val="0"/>
      <w:iCs w:val="0"/>
      <w:smallCaps w:val="0"/>
      <w:strike w:val="0"/>
      <w:color w:val="84392E"/>
      <w:sz w:val="19"/>
      <w:szCs w:val="19"/>
      <w:u w:val="none"/>
      <w:shd w:val="clear" w:color="auto" w:fill="auto"/>
    </w:rPr>
  </w:style>
  <w:style w:type="character" w:customStyle="1" w:styleId="CharStyle93">
    <w:name w:val="Heading #4_"/>
    <w:basedOn w:val="DefaultParagraphFont"/>
    <w:link w:val="Style92"/>
    <w:rPr>
      <w:rFonts w:ascii="SimSun" w:eastAsia="SimSun" w:hAnsi="SimSun" w:cs="SimSun"/>
      <w:b/>
      <w:bCs/>
      <w:i w:val="0"/>
      <w:iCs w:val="0"/>
      <w:smallCaps w:val="0"/>
      <w:strike w:val="0"/>
      <w:sz w:val="20"/>
      <w:szCs w:val="20"/>
      <w:u w:val="none"/>
      <w:shd w:val="clear" w:color="auto" w:fill="auto"/>
    </w:rPr>
  </w:style>
  <w:style w:type="character" w:customStyle="1" w:styleId="CharStyle108">
    <w:name w:val="Body text (6)_"/>
    <w:basedOn w:val="DefaultParagraphFont"/>
    <w:link w:val="Style10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1">
    <w:name w:val="Body text (7)_"/>
    <w:basedOn w:val="DefaultParagraphFont"/>
    <w:link w:val="Style110"/>
    <w:rPr>
      <w:rFonts w:ascii="SimSun" w:eastAsia="SimSun" w:hAnsi="SimSun" w:cs="SimSun"/>
      <w:b/>
      <w:bCs/>
      <w:i w:val="0"/>
      <w:iCs w:val="0"/>
      <w:smallCaps w:val="0"/>
      <w:strike w:val="0"/>
      <w:sz w:val="20"/>
      <w:szCs w:val="20"/>
      <w:u w:val="none"/>
      <w:shd w:val="clear" w:color="auto" w:fill="auto"/>
    </w:rPr>
  </w:style>
  <w:style w:type="character" w:customStyle="1" w:styleId="CharStyle116">
    <w:name w:val="Heading #5_"/>
    <w:basedOn w:val="DefaultParagraphFont"/>
    <w:link w:val="Style115"/>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Other"/>
    <w:basedOn w:val="Normal"/>
    <w:link w:val="CharStyle3"/>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8">
    <w:name w:val="Heading #1"/>
    <w:basedOn w:val="Normal"/>
    <w:link w:val="CharStyle9"/>
    <w:pPr>
      <w:widowControl w:val="0"/>
      <w:shd w:val="clear" w:color="auto" w:fill="auto"/>
      <w:spacing w:before="58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2">
    <w:name w:val="Table of contents"/>
    <w:basedOn w:val="Normal"/>
    <w:link w:val="CharStyle13"/>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styleId="Style15">
    <w:name w:val="Body text"/>
    <w:basedOn w:val="Normal"/>
    <w:link w:val="CharStyle16"/>
    <w:qFormat/>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Heading #2"/>
    <w:basedOn w:val="Normal"/>
    <w:link w:val="CharStyle20"/>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bCs/>
      <w:i w:val="0"/>
      <w:iCs w:val="0"/>
      <w:smallCaps w:val="0"/>
      <w:strike w:val="0"/>
      <w:sz w:val="18"/>
      <w:szCs w:val="18"/>
      <w:u w:val="none"/>
      <w:shd w:val="clear" w:color="auto" w:fill="auto"/>
    </w:rPr>
  </w:style>
  <w:style w:type="paragraph" w:customStyle="1" w:styleId="Style24">
    <w:name w:val="Heading #3"/>
    <w:basedOn w:val="Normal"/>
    <w:link w:val="CharStyle25"/>
    <w:pPr>
      <w:widowControl w:val="0"/>
      <w:shd w:val="clear" w:color="auto" w:fill="auto"/>
      <w:spacing w:after="360"/>
      <w:ind w:firstLine="2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Body text (3)"/>
    <w:basedOn w:val="Normal"/>
    <w:link w:val="CharStyle40"/>
    <w:pPr>
      <w:widowControl w:val="0"/>
      <w:shd w:val="clear" w:color="auto" w:fill="auto"/>
      <w:spacing w:after="160" w:line="187" w:lineRule="exact"/>
    </w:pPr>
    <w:rPr>
      <w:rFonts w:ascii="SimHei" w:eastAsia="SimHei" w:hAnsi="SimHei" w:cs="SimHei"/>
      <w:b w:val="0"/>
      <w:bCs w:val="0"/>
      <w:i w:val="0"/>
      <w:iCs w:val="0"/>
      <w:smallCaps w:val="0"/>
      <w:strike w:val="0"/>
      <w:color w:val="1B1B1B"/>
      <w:sz w:val="11"/>
      <w:szCs w:val="11"/>
      <w:u w:val="none"/>
      <w:shd w:val="clear" w:color="auto" w:fill="auto"/>
    </w:rPr>
  </w:style>
  <w:style w:type="paragraph" w:customStyle="1" w:styleId="Style83">
    <w:name w:val="Picture caption"/>
    <w:basedOn w:val="Normal"/>
    <w:link w:val="CharStyle84"/>
    <w:pPr>
      <w:widowControl w:val="0"/>
      <w:shd w:val="clear" w:color="auto" w:fill="auto"/>
    </w:pPr>
    <w:rPr>
      <w:rFonts w:ascii="Arial" w:eastAsia="Arial" w:hAnsi="Arial" w:cs="Arial"/>
      <w:b/>
      <w:bCs/>
      <w:i w:val="0"/>
      <w:iCs w:val="0"/>
      <w:smallCaps w:val="0"/>
      <w:strike w:val="0"/>
      <w:color w:val="3E3E3E"/>
      <w:sz w:val="14"/>
      <w:szCs w:val="14"/>
      <w:u w:val="none"/>
      <w:shd w:val="clear" w:color="auto" w:fill="auto"/>
    </w:rPr>
  </w:style>
  <w:style w:type="paragraph" w:customStyle="1" w:styleId="Style90">
    <w:name w:val="Picture caption (2)"/>
    <w:basedOn w:val="Normal"/>
    <w:link w:val="CharStyle91"/>
    <w:pPr>
      <w:widowControl w:val="0"/>
      <w:shd w:val="clear" w:color="auto" w:fill="auto"/>
    </w:pPr>
    <w:rPr>
      <w:rFonts w:ascii="SimHei" w:eastAsia="SimHei" w:hAnsi="SimHei" w:cs="SimHei"/>
      <w:b w:val="0"/>
      <w:bCs w:val="0"/>
      <w:i w:val="0"/>
      <w:iCs w:val="0"/>
      <w:smallCaps w:val="0"/>
      <w:strike w:val="0"/>
      <w:color w:val="84392E"/>
      <w:sz w:val="19"/>
      <w:szCs w:val="19"/>
      <w:u w:val="none"/>
      <w:shd w:val="clear" w:color="auto" w:fill="auto"/>
    </w:rPr>
  </w:style>
  <w:style w:type="paragraph" w:customStyle="1" w:styleId="Style92">
    <w:name w:val="Heading #4"/>
    <w:basedOn w:val="Normal"/>
    <w:link w:val="CharStyle93"/>
    <w:pPr>
      <w:widowControl w:val="0"/>
      <w:shd w:val="clear" w:color="auto" w:fill="auto"/>
      <w:spacing w:after="280"/>
      <w:ind w:firstLine="4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07">
    <w:name w:val="Body text (6)"/>
    <w:basedOn w:val="Normal"/>
    <w:link w:val="CharStyle108"/>
    <w:pPr>
      <w:widowControl w:val="0"/>
      <w:shd w:val="clear" w:color="auto" w:fill="auto"/>
      <w:spacing w:after="130"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10">
    <w:name w:val="Body text (7)"/>
    <w:basedOn w:val="Normal"/>
    <w:link w:val="CharStyle111"/>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115">
    <w:name w:val="Heading #5"/>
    <w:basedOn w:val="Normal"/>
    <w:link w:val="CharStyle116"/>
    <w:pPr>
      <w:widowControl w:val="0"/>
      <w:shd w:val="clear" w:color="auto" w:fill="auto"/>
      <w:spacing w:after="80"/>
      <w:ind w:firstLine="380"/>
      <w:outlineLvl w:val="4"/>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
  <dc:subject/>
  <dc:creator>John</dc:creator>
  <cp:keywords/>
</cp:coreProperties>
</file>